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90" w:lineRule="exact"/>
        <w:ind w:left="0" w:leftChars="0" w:right="0" w:firstLine="0" w:firstLineChars="0"/>
        <w:jc w:val="both"/>
        <w:textAlignment w:val="auto"/>
        <w:outlineLvl w:val="9"/>
        <w:rPr>
          <w:rFonts w:hint="eastAsia" w:ascii="方正小标宋_GBK" w:hAnsi="方正小标宋_GBK" w:eastAsia="方正小标宋_GBK" w:cs="方正小标宋_GBK"/>
          <w:sz w:val="76"/>
          <w:szCs w:val="76"/>
          <w:lang w:eastAsia="zh-CN"/>
        </w:rPr>
      </w:pPr>
    </w:p>
    <w:p>
      <w:pPr>
        <w:widowControl w:val="0"/>
        <w:wordWrap/>
        <w:adjustRightInd/>
        <w:snapToGrid/>
        <w:spacing w:line="590" w:lineRule="exact"/>
        <w:ind w:left="0" w:leftChars="0" w:right="0" w:firstLine="0" w:firstLineChars="0"/>
        <w:jc w:val="both"/>
        <w:textAlignment w:val="auto"/>
        <w:outlineLvl w:val="9"/>
        <w:rPr>
          <w:rFonts w:hint="eastAsia" w:ascii="方正小标宋_GBK" w:hAnsi="方正小标宋_GBK" w:eastAsia="方正小标宋_GBK" w:cs="方正小标宋_GBK"/>
          <w:sz w:val="76"/>
          <w:szCs w:val="76"/>
          <w:lang w:eastAsia="zh-CN"/>
        </w:rPr>
      </w:pPr>
    </w:p>
    <w:p>
      <w:pPr>
        <w:widowControl w:val="0"/>
        <w:wordWrap w:val="0"/>
        <w:adjustRightInd/>
        <w:snapToGrid/>
        <w:spacing w:line="590" w:lineRule="exact"/>
        <w:ind w:left="0" w:leftChars="0" w:right="0" w:firstLine="0" w:firstLineChars="0"/>
        <w:jc w:val="right"/>
        <w:textAlignment w:val="auto"/>
        <w:outlineLvl w:val="9"/>
        <w:rPr>
          <w:rFonts w:hint="eastAsia" w:ascii="方正小标宋_GBK" w:hAnsi="方正小标宋_GBK" w:eastAsia="方正小标宋_GBK" w:cs="方正小标宋_GBK"/>
          <w:sz w:val="44"/>
          <w:szCs w:val="44"/>
        </w:rPr>
      </w:pPr>
      <w:r>
        <w:rPr>
          <w:rFonts w:hint="eastAsia" w:ascii="Times New Roman" w:hAnsi="Times New Roman" w:eastAsia="方正楷体简体" w:cs="Times New Roman"/>
          <w:sz w:val="32"/>
          <w:szCs w:val="32"/>
          <w:lang w:val="en-US" w:eastAsia="zh-CN"/>
        </w:rPr>
        <w:t xml:space="preserve"> </w:t>
      </w:r>
      <w:r>
        <w:rPr>
          <w:rFonts w:hint="default" w:ascii="Times New Roman" w:hAnsi="Times New Roman" w:eastAsia="方正楷体简体" w:cs="Times New Roman"/>
          <w:sz w:val="32"/>
          <w:szCs w:val="32"/>
          <w:lang w:eastAsia="zh-CN"/>
        </w:rPr>
        <w:t>泗政</w:t>
      </w:r>
      <w:r>
        <w:rPr>
          <w:rFonts w:hint="eastAsia" w:ascii="Times New Roman" w:hAnsi="Times New Roman" w:eastAsia="方正楷体简体" w:cs="Times New Roman"/>
          <w:sz w:val="32"/>
          <w:szCs w:val="32"/>
          <w:lang w:eastAsia="zh-CN"/>
        </w:rPr>
        <w:t>办</w:t>
      </w:r>
      <w:r>
        <w:rPr>
          <w:rFonts w:hint="default" w:ascii="Times New Roman" w:hAnsi="Times New Roman" w:eastAsia="方正楷体简体" w:cs="Times New Roman"/>
          <w:sz w:val="32"/>
          <w:szCs w:val="32"/>
          <w:lang w:eastAsia="zh-CN"/>
        </w:rPr>
        <w:t>秘〔</w:t>
      </w:r>
      <w:r>
        <w:rPr>
          <w:rFonts w:hint="default" w:ascii="Times New Roman" w:hAnsi="Times New Roman" w:eastAsia="方正楷体简体" w:cs="Times New Roman"/>
          <w:sz w:val="32"/>
          <w:szCs w:val="32"/>
          <w:lang w:val="en-US" w:eastAsia="zh-CN"/>
        </w:rPr>
        <w:t>20</w:t>
      </w:r>
      <w:r>
        <w:rPr>
          <w:rFonts w:hint="eastAsia" w:ascii="Times New Roman" w:hAnsi="Times New Roman" w:eastAsia="方正楷体简体" w:cs="Times New Roman"/>
          <w:sz w:val="32"/>
          <w:szCs w:val="32"/>
          <w:lang w:val="en-US" w:eastAsia="zh-CN"/>
        </w:rPr>
        <w:t>20</w:t>
      </w:r>
      <w:r>
        <w:rPr>
          <w:rFonts w:hint="default" w:ascii="Times New Roman" w:hAnsi="Times New Roman" w:eastAsia="方正楷体简体" w:cs="Times New Roman"/>
          <w:sz w:val="32"/>
          <w:szCs w:val="32"/>
          <w:lang w:eastAsia="zh-CN"/>
        </w:rPr>
        <w:t>〕</w:t>
      </w:r>
      <w:r>
        <w:rPr>
          <w:rFonts w:hint="eastAsia" w:ascii="Times New Roman" w:hAnsi="Times New Roman" w:eastAsia="方正楷体简体" w:cs="Times New Roman"/>
          <w:sz w:val="32"/>
          <w:szCs w:val="32"/>
          <w:lang w:val="en-US" w:eastAsia="zh-CN"/>
        </w:rPr>
        <w:t>49</w:t>
      </w:r>
      <w:r>
        <w:rPr>
          <w:rFonts w:hint="default" w:ascii="Times New Roman" w:hAnsi="Times New Roman" w:eastAsia="方正楷体简体" w:cs="Times New Roman"/>
          <w:sz w:val="32"/>
          <w:szCs w:val="32"/>
          <w:lang w:val="en-US" w:eastAsia="zh-CN"/>
        </w:rPr>
        <w:t>号</w:t>
      </w:r>
      <w:r>
        <w:rPr>
          <w:rFonts w:hint="eastAsia" w:ascii="Times New Roman" w:hAnsi="Times New Roman" w:eastAsia="方正楷体简体" w:cs="Times New Roman"/>
          <w:sz w:val="32"/>
          <w:szCs w:val="32"/>
          <w:lang w:val="en-US" w:eastAsia="zh-CN"/>
        </w:rPr>
        <w:t xml:space="preserve"> </w:t>
      </w:r>
    </w:p>
    <w:p>
      <w:pPr>
        <w:widowControl w:val="0"/>
        <w:wordWrap/>
        <w:adjustRightInd/>
        <w:snapToGrid/>
        <w:spacing w:line="590" w:lineRule="exact"/>
        <w:ind w:left="0" w:leftChars="0" w:right="0" w:firstLine="0" w:firstLineChars="0"/>
        <w:jc w:val="both"/>
        <w:textAlignment w:val="auto"/>
        <w:outlineLvl w:val="9"/>
        <w:rPr>
          <w:rFonts w:hint="eastAsia" w:ascii="方正小标宋_GBK" w:hAnsi="方正小标宋_GBK" w:eastAsia="方正小标宋_GBK" w:cs="方正小标宋_GBK"/>
          <w:sz w:val="76"/>
          <w:szCs w:val="76"/>
          <w:lang w:eastAsia="zh-CN"/>
        </w:rPr>
      </w:pPr>
    </w:p>
    <w:p>
      <w:pPr>
        <w:widowControl w:val="0"/>
        <w:wordWrap/>
        <w:adjustRightInd/>
        <w:snapToGrid/>
        <w:spacing w:line="530" w:lineRule="exact"/>
        <w:ind w:left="0" w:leftChars="0" w:right="0" w:firstLine="0" w:firstLineChars="0"/>
        <w:jc w:val="both"/>
        <w:textAlignment w:val="auto"/>
        <w:outlineLvl w:val="9"/>
        <w:rPr>
          <w:rFonts w:hint="eastAsia" w:ascii="方正小标宋_GBK" w:hAnsi="方正小标宋_GBK" w:eastAsia="方正小标宋_GBK" w:cs="方正小标宋_GBK"/>
          <w:sz w:val="76"/>
          <w:szCs w:val="76"/>
          <w:lang w:eastAsia="zh-CN"/>
        </w:rPr>
      </w:pPr>
    </w:p>
    <w:p>
      <w:pPr>
        <w:widowControl w:val="0"/>
        <w:wordWrap/>
        <w:adjustRightInd/>
        <w:snapToGrid/>
        <w:spacing w:line="570" w:lineRule="exact"/>
        <w:ind w:left="0" w:lef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泗县人民政府办公室关于印发2020年</w:t>
      </w:r>
    </w:p>
    <w:p>
      <w:pPr>
        <w:widowControl w:val="0"/>
        <w:wordWrap/>
        <w:adjustRightInd/>
        <w:snapToGrid/>
        <w:spacing w:line="570" w:lineRule="exact"/>
        <w:ind w:left="0" w:lef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政务公开重点工作任务分工的通知</w:t>
      </w:r>
    </w:p>
    <w:p>
      <w:pPr>
        <w:widowControl w:val="0"/>
        <w:wordWrap/>
        <w:adjustRightInd/>
        <w:snapToGrid/>
        <w:spacing w:line="570" w:lineRule="exact"/>
        <w:ind w:left="0" w:leftChars="0"/>
        <w:textAlignment w:val="auto"/>
        <w:outlineLvl w:val="9"/>
        <w:rPr>
          <w:rFonts w:hint="default" w:ascii="Times New Roman" w:hAnsi="Times New Roman" w:eastAsia="方正仿宋_GBK" w:cs="Times New Roman"/>
          <w:sz w:val="32"/>
          <w:szCs w:val="32"/>
        </w:rPr>
      </w:pPr>
    </w:p>
    <w:p>
      <w:pPr>
        <w:widowControl w:val="0"/>
        <w:wordWrap/>
        <w:adjustRightInd/>
        <w:snapToGrid/>
        <w:spacing w:line="570" w:lineRule="exact"/>
        <w:ind w:left="0" w:lef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各乡镇人民政府、县经济开发区管委会，县政府各部门，各直属单位：</w:t>
      </w:r>
      <w:bookmarkStart w:id="0" w:name="_GoBack"/>
      <w:bookmarkEnd w:id="0"/>
    </w:p>
    <w:p>
      <w:pPr>
        <w:widowControl w:val="0"/>
        <w:wordWrap/>
        <w:adjustRightInd/>
        <w:snapToGrid/>
        <w:spacing w:line="570"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经县政府同意，现将《2020年政务公开重点工作任务分工》印发给你们，请认真贯彻落实。</w:t>
      </w:r>
    </w:p>
    <w:p>
      <w:pPr>
        <w:widowControl w:val="0"/>
        <w:wordWrap/>
        <w:adjustRightInd/>
        <w:snapToGrid/>
        <w:spacing w:line="570"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widowControl w:val="0"/>
        <w:wordWrap/>
        <w:adjustRightInd/>
        <w:snapToGrid/>
        <w:spacing w:line="570" w:lineRule="exact"/>
        <w:ind w:left="0" w:leftChars="0" w:firstLine="640" w:firstLineChars="200"/>
        <w:textAlignment w:val="auto"/>
        <w:outlineLvl w:val="9"/>
        <w:rPr>
          <w:rFonts w:hint="default" w:ascii="方正小标宋_GBK" w:hAnsi="方正小标宋_GBK" w:eastAsia="方正小标宋_GBK" w:cs="方正小标宋_GBK"/>
          <w:sz w:val="44"/>
          <w:szCs w:val="44"/>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 xml:space="preserve">     </w:t>
      </w:r>
    </w:p>
    <w:p>
      <w:pPr>
        <w:widowControl w:val="0"/>
        <w:wordWrap/>
        <w:adjustRightInd w:val="0"/>
        <w:snapToGrid/>
        <w:spacing w:line="570" w:lineRule="exact"/>
        <w:ind w:left="0" w:leftChars="0" w:firstLine="640" w:firstLineChars="200"/>
        <w:textAlignment w:val="auto"/>
        <w:outlineLvl w:val="9"/>
        <w:rPr>
          <w:rFonts w:hint="eastAsia" w:eastAsia="方正仿宋_GBK"/>
          <w:sz w:val="32"/>
          <w:szCs w:val="32"/>
        </w:rPr>
      </w:pPr>
      <w:r>
        <w:rPr>
          <w:rFonts w:hint="eastAsia" w:eastAsia="方正仿宋_GBK"/>
          <w:sz w:val="32"/>
          <w:szCs w:val="32"/>
        </w:rPr>
        <w:t xml:space="preserve">   </w:t>
      </w:r>
      <w:r>
        <w:rPr>
          <w:rFonts w:hint="eastAsia" w:eastAsia="方正仿宋_GBK"/>
          <w:sz w:val="32"/>
          <w:szCs w:val="32"/>
          <w:lang w:val="en-US" w:eastAsia="zh-CN"/>
        </w:rPr>
        <w:t xml:space="preserve">                        </w:t>
      </w:r>
    </w:p>
    <w:p>
      <w:pPr>
        <w:widowControl w:val="0"/>
        <w:wordWrap/>
        <w:snapToGrid/>
        <w:spacing w:line="570" w:lineRule="exact"/>
        <w:ind w:left="0" w:leftChars="0" w:right="1296" w:rightChars="617" w:firstLine="4739"/>
        <w:jc w:val="right"/>
        <w:textAlignment w:val="auto"/>
        <w:outlineLvl w:val="9"/>
        <w:rPr>
          <w:rFonts w:hint="default" w:ascii="方正小标宋_GBK" w:hAnsi="方正小标宋_GBK" w:eastAsia="方正小标宋_GBK" w:cs="方正小标宋_GBK"/>
          <w:sz w:val="44"/>
          <w:szCs w:val="44"/>
        </w:rPr>
      </w:pPr>
      <w:r>
        <w:rPr>
          <w:rFonts w:hint="default" w:ascii="Times New Roman" w:hAnsi="Times New Roman" w:eastAsia="方正楷体_GBK" w:cs="Times New Roman"/>
          <w:sz w:val="32"/>
          <w:szCs w:val="32"/>
        </w:rPr>
        <w:t>2020年</w:t>
      </w:r>
      <w:r>
        <w:rPr>
          <w:rFonts w:hint="default" w:ascii="Times New Roman" w:hAnsi="Times New Roman" w:eastAsia="方正楷体_GBK" w:cs="Times New Roman"/>
          <w:sz w:val="32"/>
          <w:szCs w:val="32"/>
          <w:lang w:val="en-US" w:eastAsia="zh-CN"/>
        </w:rPr>
        <w:t>9</w:t>
      </w:r>
      <w:r>
        <w:rPr>
          <w:rFonts w:hint="default" w:ascii="Times New Roman" w:hAnsi="Times New Roman" w:eastAsia="方正楷体_GBK" w:cs="Times New Roman"/>
          <w:sz w:val="32"/>
          <w:szCs w:val="32"/>
        </w:rPr>
        <w:t>月</w:t>
      </w:r>
      <w:r>
        <w:rPr>
          <w:rFonts w:hint="default" w:ascii="Times New Roman" w:hAnsi="Times New Roman" w:eastAsia="方正楷体_GBK" w:cs="Times New Roman"/>
          <w:sz w:val="32"/>
          <w:szCs w:val="32"/>
          <w:lang w:val="en-US" w:eastAsia="zh-CN"/>
        </w:rPr>
        <w:t>2</w:t>
      </w:r>
      <w:r>
        <w:rPr>
          <w:rFonts w:hint="eastAsia" w:ascii="Times New Roman" w:hAnsi="Times New Roman" w:eastAsia="方正楷体_GBK" w:cs="Times New Roman"/>
          <w:sz w:val="32"/>
          <w:szCs w:val="32"/>
          <w:lang w:val="en-US" w:eastAsia="zh-CN"/>
        </w:rPr>
        <w:t>7</w:t>
      </w:r>
      <w:r>
        <w:rPr>
          <w:rFonts w:hint="default" w:ascii="Times New Roman" w:hAnsi="Times New Roman" w:eastAsia="方正楷体_GBK" w:cs="Times New Roman"/>
          <w:sz w:val="32"/>
          <w:szCs w:val="32"/>
        </w:rPr>
        <w:t>日</w:t>
      </w:r>
    </w:p>
    <w:p>
      <w:pPr>
        <w:widowControl w:val="0"/>
        <w:wordWrap/>
        <w:adjustRightInd/>
        <w:snapToGrid/>
        <w:spacing w:line="55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widowControl w:val="0"/>
        <w:wordWrap/>
        <w:adjustRightInd/>
        <w:snapToGrid/>
        <w:spacing w:line="550" w:lineRule="exact"/>
        <w:ind w:left="0" w:leftChars="0" w:firstLine="0" w:firstLineChars="0"/>
        <w:jc w:val="center"/>
        <w:textAlignment w:val="auto"/>
        <w:rPr>
          <w:rFonts w:hint="default" w:ascii="方正小标宋_GBK" w:hAnsi="方正小标宋_GBK" w:eastAsia="方正小标宋_GBK" w:cs="方正小标宋_GBK"/>
          <w:sz w:val="44"/>
          <w:szCs w:val="44"/>
        </w:rPr>
      </w:pPr>
    </w:p>
    <w:p>
      <w:pPr>
        <w:widowControl w:val="0"/>
        <w:wordWrap/>
        <w:adjustRightInd/>
        <w:snapToGrid/>
        <w:spacing w:line="550" w:lineRule="exact"/>
        <w:ind w:left="0" w:leftChars="0" w:firstLine="0" w:firstLineChars="0"/>
        <w:jc w:val="center"/>
        <w:textAlignment w:val="auto"/>
        <w:rPr>
          <w:rFonts w:hint="default" w:ascii="方正小标宋_GBK" w:hAnsi="方正小标宋_GBK" w:eastAsia="方正小标宋_GBK" w:cs="方正小标宋_GBK"/>
          <w:sz w:val="44"/>
          <w:szCs w:val="44"/>
        </w:rPr>
      </w:pPr>
    </w:p>
    <w:p>
      <w:pPr>
        <w:spacing w:line="400" w:lineRule="exact"/>
        <w:rPr>
          <w:rFonts w:eastAsia="方正仿宋_GBK"/>
          <w:sz w:val="28"/>
          <w:szCs w:val="28"/>
        </w:rPr>
      </w:pPr>
    </w:p>
    <w:p>
      <w:pPr>
        <w:spacing w:line="400" w:lineRule="exact"/>
        <w:rPr>
          <w:rFonts w:eastAsia="方正仿宋_GBK"/>
          <w:sz w:val="28"/>
          <w:szCs w:val="28"/>
        </w:rPr>
      </w:pPr>
    </w:p>
    <w:p>
      <w:pPr>
        <w:spacing w:line="400" w:lineRule="exact"/>
        <w:ind w:firstLine="560" w:firstLineChars="200"/>
        <w:rPr>
          <w:rFonts w:eastAsia="方正仿宋_GBK"/>
          <w:sz w:val="28"/>
          <w:szCs w:val="28"/>
        </w:rPr>
      </w:pPr>
    </w:p>
    <w:p>
      <w:pPr>
        <w:spacing w:line="400" w:lineRule="exact"/>
        <w:ind w:firstLine="560" w:firstLineChars="200"/>
        <w:rPr>
          <w:rFonts w:hint="default" w:ascii="方正小标宋_GBK" w:hAnsi="方正小标宋_GBK" w:eastAsia="方正小标宋_GBK" w:cs="方正小标宋_GBK"/>
          <w:sz w:val="44"/>
          <w:szCs w:val="44"/>
        </w:rPr>
        <w:sectPr>
          <w:footerReference r:id="rId3" w:type="default"/>
          <w:pgSz w:w="11906" w:h="16838"/>
          <w:pgMar w:top="2098" w:right="1474" w:bottom="1984" w:left="1587" w:header="851" w:footer="1417" w:gutter="0"/>
          <w:pgNumType w:fmt="decimal"/>
          <w:cols w:space="720" w:num="1"/>
          <w:rtlGutter w:val="0"/>
          <w:docGrid w:type="lines" w:linePitch="330" w:charSpace="0"/>
        </w:sectPr>
      </w:pPr>
      <w:r>
        <w:rPr>
          <w:rFonts w:eastAsia="方正仿宋_GBK"/>
          <w:sz w:val="28"/>
          <w:szCs w:val="28"/>
        </w:rPr>
        <w:t>抄送：县委</w:t>
      </w:r>
      <w:r>
        <w:rPr>
          <w:rFonts w:hint="eastAsia" w:eastAsia="方正仿宋_GBK"/>
          <w:sz w:val="28"/>
          <w:szCs w:val="28"/>
          <w:lang w:eastAsia="zh-CN"/>
        </w:rPr>
        <w:t>办公室</w:t>
      </w:r>
      <w:r>
        <w:rPr>
          <w:rFonts w:eastAsia="方正仿宋_GBK"/>
          <w:sz w:val="28"/>
          <w:szCs w:val="28"/>
        </w:rPr>
        <w:t>，县人大常委会办公室，县政协办公室。</w:t>
      </w:r>
    </w:p>
    <w:p>
      <w:pPr>
        <w:widowControl w:val="0"/>
        <w:wordWrap/>
        <w:adjustRightInd/>
        <w:snapToGrid/>
        <w:spacing w:line="550" w:lineRule="exact"/>
        <w:ind w:left="0" w:leftChars="0" w:firstLine="0" w:firstLineChars="0"/>
        <w:jc w:val="center"/>
        <w:textAlignment w:val="auto"/>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2020年政务公开重点工作任务分工</w:t>
      </w:r>
    </w:p>
    <w:tbl>
      <w:tblPr>
        <w:tblStyle w:val="5"/>
        <w:tblW w:w="1440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5"/>
        <w:gridCol w:w="485"/>
        <w:gridCol w:w="1180"/>
        <w:gridCol w:w="570"/>
        <w:gridCol w:w="7215"/>
        <w:gridCol w:w="265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trPr>
        <w:tc>
          <w:tcPr>
            <w:tcW w:w="10515" w:type="dxa"/>
            <w:gridSpan w:val="5"/>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rPr>
              <w:t>具  体  要  求</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rPr>
              <w:t>责任单位</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1065" w:type="dxa"/>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w:t>
            </w:r>
            <w:r>
              <w:rPr>
                <w:rFonts w:hint="eastAsia" w:ascii="宋体" w:hAnsi="宋体" w:cs="宋体"/>
                <w:kern w:val="0"/>
                <w:sz w:val="21"/>
                <w:szCs w:val="21"/>
                <w:lang w:val="en-US" w:eastAsia="zh-CN"/>
              </w:rPr>
              <w:t>一</w:t>
            </w:r>
            <w:r>
              <w:rPr>
                <w:rFonts w:hint="eastAsia" w:ascii="宋体" w:hAnsi="宋体" w:eastAsia="宋体" w:cs="宋体"/>
                <w:kern w:val="0"/>
                <w:sz w:val="21"/>
                <w:szCs w:val="21"/>
                <w:lang w:val="en-US" w:eastAsia="zh-CN"/>
              </w:rPr>
              <w:t>、围绕</w:t>
            </w:r>
            <w:r>
              <w:rPr>
                <w:rFonts w:hint="eastAsia" w:ascii="宋体" w:hAnsi="宋体" w:cs="宋体"/>
                <w:kern w:val="0"/>
                <w:sz w:val="21"/>
                <w:szCs w:val="21"/>
                <w:lang w:val="en-US" w:eastAsia="zh-CN"/>
              </w:rPr>
              <w:t>贯彻落实党的十九届四中全会精神加强用权公开</w:t>
            </w:r>
          </w:p>
        </w:tc>
        <w:tc>
          <w:tcPr>
            <w:tcW w:w="1665" w:type="dxa"/>
            <w:gridSpan w:val="2"/>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r>
              <w:rPr>
                <w:rFonts w:hint="eastAsia"/>
              </w:rPr>
              <w:t>（一）加强权力配置信息公开。</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leftChars="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firstLine="492"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对照法律法规规章，全面梳理本机关依法行使的行政权力和依法承担的公共服务职责，更新完善权责清单并按要求公开。</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trPr>
        <w:tc>
          <w:tcPr>
            <w:tcW w:w="1065" w:type="dxa"/>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p>
        </w:tc>
        <w:tc>
          <w:tcPr>
            <w:tcW w:w="1665" w:type="dxa"/>
            <w:gridSpan w:val="2"/>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leftChars="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firstLine="492"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各行政机关依法公开工作职能、机构设置、办公地址、办公时间、联系方式、负责人姓名等信息。</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10月</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trPr>
        <w:tc>
          <w:tcPr>
            <w:tcW w:w="1065" w:type="dxa"/>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p>
        </w:tc>
        <w:tc>
          <w:tcPr>
            <w:tcW w:w="1665" w:type="dxa"/>
            <w:gridSpan w:val="2"/>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leftChars="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firstLine="492"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各级政府信息公开工作机构组织编写本单位行政机关机构职能目录并向社会公开，全面展现政府机构权力配置情况。</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left"/>
              <w:textAlignment w:val="auto"/>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县政府</w:t>
            </w:r>
            <w:r>
              <w:rPr>
                <w:rFonts w:hint="eastAsia" w:ascii="宋体" w:hAnsi="宋体" w:eastAsia="宋体" w:cs="宋体"/>
                <w:kern w:val="0"/>
                <w:sz w:val="21"/>
                <w:szCs w:val="21"/>
                <w:lang w:val="en-US" w:eastAsia="zh-CN"/>
              </w:rPr>
              <w:t>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0" w:hRule="atLeast"/>
        </w:trPr>
        <w:tc>
          <w:tcPr>
            <w:tcW w:w="1065" w:type="dxa"/>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p>
        </w:tc>
        <w:tc>
          <w:tcPr>
            <w:tcW w:w="1665" w:type="dxa"/>
            <w:gridSpan w:val="2"/>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r>
              <w:rPr>
                <w:rFonts w:hint="eastAsia"/>
              </w:rPr>
              <w:t>（二）加强权力运行过程信息公开。</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leftChars="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firstLine="492"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深入贯彻落实《重大行政决策程序暂行条例》，抓紧构建和完善重大行政决策预公开机制，明确公众参与行政决策的事项范围和方式，对涉及人民群众切身利益、需要社会广泛知晓的公共政策措施、公共建设项目，要采取座谈会、听证会、实地走访、书面征求意见、向社会公开征求意见、问卷调查、民意调查等多种方式，充分听取公众意见。完善利益相关方、群众代表、专家、媒体等列席政府有关会议制度，建立健全企业家、商会、行业协会参与涉企政策制定制度。</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1065" w:type="dxa"/>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p>
        </w:tc>
        <w:tc>
          <w:tcPr>
            <w:tcW w:w="1665" w:type="dxa"/>
            <w:gridSpan w:val="2"/>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leftChars="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firstLine="492"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按月或按季度公开2020年政府重点工作任务的执行和落实情况，进一步加强督查和审计发现问题及整改落实情况公开，积极开展决策执行效果评估，切实增强政府执行力。</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atLeast"/>
        </w:trPr>
        <w:tc>
          <w:tcPr>
            <w:tcW w:w="1065" w:type="dxa"/>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p>
        </w:tc>
        <w:tc>
          <w:tcPr>
            <w:tcW w:w="1665" w:type="dxa"/>
            <w:gridSpan w:val="2"/>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（三）加强政务信息管理。</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6</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firstLine="492"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系统梳理本级政府及部门制发的规范性文件，集中统一对外公开现行有效规范性文件，并提供在线查阅、检索、下载等服务；按照“放管服”改革要求及时开展“立改废”工作，集中统一对外公开，动态更新。2020年底前初步解决底数不清、体系不完善等问题。</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县司法局、县政府办、各乡镇人民政府、县经济开发区管委会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trPr>
        <w:tc>
          <w:tcPr>
            <w:tcW w:w="1065" w:type="dxa"/>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p>
        </w:tc>
        <w:tc>
          <w:tcPr>
            <w:tcW w:w="1665" w:type="dxa"/>
            <w:gridSpan w:val="2"/>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7</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firstLine="492"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提升规范性文件公开质量，列明文号、成文日期、发布时间、有效性等信息，提供文本下载功能，并做好防篡改防伪造工作。</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trPr>
        <w:tc>
          <w:tcPr>
            <w:tcW w:w="1065" w:type="dxa"/>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p>
        </w:tc>
        <w:tc>
          <w:tcPr>
            <w:tcW w:w="1665" w:type="dxa"/>
            <w:gridSpan w:val="2"/>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8</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firstLine="492"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逐步整理形成本级政府和本系统制度文件汇编并集中统一对外公开，服务国家治理体系和治理能力现代化。</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县政府各部门、各乡镇人民政府、县经济开发区管委会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exact"/>
              <w:ind w:left="0" w:leftChars="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5" w:hRule="atLeast"/>
        </w:trPr>
        <w:tc>
          <w:tcPr>
            <w:tcW w:w="1550" w:type="dxa"/>
            <w:gridSpan w:val="2"/>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 二、围绕做好“六稳”“六保”工作加强政策发布解读</w:t>
            </w:r>
          </w:p>
        </w:tc>
        <w:tc>
          <w:tcPr>
            <w:tcW w:w="118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leftChars="0" w:right="0"/>
              <w:jc w:val="left"/>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rPr>
              <w:t>（一）助力做好“六稳”工作。</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leftChars="0" w:right="0"/>
              <w:jc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rPr>
              <w:t>9</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leftChars="0" w:right="0" w:firstLine="493"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rPr>
              <w:t>围绕中央经济工作会议精神和《政府工作报告》要求，加大政策解读力度，加强舆论引导，全面阐释稳就业、稳金融、稳外贸、稳外资、稳投资、稳预期各项政策举措及其效果，主动回应经济社会热点问题，释放更多积极信号，为有效克服新冠肺炎疫情影响、努力实现今年经济社会发展目标任务营造良好舆论环境。拓宽发布渠道，丰富内容形式，增强传播力影响力，充分阐释经济运行总体平稳、稳中有进、长期向好态势，有效提振市场信心。</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leftChars="0" w:right="0"/>
              <w:jc w:val="left"/>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rPr>
              <w:t>县政府办、县人社局、县财政局、县商务局、县发改委等有关部门，各乡镇人民政府、县经济开发区管委会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leftChars="0" w:right="0"/>
              <w:jc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5" w:hRule="atLeast"/>
        </w:trPr>
        <w:tc>
          <w:tcPr>
            <w:tcW w:w="1550" w:type="dxa"/>
            <w:gridSpan w:val="2"/>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（二）助力落实“六保”任务。</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10</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firstLine="493"/>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实时发布保居民就业、保基本民生、保市场主体、保粮食能源安全、保产业链供应链稳定、保基层运转等相关政策信息。紧紧围绕着力稳企业保就业、增强发展新动能、实施扩大内需战略、确保实现脱贫攻坚目标、稳住外贸外资基本盘、保障和改善民生等重大部署和重点工作任务，解读好相关政策措施、执行情况和工作成效。尤其要加大纾困和激发市场活力规模性政策的公开力度，确保政策资金流向、使用公开透明，让政策资金直达基层、直接惠企利民。</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县政府办、县人社局、县财政局、县经信局、县发改委等有关部门，各乡镇人民政府、县经济开发区管委会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8" w:hRule="atLeast"/>
        </w:trPr>
        <w:tc>
          <w:tcPr>
            <w:tcW w:w="1550" w:type="dxa"/>
            <w:gridSpan w:val="2"/>
            <w:vMerge w:val="continue"/>
            <w:vAlign w:val="center"/>
          </w:tcPr>
          <w:p>
            <w:pPr>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（三）进一步提高政策解读质量效果。</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11</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firstLine="493"/>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进一步提高政策解读质量，固化解读工作流程，强化主体责任，完善审核把关机制，重点体现决策背景和依据、制定意义和总体考虑、研判和起草过程、工作目标、主要任务、创新举措、保障措施等实质性内容。</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trPr>
        <w:tc>
          <w:tcPr>
            <w:tcW w:w="1550" w:type="dxa"/>
            <w:gridSpan w:val="2"/>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三、围绕优化营商环境加强政务信息公开</w:t>
            </w:r>
          </w:p>
        </w:tc>
        <w:tc>
          <w:tcPr>
            <w:tcW w:w="1180" w:type="dxa"/>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（一）提高市场监管规则和标准公开质量。</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12</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firstLine="493"/>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贯彻落实党中央国务院、省委省政府、市委市政府和县委县政府关于深化“放管服”改革优化营商环境的决策部署，向市场主体全面公开市场监管规则和标准，以监管规则和标准的确定性保障市场监管的公正性。</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县政府办、县市监局等有关部门，各乡镇人民政府、县经济开发区管委会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rPr>
        <w:tc>
          <w:tcPr>
            <w:tcW w:w="1550" w:type="dxa"/>
            <w:gridSpan w:val="2"/>
            <w:vMerge w:val="continue"/>
            <w:vAlign w:val="center"/>
          </w:tcPr>
          <w:p>
            <w:pPr>
              <w:rPr>
                <w:rFonts w:hint="eastAsia" w:ascii="宋体" w:hAnsi="宋体" w:eastAsia="宋体" w:cs="宋体"/>
                <w:sz w:val="21"/>
                <w:szCs w:val="21"/>
              </w:rPr>
            </w:pPr>
          </w:p>
        </w:tc>
        <w:tc>
          <w:tcPr>
            <w:tcW w:w="1180" w:type="dxa"/>
            <w:vMerge w:val="continue"/>
            <w:vAlign w:val="center"/>
          </w:tcPr>
          <w:p>
            <w:pPr>
              <w:rPr>
                <w:rFonts w:hint="eastAsia" w:ascii="宋体" w:hAnsi="宋体" w:eastAsia="宋体" w:cs="宋体"/>
                <w:sz w:val="21"/>
                <w:szCs w:val="21"/>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13</w:t>
            </w:r>
          </w:p>
        </w:tc>
        <w:tc>
          <w:tcPr>
            <w:tcW w:w="721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firstLine="492"/>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市场监管部门加强窗口服务，为市场主体提供更加精准、便捷的政策咨询。</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县市监局、各乡镇人民政府、县经济开发区管委会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1" w:hRule="atLeast"/>
        </w:trPr>
        <w:tc>
          <w:tcPr>
            <w:tcW w:w="1550" w:type="dxa"/>
            <w:gridSpan w:val="2"/>
            <w:vMerge w:val="continue"/>
            <w:vAlign w:val="center"/>
          </w:tcPr>
          <w:p>
            <w:pPr>
              <w:rPr>
                <w:rFonts w:hint="eastAsia" w:ascii="宋体" w:hAnsi="宋体" w:eastAsia="宋体" w:cs="宋体"/>
                <w:sz w:val="21"/>
                <w:szCs w:val="21"/>
              </w:rPr>
            </w:pPr>
          </w:p>
        </w:tc>
        <w:tc>
          <w:tcPr>
            <w:tcW w:w="1180" w:type="dxa"/>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（二）提高政务服务透明度便利度。</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14</w:t>
            </w:r>
          </w:p>
        </w:tc>
        <w:tc>
          <w:tcPr>
            <w:tcW w:w="721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firstLine="492"/>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全面优化办事流程，通过互联网等技术手段让办事人动态掌握办事进展，最大限度实现网络化、透明化办事。根据“放管服”改革进程，及时更新并公开办事方式、办事条件等信息。加强“一件事”“一类事”等综合办事信息公开，进一步提升办事便利度。</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县数据</w:t>
            </w:r>
            <w:r>
              <w:rPr>
                <w:rFonts w:hint="eastAsia" w:ascii="宋体" w:hAnsi="宋体" w:cs="宋体"/>
                <w:kern w:val="0"/>
                <w:sz w:val="21"/>
                <w:szCs w:val="21"/>
                <w:lang w:val="en-US" w:eastAsia="zh-CN"/>
              </w:rPr>
              <w:t>资源管理</w:t>
            </w:r>
            <w:r>
              <w:rPr>
                <w:rFonts w:hint="eastAsia" w:ascii="宋体" w:hAnsi="宋体" w:eastAsia="宋体" w:cs="宋体"/>
                <w:kern w:val="0"/>
                <w:sz w:val="21"/>
                <w:szCs w:val="21"/>
                <w:lang w:val="en-US" w:eastAsia="zh-CN"/>
              </w:rPr>
              <w:t>局（政务服务局）等有关部门，各乡镇人民政府、县经济开发区管委会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trPr>
        <w:tc>
          <w:tcPr>
            <w:tcW w:w="1550" w:type="dxa"/>
            <w:gridSpan w:val="2"/>
            <w:vMerge w:val="continue"/>
            <w:vAlign w:val="center"/>
          </w:tcPr>
          <w:p>
            <w:pPr>
              <w:rPr>
                <w:rFonts w:hint="eastAsia" w:ascii="宋体" w:hAnsi="宋体" w:eastAsia="宋体" w:cs="宋体"/>
                <w:sz w:val="21"/>
                <w:szCs w:val="21"/>
              </w:rPr>
            </w:pPr>
          </w:p>
        </w:tc>
        <w:tc>
          <w:tcPr>
            <w:tcW w:w="1180" w:type="dxa"/>
            <w:vMerge w:val="continue"/>
            <w:vAlign w:val="center"/>
          </w:tcPr>
          <w:p>
            <w:pPr>
              <w:rPr>
                <w:rFonts w:hint="eastAsia" w:ascii="宋体" w:hAnsi="宋体" w:eastAsia="宋体" w:cs="宋体"/>
                <w:sz w:val="21"/>
                <w:szCs w:val="21"/>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15</w:t>
            </w:r>
          </w:p>
        </w:tc>
        <w:tc>
          <w:tcPr>
            <w:tcW w:w="721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firstLine="492"/>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设置优化营商环境信息公开专栏，进一步加大优化营商环境信息公开力度，提升利企便民质量。</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县政府办、县政府各部门</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 </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1" w:hRule="atLeast"/>
        </w:trPr>
        <w:tc>
          <w:tcPr>
            <w:tcW w:w="1550" w:type="dxa"/>
            <w:gridSpan w:val="2"/>
            <w:vMerge w:val="continue"/>
            <w:vAlign w:val="center"/>
          </w:tcPr>
          <w:p>
            <w:pPr>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（三）提高经济政策发布解读针对性精准性。</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16</w:t>
            </w:r>
          </w:p>
        </w:tc>
        <w:tc>
          <w:tcPr>
            <w:tcW w:w="721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firstLine="492"/>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提升经济政策发布质量，注重对基层一线政策执行人员开展政策解读和培训，确保减税降费等各项经济政策在实际执行环节不遗漏、不走样，全面及时惠及市场主体。注重提升经济政策解读回应渠道的权威性，增强解读回应实际效果。</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县财政局、县税务局等有关部门，各乡镇人民政府、县经济开发区管委会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4" w:hRule="atLeast"/>
        </w:trPr>
        <w:tc>
          <w:tcPr>
            <w:tcW w:w="1550" w:type="dxa"/>
            <w:gridSpan w:val="2"/>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四、围绕突发事件应对加强公共卫生信息公开</w:t>
            </w:r>
          </w:p>
        </w:tc>
        <w:tc>
          <w:tcPr>
            <w:tcW w:w="118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（一）及时准确发布疫情信息。</w:t>
            </w:r>
          </w:p>
        </w:tc>
        <w:tc>
          <w:tcPr>
            <w:tcW w:w="57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17</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坚持做好疫情防控常态化下疫情信息发布工作，依法做到及时、准确、公开、透明，让公众实时了解最新疫情动态和应对处置工作进展。融合各类信息发布渠道，有效运用新闻发布会、政府网站、政务新媒体和各类新闻媒体，全方位解读党中央、国务院重大决策部署和本地区、本部门重要工作举措，为疫情防控工作提供有力支撑。密切关注涉及疫情的舆情动态，针对相关舆情热点问题，快速反应、正面回应。有关地方和部门主要负责人要带头主动发声，以权威信息引导社会舆论。</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县卫健委等有关部门，各乡镇人民政府、县经济开发区管委会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3" w:hRule="atLeast"/>
        </w:trPr>
        <w:tc>
          <w:tcPr>
            <w:tcW w:w="1550" w:type="dxa"/>
            <w:gridSpan w:val="2"/>
            <w:vMerge w:val="continue"/>
            <w:vAlign w:val="center"/>
          </w:tcPr>
          <w:p>
            <w:pPr>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（二）加强各级各类应急预案公开和公共卫生知识普及。</w:t>
            </w:r>
          </w:p>
        </w:tc>
        <w:tc>
          <w:tcPr>
            <w:tcW w:w="57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18</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严格落实政府信息公开条例关于主动公开突发公共事件应急预案的要求，有针对性地加强宣传培训，增强社会公众特别是应急预案执行人员的风险防范意识和能力，切实发挥应急预案实际效用。大力加强公共卫生知识日常普及工作，特别对公众在新冠肺炎疫情防控过程中养成的好习惯好做法，通过科普作品等形式加强宣传推广，提高公众对传染病的防治意识和应对能力。</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县卫健委、县应急局等有关部门，各乡镇人民政府、县经济开发区管委会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1550" w:type="dxa"/>
            <w:gridSpan w:val="2"/>
            <w:vMerge w:val="continue"/>
            <w:vAlign w:val="center"/>
          </w:tcPr>
          <w:p>
            <w:pPr>
              <w:rPr>
                <w:rFonts w:hint="eastAsia" w:ascii="宋体" w:hAnsi="宋体" w:eastAsia="宋体" w:cs="宋体"/>
                <w:sz w:val="21"/>
                <w:szCs w:val="21"/>
              </w:rPr>
            </w:pPr>
          </w:p>
        </w:tc>
        <w:tc>
          <w:tcPr>
            <w:tcW w:w="1180" w:type="dxa"/>
            <w:vMerge w:val="restart"/>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（三）严格依法保护各项法定权利。</w:t>
            </w:r>
          </w:p>
        </w:tc>
        <w:tc>
          <w:tcPr>
            <w:tcW w:w="57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19</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妥善办理涉及公共卫生事件的政府信息公开申请，除公开后将损害公共利益、侵犯他人合法权益等法定禁止公开情形外，最大限度向申请人提供相关信息，更好满足人民群众知情权，维护政府公信力。</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县卫健委</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3" w:hRule="atLeast"/>
        </w:trPr>
        <w:tc>
          <w:tcPr>
            <w:tcW w:w="1550" w:type="dxa"/>
            <w:gridSpan w:val="2"/>
            <w:vMerge w:val="continue"/>
            <w:vAlign w:val="center"/>
          </w:tcPr>
          <w:p>
            <w:pPr>
              <w:rPr>
                <w:rFonts w:hint="eastAsia" w:ascii="宋体" w:hAnsi="宋体" w:eastAsia="宋体" w:cs="宋体"/>
                <w:sz w:val="21"/>
                <w:szCs w:val="21"/>
              </w:rPr>
            </w:pPr>
          </w:p>
        </w:tc>
        <w:tc>
          <w:tcPr>
            <w:tcW w:w="1180" w:type="dxa"/>
            <w:vMerge w:val="continue"/>
            <w:vAlign w:val="center"/>
          </w:tcPr>
          <w:p>
            <w:pPr>
              <w:widowControl/>
              <w:wordWrap/>
              <w:adjustRightInd/>
              <w:snapToGrid/>
              <w:spacing w:line="320" w:lineRule="exact"/>
              <w:textAlignment w:val="auto"/>
              <w:rPr>
                <w:rFonts w:hint="eastAsia" w:ascii="宋体" w:hAnsi="宋体" w:eastAsia="宋体" w:cs="宋体"/>
                <w:sz w:val="21"/>
                <w:szCs w:val="21"/>
              </w:rPr>
            </w:pPr>
          </w:p>
        </w:tc>
        <w:tc>
          <w:tcPr>
            <w:tcW w:w="57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20</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加强个人信息保护，对因新冠肺炎疫情防控工作需要收集的个人信息，要严格落实个人信息保护有关规定，采取有效措施保管并妥善处理。</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县卫健委等有关部门，各乡镇人民政府、县经济开发区管委会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6" w:hRule="atLeast"/>
        </w:trPr>
        <w:tc>
          <w:tcPr>
            <w:tcW w:w="1550" w:type="dxa"/>
            <w:gridSpan w:val="2"/>
            <w:vMerge w:val="restart"/>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五、围绕打好三大攻坚战加强重点领域信息公开</w:t>
            </w:r>
          </w:p>
        </w:tc>
        <w:tc>
          <w:tcPr>
            <w:tcW w:w="118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（一）做好防范化解重大风险信息公开。</w:t>
            </w:r>
          </w:p>
        </w:tc>
        <w:tc>
          <w:tcPr>
            <w:tcW w:w="57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21</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围绕深入实施“1+8+N”方案体系，做好重点领域风险防控信息公开。</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县发改委、县公安局、县财政局、县商务局、县科技局、县应急局、县生态环境分局等有关部门，各乡镇人民政府、县经济开发区管委会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atLeast"/>
        </w:trPr>
        <w:tc>
          <w:tcPr>
            <w:tcW w:w="1550" w:type="dxa"/>
            <w:gridSpan w:val="2"/>
            <w:vMerge w:val="continue"/>
            <w:vAlign w:val="center"/>
          </w:tcPr>
          <w:p>
            <w:pPr>
              <w:widowControl/>
              <w:wordWrap/>
              <w:adjustRightInd/>
              <w:snapToGrid/>
              <w:spacing w:line="260" w:lineRule="exact"/>
              <w:textAlignment w:val="auto"/>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（二）加强脱贫攻坚信息公开。</w:t>
            </w:r>
          </w:p>
        </w:tc>
        <w:tc>
          <w:tcPr>
            <w:tcW w:w="57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22</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围绕全面完成脱贫任务的各项重点工作，重点加大脱贫攻坚“十大工程”“两不愁三保障”和饮水安全突出问题、巩固脱贫成果、扶贫资金项目管理等相关政策举措和落实情况的信息公开力度。</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县扶贫局、县人社局、县医保局、县教体局、县水利局</w:t>
            </w:r>
            <w:r>
              <w:rPr>
                <w:rFonts w:hint="eastAsia" w:ascii="宋体" w:hAnsi="宋体" w:cs="宋体"/>
                <w:kern w:val="0"/>
                <w:sz w:val="21"/>
                <w:szCs w:val="21"/>
                <w:lang w:val="en-US" w:eastAsia="zh-CN"/>
              </w:rPr>
              <w:t>、县住建局、县卫健委</w:t>
            </w:r>
            <w:r>
              <w:rPr>
                <w:rFonts w:hint="eastAsia" w:ascii="宋体" w:hAnsi="宋体" w:eastAsia="宋体" w:cs="宋体"/>
                <w:kern w:val="0"/>
                <w:sz w:val="21"/>
                <w:szCs w:val="21"/>
                <w:lang w:val="en-US" w:eastAsia="zh-CN"/>
              </w:rPr>
              <w:t>等有关部门，各乡镇人民政府、县经济开发区管委会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atLeast"/>
        </w:trPr>
        <w:tc>
          <w:tcPr>
            <w:tcW w:w="1550" w:type="dxa"/>
            <w:gridSpan w:val="2"/>
            <w:vMerge w:val="continue"/>
            <w:vAlign w:val="center"/>
          </w:tcPr>
          <w:p>
            <w:pPr>
              <w:widowControl/>
              <w:wordWrap/>
              <w:adjustRightInd/>
              <w:snapToGrid/>
              <w:spacing w:line="260" w:lineRule="exact"/>
              <w:textAlignment w:val="auto"/>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（三）推进污染防治信息公开。</w:t>
            </w:r>
          </w:p>
        </w:tc>
        <w:tc>
          <w:tcPr>
            <w:tcW w:w="57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23</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围绕继续抓好生态环境突出问题整改，推进重点行业超低排放改造和挥发性有机物综合治理、城镇污水治理、黑臭水体治理突出问题整治、土壤污染风险管控和治理修复、城市生活垃圾分类、河（湖）长制落实等相关信息公开。</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县生态环境分局、县城管局、县农业农村局、县水利局等有关部门，各乡镇人民政府、县经济开发区管委会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1550" w:type="dxa"/>
            <w:gridSpan w:val="2"/>
            <w:vMerge w:val="restart"/>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六、围绕提升基层政府治理能力全面推进基层政务公开标准化规范化</w:t>
            </w:r>
          </w:p>
        </w:tc>
        <w:tc>
          <w:tcPr>
            <w:tcW w:w="1180" w:type="dxa"/>
            <w:vMerge w:val="restart"/>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（一）编制事项目录。</w:t>
            </w:r>
          </w:p>
        </w:tc>
        <w:tc>
          <w:tcPr>
            <w:tcW w:w="57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24</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省直26个试点领域业务主管部门编制完成相应领域基层政务公开事项指引目录后，县直试点领域业务部门要积极主动对接省、市业务主管部门，完成对应领域目录编制工作，要因地制宜、实事求是，体现本地和领域特点，避免公开事项及标准“一刀切”。</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县发改委、县财政局、县住建局、县司法局等有关部门</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6" w:hRule="atLeast"/>
        </w:trPr>
        <w:tc>
          <w:tcPr>
            <w:tcW w:w="1550" w:type="dxa"/>
            <w:gridSpan w:val="2"/>
            <w:vMerge w:val="continue"/>
            <w:vAlign w:val="center"/>
          </w:tcPr>
          <w:p>
            <w:pPr>
              <w:widowControl/>
              <w:wordWrap/>
              <w:adjustRightInd/>
              <w:snapToGrid/>
              <w:spacing w:line="260" w:lineRule="exact"/>
              <w:textAlignment w:val="auto"/>
              <w:rPr>
                <w:rFonts w:hint="eastAsia" w:ascii="宋体" w:hAnsi="宋体" w:eastAsia="宋体" w:cs="宋体"/>
                <w:sz w:val="21"/>
                <w:szCs w:val="21"/>
              </w:rPr>
            </w:pPr>
          </w:p>
        </w:tc>
        <w:tc>
          <w:tcPr>
            <w:tcW w:w="1180" w:type="dxa"/>
            <w:vMerge w:val="continue"/>
            <w:vAlign w:val="center"/>
          </w:tcPr>
          <w:p>
            <w:pPr>
              <w:widowControl/>
              <w:wordWrap/>
              <w:adjustRightInd/>
              <w:snapToGrid/>
              <w:spacing w:line="260" w:lineRule="exact"/>
              <w:textAlignment w:val="auto"/>
              <w:rPr>
                <w:rFonts w:hint="eastAsia" w:ascii="宋体" w:hAnsi="宋体" w:eastAsia="宋体" w:cs="宋体"/>
                <w:sz w:val="21"/>
                <w:szCs w:val="21"/>
              </w:rPr>
            </w:pPr>
          </w:p>
        </w:tc>
        <w:tc>
          <w:tcPr>
            <w:tcW w:w="57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25</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根据指引目录，以用权公开为导向，重点聚焦权力运行关键环节、关键岗位，结合本级政府权责清单和公共服务事项清单进行全面梳理，编制县、乡两级基层政务公开事项目录，并按目录公开各类信息。</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各乡镇人民政府、县经济开发区管委会、县政府办等有关部门</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trPr>
        <w:tc>
          <w:tcPr>
            <w:tcW w:w="1550" w:type="dxa"/>
            <w:gridSpan w:val="2"/>
            <w:vMerge w:val="continue"/>
            <w:vAlign w:val="center"/>
          </w:tcPr>
          <w:p>
            <w:pPr>
              <w:widowControl/>
              <w:wordWrap/>
              <w:adjustRightInd/>
              <w:snapToGrid/>
              <w:spacing w:line="260" w:lineRule="exact"/>
              <w:textAlignment w:val="auto"/>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（二）建设公开专题。</w:t>
            </w:r>
          </w:p>
        </w:tc>
        <w:tc>
          <w:tcPr>
            <w:tcW w:w="57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26</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建设基层政务公开标准化规范化工作专题，集中展现各领域公开信息及有关政策文件、工作进展等，提供信息检索功能，并与政府网站政府信息公开平台数据对接、信息共享。</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县政府办</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7" w:hRule="atLeast"/>
        </w:trPr>
        <w:tc>
          <w:tcPr>
            <w:tcW w:w="1550" w:type="dxa"/>
            <w:gridSpan w:val="2"/>
            <w:vMerge w:val="continue"/>
            <w:vAlign w:val="center"/>
          </w:tcPr>
          <w:p>
            <w:pPr>
              <w:widowControl/>
              <w:wordWrap/>
              <w:adjustRightInd/>
              <w:snapToGrid/>
              <w:spacing w:line="260" w:lineRule="exact"/>
              <w:textAlignment w:val="auto"/>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（三）完善工作制度。</w:t>
            </w:r>
          </w:p>
        </w:tc>
        <w:tc>
          <w:tcPr>
            <w:tcW w:w="57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27</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基层政府对政府信息进行全生命周期的规范管理，建立健全政府信息公开属性的源头认定机制，对已发布的信息要定期评估、动态调整。完善政策解读、回应关切、依申请公开办理流程、基层行政决策公众参与、考核评议等制度机制，聚焦群众需求，提升公开质量。</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1550" w:type="dxa"/>
            <w:gridSpan w:val="2"/>
            <w:vMerge w:val="continue"/>
            <w:vAlign w:val="center"/>
          </w:tcPr>
          <w:p>
            <w:pPr>
              <w:widowControl/>
              <w:wordWrap/>
              <w:adjustRightInd/>
              <w:snapToGrid/>
              <w:spacing w:line="260" w:lineRule="exact"/>
              <w:textAlignment w:val="auto"/>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（四）推进示范创新。</w:t>
            </w:r>
          </w:p>
        </w:tc>
        <w:tc>
          <w:tcPr>
            <w:tcW w:w="57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28</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县政府各部门和各乡镇、经济开发区全面开展县级示范区和示范点创建工作，围绕基层政务公开标准化规范化工作流程和平台建设等方面积极创新，先行先试，发挥示范引领作用。</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2020年底前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4" w:hRule="atLeast"/>
        </w:trPr>
        <w:tc>
          <w:tcPr>
            <w:tcW w:w="1550" w:type="dxa"/>
            <w:gridSpan w:val="2"/>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七、围绕落实新修订的政府信息公开条例加强制度执行和平台建设</w:t>
            </w:r>
          </w:p>
        </w:tc>
        <w:tc>
          <w:tcPr>
            <w:tcW w:w="118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（一）落实政府信息主动公开新要求。</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29</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right="0" w:firstLine="493"/>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正确执行关于主动公开的新规定，以政府信息公开平台为依托，推动公开内容进一步聚焦重点政务信息，公开方式更加统一规范。2020年底前，建设完成政府信息公开平台，法定主动公开内容全部公开到位。政府信息公开平台建设要在落实《国务院办公厅政府信息与政务公开办公室关于规范政府信息公开平台有关事项的通知》（国办公开办函〔2019〕61号）有关要求的基础上，参考中央政府门户网站政府信息公开专栏，突出展示本地本部门政策法规，并严格界定政府信息公开制度等内容。</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县政府办</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trPr>
        <w:tc>
          <w:tcPr>
            <w:tcW w:w="1550" w:type="dxa"/>
            <w:gridSpan w:val="2"/>
            <w:vMerge w:val="continue"/>
            <w:vAlign w:val="center"/>
          </w:tcPr>
          <w:p>
            <w:pPr>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（二）规范政府信息公开申请办理工作。</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30</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right="0" w:firstLine="493"/>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推进依申请公开标准化规范化建设，规范工作流程，进一步建立健全登记、审核、办理、答复、归档等工作制度。完善申请办理会商机制，围绕疑难申请事项，加强部门协作研究，防范法律风险。借鉴省政府信息公开申请办理答复规范，规范本单位政府信息公开申请办理。推动依申请公开向主动公开转化，发挥依申请公开工作服务作用。准确适用依申请公开各项规定，从严把握不予公开范围，对法定不予公开条款坚持最小化适用原则，切实做到以公开为常态、不公开为例外。</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4" w:hRule="atLeast"/>
        </w:trPr>
        <w:tc>
          <w:tcPr>
            <w:tcW w:w="1550" w:type="dxa"/>
            <w:gridSpan w:val="2"/>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七、围绕落实新修订的政府信息公开条例加强制度执行和平台建设</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p>
        </w:tc>
        <w:tc>
          <w:tcPr>
            <w:tcW w:w="1180" w:type="dxa"/>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（三）加强政府网站与政务新媒体建设。</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31</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right="0" w:firstLine="493"/>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加强政府网站和政务新媒体内容保障和规范管理，发布更多权威准确、通俗易懂、形式多样、易于传播的政策解读产品，不断提高政策知晓度。做好政府网站集约化试点工作，推进政府网站、政务新媒体、在线政务服务平台的数据融通、服务融通、应用融通，提升大数据分析能力、辅助决策能力、整体发声能力和服务公众水平。建立政府信息精准推送机制，将适合政务新媒体传播的信息有针对性地向公众和企业推送，增强信息推送的适用性和及时性。强化网络安全责任，抓好政府网站和政务新媒体安全防护。2020年底前，县级政府门户网站全部支持互联网协议第6版。</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县政府办、县数据资源</w:t>
            </w:r>
            <w:r>
              <w:rPr>
                <w:rFonts w:hint="eastAsia" w:ascii="宋体" w:hAnsi="宋体" w:cs="宋体"/>
                <w:kern w:val="0"/>
                <w:sz w:val="21"/>
                <w:szCs w:val="21"/>
                <w:lang w:val="en-US" w:eastAsia="zh-CN"/>
              </w:rPr>
              <w:t>管理</w:t>
            </w:r>
            <w:r>
              <w:rPr>
                <w:rFonts w:hint="eastAsia" w:ascii="宋体" w:hAnsi="宋体" w:eastAsia="宋体" w:cs="宋体"/>
                <w:kern w:val="0"/>
                <w:sz w:val="21"/>
                <w:szCs w:val="21"/>
                <w:lang w:val="en-US" w:eastAsia="zh-CN"/>
              </w:rPr>
              <w:t>局</w:t>
            </w:r>
            <w:r>
              <w:rPr>
                <w:rFonts w:hint="eastAsia" w:ascii="宋体" w:hAnsi="宋体" w:cs="宋体"/>
                <w:kern w:val="0"/>
                <w:sz w:val="21"/>
                <w:szCs w:val="21"/>
                <w:lang w:val="en-US" w:eastAsia="zh-CN"/>
              </w:rPr>
              <w:t>（政务服务局）</w:t>
            </w:r>
            <w:r>
              <w:rPr>
                <w:rFonts w:hint="eastAsia" w:ascii="宋体" w:hAnsi="宋体" w:eastAsia="宋体" w:cs="宋体"/>
                <w:kern w:val="0"/>
                <w:sz w:val="21"/>
                <w:szCs w:val="21"/>
                <w:lang w:val="en-US" w:eastAsia="zh-CN"/>
              </w:rPr>
              <w:t>、县融媒体中心、县</w:t>
            </w:r>
            <w:r>
              <w:rPr>
                <w:rFonts w:hint="eastAsia" w:ascii="宋体" w:hAnsi="宋体" w:cs="宋体"/>
                <w:kern w:val="0"/>
                <w:sz w:val="21"/>
                <w:szCs w:val="21"/>
                <w:lang w:val="en-US" w:eastAsia="zh-CN"/>
              </w:rPr>
              <w:t>网宣中心</w:t>
            </w:r>
            <w:r>
              <w:rPr>
                <w:rFonts w:hint="eastAsia" w:ascii="宋体" w:hAnsi="宋体" w:eastAsia="宋体" w:cs="宋体"/>
                <w:kern w:val="0"/>
                <w:sz w:val="21"/>
                <w:szCs w:val="21"/>
                <w:lang w:val="en-US" w:eastAsia="zh-CN"/>
              </w:rPr>
              <w:t>等有关部门，各乡镇人民政府、县经济开发区管委会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trPr>
        <w:tc>
          <w:tcPr>
            <w:tcW w:w="1550" w:type="dxa"/>
            <w:gridSpan w:val="2"/>
            <w:vMerge w:val="continue"/>
            <w:vAlign w:val="center"/>
          </w:tcPr>
          <w:p>
            <w:pPr>
              <w:rPr>
                <w:rFonts w:hint="eastAsia" w:ascii="宋体" w:hAnsi="宋体" w:eastAsia="宋体" w:cs="宋体"/>
                <w:sz w:val="21"/>
                <w:szCs w:val="21"/>
              </w:rPr>
            </w:pPr>
          </w:p>
        </w:tc>
        <w:tc>
          <w:tcPr>
            <w:tcW w:w="1180" w:type="dxa"/>
            <w:vMerge w:val="continue"/>
            <w:vAlign w:val="center"/>
          </w:tcPr>
          <w:p>
            <w:pPr>
              <w:rPr>
                <w:rFonts w:hint="eastAsia" w:ascii="宋体" w:hAnsi="宋体" w:eastAsia="宋体" w:cs="宋体"/>
                <w:sz w:val="21"/>
                <w:szCs w:val="21"/>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32</w:t>
            </w:r>
          </w:p>
        </w:tc>
        <w:tc>
          <w:tcPr>
            <w:tcW w:w="721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firstLine="492"/>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完善政府网站在线互动功能，丰富互动交流渠道，提升在线互动平台的实用性，理顺留言办理答复机制，确保在收到留言咨询之日起3个工作日内完成回复。</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7" w:hRule="atLeast"/>
        </w:trPr>
        <w:tc>
          <w:tcPr>
            <w:tcW w:w="1550" w:type="dxa"/>
            <w:gridSpan w:val="2"/>
            <w:vMerge w:val="continue"/>
            <w:vAlign w:val="center"/>
          </w:tcPr>
          <w:p>
            <w:pPr>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（四）推进政府公报创新发展。</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33</w:t>
            </w:r>
          </w:p>
        </w:tc>
        <w:tc>
          <w:tcPr>
            <w:tcW w:w="721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firstLine="492"/>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强化政府公报在权威发布、政令传递等方面的法定地位，加强对政府公报刊载内容的审核，确保刊载内容权威、规范、准确。进一步建立完善部门规范性文件报送和联络员制度，合理确定出刊周期，逐步做到部门规范性文件应登尽登和施行前刊登。建设政府公报数据库，实现创刊以来刊载内容全部上网，提供文件检索功能，方便公众查阅和利用。</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县政府办、县政府各部门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4" w:hRule="atLeast"/>
        </w:trPr>
        <w:tc>
          <w:tcPr>
            <w:tcW w:w="1550" w:type="dxa"/>
            <w:gridSpan w:val="2"/>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（五）提升政务热线服务质效。</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34</w:t>
            </w:r>
          </w:p>
        </w:tc>
        <w:tc>
          <w:tcPr>
            <w:tcW w:w="721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firstLine="492"/>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建立健全热线工作制度，规范热线服务流程，及时回应群众关切。加强热线平台建设，丰富知识库内容，拓展数据支撑能力。加大热线考核力度，完善考核方式方法，注重结果运用，提升热线服务水平。</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2020年底前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9" w:hRule="atLeast"/>
        </w:trPr>
        <w:tc>
          <w:tcPr>
            <w:tcW w:w="1550" w:type="dxa"/>
            <w:gridSpan w:val="2"/>
            <w:vMerge w:val="continue"/>
            <w:vAlign w:val="center"/>
          </w:tcPr>
          <w:p>
            <w:pPr>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（六）提升政府信息公开工作年度报告质量。</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35</w:t>
            </w:r>
          </w:p>
        </w:tc>
        <w:tc>
          <w:tcPr>
            <w:tcW w:w="721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firstLine="492"/>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准确把握数据填报要求，提高数据精准性，促进政府信息公开工作年度报告与深化“放管服”改革优化营商环境工作紧密结合，切实提升年度报告编制水平。各乡镇、各部门要将贯彻落实年度政务公开重点工作任务的主要情况，纳入政府信息公开工作年度报告予以公开，接受社会监督。</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1" w:hRule="atLeast"/>
        </w:trPr>
        <w:tc>
          <w:tcPr>
            <w:tcW w:w="1550" w:type="dxa"/>
            <w:gridSpan w:val="2"/>
            <w:vMerge w:val="continue"/>
            <w:vAlign w:val="center"/>
          </w:tcPr>
          <w:p>
            <w:pPr>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（七）建立健全公共企事业单位信息公开制度。</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36</w:t>
            </w:r>
          </w:p>
        </w:tc>
        <w:tc>
          <w:tcPr>
            <w:tcW w:w="721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firstLine="492"/>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贯彻落实国务院有关主管部门研究制定的教育、卫生健康、供水、供电、供气、供热、环境保护、公共交通等领域企事业单位信息公开专门规定，通过推进公共企事业单位信息公开，助力监管效能提升。</w:t>
            </w:r>
          </w:p>
        </w:tc>
        <w:tc>
          <w:tcPr>
            <w:tcW w:w="2655"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县教体局、县卫健委、县住建局</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县供电公司</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县城管局、县生态环境分局、县交通局、县市监局等有关部门</w:t>
            </w:r>
          </w:p>
        </w:tc>
        <w:tc>
          <w:tcPr>
            <w:tcW w:w="123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trPr>
        <w:tc>
          <w:tcPr>
            <w:tcW w:w="1550" w:type="dxa"/>
            <w:gridSpan w:val="2"/>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八、强化做好政务公开工作的各项保障措施</w:t>
            </w:r>
          </w:p>
        </w:tc>
        <w:tc>
          <w:tcPr>
            <w:tcW w:w="1180" w:type="dxa"/>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（一）明确领导责任。</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37</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县政府各部门和各乡镇、县经济开发区依法确定一名负责同志，履行本机关政府信息公开工作领导职责，报同级政府信息公开工作主管部门（县政务公开办）备案。</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2020年9</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1550" w:type="dxa"/>
            <w:gridSpan w:val="2"/>
            <w:vMerge w:val="continue"/>
            <w:vAlign w:val="center"/>
          </w:tcPr>
          <w:p>
            <w:pPr>
              <w:rPr>
                <w:rFonts w:hint="eastAsia" w:ascii="宋体" w:hAnsi="宋体" w:eastAsia="宋体" w:cs="宋体"/>
                <w:sz w:val="21"/>
                <w:szCs w:val="21"/>
              </w:rPr>
            </w:pPr>
          </w:p>
        </w:tc>
        <w:tc>
          <w:tcPr>
            <w:tcW w:w="1180" w:type="dxa"/>
            <w:vMerge w:val="continue"/>
            <w:vAlign w:val="center"/>
          </w:tcPr>
          <w:p>
            <w:pPr>
              <w:rPr>
                <w:rFonts w:hint="eastAsia" w:ascii="宋体" w:hAnsi="宋体" w:eastAsia="宋体" w:cs="宋体"/>
                <w:sz w:val="21"/>
                <w:szCs w:val="21"/>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38</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政府信息公开工作主管部门加强日常指导监督，帮助解决实际问题，及时纠正不当行为。上级政府信息公开工作主管部门加强对下级政府信息公开工作机构的业务指导，全面依法履职。</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trPr>
        <w:tc>
          <w:tcPr>
            <w:tcW w:w="1550" w:type="dxa"/>
            <w:gridSpan w:val="2"/>
            <w:vMerge w:val="continue"/>
            <w:vAlign w:val="center"/>
          </w:tcPr>
          <w:p>
            <w:pPr>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（二）加强机构队伍建设。</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39</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严格落实政府信息公开条例要求，明确县政府办公室为本地区政府信息公开工作主管部门。各行政机关的政府信息公开工作机构，原则上应在本机关内设机构中指定，并配齐配强工作力量。</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2020年9</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trPr>
        <w:tc>
          <w:tcPr>
            <w:tcW w:w="1550" w:type="dxa"/>
            <w:gridSpan w:val="2"/>
            <w:vMerge w:val="continue"/>
            <w:vAlign w:val="center"/>
          </w:tcPr>
          <w:p>
            <w:pPr>
              <w:rPr>
                <w:rFonts w:hint="eastAsia" w:ascii="宋体" w:hAnsi="宋体" w:eastAsia="宋体" w:cs="宋体"/>
                <w:sz w:val="21"/>
                <w:szCs w:val="21"/>
              </w:rPr>
            </w:pPr>
          </w:p>
        </w:tc>
        <w:tc>
          <w:tcPr>
            <w:tcW w:w="118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（三）强化培训工作。</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40</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把政府信息公开条例作为落实领导干部学法制度的重要内容，稳步提升政府工作人员的政务公开意识和能力。县级政府信息公开工作主管部门和各级政府信息公开工作机构切实改进培训工作，增强培训的针对性、系统性，科学设置培训课程，提升培训效果。</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trPr>
        <w:tc>
          <w:tcPr>
            <w:tcW w:w="1550" w:type="dxa"/>
            <w:gridSpan w:val="2"/>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p>
        </w:tc>
        <w:tc>
          <w:tcPr>
            <w:tcW w:w="1180" w:type="dxa"/>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（四）开展专题行动。</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41</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开展全县政务公开“六提六促”专项行动，扎实推动全县政务公开工作提质增效。</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wordWrap/>
              <w:adjustRightInd/>
              <w:snapToGrid/>
              <w:spacing w:line="28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w:t>
            </w:r>
          </w:p>
          <w:p>
            <w:pPr>
              <w:widowControl/>
              <w:wordWrap/>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trPr>
        <w:tc>
          <w:tcPr>
            <w:tcW w:w="1550" w:type="dxa"/>
            <w:gridSpan w:val="2"/>
            <w:vMerge w:val="continue"/>
            <w:vAlign w:val="center"/>
          </w:tcPr>
          <w:p>
            <w:pPr>
              <w:rPr>
                <w:rFonts w:hint="eastAsia" w:ascii="宋体" w:hAnsi="宋体" w:eastAsia="宋体" w:cs="宋体"/>
                <w:sz w:val="21"/>
                <w:szCs w:val="21"/>
              </w:rPr>
            </w:pPr>
          </w:p>
        </w:tc>
        <w:tc>
          <w:tcPr>
            <w:tcW w:w="1180" w:type="dxa"/>
            <w:vMerge w:val="continue"/>
            <w:vAlign w:val="center"/>
          </w:tcPr>
          <w:p>
            <w:pPr>
              <w:rPr>
                <w:rFonts w:hint="eastAsia" w:ascii="宋体" w:hAnsi="宋体" w:eastAsia="宋体" w:cs="宋体"/>
                <w:sz w:val="21"/>
                <w:szCs w:val="21"/>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42</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开展涉及个人隐私的政府信息排查工作，将隐私排查纳入政务公开常态化测评指标。</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wordWrap/>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550" w:type="dxa"/>
            <w:gridSpan w:val="2"/>
            <w:vMerge w:val="continue"/>
            <w:vAlign w:val="center"/>
          </w:tcPr>
          <w:p>
            <w:pPr>
              <w:rPr>
                <w:rFonts w:hint="eastAsia" w:ascii="宋体" w:hAnsi="宋体" w:eastAsia="宋体" w:cs="宋体"/>
                <w:sz w:val="21"/>
                <w:szCs w:val="21"/>
              </w:rPr>
            </w:pPr>
          </w:p>
        </w:tc>
        <w:tc>
          <w:tcPr>
            <w:tcW w:w="1180" w:type="dxa"/>
            <w:vMerge w:val="continue"/>
            <w:vAlign w:val="center"/>
          </w:tcPr>
          <w:p>
            <w:pPr>
              <w:rPr>
                <w:rFonts w:hint="eastAsia" w:ascii="宋体" w:hAnsi="宋体" w:eastAsia="宋体" w:cs="宋体"/>
                <w:sz w:val="21"/>
                <w:szCs w:val="21"/>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43</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开展全县优秀政策解读材料评选活动，宣传推广先进做法，对解读质量高、效果好的单位，在年度政务公开考评中予以加分。</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wordWrap/>
              <w:adjustRightInd/>
              <w:snapToGrid/>
              <w:spacing w:line="28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wordWrap/>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5" w:hRule="atLeast"/>
        </w:trPr>
        <w:tc>
          <w:tcPr>
            <w:tcW w:w="1550" w:type="dxa"/>
            <w:gridSpan w:val="2"/>
            <w:vMerge w:val="continue"/>
            <w:vAlign w:val="center"/>
          </w:tcPr>
          <w:p>
            <w:pPr>
              <w:rPr>
                <w:rFonts w:hint="eastAsia" w:ascii="宋体" w:hAnsi="宋体" w:eastAsia="宋体" w:cs="宋体"/>
                <w:sz w:val="21"/>
                <w:szCs w:val="21"/>
              </w:rPr>
            </w:pPr>
          </w:p>
        </w:tc>
        <w:tc>
          <w:tcPr>
            <w:tcW w:w="1180" w:type="dxa"/>
            <w:vMerge w:val="continue"/>
            <w:vAlign w:val="center"/>
          </w:tcPr>
          <w:p>
            <w:pPr>
              <w:rPr>
                <w:rFonts w:hint="eastAsia" w:ascii="宋体" w:hAnsi="宋体" w:eastAsia="宋体" w:cs="宋体"/>
                <w:sz w:val="21"/>
                <w:szCs w:val="21"/>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44</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继续开展“政务公开交流”约稿活动，加大经验做法交流力度，向省政府办公厅《政务公开交流》电子刊物报送优秀稿件。</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县政府各部门</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各乡镇人民政府、县经济开发区管委会</w:t>
            </w:r>
          </w:p>
        </w:tc>
        <w:tc>
          <w:tcPr>
            <w:tcW w:w="1230" w:type="dxa"/>
            <w:vAlign w:val="center"/>
          </w:tcPr>
          <w:p>
            <w:pPr>
              <w:widowControl/>
              <w:wordWrap/>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trPr>
        <w:tc>
          <w:tcPr>
            <w:tcW w:w="1550" w:type="dxa"/>
            <w:gridSpan w:val="2"/>
            <w:vMerge w:val="continue"/>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p>
        </w:tc>
        <w:tc>
          <w:tcPr>
            <w:tcW w:w="1180" w:type="dxa"/>
            <w:vMerge w:val="restart"/>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（五）规范考核评估。</w:t>
            </w: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45</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县级政府信息公开工作主管部门严格落实将政务公开纳入政府绩效考核体系且分值权重不低于4%的要求，认真梳理本级政府绩效考核体系中政务公开各项指标，根据新形势新要求予以调整完善。</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县政府办</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leftChars="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leftChars="0" w:right="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550" w:type="dxa"/>
            <w:gridSpan w:val="2"/>
            <w:vMerge w:val="continue"/>
            <w:vAlign w:val="center"/>
          </w:tcPr>
          <w:p>
            <w:pPr>
              <w:rPr>
                <w:rFonts w:hint="eastAsia" w:ascii="宋体" w:hAnsi="宋体" w:eastAsia="宋体" w:cs="宋体"/>
                <w:sz w:val="21"/>
                <w:szCs w:val="21"/>
              </w:rPr>
            </w:pPr>
          </w:p>
        </w:tc>
        <w:tc>
          <w:tcPr>
            <w:tcW w:w="1180" w:type="dxa"/>
            <w:vMerge w:val="continue"/>
            <w:vAlign w:val="center"/>
          </w:tcPr>
          <w:p>
            <w:pPr>
              <w:rPr>
                <w:rFonts w:hint="eastAsia" w:ascii="宋体" w:hAnsi="宋体" w:eastAsia="宋体" w:cs="宋体"/>
                <w:sz w:val="21"/>
                <w:szCs w:val="21"/>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46</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优化第三方评估，清理规范以行政机关名义参加社会上各类政务公开评估颁奖活动。</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县政府办</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leftChars="0" w:right="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550" w:type="dxa"/>
            <w:gridSpan w:val="2"/>
            <w:vMerge w:val="continue"/>
            <w:vAlign w:val="center"/>
          </w:tcPr>
          <w:p>
            <w:pPr>
              <w:rPr>
                <w:rFonts w:hint="eastAsia" w:ascii="宋体" w:hAnsi="宋体" w:eastAsia="宋体" w:cs="宋体"/>
                <w:sz w:val="21"/>
                <w:szCs w:val="21"/>
              </w:rPr>
            </w:pPr>
          </w:p>
        </w:tc>
        <w:tc>
          <w:tcPr>
            <w:tcW w:w="1180" w:type="dxa"/>
            <w:vMerge w:val="continue"/>
            <w:vAlign w:val="center"/>
          </w:tcPr>
          <w:p>
            <w:pPr>
              <w:rPr>
                <w:rFonts w:hint="eastAsia" w:ascii="宋体" w:hAnsi="宋体" w:eastAsia="宋体" w:cs="宋体"/>
                <w:sz w:val="21"/>
                <w:szCs w:val="21"/>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47</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开展基层政务公开标准化规范化工作专项评估，并将推进基层政务公开标准化规范化工作情况作为政务公开考核的重要内容。</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县政府办</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leftChars="0" w:right="0"/>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leftChars="0" w:right="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trPr>
        <w:tc>
          <w:tcPr>
            <w:tcW w:w="1550" w:type="dxa"/>
            <w:gridSpan w:val="2"/>
            <w:vMerge w:val="continue"/>
            <w:vAlign w:val="center"/>
          </w:tcPr>
          <w:p>
            <w:pPr>
              <w:rPr>
                <w:rFonts w:hint="eastAsia" w:ascii="宋体" w:hAnsi="宋体" w:eastAsia="宋体" w:cs="宋体"/>
                <w:sz w:val="21"/>
                <w:szCs w:val="21"/>
              </w:rPr>
            </w:pPr>
          </w:p>
        </w:tc>
        <w:tc>
          <w:tcPr>
            <w:tcW w:w="1180" w:type="dxa"/>
            <w:vMerge w:val="continue"/>
            <w:vAlign w:val="center"/>
          </w:tcPr>
          <w:p>
            <w:pPr>
              <w:rPr>
                <w:rFonts w:hint="eastAsia" w:ascii="宋体" w:hAnsi="宋体" w:eastAsia="宋体" w:cs="宋体"/>
                <w:sz w:val="21"/>
                <w:szCs w:val="21"/>
              </w:rPr>
            </w:pPr>
          </w:p>
        </w:tc>
        <w:tc>
          <w:tcPr>
            <w:tcW w:w="570" w:type="dxa"/>
            <w:vAlign w:val="center"/>
          </w:tcPr>
          <w:p>
            <w:pPr>
              <w:widowControl/>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48</w:t>
            </w:r>
          </w:p>
        </w:tc>
        <w:tc>
          <w:tcPr>
            <w:tcW w:w="721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firstLine="492"/>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继续开展政务公开常态化测评和年度考评工作，不断完善考核方法，注重过程监测和结果运用，按规定对政务公开工作成效突出的先进单位及先进个人予以表扬。</w:t>
            </w:r>
          </w:p>
        </w:tc>
        <w:tc>
          <w:tcPr>
            <w:tcW w:w="2655"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县政府办</w:t>
            </w:r>
          </w:p>
        </w:tc>
        <w:tc>
          <w:tcPr>
            <w:tcW w:w="1230" w:type="dxa"/>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80" w:lineRule="exact"/>
              <w:ind w:left="0" w:leftChars="0" w:right="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rPr>
              <w:t>持续推进</w:t>
            </w:r>
          </w:p>
        </w:tc>
      </w:tr>
    </w:tbl>
    <w:p>
      <w:pPr>
        <w:widowControl w:val="0"/>
        <w:wordWrap/>
        <w:adjustRightInd/>
        <w:snapToGrid/>
        <w:spacing w:line="570" w:lineRule="exact"/>
        <w:textAlignment w:val="auto"/>
        <w:rPr>
          <w:rFonts w:hint="default" w:ascii="Times New Roman" w:hAnsi="Times New Roman" w:eastAsia="方正仿宋_GBK" w:cs="Times New Roman"/>
          <w:sz w:val="32"/>
          <w:szCs w:val="32"/>
          <w:lang w:val="en-US" w:eastAsia="zh-CN"/>
        </w:rPr>
      </w:pPr>
    </w:p>
    <w:sectPr>
      <w:footerReference r:id="rId4" w:type="default"/>
      <w:pgSz w:w="16838" w:h="11906" w:orient="landscape"/>
      <w:pgMar w:top="1417" w:right="1417" w:bottom="1417" w:left="1417" w:header="851" w:footer="1417" w:gutter="0"/>
      <w:pgNumType w:fmt="decimal"/>
      <w:cols w:space="720" w:num="1"/>
      <w:rtlGutter w:val="0"/>
      <w:docGrid w:type="lines" w:linePitch="3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ascii="宋体" w:hAnsi="宋体" w:eastAsia="宋体" w:cs="宋体"/>
                              <w:lang w:eastAsia="zh-CN"/>
                            </w:rPr>
                          </w:pPr>
                          <w:r>
                            <w:rPr>
                              <w:rFonts w:hint="eastAsia" w:ascii="宋体" w:hAnsi="宋体" w:eastAsia="宋体" w:cs="宋体"/>
                              <w:lang w:eastAsia="zh-CN"/>
                            </w:rPr>
                            <w:t>—</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PAGE  \* MERGEFORMAT </w:instrText>
                          </w:r>
                          <w:r>
                            <w:rPr>
                              <w:rFonts w:hint="default" w:ascii="Times New Roman" w:hAnsi="Times New Roman" w:eastAsia="方正仿宋_GBK" w:cs="Times New Roman"/>
                              <w:sz w:val="32"/>
                              <w:szCs w:val="32"/>
                              <w:lang w:eastAsia="zh-CN"/>
                            </w:rPr>
                            <w:fldChar w:fldCharType="separate"/>
                          </w:r>
                          <w:r>
                            <w:t>2</w:t>
                          </w:r>
                          <w:r>
                            <w:rPr>
                              <w:rFonts w:hint="default" w:ascii="Times New Roman" w:hAnsi="Times New Roman" w:eastAsia="方正仿宋_GBK" w:cs="Times New Roman"/>
                              <w:sz w:val="32"/>
                              <w:szCs w:val="32"/>
                              <w:lang w:eastAsia="zh-CN"/>
                            </w:rPr>
                            <w:fldChar w:fldCharType="end"/>
                          </w:r>
                          <w:r>
                            <w:rPr>
                              <w:rFonts w:hint="eastAsia" w:ascii="宋体" w:hAnsi="宋体" w:eastAsia="宋体" w:cs="宋体"/>
                              <w:lang w:eastAsia="zh-CN"/>
                            </w:rPr>
                            <w:t>—</w:t>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C6fKSoAQAAQQMAAA4AAABkcnMvZTJvRG9jLnhtbK1SS27bMBDdB+gd&#10;CO5ryl4UhmA5CBAkCBA0AdIcgKZIiwB/GNKWfIH2Bl11033P5XN0SEtO0u6CbKiZIfXmvTezuhys&#10;IXsJUXvX0PmsokQ64Vvttg19/nbzeUlJTNy13HgnG3qQkV6uP12s+lDLhe+8aSUQBHGx7kNDu5RC&#10;zVgUnbQ8znyQDi+VB8sTprBlLfAe0a1hi6r6wnoPbQAvZIxYvT5d0nXBV0qK9KBUlImYhiK3VE4o&#10;5yafbL3i9RZ46LQYafB3sLBcO2x6hrrmiZMd6P+grBbgo1dpJrxlXiktZNGAaubVP2qeOh5k0YLm&#10;xHC2KX4crPi6fwSiW5wdJY5bHNHx54/jrz/H39/JItvTh1jjq6fwCGMWMcxaBwU2f1EFGYqlh7Ol&#10;ckhEYHG+XCyXFTov8G5KEIe9/B4gplvpLclBQwFnVqzk+/uYTk+nJ7mb8zfaGKzz2rg3BcTMFZYZ&#10;nzjmKA2bYSS+8e0B1fY47oY63EdKzJ1DN/NmTAFMwWYKdgH0tkNq88IrhqtdQhKFW+5wgh0b45yK&#10;unGn8iK8zsurl81f/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ALp8pKgBAABBAwAADgAA&#10;AAAAAAABACAAAAAfAQAAZHJzL2Uyb0RvYy54bWxQSwUGAAAAAAYABgBZAQAAOQUAAAAA&#10;">
              <v:fill on="f" focussize="0,0"/>
              <v:stroke on="f"/>
              <v:imagedata o:title=""/>
              <o:lock v:ext="edit" aspectratio="f"/>
              <v:textbox inset="0mm,0mm,0mm,0mm" style="mso-fit-shape-to-text:t;">
                <w:txbxContent>
                  <w:p>
                    <w:pPr>
                      <w:pStyle w:val="2"/>
                      <w:rPr>
                        <w:rFonts w:hint="eastAsia" w:ascii="宋体" w:hAnsi="宋体" w:eastAsia="宋体" w:cs="宋体"/>
                        <w:lang w:eastAsia="zh-CN"/>
                      </w:rPr>
                    </w:pPr>
                    <w:r>
                      <w:rPr>
                        <w:rFonts w:hint="eastAsia" w:ascii="宋体" w:hAnsi="宋体" w:eastAsia="宋体" w:cs="宋体"/>
                        <w:lang w:eastAsia="zh-CN"/>
                      </w:rPr>
                      <w:t>—</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PAGE  \* MERGEFORMAT </w:instrText>
                    </w:r>
                    <w:r>
                      <w:rPr>
                        <w:rFonts w:hint="default" w:ascii="Times New Roman" w:hAnsi="Times New Roman" w:eastAsia="方正仿宋_GBK" w:cs="Times New Roman"/>
                        <w:sz w:val="32"/>
                        <w:szCs w:val="32"/>
                        <w:lang w:eastAsia="zh-CN"/>
                      </w:rPr>
                      <w:fldChar w:fldCharType="separate"/>
                    </w:r>
                    <w:r>
                      <w:t>2</w:t>
                    </w:r>
                    <w:r>
                      <w:rPr>
                        <w:rFonts w:hint="default" w:ascii="Times New Roman" w:hAnsi="Times New Roman" w:eastAsia="方正仿宋_GBK" w:cs="Times New Roman"/>
                        <w:sz w:val="32"/>
                        <w:szCs w:val="32"/>
                        <w:lang w:eastAsia="zh-CN"/>
                      </w:rPr>
                      <w:fldChar w:fldCharType="end"/>
                    </w:r>
                    <w:r>
                      <w:rPr>
                        <w:rFonts w:hint="eastAsia" w:ascii="宋体" w:hAnsi="宋体" w:eastAsia="宋体" w:cs="宋体"/>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attachedTemplate r:id="rId1"/>
  <w:documentProtection w:enforcement="0"/>
  <w:defaultTabStop w:val="420"/>
  <w:drawingGridVerticalSpacing w:val="16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54D1B"/>
    <w:rsid w:val="021378F2"/>
    <w:rsid w:val="06F212B7"/>
    <w:rsid w:val="07654D1B"/>
    <w:rsid w:val="079B7D16"/>
    <w:rsid w:val="08E93CC1"/>
    <w:rsid w:val="0C1C34DF"/>
    <w:rsid w:val="0CEE192B"/>
    <w:rsid w:val="0FC749A8"/>
    <w:rsid w:val="109A386D"/>
    <w:rsid w:val="11CC1F0A"/>
    <w:rsid w:val="13612658"/>
    <w:rsid w:val="14990DE0"/>
    <w:rsid w:val="154E329B"/>
    <w:rsid w:val="176A0CD4"/>
    <w:rsid w:val="19E04CC2"/>
    <w:rsid w:val="1E3121B1"/>
    <w:rsid w:val="1FA83234"/>
    <w:rsid w:val="230D67DC"/>
    <w:rsid w:val="2A484F8C"/>
    <w:rsid w:val="2B4C2A38"/>
    <w:rsid w:val="2B671EA9"/>
    <w:rsid w:val="2C9076BE"/>
    <w:rsid w:val="2FB44876"/>
    <w:rsid w:val="31805DD9"/>
    <w:rsid w:val="342145FA"/>
    <w:rsid w:val="34C51F4F"/>
    <w:rsid w:val="36C7131E"/>
    <w:rsid w:val="3B5E69BE"/>
    <w:rsid w:val="40A54B49"/>
    <w:rsid w:val="41DA068A"/>
    <w:rsid w:val="42C31744"/>
    <w:rsid w:val="43392B22"/>
    <w:rsid w:val="4935034A"/>
    <w:rsid w:val="51B13C9B"/>
    <w:rsid w:val="51DE6F50"/>
    <w:rsid w:val="51E26916"/>
    <w:rsid w:val="52DA3343"/>
    <w:rsid w:val="58C254BF"/>
    <w:rsid w:val="592E021C"/>
    <w:rsid w:val="5A412352"/>
    <w:rsid w:val="5CCB607B"/>
    <w:rsid w:val="5DCE2467"/>
    <w:rsid w:val="6103661C"/>
    <w:rsid w:val="61695219"/>
    <w:rsid w:val="62926DC6"/>
    <w:rsid w:val="64703FB7"/>
    <w:rsid w:val="65BA6DDF"/>
    <w:rsid w:val="683E644A"/>
    <w:rsid w:val="68CE78D5"/>
    <w:rsid w:val="68EB2305"/>
    <w:rsid w:val="6B683307"/>
    <w:rsid w:val="6C4A0EF3"/>
    <w:rsid w:val="706E6418"/>
    <w:rsid w:val="731270C2"/>
    <w:rsid w:val="743B7948"/>
    <w:rsid w:val="763D1759"/>
    <w:rsid w:val="781C3581"/>
    <w:rsid w:val="7A030A95"/>
    <w:rsid w:val="7B463BE0"/>
    <w:rsid w:val="7C737DBB"/>
    <w:rsid w:val="7F6959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table" w:styleId="6">
    <w:name w:val="Table Grid"/>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2.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模板2.wpt</Template>
  <Pages>1</Pages>
  <Words>0</Words>
  <Characters>0</Characters>
  <Lines>1</Lines>
  <Paragraphs>1</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2020-09-18T01:42:00Z</dcterms:created>
  <dc:creator>Administrator</dc:creator>
  <cp:lastModifiedBy>YOYO</cp:lastModifiedBy>
  <cp:lastPrinted>2020-09-30T07:01:00Z</cp:lastPrinted>
  <dcterms:modified xsi:type="dcterms:W3CDTF">2020-10-10T03:16:30Z</dcterms:modified>
  <dc:title>泗政办秘〔2020〕49号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