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E7F483">
      <w:pPr>
        <w:pStyle w:val="3"/>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color w:val="auto"/>
        </w:rPr>
      </w:pPr>
      <w:r>
        <w:rPr>
          <w:rFonts w:hint="eastAsia"/>
          <w:color w:val="auto"/>
        </w:rPr>
        <w:t>一、建设项目基本情况</w:t>
      </w:r>
    </w:p>
    <w:tbl>
      <w:tblPr>
        <w:tblStyle w:val="28"/>
        <w:tblW w:w="51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34"/>
        <w:gridCol w:w="1476"/>
        <w:gridCol w:w="1033"/>
        <w:gridCol w:w="4327"/>
      </w:tblGrid>
      <w:tr w14:paraId="09F6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tcMar>
              <w:top w:w="16" w:type="dxa"/>
              <w:left w:w="16" w:type="dxa"/>
              <w:right w:w="16" w:type="dxa"/>
            </w:tcMar>
            <w:vAlign w:val="center"/>
          </w:tcPr>
          <w:p w14:paraId="660A84EE">
            <w:pPr>
              <w:pStyle w:val="53"/>
              <w:rPr>
                <w:b w:val="0"/>
                <w:bCs w:val="0"/>
                <w:color w:val="auto"/>
                <w:sz w:val="24"/>
                <w:szCs w:val="24"/>
              </w:rPr>
            </w:pPr>
            <w:r>
              <w:rPr>
                <w:rFonts w:hint="eastAsia"/>
                <w:b w:val="0"/>
                <w:bCs w:val="0"/>
                <w:color w:val="auto"/>
                <w:sz w:val="24"/>
                <w:szCs w:val="24"/>
              </w:rPr>
              <w:t>建设项目名称</w:t>
            </w:r>
          </w:p>
        </w:tc>
        <w:tc>
          <w:tcPr>
            <w:tcW w:w="3942" w:type="pct"/>
            <w:gridSpan w:val="3"/>
            <w:tcBorders>
              <w:tl2br w:val="nil"/>
              <w:tr2bl w:val="nil"/>
            </w:tcBorders>
            <w:vAlign w:val="center"/>
          </w:tcPr>
          <w:p w14:paraId="2A849B6E">
            <w:pPr>
              <w:pStyle w:val="53"/>
              <w:jc w:val="center"/>
              <w:rPr>
                <w:rFonts w:hint="eastAsia" w:eastAsia="宋体"/>
                <w:b w:val="0"/>
                <w:bCs w:val="0"/>
                <w:color w:val="auto"/>
                <w:sz w:val="24"/>
                <w:szCs w:val="24"/>
                <w:lang w:val="en-US" w:eastAsia="zh-CN"/>
              </w:rPr>
            </w:pPr>
            <w:r>
              <w:rPr>
                <w:rFonts w:hint="eastAsia"/>
                <w:b w:val="0"/>
                <w:bCs w:val="0"/>
                <w:color w:val="auto"/>
                <w:sz w:val="24"/>
                <w:szCs w:val="24"/>
                <w:lang w:val="en-US" w:eastAsia="zh-CN"/>
              </w:rPr>
              <w:t>泗县眼科专科医院项目</w:t>
            </w:r>
          </w:p>
        </w:tc>
      </w:tr>
      <w:tr w14:paraId="34E3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057" w:type="pct"/>
            <w:tcBorders>
              <w:tl2br w:val="nil"/>
              <w:tr2bl w:val="nil"/>
            </w:tcBorders>
            <w:tcMar>
              <w:top w:w="16" w:type="dxa"/>
              <w:left w:w="16" w:type="dxa"/>
              <w:right w:w="16" w:type="dxa"/>
            </w:tcMar>
            <w:vAlign w:val="center"/>
          </w:tcPr>
          <w:p w14:paraId="55640744">
            <w:pPr>
              <w:pStyle w:val="53"/>
              <w:rPr>
                <w:b w:val="0"/>
                <w:bCs w:val="0"/>
                <w:color w:val="auto"/>
                <w:sz w:val="24"/>
                <w:szCs w:val="24"/>
              </w:rPr>
            </w:pPr>
            <w:r>
              <w:rPr>
                <w:rFonts w:hint="eastAsia"/>
                <w:b w:val="0"/>
                <w:bCs w:val="0"/>
                <w:color w:val="auto"/>
                <w:sz w:val="24"/>
                <w:szCs w:val="24"/>
              </w:rPr>
              <w:t>项目代码</w:t>
            </w:r>
          </w:p>
        </w:tc>
        <w:tc>
          <w:tcPr>
            <w:tcW w:w="3942" w:type="pct"/>
            <w:gridSpan w:val="3"/>
            <w:tcBorders>
              <w:tl2br w:val="nil"/>
              <w:tr2bl w:val="nil"/>
            </w:tcBorders>
            <w:vAlign w:val="center"/>
          </w:tcPr>
          <w:p w14:paraId="6CC44AC1">
            <w:pPr>
              <w:pStyle w:val="53"/>
              <w:jc w:val="center"/>
              <w:rPr>
                <w:rFonts w:hint="default" w:eastAsia="宋体"/>
                <w:b w:val="0"/>
                <w:bCs w:val="0"/>
                <w:color w:val="auto"/>
                <w:sz w:val="24"/>
                <w:szCs w:val="24"/>
                <w:lang w:val="en-US" w:eastAsia="zh-CN"/>
              </w:rPr>
            </w:pPr>
            <w:r>
              <w:rPr>
                <w:rFonts w:hint="eastAsia"/>
                <w:b w:val="0"/>
                <w:bCs w:val="0"/>
                <w:color w:val="auto"/>
                <w:sz w:val="24"/>
                <w:szCs w:val="24"/>
                <w:lang w:val="en-US" w:eastAsia="zh-CN"/>
              </w:rPr>
              <w:t>/</w:t>
            </w:r>
          </w:p>
        </w:tc>
      </w:tr>
      <w:tr w14:paraId="2F34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tcMar>
              <w:top w:w="16" w:type="dxa"/>
              <w:left w:w="16" w:type="dxa"/>
              <w:right w:w="16" w:type="dxa"/>
            </w:tcMar>
            <w:vAlign w:val="center"/>
          </w:tcPr>
          <w:p w14:paraId="1F860C55">
            <w:pPr>
              <w:pStyle w:val="53"/>
              <w:rPr>
                <w:b w:val="0"/>
                <w:bCs w:val="0"/>
                <w:color w:val="auto"/>
                <w:sz w:val="24"/>
                <w:szCs w:val="24"/>
              </w:rPr>
            </w:pPr>
            <w:r>
              <w:rPr>
                <w:rFonts w:hint="eastAsia"/>
                <w:b w:val="0"/>
                <w:bCs w:val="0"/>
                <w:color w:val="auto"/>
                <w:sz w:val="24"/>
                <w:szCs w:val="24"/>
              </w:rPr>
              <w:t>建设单位联系人</w:t>
            </w:r>
          </w:p>
        </w:tc>
        <w:tc>
          <w:tcPr>
            <w:tcW w:w="851" w:type="pct"/>
            <w:tcBorders>
              <w:tl2br w:val="nil"/>
              <w:tr2bl w:val="nil"/>
            </w:tcBorders>
            <w:vAlign w:val="center"/>
          </w:tcPr>
          <w:p w14:paraId="46B067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p>
        </w:tc>
        <w:tc>
          <w:tcPr>
            <w:tcW w:w="595" w:type="pct"/>
            <w:tcBorders>
              <w:tl2br w:val="nil"/>
              <w:tr2bl w:val="nil"/>
            </w:tcBorders>
            <w:vAlign w:val="center"/>
          </w:tcPr>
          <w:p w14:paraId="1939CFF2">
            <w:pPr>
              <w:pStyle w:val="53"/>
              <w:ind w:firstLine="0" w:firstLineChars="0"/>
            </w:pPr>
            <w:r>
              <w:rPr>
                <w:rFonts w:hint="eastAsia"/>
                <w:b w:val="0"/>
                <w:bCs w:val="0"/>
                <w:color w:val="auto"/>
                <w:sz w:val="24"/>
                <w:szCs w:val="24"/>
              </w:rPr>
              <w:t>联系方式</w:t>
            </w:r>
          </w:p>
        </w:tc>
        <w:tc>
          <w:tcPr>
            <w:tcW w:w="2495" w:type="pct"/>
            <w:tcBorders>
              <w:tl2br w:val="nil"/>
              <w:tr2bl w:val="nil"/>
            </w:tcBorders>
            <w:vAlign w:val="center"/>
          </w:tcPr>
          <w:p w14:paraId="49639909">
            <w:pPr>
              <w:pStyle w:val="53"/>
              <w:ind w:firstLine="0" w:firstLineChars="0"/>
              <w:rPr>
                <w:rFonts w:hint="default" w:ascii="Times New Roman" w:hAnsi="Times New Roman" w:eastAsia="宋体" w:cs="Times New Roman"/>
                <w:b w:val="0"/>
                <w:bCs w:val="0"/>
                <w:color w:val="auto"/>
                <w:kern w:val="2"/>
                <w:sz w:val="24"/>
                <w:szCs w:val="24"/>
                <w:lang w:val="en-US" w:eastAsia="zh-CN" w:bidi="ar-SA"/>
              </w:rPr>
            </w:pPr>
          </w:p>
        </w:tc>
      </w:tr>
      <w:tr w14:paraId="08F3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tcMar>
              <w:top w:w="16" w:type="dxa"/>
              <w:left w:w="16" w:type="dxa"/>
              <w:right w:w="16" w:type="dxa"/>
            </w:tcMar>
            <w:vAlign w:val="center"/>
          </w:tcPr>
          <w:p w14:paraId="01B2AA85">
            <w:pPr>
              <w:pStyle w:val="53"/>
              <w:rPr>
                <w:b w:val="0"/>
                <w:bCs w:val="0"/>
                <w:color w:val="auto"/>
                <w:sz w:val="24"/>
                <w:szCs w:val="24"/>
              </w:rPr>
            </w:pPr>
            <w:r>
              <w:rPr>
                <w:rFonts w:hint="eastAsia"/>
                <w:b w:val="0"/>
                <w:bCs w:val="0"/>
                <w:color w:val="auto"/>
                <w:sz w:val="24"/>
                <w:szCs w:val="24"/>
              </w:rPr>
              <w:t>建设地点</w:t>
            </w:r>
          </w:p>
        </w:tc>
        <w:tc>
          <w:tcPr>
            <w:tcW w:w="3942" w:type="pct"/>
            <w:gridSpan w:val="3"/>
            <w:tcBorders>
              <w:tl2br w:val="nil"/>
              <w:tr2bl w:val="nil"/>
            </w:tcBorders>
            <w:vAlign w:val="center"/>
          </w:tcPr>
          <w:p w14:paraId="58DBF86E">
            <w:pPr>
              <w:pStyle w:val="117"/>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宋体" w:hAnsi="宋体" w:eastAsia="宋体" w:cs="宋体"/>
                <w:b w:val="0"/>
                <w:bCs w:val="0"/>
                <w:color w:val="auto"/>
                <w:kern w:val="2"/>
                <w:sz w:val="24"/>
                <w:szCs w:val="24"/>
                <w:u w:val="none"/>
                <w:shd w:val="clear" w:color="auto" w:fill="auto"/>
                <w:lang w:val="en-US" w:eastAsia="zh-CN" w:bidi="zh-TW"/>
              </w:rPr>
            </w:pPr>
            <w:r>
              <w:rPr>
                <w:rFonts w:hint="eastAsia" w:cs="宋体"/>
                <w:b w:val="0"/>
                <w:bCs w:val="0"/>
                <w:kern w:val="0"/>
                <w:sz w:val="24"/>
              </w:rPr>
              <w:t>泗县经济开发区</w:t>
            </w:r>
            <w:r>
              <w:rPr>
                <w:rFonts w:hint="eastAsia" w:cs="宋体"/>
                <w:b w:val="0"/>
                <w:bCs w:val="0"/>
                <w:kern w:val="0"/>
                <w:sz w:val="24"/>
                <w:lang w:val="en-US" w:eastAsia="zh-CN"/>
              </w:rPr>
              <w:t>朝阳路与汴河大道交叉口东侧</w:t>
            </w:r>
            <w:r>
              <w:rPr>
                <w:rFonts w:hint="default" w:ascii="Times New Roman" w:hAnsi="Times New Roman" w:cs="Times New Roman"/>
                <w:b w:val="0"/>
                <w:bCs w:val="0"/>
                <w:kern w:val="0"/>
                <w:sz w:val="24"/>
                <w:lang w:val="en-US" w:eastAsia="zh-CN"/>
              </w:rPr>
              <w:t>200m</w:t>
            </w:r>
          </w:p>
        </w:tc>
      </w:tr>
      <w:tr w14:paraId="79B6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tcMar>
              <w:top w:w="16" w:type="dxa"/>
              <w:left w:w="16" w:type="dxa"/>
              <w:right w:w="16" w:type="dxa"/>
            </w:tcMar>
            <w:vAlign w:val="center"/>
          </w:tcPr>
          <w:p w14:paraId="7F0D79C7">
            <w:pPr>
              <w:pStyle w:val="53"/>
              <w:rPr>
                <w:b w:val="0"/>
                <w:bCs w:val="0"/>
                <w:color w:val="auto"/>
                <w:sz w:val="24"/>
                <w:szCs w:val="24"/>
              </w:rPr>
            </w:pPr>
            <w:r>
              <w:rPr>
                <w:rFonts w:hint="eastAsia"/>
                <w:b w:val="0"/>
                <w:bCs w:val="0"/>
                <w:color w:val="auto"/>
                <w:sz w:val="24"/>
                <w:szCs w:val="24"/>
              </w:rPr>
              <w:t>地理坐标</w:t>
            </w:r>
          </w:p>
        </w:tc>
        <w:tc>
          <w:tcPr>
            <w:tcW w:w="3942" w:type="pct"/>
            <w:gridSpan w:val="3"/>
            <w:tcBorders>
              <w:tl2br w:val="nil"/>
              <w:tr2bl w:val="nil"/>
            </w:tcBorders>
            <w:vAlign w:val="center"/>
          </w:tcPr>
          <w:p w14:paraId="6A1407A6">
            <w:pPr>
              <w:pStyle w:val="53"/>
              <w:ind w:firstLine="0" w:firstLineChars="0"/>
              <w:rPr>
                <w:rFonts w:ascii="Times New Roman" w:hAnsi="Times New Roman" w:eastAsia="宋体" w:cs="Times New Roman"/>
                <w:b w:val="0"/>
                <w:bCs w:val="0"/>
                <w:color w:val="auto"/>
                <w:kern w:val="2"/>
                <w:sz w:val="24"/>
                <w:szCs w:val="24"/>
                <w:lang w:val="en-US" w:eastAsia="zh-CN" w:bidi="ar-SA"/>
              </w:rPr>
            </w:pPr>
            <w:r>
              <w:rPr>
                <w:rFonts w:hint="eastAsia" w:cs="宋体"/>
                <w:b w:val="0"/>
                <w:bCs w:val="0"/>
                <w:color w:val="auto"/>
                <w:sz w:val="24"/>
                <w:szCs w:val="24"/>
                <w:highlight w:val="none"/>
              </w:rPr>
              <w:t>（经度：</w:t>
            </w:r>
            <w:r>
              <w:rPr>
                <w:rFonts w:hint="eastAsia" w:cs="宋体"/>
                <w:b w:val="0"/>
                <w:bCs w:val="0"/>
                <w:color w:val="auto"/>
                <w:sz w:val="24"/>
                <w:szCs w:val="24"/>
                <w:highlight w:val="none"/>
                <w:u w:val="single"/>
                <w:lang w:val="en-US" w:eastAsia="zh-CN"/>
              </w:rPr>
              <w:t>117</w:t>
            </w:r>
            <w:r>
              <w:rPr>
                <w:rFonts w:hint="eastAsia" w:cs="宋体"/>
                <w:b w:val="0"/>
                <w:bCs w:val="0"/>
                <w:color w:val="auto"/>
                <w:sz w:val="24"/>
                <w:szCs w:val="24"/>
                <w:highlight w:val="none"/>
              </w:rPr>
              <w:t>度</w:t>
            </w:r>
            <w:r>
              <w:rPr>
                <w:rFonts w:hint="eastAsia" w:cs="宋体"/>
                <w:b w:val="0"/>
                <w:bCs w:val="0"/>
                <w:color w:val="auto"/>
                <w:sz w:val="24"/>
                <w:szCs w:val="24"/>
                <w:highlight w:val="none"/>
                <w:u w:val="single"/>
                <w:lang w:val="en-US" w:eastAsia="zh-CN"/>
              </w:rPr>
              <w:t>54</w:t>
            </w:r>
            <w:r>
              <w:rPr>
                <w:rFonts w:hint="eastAsia" w:cs="宋体"/>
                <w:b w:val="0"/>
                <w:bCs w:val="0"/>
                <w:color w:val="auto"/>
                <w:sz w:val="24"/>
                <w:szCs w:val="24"/>
                <w:highlight w:val="none"/>
              </w:rPr>
              <w:t>分</w:t>
            </w:r>
            <w:r>
              <w:rPr>
                <w:rFonts w:hint="eastAsia" w:cs="宋体"/>
                <w:b w:val="0"/>
                <w:bCs w:val="0"/>
                <w:color w:val="auto"/>
                <w:sz w:val="24"/>
                <w:szCs w:val="24"/>
                <w:highlight w:val="none"/>
                <w:u w:val="single"/>
                <w:lang w:val="en-US" w:eastAsia="zh-CN"/>
              </w:rPr>
              <w:t>33.831</w:t>
            </w:r>
            <w:r>
              <w:rPr>
                <w:rFonts w:hint="eastAsia" w:cs="宋体"/>
                <w:b w:val="0"/>
                <w:bCs w:val="0"/>
                <w:color w:val="auto"/>
                <w:sz w:val="24"/>
                <w:szCs w:val="24"/>
                <w:highlight w:val="none"/>
              </w:rPr>
              <w:t>秒，纬度：</w:t>
            </w:r>
            <w:r>
              <w:rPr>
                <w:rFonts w:hint="eastAsia" w:cs="宋体"/>
                <w:b w:val="0"/>
                <w:bCs w:val="0"/>
                <w:color w:val="auto"/>
                <w:sz w:val="24"/>
                <w:szCs w:val="24"/>
                <w:highlight w:val="none"/>
                <w:u w:val="single"/>
                <w:lang w:val="en-US" w:eastAsia="zh-CN"/>
              </w:rPr>
              <w:t>33</w:t>
            </w:r>
            <w:r>
              <w:rPr>
                <w:rFonts w:hint="eastAsia" w:cs="宋体"/>
                <w:b w:val="0"/>
                <w:bCs w:val="0"/>
                <w:color w:val="auto"/>
                <w:sz w:val="24"/>
                <w:szCs w:val="24"/>
                <w:highlight w:val="none"/>
              </w:rPr>
              <w:t>度</w:t>
            </w:r>
            <w:r>
              <w:rPr>
                <w:rFonts w:hint="eastAsia" w:cs="宋体"/>
                <w:b w:val="0"/>
                <w:bCs w:val="0"/>
                <w:color w:val="auto"/>
                <w:sz w:val="24"/>
                <w:szCs w:val="24"/>
                <w:highlight w:val="none"/>
                <w:u w:val="single"/>
                <w:lang w:val="en-US" w:eastAsia="zh-CN"/>
              </w:rPr>
              <w:t>29</w:t>
            </w:r>
            <w:r>
              <w:rPr>
                <w:rFonts w:hint="eastAsia" w:cs="宋体"/>
                <w:b w:val="0"/>
                <w:bCs w:val="0"/>
                <w:color w:val="auto"/>
                <w:sz w:val="24"/>
                <w:szCs w:val="24"/>
                <w:highlight w:val="none"/>
              </w:rPr>
              <w:t>分</w:t>
            </w:r>
            <w:r>
              <w:rPr>
                <w:rFonts w:hint="eastAsia" w:cs="宋体"/>
                <w:b w:val="0"/>
                <w:bCs w:val="0"/>
                <w:color w:val="auto"/>
                <w:sz w:val="24"/>
                <w:szCs w:val="24"/>
                <w:highlight w:val="none"/>
                <w:u w:val="single"/>
                <w:lang w:val="en-US" w:eastAsia="zh-CN"/>
              </w:rPr>
              <w:t>3.658</w:t>
            </w:r>
            <w:r>
              <w:rPr>
                <w:rFonts w:hint="eastAsia" w:cs="宋体"/>
                <w:b w:val="0"/>
                <w:bCs w:val="0"/>
                <w:color w:val="auto"/>
                <w:sz w:val="24"/>
                <w:szCs w:val="24"/>
                <w:highlight w:val="none"/>
              </w:rPr>
              <w:t>秒）</w:t>
            </w:r>
          </w:p>
        </w:tc>
      </w:tr>
      <w:tr w14:paraId="5A08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tcMar>
              <w:top w:w="16" w:type="dxa"/>
              <w:left w:w="16" w:type="dxa"/>
              <w:right w:w="16" w:type="dxa"/>
            </w:tcMar>
            <w:vAlign w:val="center"/>
          </w:tcPr>
          <w:p w14:paraId="55D7C641">
            <w:pPr>
              <w:pStyle w:val="53"/>
              <w:rPr>
                <w:rFonts w:hint="eastAsia"/>
                <w:b w:val="0"/>
                <w:bCs w:val="0"/>
                <w:color w:val="auto"/>
                <w:sz w:val="24"/>
                <w:szCs w:val="24"/>
              </w:rPr>
            </w:pPr>
            <w:r>
              <w:rPr>
                <w:rFonts w:hint="eastAsia"/>
                <w:b w:val="0"/>
                <w:bCs w:val="0"/>
                <w:color w:val="auto"/>
                <w:sz w:val="24"/>
                <w:szCs w:val="24"/>
              </w:rPr>
              <w:t>国民经济</w:t>
            </w:r>
          </w:p>
          <w:p w14:paraId="310FDB2E">
            <w:pPr>
              <w:pStyle w:val="53"/>
              <w:rPr>
                <w:b w:val="0"/>
                <w:bCs w:val="0"/>
                <w:color w:val="auto"/>
                <w:sz w:val="24"/>
                <w:szCs w:val="24"/>
              </w:rPr>
            </w:pPr>
            <w:r>
              <w:rPr>
                <w:rFonts w:hint="eastAsia"/>
                <w:b w:val="0"/>
                <w:bCs w:val="0"/>
                <w:color w:val="auto"/>
                <w:sz w:val="24"/>
                <w:szCs w:val="24"/>
              </w:rPr>
              <w:t>行业类别</w:t>
            </w:r>
          </w:p>
        </w:tc>
        <w:tc>
          <w:tcPr>
            <w:tcW w:w="851" w:type="pct"/>
            <w:tcBorders>
              <w:tl2br w:val="nil"/>
              <w:tr2bl w:val="nil"/>
            </w:tcBorders>
            <w:vAlign w:val="center"/>
          </w:tcPr>
          <w:p w14:paraId="6A93CB42">
            <w:pPr>
              <w:pStyle w:val="53"/>
              <w:ind w:firstLine="0" w:firstLineChars="0"/>
              <w:rPr>
                <w:rFonts w:hint="default" w:ascii="Times New Roman" w:hAnsi="Times New Roman" w:eastAsia="宋体" w:cs="Times New Roman"/>
                <w:b w:val="0"/>
                <w:bCs w:val="0"/>
                <w:color w:val="auto"/>
                <w:kern w:val="2"/>
                <w:sz w:val="24"/>
                <w:szCs w:val="24"/>
                <w:lang w:val="en-US" w:eastAsia="zh-CN" w:bidi="ar-SA"/>
              </w:rPr>
            </w:pPr>
            <w:r>
              <w:rPr>
                <w:rFonts w:hint="default" w:eastAsia="宋体"/>
                <w:b w:val="0"/>
                <w:bCs w:val="0"/>
                <w:color w:val="auto"/>
                <w:sz w:val="24"/>
                <w:szCs w:val="24"/>
                <w:lang w:val="en-US" w:eastAsia="zh-CN"/>
              </w:rPr>
              <w:t>专科医院[Q8415]</w:t>
            </w:r>
          </w:p>
        </w:tc>
        <w:tc>
          <w:tcPr>
            <w:tcW w:w="595" w:type="pct"/>
            <w:tcBorders>
              <w:tl2br w:val="nil"/>
              <w:tr2bl w:val="nil"/>
            </w:tcBorders>
            <w:vAlign w:val="center"/>
          </w:tcPr>
          <w:p w14:paraId="628F40F2">
            <w:pPr>
              <w:pStyle w:val="53"/>
              <w:ind w:firstLine="0" w:firstLineChars="0"/>
              <w:rPr>
                <w:rFonts w:ascii="Times New Roman" w:hAnsi="Times New Roman" w:eastAsia="宋体" w:cs="Times New Roman"/>
                <w:b w:val="0"/>
                <w:bCs w:val="0"/>
                <w:color w:val="auto"/>
                <w:kern w:val="2"/>
                <w:sz w:val="24"/>
                <w:szCs w:val="24"/>
                <w:lang w:val="en-US" w:eastAsia="zh-CN" w:bidi="ar-SA"/>
              </w:rPr>
            </w:pPr>
            <w:r>
              <w:rPr>
                <w:rFonts w:hint="eastAsia"/>
                <w:b w:val="0"/>
                <w:bCs w:val="0"/>
                <w:color w:val="auto"/>
                <w:sz w:val="24"/>
                <w:szCs w:val="24"/>
              </w:rPr>
              <w:t>建设项目行业类别</w:t>
            </w:r>
          </w:p>
        </w:tc>
        <w:tc>
          <w:tcPr>
            <w:tcW w:w="2495" w:type="pct"/>
            <w:tcBorders>
              <w:tl2br w:val="nil"/>
              <w:tr2bl w:val="nil"/>
            </w:tcBorders>
            <w:vAlign w:val="center"/>
          </w:tcPr>
          <w:p w14:paraId="5351CB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eastAsia="宋体"/>
                <w:b w:val="0"/>
                <w:bCs w:val="0"/>
                <w:color w:val="auto"/>
                <w:sz w:val="24"/>
                <w:szCs w:val="24"/>
                <w:lang w:val="en-US" w:eastAsia="zh-CN"/>
              </w:rPr>
              <w:t>四十九、卫生 108 医院 841 其他（住院床位20张以下的除外）</w:t>
            </w:r>
          </w:p>
        </w:tc>
      </w:tr>
      <w:tr w14:paraId="4F66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tcMar>
              <w:top w:w="16" w:type="dxa"/>
              <w:left w:w="16" w:type="dxa"/>
              <w:right w:w="16" w:type="dxa"/>
            </w:tcMar>
            <w:vAlign w:val="center"/>
          </w:tcPr>
          <w:p w14:paraId="6E118188">
            <w:pPr>
              <w:pStyle w:val="53"/>
              <w:rPr>
                <w:b w:val="0"/>
                <w:bCs w:val="0"/>
                <w:color w:val="auto"/>
                <w:sz w:val="24"/>
                <w:szCs w:val="24"/>
              </w:rPr>
            </w:pPr>
            <w:r>
              <w:rPr>
                <w:rFonts w:hint="eastAsia"/>
                <w:b w:val="0"/>
                <w:bCs w:val="0"/>
                <w:color w:val="auto"/>
                <w:sz w:val="24"/>
                <w:szCs w:val="24"/>
              </w:rPr>
              <w:t>建设性质</w:t>
            </w:r>
          </w:p>
        </w:tc>
        <w:tc>
          <w:tcPr>
            <w:tcW w:w="851" w:type="pct"/>
            <w:tcBorders>
              <w:tl2br w:val="nil"/>
              <w:tr2bl w:val="nil"/>
            </w:tcBorders>
            <w:vAlign w:val="center"/>
          </w:tcPr>
          <w:p w14:paraId="3481591B">
            <w:pPr>
              <w:pStyle w:val="53"/>
              <w:jc w:val="left"/>
              <w:rPr>
                <w:b w:val="0"/>
                <w:bCs w:val="0"/>
                <w:color w:val="auto"/>
                <w:sz w:val="24"/>
                <w:szCs w:val="24"/>
              </w:rPr>
            </w:pPr>
            <w:r>
              <w:rPr>
                <w:rFonts w:hint="eastAsia" w:ascii="宋体" w:hAnsi="宋体"/>
                <w:b w:val="0"/>
                <w:bCs w:val="0"/>
                <w:color w:val="auto"/>
                <w:lang w:eastAsia="zh-CN"/>
              </w:rPr>
              <w:t>☑</w:t>
            </w:r>
            <w:r>
              <w:rPr>
                <w:rFonts w:hint="eastAsia"/>
                <w:b w:val="0"/>
                <w:bCs w:val="0"/>
                <w:color w:val="auto"/>
                <w:sz w:val="24"/>
                <w:szCs w:val="24"/>
              </w:rPr>
              <w:t>新建（迁建）</w:t>
            </w:r>
          </w:p>
          <w:p w14:paraId="7E780D5E">
            <w:pPr>
              <w:pStyle w:val="53"/>
              <w:jc w:val="left"/>
              <w:rPr>
                <w:b w:val="0"/>
                <w:bCs w:val="0"/>
                <w:color w:val="auto"/>
                <w:sz w:val="24"/>
                <w:szCs w:val="24"/>
              </w:rPr>
            </w:pPr>
            <w:r>
              <w:rPr>
                <w:rFonts w:hint="eastAsia" w:ascii="宋体" w:hAnsi="宋体"/>
                <w:b w:val="0"/>
                <w:bCs w:val="0"/>
                <w:color w:val="auto"/>
                <w:lang w:eastAsia="zh-CN"/>
              </w:rPr>
              <w:t>□</w:t>
            </w:r>
            <w:r>
              <w:rPr>
                <w:rFonts w:hint="eastAsia"/>
                <w:b w:val="0"/>
                <w:bCs w:val="0"/>
                <w:color w:val="auto"/>
                <w:sz w:val="24"/>
                <w:szCs w:val="24"/>
              </w:rPr>
              <w:t>改建</w:t>
            </w:r>
          </w:p>
          <w:p w14:paraId="1948DE94">
            <w:pPr>
              <w:pStyle w:val="53"/>
              <w:jc w:val="left"/>
              <w:rPr>
                <w:b w:val="0"/>
                <w:bCs w:val="0"/>
                <w:color w:val="auto"/>
                <w:sz w:val="24"/>
                <w:szCs w:val="24"/>
              </w:rPr>
            </w:pPr>
            <w:r>
              <w:rPr>
                <w:rFonts w:hint="eastAsia" w:ascii="宋体" w:hAnsi="宋体"/>
                <w:b w:val="0"/>
                <w:bCs w:val="0"/>
                <w:color w:val="auto"/>
                <w:lang w:eastAsia="zh-CN"/>
              </w:rPr>
              <w:t>□</w:t>
            </w:r>
            <w:r>
              <w:rPr>
                <w:rFonts w:hint="eastAsia"/>
                <w:b w:val="0"/>
                <w:bCs w:val="0"/>
                <w:color w:val="auto"/>
                <w:sz w:val="24"/>
                <w:szCs w:val="24"/>
              </w:rPr>
              <w:t>扩建</w:t>
            </w:r>
          </w:p>
          <w:p w14:paraId="79CCF1A2">
            <w:pPr>
              <w:pStyle w:val="53"/>
              <w:jc w:val="left"/>
              <w:rPr>
                <w:b w:val="0"/>
                <w:bCs w:val="0"/>
                <w:color w:val="auto"/>
                <w:sz w:val="24"/>
                <w:szCs w:val="24"/>
              </w:rPr>
            </w:pPr>
            <w:r>
              <w:rPr>
                <w:rFonts w:hint="eastAsia" w:ascii="宋体" w:hAnsi="宋体"/>
                <w:b w:val="0"/>
                <w:bCs w:val="0"/>
                <w:color w:val="auto"/>
                <w:lang w:eastAsia="zh-CN"/>
              </w:rPr>
              <w:t>□</w:t>
            </w:r>
            <w:r>
              <w:rPr>
                <w:rFonts w:hint="eastAsia"/>
                <w:b w:val="0"/>
                <w:bCs w:val="0"/>
                <w:color w:val="auto"/>
                <w:sz w:val="24"/>
                <w:szCs w:val="24"/>
              </w:rPr>
              <w:t>技术改造</w:t>
            </w:r>
          </w:p>
        </w:tc>
        <w:tc>
          <w:tcPr>
            <w:tcW w:w="595" w:type="pct"/>
            <w:tcBorders>
              <w:tl2br w:val="nil"/>
              <w:tr2bl w:val="nil"/>
            </w:tcBorders>
            <w:vAlign w:val="center"/>
          </w:tcPr>
          <w:p w14:paraId="00AA6A2C">
            <w:pPr>
              <w:pStyle w:val="53"/>
              <w:rPr>
                <w:b w:val="0"/>
                <w:bCs w:val="0"/>
                <w:color w:val="auto"/>
                <w:sz w:val="24"/>
                <w:szCs w:val="24"/>
              </w:rPr>
            </w:pPr>
            <w:r>
              <w:rPr>
                <w:rFonts w:hint="eastAsia"/>
                <w:b w:val="0"/>
                <w:bCs w:val="0"/>
                <w:color w:val="auto"/>
                <w:sz w:val="24"/>
                <w:szCs w:val="24"/>
              </w:rPr>
              <w:t>建设项目</w:t>
            </w:r>
          </w:p>
          <w:p w14:paraId="63AC0374">
            <w:pPr>
              <w:pStyle w:val="53"/>
              <w:rPr>
                <w:b w:val="0"/>
                <w:bCs w:val="0"/>
                <w:color w:val="auto"/>
                <w:sz w:val="24"/>
                <w:szCs w:val="24"/>
              </w:rPr>
            </w:pPr>
            <w:r>
              <w:rPr>
                <w:rFonts w:hint="eastAsia"/>
                <w:b w:val="0"/>
                <w:bCs w:val="0"/>
                <w:color w:val="auto"/>
                <w:sz w:val="24"/>
                <w:szCs w:val="24"/>
              </w:rPr>
              <w:t>申报情形</w:t>
            </w:r>
          </w:p>
        </w:tc>
        <w:tc>
          <w:tcPr>
            <w:tcW w:w="2495" w:type="pct"/>
            <w:tcBorders>
              <w:tl2br w:val="nil"/>
              <w:tr2bl w:val="nil"/>
            </w:tcBorders>
            <w:vAlign w:val="center"/>
          </w:tcPr>
          <w:p w14:paraId="6D9302A4">
            <w:pPr>
              <w:pStyle w:val="53"/>
              <w:jc w:val="left"/>
              <w:rPr>
                <w:rFonts w:hint="eastAsia"/>
                <w:b w:val="0"/>
                <w:bCs w:val="0"/>
                <w:color w:val="auto"/>
                <w:sz w:val="24"/>
                <w:szCs w:val="24"/>
              </w:rPr>
            </w:pPr>
            <w:r>
              <w:rPr>
                <w:rFonts w:hint="eastAsia" w:ascii="宋体" w:hAnsi="宋体"/>
                <w:b w:val="0"/>
                <w:bCs w:val="0"/>
                <w:color w:val="auto"/>
                <w:lang w:eastAsia="zh-CN"/>
              </w:rPr>
              <w:t>☑</w:t>
            </w:r>
            <w:r>
              <w:rPr>
                <w:rFonts w:hint="eastAsia"/>
                <w:b w:val="0"/>
                <w:bCs w:val="0"/>
                <w:color w:val="auto"/>
                <w:sz w:val="24"/>
                <w:szCs w:val="24"/>
              </w:rPr>
              <w:t>首次申报项目</w:t>
            </w:r>
          </w:p>
          <w:p w14:paraId="7A9171A3">
            <w:pPr>
              <w:pStyle w:val="53"/>
              <w:jc w:val="left"/>
              <w:rPr>
                <w:b w:val="0"/>
                <w:bCs w:val="0"/>
                <w:color w:val="auto"/>
                <w:sz w:val="24"/>
                <w:szCs w:val="24"/>
              </w:rPr>
            </w:pPr>
            <w:r>
              <w:rPr>
                <w:rFonts w:hint="eastAsia" w:ascii="宋体" w:hAnsi="宋体"/>
                <w:b w:val="0"/>
                <w:bCs w:val="0"/>
                <w:color w:val="auto"/>
                <w:lang w:eastAsia="zh-CN"/>
              </w:rPr>
              <w:t>□</w:t>
            </w:r>
            <w:r>
              <w:rPr>
                <w:rFonts w:hint="eastAsia"/>
                <w:b w:val="0"/>
                <w:bCs w:val="0"/>
                <w:color w:val="auto"/>
                <w:sz w:val="24"/>
                <w:szCs w:val="24"/>
              </w:rPr>
              <w:t>不予批准后再次申报项目</w:t>
            </w:r>
          </w:p>
          <w:p w14:paraId="7981DFC3">
            <w:pPr>
              <w:pStyle w:val="53"/>
              <w:jc w:val="left"/>
              <w:rPr>
                <w:b w:val="0"/>
                <w:bCs w:val="0"/>
                <w:color w:val="auto"/>
                <w:sz w:val="24"/>
                <w:szCs w:val="24"/>
              </w:rPr>
            </w:pPr>
            <w:r>
              <w:rPr>
                <w:rFonts w:hint="eastAsia" w:ascii="宋体" w:hAnsi="宋体"/>
                <w:b w:val="0"/>
                <w:bCs w:val="0"/>
                <w:color w:val="auto"/>
                <w:lang w:eastAsia="zh-CN"/>
              </w:rPr>
              <w:t>□</w:t>
            </w:r>
            <w:r>
              <w:rPr>
                <w:rFonts w:hint="eastAsia"/>
                <w:b w:val="0"/>
                <w:bCs w:val="0"/>
                <w:color w:val="auto"/>
                <w:sz w:val="24"/>
                <w:szCs w:val="24"/>
              </w:rPr>
              <w:t>超五年重新审核项目</w:t>
            </w:r>
          </w:p>
          <w:p w14:paraId="0621ADCB">
            <w:pPr>
              <w:pStyle w:val="53"/>
              <w:jc w:val="left"/>
              <w:rPr>
                <w:b w:val="0"/>
                <w:bCs w:val="0"/>
                <w:color w:val="auto"/>
                <w:sz w:val="24"/>
                <w:szCs w:val="24"/>
              </w:rPr>
            </w:pPr>
            <w:r>
              <w:rPr>
                <w:rFonts w:hint="eastAsia" w:ascii="宋体" w:hAnsi="宋体"/>
                <w:b w:val="0"/>
                <w:bCs w:val="0"/>
                <w:color w:val="auto"/>
                <w:lang w:eastAsia="zh-CN"/>
              </w:rPr>
              <w:t>□</w:t>
            </w:r>
            <w:r>
              <w:rPr>
                <w:rFonts w:hint="eastAsia"/>
                <w:b w:val="0"/>
                <w:bCs w:val="0"/>
                <w:color w:val="auto"/>
                <w:sz w:val="24"/>
                <w:szCs w:val="24"/>
              </w:rPr>
              <w:t>重大变动重新报批项目</w:t>
            </w:r>
          </w:p>
        </w:tc>
      </w:tr>
      <w:tr w14:paraId="3581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tcMar>
              <w:top w:w="16" w:type="dxa"/>
              <w:left w:w="16" w:type="dxa"/>
              <w:right w:w="16" w:type="dxa"/>
            </w:tcMar>
            <w:vAlign w:val="center"/>
          </w:tcPr>
          <w:p w14:paraId="54EC7389">
            <w:pPr>
              <w:pStyle w:val="53"/>
              <w:rPr>
                <w:rFonts w:hint="eastAsia"/>
                <w:b w:val="0"/>
                <w:bCs w:val="0"/>
                <w:color w:val="auto"/>
                <w:sz w:val="24"/>
                <w:szCs w:val="24"/>
              </w:rPr>
            </w:pPr>
            <w:r>
              <w:rPr>
                <w:rFonts w:hint="eastAsia"/>
                <w:b w:val="0"/>
                <w:bCs w:val="0"/>
                <w:color w:val="auto"/>
                <w:sz w:val="24"/>
                <w:szCs w:val="24"/>
              </w:rPr>
              <w:t>项目审批</w:t>
            </w:r>
          </w:p>
          <w:p w14:paraId="06652520">
            <w:pPr>
              <w:pStyle w:val="53"/>
              <w:rPr>
                <w:b w:val="0"/>
                <w:bCs w:val="0"/>
                <w:color w:val="auto"/>
                <w:sz w:val="24"/>
                <w:szCs w:val="24"/>
              </w:rPr>
            </w:pPr>
            <w:r>
              <w:rPr>
                <w:rFonts w:hint="eastAsia"/>
                <w:b w:val="0"/>
                <w:bCs w:val="0"/>
                <w:color w:val="auto"/>
                <w:sz w:val="24"/>
                <w:szCs w:val="24"/>
              </w:rPr>
              <w:t>备案部门</w:t>
            </w:r>
          </w:p>
        </w:tc>
        <w:tc>
          <w:tcPr>
            <w:tcW w:w="851" w:type="pct"/>
            <w:tcBorders>
              <w:tl2br w:val="nil"/>
              <w:tr2bl w:val="nil"/>
            </w:tcBorders>
            <w:vAlign w:val="center"/>
          </w:tcPr>
          <w:p w14:paraId="0EB190BA">
            <w:pPr>
              <w:pStyle w:val="53"/>
              <w:rPr>
                <w:rFonts w:hint="eastAsia" w:eastAsia="宋体"/>
                <w:b w:val="0"/>
                <w:bCs w:val="0"/>
                <w:color w:val="auto"/>
                <w:sz w:val="24"/>
                <w:szCs w:val="24"/>
                <w:lang w:val="en-US" w:eastAsia="zh-CN"/>
              </w:rPr>
            </w:pPr>
            <w:r>
              <w:rPr>
                <w:rFonts w:hint="eastAsia"/>
                <w:b w:val="0"/>
                <w:bCs w:val="0"/>
                <w:color w:val="auto"/>
                <w:sz w:val="24"/>
                <w:szCs w:val="24"/>
                <w:lang w:val="en-US" w:eastAsia="zh-CN"/>
              </w:rPr>
              <w:t>/</w:t>
            </w:r>
          </w:p>
        </w:tc>
        <w:tc>
          <w:tcPr>
            <w:tcW w:w="595" w:type="pct"/>
            <w:tcBorders>
              <w:tl2br w:val="nil"/>
              <w:tr2bl w:val="nil"/>
            </w:tcBorders>
            <w:vAlign w:val="center"/>
          </w:tcPr>
          <w:p w14:paraId="05A26BA6">
            <w:pPr>
              <w:pStyle w:val="53"/>
              <w:rPr>
                <w:b w:val="0"/>
                <w:bCs w:val="0"/>
                <w:color w:val="auto"/>
                <w:sz w:val="24"/>
                <w:szCs w:val="24"/>
              </w:rPr>
            </w:pPr>
            <w:r>
              <w:rPr>
                <w:rFonts w:hint="eastAsia"/>
                <w:b w:val="0"/>
                <w:bCs w:val="0"/>
                <w:color w:val="auto"/>
                <w:sz w:val="24"/>
                <w:szCs w:val="24"/>
              </w:rPr>
              <w:t>项目审批备案文号</w:t>
            </w:r>
          </w:p>
        </w:tc>
        <w:tc>
          <w:tcPr>
            <w:tcW w:w="2495" w:type="pct"/>
            <w:tcBorders>
              <w:tl2br w:val="nil"/>
              <w:tr2bl w:val="nil"/>
            </w:tcBorders>
            <w:vAlign w:val="center"/>
          </w:tcPr>
          <w:p w14:paraId="0C30B957">
            <w:pPr>
              <w:pStyle w:val="53"/>
              <w:rPr>
                <w:rFonts w:hint="eastAsia" w:eastAsia="宋体"/>
                <w:b w:val="0"/>
                <w:bCs w:val="0"/>
                <w:color w:val="auto"/>
                <w:sz w:val="24"/>
                <w:szCs w:val="24"/>
                <w:lang w:val="en-US" w:eastAsia="zh-CN"/>
              </w:rPr>
            </w:pPr>
            <w:r>
              <w:rPr>
                <w:rFonts w:hint="eastAsia"/>
                <w:b w:val="0"/>
                <w:bCs w:val="0"/>
                <w:color w:val="auto"/>
                <w:sz w:val="24"/>
                <w:szCs w:val="24"/>
                <w:lang w:val="en-US" w:eastAsia="zh-CN"/>
              </w:rPr>
              <w:t>/</w:t>
            </w:r>
          </w:p>
        </w:tc>
      </w:tr>
      <w:tr w14:paraId="6144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tcMar>
              <w:top w:w="16" w:type="dxa"/>
              <w:left w:w="16" w:type="dxa"/>
              <w:right w:w="16" w:type="dxa"/>
            </w:tcMar>
            <w:vAlign w:val="center"/>
          </w:tcPr>
          <w:p w14:paraId="4C5723DA">
            <w:pPr>
              <w:pStyle w:val="53"/>
              <w:rPr>
                <w:b w:val="0"/>
                <w:bCs w:val="0"/>
                <w:color w:val="auto"/>
                <w:sz w:val="24"/>
                <w:szCs w:val="24"/>
              </w:rPr>
            </w:pPr>
            <w:r>
              <w:rPr>
                <w:rFonts w:hint="eastAsia"/>
                <w:b w:val="0"/>
                <w:bCs w:val="0"/>
                <w:color w:val="auto"/>
                <w:sz w:val="24"/>
                <w:szCs w:val="24"/>
              </w:rPr>
              <w:t>总投资（万元）</w:t>
            </w:r>
          </w:p>
        </w:tc>
        <w:tc>
          <w:tcPr>
            <w:tcW w:w="851" w:type="pct"/>
            <w:tcBorders>
              <w:tl2br w:val="nil"/>
              <w:tr2bl w:val="nil"/>
            </w:tcBorders>
            <w:vAlign w:val="center"/>
          </w:tcPr>
          <w:p w14:paraId="5B52E322">
            <w:pPr>
              <w:pStyle w:val="53"/>
              <w:rPr>
                <w:rFonts w:hint="default" w:eastAsia="宋体"/>
                <w:b w:val="0"/>
                <w:bCs w:val="0"/>
                <w:color w:val="auto"/>
                <w:sz w:val="24"/>
                <w:szCs w:val="24"/>
                <w:lang w:val="en-US" w:eastAsia="zh-CN"/>
              </w:rPr>
            </w:pPr>
            <w:r>
              <w:rPr>
                <w:rFonts w:hint="eastAsia"/>
                <w:b w:val="0"/>
                <w:bCs w:val="0"/>
                <w:color w:val="auto"/>
                <w:sz w:val="24"/>
                <w:szCs w:val="24"/>
                <w:lang w:val="en-US" w:eastAsia="zh-CN"/>
              </w:rPr>
              <w:t>6000</w:t>
            </w:r>
          </w:p>
        </w:tc>
        <w:tc>
          <w:tcPr>
            <w:tcW w:w="595" w:type="pct"/>
            <w:tcBorders>
              <w:tl2br w:val="nil"/>
              <w:tr2bl w:val="nil"/>
            </w:tcBorders>
            <w:tcMar>
              <w:top w:w="16" w:type="dxa"/>
              <w:left w:w="16" w:type="dxa"/>
              <w:right w:w="16" w:type="dxa"/>
            </w:tcMar>
            <w:vAlign w:val="center"/>
          </w:tcPr>
          <w:p w14:paraId="670787C2">
            <w:pPr>
              <w:pStyle w:val="53"/>
              <w:rPr>
                <w:b w:val="0"/>
                <w:bCs w:val="0"/>
                <w:color w:val="auto"/>
                <w:sz w:val="24"/>
                <w:szCs w:val="24"/>
              </w:rPr>
            </w:pPr>
            <w:r>
              <w:rPr>
                <w:rFonts w:hint="eastAsia"/>
                <w:b w:val="0"/>
                <w:bCs w:val="0"/>
                <w:color w:val="auto"/>
                <w:sz w:val="24"/>
                <w:szCs w:val="24"/>
              </w:rPr>
              <w:t>环保投资</w:t>
            </w:r>
          </w:p>
          <w:p w14:paraId="44621682">
            <w:pPr>
              <w:pStyle w:val="53"/>
              <w:rPr>
                <w:b w:val="0"/>
                <w:bCs w:val="0"/>
                <w:color w:val="auto"/>
                <w:sz w:val="24"/>
                <w:szCs w:val="24"/>
              </w:rPr>
            </w:pPr>
            <w:r>
              <w:rPr>
                <w:rFonts w:hint="eastAsia"/>
                <w:b w:val="0"/>
                <w:bCs w:val="0"/>
                <w:color w:val="auto"/>
                <w:sz w:val="24"/>
                <w:szCs w:val="24"/>
              </w:rPr>
              <w:t>（万元）</w:t>
            </w:r>
          </w:p>
        </w:tc>
        <w:tc>
          <w:tcPr>
            <w:tcW w:w="2495" w:type="pct"/>
            <w:tcBorders>
              <w:tl2br w:val="nil"/>
              <w:tr2bl w:val="nil"/>
            </w:tcBorders>
            <w:vAlign w:val="center"/>
          </w:tcPr>
          <w:p w14:paraId="28F0087F">
            <w:pPr>
              <w:pStyle w:val="53"/>
              <w:rPr>
                <w:rFonts w:hint="default" w:eastAsia="宋体"/>
                <w:b w:val="0"/>
                <w:bCs w:val="0"/>
                <w:color w:val="auto"/>
                <w:sz w:val="24"/>
                <w:szCs w:val="24"/>
                <w:lang w:val="en-US" w:eastAsia="zh-CN"/>
              </w:rPr>
            </w:pPr>
            <w:r>
              <w:rPr>
                <w:rFonts w:hint="eastAsia"/>
                <w:b w:val="0"/>
                <w:bCs w:val="0"/>
                <w:color w:val="auto"/>
                <w:sz w:val="24"/>
                <w:szCs w:val="24"/>
                <w:lang w:val="en-US" w:eastAsia="zh-CN"/>
              </w:rPr>
              <w:t>60</w:t>
            </w:r>
          </w:p>
        </w:tc>
      </w:tr>
      <w:tr w14:paraId="0590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tcMar>
              <w:top w:w="16" w:type="dxa"/>
              <w:left w:w="16" w:type="dxa"/>
              <w:right w:w="16" w:type="dxa"/>
            </w:tcMar>
            <w:vAlign w:val="center"/>
          </w:tcPr>
          <w:p w14:paraId="5CE4F62E">
            <w:pPr>
              <w:pStyle w:val="53"/>
              <w:rPr>
                <w:b w:val="0"/>
                <w:bCs w:val="0"/>
                <w:color w:val="auto"/>
                <w:sz w:val="24"/>
                <w:szCs w:val="24"/>
              </w:rPr>
            </w:pPr>
            <w:r>
              <w:rPr>
                <w:rFonts w:hint="eastAsia"/>
                <w:b w:val="0"/>
                <w:bCs w:val="0"/>
                <w:color w:val="auto"/>
                <w:sz w:val="24"/>
                <w:szCs w:val="24"/>
              </w:rPr>
              <w:t>环保投资占比</w:t>
            </w:r>
          </w:p>
          <w:p w14:paraId="157D46BE">
            <w:pPr>
              <w:pStyle w:val="53"/>
              <w:rPr>
                <w:b w:val="0"/>
                <w:bCs w:val="0"/>
                <w:color w:val="auto"/>
                <w:sz w:val="24"/>
                <w:szCs w:val="24"/>
              </w:rPr>
            </w:pPr>
            <w:r>
              <w:rPr>
                <w:rFonts w:hint="eastAsia"/>
                <w:b w:val="0"/>
                <w:bCs w:val="0"/>
                <w:color w:val="auto"/>
                <w:sz w:val="24"/>
                <w:szCs w:val="24"/>
              </w:rPr>
              <w:t>（</w:t>
            </w:r>
            <w:r>
              <w:rPr>
                <w:b w:val="0"/>
                <w:bCs w:val="0"/>
                <w:color w:val="auto"/>
                <w:sz w:val="24"/>
                <w:szCs w:val="24"/>
              </w:rPr>
              <w:t>%</w:t>
            </w:r>
            <w:r>
              <w:rPr>
                <w:rFonts w:hint="eastAsia"/>
                <w:b w:val="0"/>
                <w:bCs w:val="0"/>
                <w:color w:val="auto"/>
                <w:sz w:val="24"/>
                <w:szCs w:val="24"/>
              </w:rPr>
              <w:t>）</w:t>
            </w:r>
          </w:p>
        </w:tc>
        <w:tc>
          <w:tcPr>
            <w:tcW w:w="851" w:type="pct"/>
            <w:tcBorders>
              <w:tl2br w:val="nil"/>
              <w:tr2bl w:val="nil"/>
            </w:tcBorders>
            <w:vAlign w:val="center"/>
          </w:tcPr>
          <w:p w14:paraId="684B45EA">
            <w:pPr>
              <w:pStyle w:val="53"/>
              <w:rPr>
                <w:rFonts w:hint="default" w:eastAsia="宋体"/>
                <w:b w:val="0"/>
                <w:bCs w:val="0"/>
                <w:color w:val="auto"/>
                <w:sz w:val="24"/>
                <w:szCs w:val="24"/>
                <w:lang w:val="en-US" w:eastAsia="zh-CN"/>
              </w:rPr>
            </w:pPr>
            <w:r>
              <w:rPr>
                <w:rFonts w:hint="eastAsia"/>
                <w:b w:val="0"/>
                <w:bCs w:val="0"/>
                <w:color w:val="auto"/>
                <w:sz w:val="24"/>
                <w:szCs w:val="24"/>
                <w:lang w:val="en-US" w:eastAsia="zh-CN"/>
              </w:rPr>
              <w:t>1</w:t>
            </w:r>
          </w:p>
        </w:tc>
        <w:tc>
          <w:tcPr>
            <w:tcW w:w="595" w:type="pct"/>
            <w:tcBorders>
              <w:tl2br w:val="nil"/>
              <w:tr2bl w:val="nil"/>
            </w:tcBorders>
            <w:tcMar>
              <w:top w:w="16" w:type="dxa"/>
              <w:left w:w="16" w:type="dxa"/>
              <w:right w:w="16" w:type="dxa"/>
            </w:tcMar>
            <w:vAlign w:val="center"/>
          </w:tcPr>
          <w:p w14:paraId="56A80E5D">
            <w:pPr>
              <w:pStyle w:val="53"/>
              <w:rPr>
                <w:b w:val="0"/>
                <w:bCs w:val="0"/>
                <w:color w:val="auto"/>
                <w:sz w:val="24"/>
                <w:szCs w:val="24"/>
              </w:rPr>
            </w:pPr>
            <w:r>
              <w:rPr>
                <w:rFonts w:hint="eastAsia"/>
                <w:b w:val="0"/>
                <w:bCs w:val="0"/>
                <w:color w:val="auto"/>
                <w:sz w:val="24"/>
                <w:szCs w:val="24"/>
              </w:rPr>
              <w:t>施工工期</w:t>
            </w:r>
          </w:p>
        </w:tc>
        <w:tc>
          <w:tcPr>
            <w:tcW w:w="2495" w:type="pct"/>
            <w:tcBorders>
              <w:tl2br w:val="nil"/>
              <w:tr2bl w:val="nil"/>
            </w:tcBorders>
            <w:vAlign w:val="center"/>
          </w:tcPr>
          <w:p w14:paraId="56B138E8">
            <w:pPr>
              <w:pStyle w:val="53"/>
              <w:rPr>
                <w:rFonts w:hint="default" w:eastAsia="宋体"/>
                <w:b w:val="0"/>
                <w:bCs w:val="0"/>
                <w:color w:val="auto"/>
                <w:sz w:val="24"/>
                <w:szCs w:val="24"/>
                <w:lang w:val="en-US" w:eastAsia="zh-CN"/>
              </w:rPr>
            </w:pPr>
            <w:r>
              <w:rPr>
                <w:rFonts w:hint="eastAsia"/>
                <w:b w:val="0"/>
                <w:bCs w:val="0"/>
                <w:color w:val="auto"/>
                <w:sz w:val="24"/>
                <w:szCs w:val="24"/>
                <w:lang w:val="en-US" w:eastAsia="zh-CN"/>
              </w:rPr>
              <w:t>3个月</w:t>
            </w:r>
          </w:p>
        </w:tc>
      </w:tr>
      <w:tr w14:paraId="2141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tcMar>
              <w:top w:w="16" w:type="dxa"/>
              <w:left w:w="16" w:type="dxa"/>
              <w:right w:w="16" w:type="dxa"/>
            </w:tcMar>
            <w:vAlign w:val="center"/>
          </w:tcPr>
          <w:p w14:paraId="51DA7686">
            <w:pPr>
              <w:pStyle w:val="53"/>
              <w:rPr>
                <w:b w:val="0"/>
                <w:bCs w:val="0"/>
                <w:color w:val="auto"/>
                <w:sz w:val="24"/>
                <w:szCs w:val="24"/>
              </w:rPr>
            </w:pPr>
            <w:r>
              <w:rPr>
                <w:rFonts w:hint="eastAsia"/>
                <w:b w:val="0"/>
                <w:bCs w:val="0"/>
                <w:color w:val="auto"/>
                <w:sz w:val="24"/>
                <w:szCs w:val="24"/>
              </w:rPr>
              <w:t>是否开工建设</w:t>
            </w:r>
          </w:p>
        </w:tc>
        <w:tc>
          <w:tcPr>
            <w:tcW w:w="851" w:type="pct"/>
            <w:tcBorders>
              <w:tl2br w:val="nil"/>
              <w:tr2bl w:val="nil"/>
            </w:tcBorders>
            <w:vAlign w:val="center"/>
          </w:tcPr>
          <w:p w14:paraId="4BE1C8AA">
            <w:pPr>
              <w:pStyle w:val="53"/>
              <w:jc w:val="left"/>
              <w:rPr>
                <w:b w:val="0"/>
                <w:bCs w:val="0"/>
                <w:color w:val="auto"/>
                <w:sz w:val="24"/>
                <w:szCs w:val="24"/>
              </w:rPr>
            </w:pPr>
            <w:r>
              <w:rPr>
                <w:rFonts w:hint="eastAsia" w:ascii="宋体" w:hAnsi="宋体"/>
                <w:b w:val="0"/>
                <w:bCs w:val="0"/>
                <w:color w:val="auto"/>
                <w:lang w:eastAsia="zh-CN"/>
              </w:rPr>
              <w:t>☑</w:t>
            </w:r>
            <w:r>
              <w:rPr>
                <w:rFonts w:hint="eastAsia"/>
                <w:b w:val="0"/>
                <w:bCs w:val="0"/>
                <w:color w:val="auto"/>
                <w:sz w:val="24"/>
                <w:szCs w:val="24"/>
              </w:rPr>
              <w:t>否</w:t>
            </w:r>
          </w:p>
          <w:p w14:paraId="3B70DA8E">
            <w:pPr>
              <w:pStyle w:val="53"/>
              <w:jc w:val="left"/>
              <w:rPr>
                <w:b w:val="0"/>
                <w:bCs w:val="0"/>
                <w:color w:val="auto"/>
                <w:sz w:val="24"/>
                <w:szCs w:val="24"/>
              </w:rPr>
            </w:pPr>
            <w:r>
              <w:rPr>
                <w:rFonts w:hint="eastAsia" w:ascii="宋体" w:hAnsi="宋体"/>
                <w:b w:val="0"/>
                <w:bCs w:val="0"/>
                <w:color w:val="auto"/>
                <w:lang w:eastAsia="zh-CN"/>
              </w:rPr>
              <w:t>□</w:t>
            </w:r>
            <w:r>
              <w:rPr>
                <w:rFonts w:hint="eastAsia"/>
                <w:b w:val="0"/>
                <w:bCs w:val="0"/>
                <w:color w:val="auto"/>
                <w:sz w:val="24"/>
                <w:szCs w:val="24"/>
              </w:rPr>
              <w:t>是：</w:t>
            </w:r>
            <w:r>
              <w:rPr>
                <w:rFonts w:hint="eastAsia"/>
                <w:b w:val="0"/>
                <w:bCs w:val="0"/>
                <w:color w:val="auto"/>
                <w:sz w:val="24"/>
                <w:szCs w:val="24"/>
                <w:u w:val="single"/>
              </w:rPr>
              <w:t xml:space="preserve">         </w:t>
            </w:r>
            <w:r>
              <w:rPr>
                <w:rFonts w:hint="eastAsia"/>
                <w:b w:val="0"/>
                <w:bCs w:val="0"/>
                <w:color w:val="auto"/>
                <w:sz w:val="24"/>
                <w:szCs w:val="24"/>
              </w:rPr>
              <w:t xml:space="preserve">    </w:t>
            </w:r>
          </w:p>
        </w:tc>
        <w:tc>
          <w:tcPr>
            <w:tcW w:w="595" w:type="pct"/>
            <w:tcBorders>
              <w:tl2br w:val="nil"/>
              <w:tr2bl w:val="nil"/>
            </w:tcBorders>
            <w:tcMar>
              <w:top w:w="16" w:type="dxa"/>
              <w:left w:w="16" w:type="dxa"/>
              <w:right w:w="16" w:type="dxa"/>
            </w:tcMar>
            <w:vAlign w:val="center"/>
          </w:tcPr>
          <w:p w14:paraId="7FE8A2BF">
            <w:pPr>
              <w:pStyle w:val="53"/>
              <w:rPr>
                <w:b w:val="0"/>
                <w:bCs w:val="0"/>
                <w:color w:val="auto"/>
                <w:sz w:val="24"/>
                <w:szCs w:val="24"/>
              </w:rPr>
            </w:pPr>
            <w:r>
              <w:rPr>
                <w:rFonts w:hint="eastAsia"/>
                <w:b w:val="0"/>
                <w:bCs w:val="0"/>
                <w:color w:val="auto"/>
                <w:sz w:val="24"/>
                <w:szCs w:val="24"/>
              </w:rPr>
              <w:t>用地面积</w:t>
            </w:r>
          </w:p>
          <w:p w14:paraId="3698B119">
            <w:pPr>
              <w:pStyle w:val="53"/>
              <w:rPr>
                <w:b w:val="0"/>
                <w:bCs w:val="0"/>
                <w:color w:val="auto"/>
                <w:sz w:val="24"/>
                <w:szCs w:val="24"/>
              </w:rPr>
            </w:pPr>
            <w:r>
              <w:rPr>
                <w:rFonts w:hint="eastAsia"/>
                <w:b w:val="0"/>
                <w:bCs w:val="0"/>
                <w:color w:val="auto"/>
                <w:sz w:val="24"/>
                <w:szCs w:val="24"/>
              </w:rPr>
              <w:t>（</w:t>
            </w:r>
            <w:r>
              <w:rPr>
                <w:b w:val="0"/>
                <w:bCs w:val="0"/>
                <w:color w:val="auto"/>
                <w:sz w:val="24"/>
                <w:szCs w:val="24"/>
              </w:rPr>
              <w:t>m</w:t>
            </w:r>
            <w:r>
              <w:rPr>
                <w:b w:val="0"/>
                <w:bCs w:val="0"/>
                <w:color w:val="auto"/>
                <w:sz w:val="24"/>
                <w:szCs w:val="24"/>
                <w:vertAlign w:val="superscript"/>
              </w:rPr>
              <w:t>2</w:t>
            </w:r>
            <w:r>
              <w:rPr>
                <w:rFonts w:hint="eastAsia"/>
                <w:b w:val="0"/>
                <w:bCs w:val="0"/>
                <w:color w:val="auto"/>
                <w:sz w:val="24"/>
                <w:szCs w:val="24"/>
              </w:rPr>
              <w:t>）</w:t>
            </w:r>
          </w:p>
        </w:tc>
        <w:tc>
          <w:tcPr>
            <w:tcW w:w="2495" w:type="pct"/>
            <w:tcBorders>
              <w:tl2br w:val="nil"/>
              <w:tr2bl w:val="nil"/>
            </w:tcBorders>
            <w:vAlign w:val="center"/>
          </w:tcPr>
          <w:p w14:paraId="0CF3DB75">
            <w:pPr>
              <w:pStyle w:val="53"/>
              <w:rPr>
                <w:rFonts w:hint="default" w:eastAsia="宋体"/>
                <w:b w:val="0"/>
                <w:bCs w:val="0"/>
                <w:color w:val="auto"/>
                <w:sz w:val="24"/>
                <w:szCs w:val="24"/>
                <w:lang w:val="en-US" w:eastAsia="zh-CN"/>
              </w:rPr>
            </w:pPr>
            <w:r>
              <w:rPr>
                <w:rFonts w:hint="eastAsia"/>
                <w:b w:val="0"/>
                <w:bCs/>
                <w:color w:val="auto"/>
                <w:sz w:val="24"/>
                <w:szCs w:val="24"/>
                <w:lang w:val="en-US" w:eastAsia="zh-CN"/>
              </w:rPr>
              <w:t>2716.07</w:t>
            </w:r>
          </w:p>
        </w:tc>
      </w:tr>
      <w:tr w14:paraId="23AD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vAlign w:val="center"/>
          </w:tcPr>
          <w:p w14:paraId="01C50D7F">
            <w:pPr>
              <w:pStyle w:val="53"/>
              <w:rPr>
                <w:rFonts w:hint="eastAsia"/>
                <w:b w:val="0"/>
                <w:bCs w:val="0"/>
                <w:color w:val="auto"/>
                <w:sz w:val="24"/>
                <w:szCs w:val="24"/>
              </w:rPr>
            </w:pPr>
            <w:r>
              <w:rPr>
                <w:rFonts w:hint="eastAsia"/>
                <w:b w:val="0"/>
                <w:bCs w:val="0"/>
                <w:color w:val="auto"/>
                <w:sz w:val="24"/>
                <w:szCs w:val="24"/>
              </w:rPr>
              <w:t>专项评价设置</w:t>
            </w:r>
          </w:p>
          <w:p w14:paraId="4F3C2089">
            <w:pPr>
              <w:pStyle w:val="53"/>
              <w:rPr>
                <w:b w:val="0"/>
                <w:bCs w:val="0"/>
                <w:color w:val="auto"/>
                <w:sz w:val="24"/>
                <w:szCs w:val="24"/>
              </w:rPr>
            </w:pPr>
            <w:r>
              <w:rPr>
                <w:rFonts w:hint="eastAsia"/>
                <w:b w:val="0"/>
                <w:bCs w:val="0"/>
                <w:color w:val="auto"/>
                <w:sz w:val="24"/>
                <w:szCs w:val="24"/>
              </w:rPr>
              <w:t>情况</w:t>
            </w:r>
          </w:p>
        </w:tc>
        <w:tc>
          <w:tcPr>
            <w:tcW w:w="3942" w:type="pct"/>
            <w:gridSpan w:val="3"/>
            <w:tcBorders>
              <w:tl2br w:val="nil"/>
              <w:tr2bl w:val="nil"/>
            </w:tcBorders>
            <w:vAlign w:val="center"/>
          </w:tcPr>
          <w:p w14:paraId="725ACB08">
            <w:pPr>
              <w:pStyle w:val="53"/>
              <w:rPr>
                <w:b w:val="0"/>
                <w:bCs w:val="0"/>
                <w:color w:val="auto"/>
                <w:sz w:val="24"/>
                <w:szCs w:val="24"/>
              </w:rPr>
            </w:pPr>
            <w:r>
              <w:rPr>
                <w:rFonts w:hint="eastAsia"/>
                <w:b w:val="0"/>
                <w:bCs w:val="0"/>
                <w:color w:val="auto"/>
                <w:sz w:val="24"/>
                <w:szCs w:val="24"/>
              </w:rPr>
              <w:t>无</w:t>
            </w:r>
          </w:p>
        </w:tc>
      </w:tr>
      <w:tr w14:paraId="0484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vAlign w:val="center"/>
          </w:tcPr>
          <w:p w14:paraId="7B10D536">
            <w:pPr>
              <w:pStyle w:val="53"/>
              <w:rPr>
                <w:b w:val="0"/>
                <w:bCs w:val="0"/>
                <w:color w:val="auto"/>
                <w:sz w:val="24"/>
                <w:szCs w:val="24"/>
              </w:rPr>
            </w:pPr>
            <w:r>
              <w:rPr>
                <w:rFonts w:hint="eastAsia"/>
                <w:b w:val="0"/>
                <w:bCs w:val="0"/>
                <w:color w:val="auto"/>
                <w:sz w:val="24"/>
                <w:szCs w:val="24"/>
              </w:rPr>
              <w:t>规划情况</w:t>
            </w:r>
          </w:p>
        </w:tc>
        <w:tc>
          <w:tcPr>
            <w:tcW w:w="3942" w:type="pct"/>
            <w:gridSpan w:val="3"/>
            <w:tcBorders>
              <w:tl2br w:val="nil"/>
              <w:tr2bl w:val="nil"/>
            </w:tcBorders>
            <w:vAlign w:val="center"/>
          </w:tcPr>
          <w:p w14:paraId="7F4C58F6">
            <w:pPr>
              <w:pStyle w:val="53"/>
              <w:jc w:val="left"/>
              <w:rPr>
                <w:rFonts w:hint="eastAsia" w:eastAsia="宋体"/>
                <w:b w:val="0"/>
                <w:bCs w:val="0"/>
                <w:color w:val="auto"/>
                <w:sz w:val="24"/>
                <w:szCs w:val="24"/>
                <w:lang w:eastAsia="zh-CN"/>
              </w:rPr>
            </w:pPr>
            <w:r>
              <w:rPr>
                <w:rFonts w:hint="eastAsia"/>
                <w:b w:val="0"/>
                <w:bCs w:val="0"/>
                <w:color w:val="auto"/>
                <w:sz w:val="24"/>
                <w:szCs w:val="24"/>
              </w:rPr>
              <w:t>规划名称：《安徽省泗县县城总体规划（2014-2030年）》</w:t>
            </w:r>
          </w:p>
        </w:tc>
      </w:tr>
      <w:tr w14:paraId="5A5F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vAlign w:val="center"/>
          </w:tcPr>
          <w:p w14:paraId="28575623">
            <w:pPr>
              <w:pStyle w:val="53"/>
              <w:rPr>
                <w:b w:val="0"/>
                <w:bCs w:val="0"/>
                <w:color w:val="auto"/>
                <w:sz w:val="24"/>
                <w:szCs w:val="24"/>
              </w:rPr>
            </w:pPr>
            <w:r>
              <w:rPr>
                <w:rFonts w:hint="eastAsia"/>
                <w:b w:val="0"/>
                <w:bCs w:val="0"/>
                <w:color w:val="auto"/>
                <w:sz w:val="24"/>
                <w:szCs w:val="24"/>
              </w:rPr>
              <w:t>规划环境影响评价情况</w:t>
            </w:r>
          </w:p>
        </w:tc>
        <w:tc>
          <w:tcPr>
            <w:tcW w:w="3942" w:type="pct"/>
            <w:gridSpan w:val="3"/>
            <w:tcBorders>
              <w:tl2br w:val="nil"/>
              <w:tr2bl w:val="nil"/>
            </w:tcBorders>
            <w:vAlign w:val="center"/>
          </w:tcPr>
          <w:p w14:paraId="4F3D2740">
            <w:pPr>
              <w:pStyle w:val="53"/>
              <w:jc w:val="center"/>
              <w:rPr>
                <w:rFonts w:hint="eastAsia" w:eastAsia="宋体"/>
                <w:b w:val="0"/>
                <w:bCs w:val="0"/>
                <w:color w:val="auto"/>
                <w:sz w:val="24"/>
                <w:szCs w:val="24"/>
                <w:lang w:eastAsia="zh-CN"/>
              </w:rPr>
            </w:pPr>
            <w:r>
              <w:rPr>
                <w:rFonts w:hint="eastAsia"/>
                <w:b w:val="0"/>
                <w:bCs w:val="0"/>
                <w:color w:val="auto"/>
                <w:sz w:val="24"/>
                <w:szCs w:val="24"/>
                <w:lang w:eastAsia="zh-CN"/>
              </w:rPr>
              <w:t>无</w:t>
            </w:r>
          </w:p>
        </w:tc>
      </w:tr>
      <w:tr w14:paraId="4AE17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vAlign w:val="center"/>
          </w:tcPr>
          <w:p w14:paraId="298ABAA6">
            <w:pPr>
              <w:pStyle w:val="53"/>
              <w:rPr>
                <w:b w:val="0"/>
                <w:bCs w:val="0"/>
                <w:color w:val="auto"/>
              </w:rPr>
            </w:pPr>
            <w:r>
              <w:rPr>
                <w:rFonts w:hint="eastAsia"/>
                <w:b w:val="0"/>
                <w:bCs w:val="0"/>
                <w:color w:val="auto"/>
                <w:sz w:val="24"/>
                <w:szCs w:val="24"/>
              </w:rPr>
              <w:t>规划及规划环境影响评价符合性分析</w:t>
            </w:r>
          </w:p>
        </w:tc>
        <w:tc>
          <w:tcPr>
            <w:tcW w:w="3942" w:type="pct"/>
            <w:gridSpan w:val="3"/>
            <w:tcBorders>
              <w:tl2br w:val="nil"/>
              <w:tr2bl w:val="nil"/>
            </w:tcBorders>
            <w:vAlign w:val="center"/>
          </w:tcPr>
          <w:p w14:paraId="08523630">
            <w:pPr>
              <w:ind w:left="0" w:leftChars="0" w:firstLine="0" w:firstLineChars="0"/>
              <w:jc w:val="center"/>
              <w:rPr>
                <w:b w:val="0"/>
                <w:bCs w:val="0"/>
                <w:color w:val="auto"/>
              </w:rPr>
            </w:pPr>
            <w:r>
              <w:rPr>
                <w:rFonts w:hint="eastAsia"/>
                <w:b w:val="0"/>
                <w:bCs w:val="0"/>
                <w:color w:val="auto"/>
                <w:lang w:eastAsia="zh-CN"/>
              </w:rPr>
              <w:t>无</w:t>
            </w:r>
          </w:p>
        </w:tc>
      </w:tr>
      <w:tr w14:paraId="1247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1057" w:type="pct"/>
            <w:tcBorders>
              <w:tl2br w:val="nil"/>
              <w:tr2bl w:val="nil"/>
            </w:tcBorders>
            <w:vAlign w:val="center"/>
          </w:tcPr>
          <w:p w14:paraId="5B789893">
            <w:pPr>
              <w:pStyle w:val="53"/>
              <w:rPr>
                <w:b w:val="0"/>
                <w:bCs w:val="0"/>
                <w:color w:val="auto"/>
              </w:rPr>
            </w:pPr>
            <w:r>
              <w:rPr>
                <w:rFonts w:hint="eastAsia"/>
                <w:b w:val="0"/>
                <w:bCs w:val="0"/>
                <w:color w:val="auto"/>
                <w:sz w:val="24"/>
                <w:szCs w:val="24"/>
              </w:rPr>
              <w:t>其他符合性分析</w:t>
            </w:r>
          </w:p>
        </w:tc>
        <w:tc>
          <w:tcPr>
            <w:tcW w:w="3942" w:type="pct"/>
            <w:gridSpan w:val="3"/>
            <w:tcBorders>
              <w:tl2br w:val="nil"/>
              <w:tr2bl w:val="nil"/>
            </w:tcBorders>
            <w:vAlign w:val="center"/>
          </w:tcPr>
          <w:p w14:paraId="3C7ACCA0">
            <w:pPr>
              <w:pStyle w:val="118"/>
              <w:widowControl/>
              <w:spacing w:line="360" w:lineRule="auto"/>
              <w:ind w:firstLine="480" w:firstLineChars="200"/>
              <w:jc w:val="both"/>
              <w:rPr>
                <w:b w:val="0"/>
                <w:bCs w:val="0"/>
                <w:color w:val="auto"/>
              </w:rPr>
            </w:pPr>
            <w:r>
              <w:rPr>
                <w:b w:val="0"/>
                <w:bCs w:val="0"/>
                <w:color w:val="auto"/>
              </w:rPr>
              <w:t>1、产业政策符合性分析</w:t>
            </w:r>
          </w:p>
          <w:p w14:paraId="64E7879E">
            <w:pPr>
              <w:spacing w:line="360" w:lineRule="auto"/>
              <w:ind w:firstLine="480" w:firstLineChars="200"/>
              <w:jc w:val="both"/>
              <w:rPr>
                <w:b w:val="0"/>
                <w:bCs w:val="0"/>
                <w:color w:val="auto"/>
              </w:rPr>
            </w:pPr>
            <w:r>
              <w:rPr>
                <w:b w:val="0"/>
                <w:bCs w:val="0"/>
                <w:color w:val="auto"/>
              </w:rPr>
              <w:t>根据《产业结构调整指导目录（20</w:t>
            </w:r>
            <w:r>
              <w:rPr>
                <w:rFonts w:hint="eastAsia"/>
                <w:b w:val="0"/>
                <w:bCs w:val="0"/>
                <w:color w:val="auto"/>
                <w:lang w:val="en-US" w:eastAsia="zh-CN"/>
              </w:rPr>
              <w:t>24</w:t>
            </w:r>
            <w:r>
              <w:rPr>
                <w:b w:val="0"/>
                <w:bCs w:val="0"/>
                <w:color w:val="auto"/>
              </w:rPr>
              <w:t>年本）》，本项目属于</w:t>
            </w:r>
            <w:r>
              <w:rPr>
                <w:rFonts w:hint="eastAsia"/>
                <w:b w:val="0"/>
                <w:bCs w:val="0"/>
                <w:color w:val="auto"/>
              </w:rPr>
              <w:t>“鼓励类”第三十七条“卫生健康”中“医疗卫生服务设施建设”</w:t>
            </w:r>
            <w:r>
              <w:rPr>
                <w:b w:val="0"/>
                <w:bCs w:val="0"/>
                <w:color w:val="auto"/>
              </w:rPr>
              <w:t>。</w:t>
            </w:r>
          </w:p>
          <w:p w14:paraId="25C464ED">
            <w:pPr>
              <w:adjustRightInd w:val="0"/>
              <w:snapToGrid w:val="0"/>
              <w:ind w:firstLine="480"/>
              <w:rPr>
                <w:rFonts w:hint="default" w:ascii="Times New Roman" w:hAnsi="Times New Roman" w:cs="Times New Roman"/>
                <w:color w:val="auto"/>
                <w:spacing w:val="0"/>
                <w:w w:val="100"/>
                <w:position w:val="0"/>
                <w:sz w:val="24"/>
                <w:szCs w:val="24"/>
                <w:lang w:val="en-US" w:eastAsia="zh-CN"/>
              </w:rPr>
            </w:pPr>
            <w:r>
              <w:rPr>
                <w:b w:val="0"/>
                <w:bCs w:val="0"/>
                <w:color w:val="auto"/>
                <w:highlight w:val="none"/>
              </w:rPr>
              <w:t>本项目已于202</w:t>
            </w:r>
            <w:r>
              <w:rPr>
                <w:rFonts w:hint="eastAsia"/>
                <w:b w:val="0"/>
                <w:bCs w:val="0"/>
                <w:color w:val="auto"/>
                <w:highlight w:val="none"/>
                <w:lang w:val="en-US" w:eastAsia="zh-CN"/>
              </w:rPr>
              <w:t>3</w:t>
            </w:r>
            <w:r>
              <w:rPr>
                <w:b w:val="0"/>
                <w:bCs w:val="0"/>
                <w:color w:val="auto"/>
                <w:highlight w:val="none"/>
              </w:rPr>
              <w:t>年</w:t>
            </w:r>
            <w:r>
              <w:rPr>
                <w:rFonts w:hint="eastAsia"/>
                <w:b w:val="0"/>
                <w:bCs w:val="0"/>
                <w:color w:val="auto"/>
                <w:highlight w:val="none"/>
                <w:lang w:val="en-US" w:eastAsia="zh-CN"/>
              </w:rPr>
              <w:t>3</w:t>
            </w:r>
            <w:r>
              <w:rPr>
                <w:b w:val="0"/>
                <w:bCs w:val="0"/>
                <w:color w:val="auto"/>
                <w:highlight w:val="none"/>
              </w:rPr>
              <w:t>月</w:t>
            </w:r>
            <w:r>
              <w:rPr>
                <w:rFonts w:hint="eastAsia"/>
                <w:b w:val="0"/>
                <w:bCs w:val="0"/>
                <w:color w:val="auto"/>
                <w:highlight w:val="none"/>
                <w:lang w:val="en-US" w:eastAsia="zh-CN"/>
              </w:rPr>
              <w:t>6</w:t>
            </w:r>
            <w:r>
              <w:rPr>
                <w:b w:val="0"/>
                <w:bCs w:val="0"/>
                <w:color w:val="auto"/>
                <w:highlight w:val="none"/>
              </w:rPr>
              <w:t>日</w:t>
            </w:r>
            <w:r>
              <w:rPr>
                <w:rFonts w:hint="eastAsia"/>
                <w:b w:val="0"/>
                <w:bCs w:val="0"/>
                <w:color w:val="auto"/>
                <w:highlight w:val="none"/>
                <w:lang w:eastAsia="zh-CN"/>
              </w:rPr>
              <w:t>通过“研究</w:t>
            </w:r>
            <w:r>
              <w:rPr>
                <w:rFonts w:hint="eastAsia"/>
                <w:b w:val="0"/>
                <w:bCs w:val="0"/>
                <w:color w:val="auto"/>
                <w:highlight w:val="none"/>
                <w:lang w:val="en-US" w:eastAsia="zh-CN"/>
              </w:rPr>
              <w:t>上海初灿医疗管理有限公司设立泗县眼科专科医院项目的专题会议纪要</w:t>
            </w:r>
            <w:r>
              <w:rPr>
                <w:rFonts w:hint="eastAsia"/>
                <w:b w:val="0"/>
                <w:bCs w:val="0"/>
                <w:color w:val="auto"/>
                <w:highlight w:val="none"/>
                <w:lang w:eastAsia="zh-CN"/>
              </w:rPr>
              <w:t>”取得泗县人民政府同意</w:t>
            </w:r>
            <w:r>
              <w:rPr>
                <w:rFonts w:hint="eastAsia"/>
                <w:b w:val="0"/>
                <w:bCs w:val="0"/>
                <w:color w:val="auto"/>
                <w:highlight w:val="none"/>
                <w:lang w:val="en-US" w:eastAsia="zh-CN"/>
              </w:rPr>
              <w:t>上海初灿医疗管理有限公司在泗县设立眼科专科医院（附件2）。</w:t>
            </w:r>
            <w:r>
              <w:rPr>
                <w:rFonts w:hint="eastAsia" w:cs="Times New Roman"/>
                <w:color w:val="auto"/>
                <w:spacing w:val="0"/>
                <w:w w:val="100"/>
                <w:position w:val="0"/>
                <w:sz w:val="24"/>
                <w:szCs w:val="24"/>
                <w:lang w:val="en-US" w:eastAsia="zh-CN"/>
              </w:rPr>
              <w:t>并于2024年10月28日，取得泗县卫生健康委员会《关于宿州复兴眼科医院床位的情况说明》（附件3）。</w:t>
            </w:r>
          </w:p>
          <w:p w14:paraId="1C0A6083">
            <w:pPr>
              <w:spacing w:line="360" w:lineRule="auto"/>
              <w:ind w:firstLine="480" w:firstLineChars="200"/>
              <w:jc w:val="both"/>
              <w:rPr>
                <w:b w:val="0"/>
                <w:bCs w:val="0"/>
                <w:color w:val="auto"/>
                <w:highlight w:val="none"/>
              </w:rPr>
            </w:pPr>
            <w:r>
              <w:rPr>
                <w:b w:val="0"/>
                <w:bCs w:val="0"/>
                <w:color w:val="auto"/>
                <w:highlight w:val="none"/>
              </w:rPr>
              <w:t>因此，本项目的建设符合地方相关产业政策要求。</w:t>
            </w:r>
          </w:p>
          <w:p w14:paraId="30ABADEE">
            <w:pPr>
              <w:widowControl/>
              <w:ind w:firstLine="480" w:firstLineChars="200"/>
              <w:jc w:val="both"/>
              <w:rPr>
                <w:rFonts w:hint="eastAsia"/>
                <w:b w:val="0"/>
                <w:bCs w:val="0"/>
                <w:color w:val="auto"/>
                <w:lang w:val="en-US" w:eastAsia="zh-CN"/>
              </w:rPr>
            </w:pPr>
            <w:r>
              <w:rPr>
                <w:b w:val="0"/>
                <w:bCs w:val="0"/>
                <w:color w:val="auto"/>
              </w:rPr>
              <w:t>综上所述，本项目符合国家和地方产业政策要求。</w:t>
            </w:r>
          </w:p>
          <w:p w14:paraId="538EEDAF">
            <w:pPr>
              <w:ind w:firstLine="480" w:firstLineChars="200"/>
              <w:rPr>
                <w:rFonts w:hint="default"/>
                <w:b w:val="0"/>
                <w:bCs w:val="0"/>
                <w:color w:val="auto"/>
                <w:lang w:val="en-US" w:eastAsia="zh-CN"/>
              </w:rPr>
            </w:pPr>
            <w:r>
              <w:rPr>
                <w:rFonts w:hint="eastAsia"/>
                <w:b w:val="0"/>
                <w:bCs w:val="0"/>
                <w:color w:val="auto"/>
                <w:lang w:val="en-US" w:eastAsia="zh-CN"/>
              </w:rPr>
              <w:t>2、选址可行性分析</w:t>
            </w:r>
          </w:p>
          <w:p w14:paraId="6CB27025">
            <w:pPr>
              <w:spacing w:line="360" w:lineRule="auto"/>
              <w:ind w:firstLine="480" w:firstLineChars="200"/>
              <w:jc w:val="both"/>
              <w:rPr>
                <w:rFonts w:hint="default"/>
                <w:b w:val="0"/>
                <w:bCs w:val="0"/>
                <w:color w:val="auto"/>
                <w:lang w:val="en-US" w:eastAsia="zh-CN"/>
              </w:rPr>
            </w:pPr>
            <w:r>
              <w:rPr>
                <w:rFonts w:hint="eastAsia"/>
                <w:b w:val="0"/>
                <w:bCs w:val="0"/>
                <w:color w:val="auto"/>
                <w:lang w:val="en-US" w:eastAsia="zh-CN"/>
              </w:rPr>
              <w:t>（1）选址合理性分析</w:t>
            </w:r>
          </w:p>
          <w:p w14:paraId="3DAEBD82">
            <w:pPr>
              <w:spacing w:line="360" w:lineRule="auto"/>
              <w:ind w:firstLine="480" w:firstLineChars="200"/>
              <w:jc w:val="both"/>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项目租赁</w:t>
            </w:r>
            <w:r>
              <w:rPr>
                <w:rFonts w:hint="eastAsia" w:cs="宋体"/>
                <w:b w:val="0"/>
                <w:bCs w:val="0"/>
                <w:kern w:val="0"/>
                <w:sz w:val="24"/>
              </w:rPr>
              <w:t>泗县经济开发区</w:t>
            </w:r>
            <w:r>
              <w:rPr>
                <w:rFonts w:hint="eastAsia" w:cs="宋体"/>
                <w:b w:val="0"/>
                <w:bCs w:val="0"/>
                <w:kern w:val="0"/>
                <w:sz w:val="24"/>
                <w:lang w:val="en-US" w:eastAsia="zh-CN"/>
              </w:rPr>
              <w:t>朝阳路与汴河大道交叉口东侧</w:t>
            </w:r>
            <w:r>
              <w:rPr>
                <w:rFonts w:hint="default" w:ascii="Times New Roman" w:hAnsi="Times New Roman" w:cs="Times New Roman"/>
                <w:b w:val="0"/>
                <w:bCs w:val="0"/>
                <w:kern w:val="0"/>
                <w:sz w:val="24"/>
                <w:lang w:val="en-US" w:eastAsia="zh-CN"/>
              </w:rPr>
              <w:t>200m</w:t>
            </w:r>
            <w:r>
              <w:rPr>
                <w:rFonts w:hint="eastAsia" w:hAnsi="宋体"/>
                <w:b w:val="0"/>
                <w:bCs w:val="0"/>
                <w:sz w:val="24"/>
              </w:rPr>
              <w:t>泗县</w:t>
            </w:r>
            <w:r>
              <w:rPr>
                <w:rFonts w:hint="eastAsia" w:hAnsi="宋体"/>
                <w:b w:val="0"/>
                <w:bCs w:val="0"/>
                <w:sz w:val="24"/>
                <w:lang w:val="en-US" w:eastAsia="zh-CN"/>
              </w:rPr>
              <w:t>益民</w:t>
            </w:r>
            <w:r>
              <w:rPr>
                <w:rFonts w:hint="eastAsia" w:hAnsi="宋体"/>
                <w:b w:val="0"/>
                <w:bCs w:val="0"/>
                <w:sz w:val="24"/>
              </w:rPr>
              <w:t>公交</w:t>
            </w:r>
            <w:r>
              <w:rPr>
                <w:rFonts w:hint="eastAsia" w:hAnsi="宋体"/>
                <w:b w:val="0"/>
                <w:bCs w:val="0"/>
                <w:sz w:val="24"/>
                <w:lang w:val="en-US" w:eastAsia="zh-CN"/>
              </w:rPr>
              <w:t>运输有限责任</w:t>
            </w:r>
            <w:r>
              <w:rPr>
                <w:rFonts w:hint="eastAsia" w:hAnsi="宋体"/>
                <w:b w:val="0"/>
                <w:bCs w:val="0"/>
                <w:sz w:val="24"/>
              </w:rPr>
              <w:t>公司大楼1~6层，辅楼</w:t>
            </w:r>
            <w:r>
              <w:rPr>
                <w:rFonts w:hint="eastAsia" w:hAnsi="宋体"/>
                <w:b w:val="0"/>
                <w:bCs w:val="0"/>
                <w:sz w:val="24"/>
                <w:lang w:val="en-US" w:eastAsia="zh-CN"/>
              </w:rPr>
              <w:t>1</w:t>
            </w:r>
            <w:r>
              <w:rPr>
                <w:rFonts w:hint="eastAsia" w:hAnsi="宋体"/>
                <w:b w:val="0"/>
                <w:bCs w:val="0"/>
                <w:sz w:val="24"/>
              </w:rPr>
              <w:t>~</w:t>
            </w:r>
            <w:r>
              <w:rPr>
                <w:rFonts w:hint="eastAsia" w:hAnsi="宋体"/>
                <w:b w:val="0"/>
                <w:bCs w:val="0"/>
                <w:sz w:val="24"/>
                <w:lang w:val="en-US" w:eastAsia="zh-CN"/>
              </w:rPr>
              <w:t>2</w:t>
            </w:r>
            <w:r>
              <w:rPr>
                <w:rFonts w:hint="eastAsia" w:hAnsi="宋体"/>
                <w:b w:val="0"/>
                <w:bCs w:val="0"/>
                <w:sz w:val="24"/>
              </w:rPr>
              <w:t>层</w:t>
            </w:r>
            <w:r>
              <w:rPr>
                <w:rFonts w:hint="default" w:ascii="Times New Roman" w:hAnsi="Times New Roman" w:cs="Times New Roman"/>
                <w:b w:val="0"/>
                <w:bCs w:val="0"/>
                <w:color w:val="auto"/>
                <w:lang w:val="en-US" w:eastAsia="zh-CN"/>
              </w:rPr>
              <w:t>。</w:t>
            </w:r>
          </w:p>
          <w:p w14:paraId="71E8EBAA">
            <w:pPr>
              <w:pStyle w:val="35"/>
              <w:keepNext w:val="0"/>
              <w:keepLines w:val="0"/>
              <w:pageBreakBefore w:val="0"/>
              <w:widowControl w:val="0"/>
              <w:numPr>
                <w:ilvl w:val="1"/>
                <w:numId w:val="0"/>
              </w:numPr>
              <w:kinsoku/>
              <w:wordWrap/>
              <w:overflowPunct/>
              <w:topLinePunct w:val="0"/>
              <w:autoSpaceDE w:val="0"/>
              <w:autoSpaceDN w:val="0"/>
              <w:bidi w:val="0"/>
              <w:adjustRightInd/>
              <w:snapToGrid/>
              <w:spacing w:beforeLines="0" w:afterLines="0" w:line="360" w:lineRule="auto"/>
              <w:ind w:firstLine="480" w:firstLineChars="200"/>
              <w:jc w:val="both"/>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根据《关于调整医疗机构设置规划的通知》（合卫审批（2018）130号）：</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新增医疗机构建筑物的使用性质（以房屋产权证明或使用证明）除居民小区住宅性质的用房外，其它用房不做限制性要求，但环评、消防必须通过相关部门验收合格后，方可申请执业登记</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w:t>
            </w:r>
          </w:p>
          <w:p w14:paraId="659FAF85">
            <w:pPr>
              <w:pStyle w:val="35"/>
              <w:keepNext w:val="0"/>
              <w:keepLines w:val="0"/>
              <w:pageBreakBefore w:val="0"/>
              <w:widowControl w:val="0"/>
              <w:numPr>
                <w:ilvl w:val="1"/>
                <w:numId w:val="0"/>
              </w:numPr>
              <w:kinsoku/>
              <w:wordWrap/>
              <w:overflowPunct/>
              <w:topLinePunct w:val="0"/>
              <w:autoSpaceDE w:val="0"/>
              <w:autoSpaceDN w:val="0"/>
              <w:bidi w:val="0"/>
              <w:adjustRightInd/>
              <w:snapToGrid/>
              <w:spacing w:beforeLines="0" w:afterLines="0" w:line="360" w:lineRule="auto"/>
              <w:ind w:firstLine="480" w:firstLineChars="200"/>
              <w:jc w:val="both"/>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根据《安徽省泗县县城总体规划（2014-2030）》，本项目用地</w:t>
            </w:r>
            <w:r>
              <w:rPr>
                <w:rFonts w:hint="eastAsia" w:ascii="Times New Roman" w:cs="Times New Roman"/>
                <w:b w:val="0"/>
                <w:bCs w:val="0"/>
                <w:color w:val="auto"/>
                <w:lang w:val="en-US" w:eastAsia="zh-CN"/>
              </w:rPr>
              <w:t>不属于</w:t>
            </w:r>
            <w:r>
              <w:rPr>
                <w:rFonts w:hint="default" w:ascii="Times New Roman" w:hAnsi="Times New Roman" w:cs="Times New Roman"/>
                <w:b w:val="0"/>
                <w:bCs w:val="0"/>
                <w:color w:val="auto"/>
                <w:lang w:val="en-US" w:eastAsia="zh-CN"/>
              </w:rPr>
              <w:t>居住用地。符合《关于调整医疗机构设置规划的通知》（合卫审批（2018）130号）的相关要求。</w:t>
            </w:r>
          </w:p>
          <w:p w14:paraId="2EDB26C9">
            <w:pPr>
              <w:pStyle w:val="35"/>
              <w:keepNext w:val="0"/>
              <w:keepLines w:val="0"/>
              <w:pageBreakBefore w:val="0"/>
              <w:widowControl w:val="0"/>
              <w:numPr>
                <w:ilvl w:val="1"/>
                <w:numId w:val="0"/>
              </w:numPr>
              <w:kinsoku/>
              <w:wordWrap/>
              <w:overflowPunct/>
              <w:topLinePunct w:val="0"/>
              <w:autoSpaceDE w:val="0"/>
              <w:autoSpaceDN w:val="0"/>
              <w:bidi w:val="0"/>
              <w:adjustRightInd/>
              <w:snapToGrid/>
              <w:spacing w:beforeLines="0" w:afterLines="0" w:line="360" w:lineRule="auto"/>
              <w:ind w:firstLine="480" w:firstLineChars="200"/>
              <w:jc w:val="both"/>
              <w:textAlignment w:val="auto"/>
              <w:rPr>
                <w:rFonts w:hint="default" w:ascii="Times New Roman" w:hAnsi="Times New Roman" w:cs="Times New Roman"/>
                <w:b w:val="0"/>
                <w:bCs w:val="0"/>
                <w:color w:val="auto"/>
                <w:lang w:val="en-US" w:eastAsia="zh-CN"/>
              </w:rPr>
            </w:pPr>
            <w:r>
              <w:rPr>
                <w:rFonts w:hint="eastAsia" w:ascii="Times New Roman" w:cs="Times New Roman"/>
                <w:b w:val="0"/>
                <w:bCs w:val="0"/>
                <w:color w:val="auto"/>
                <w:lang w:val="en-US" w:eastAsia="zh-CN"/>
              </w:rPr>
              <w:t>参考</w:t>
            </w:r>
            <w:r>
              <w:rPr>
                <w:rFonts w:hint="default" w:ascii="Times New Roman" w:hAnsi="Times New Roman" w:cs="Times New Roman"/>
                <w:b w:val="0"/>
                <w:bCs w:val="0"/>
                <w:color w:val="auto"/>
                <w:lang w:val="en-US" w:eastAsia="zh-CN"/>
              </w:rPr>
              <w:t>《</w:t>
            </w:r>
            <w:r>
              <w:rPr>
                <w:rFonts w:hint="eastAsia" w:ascii="Times New Roman" w:cs="Times New Roman"/>
                <w:b w:val="0"/>
                <w:bCs w:val="0"/>
                <w:color w:val="auto"/>
                <w:lang w:val="en-US" w:eastAsia="zh-CN"/>
              </w:rPr>
              <w:t>综合</w:t>
            </w:r>
            <w:r>
              <w:rPr>
                <w:rFonts w:hint="default" w:ascii="Times New Roman" w:hAnsi="Times New Roman" w:cs="Times New Roman"/>
                <w:b w:val="0"/>
                <w:bCs w:val="0"/>
                <w:color w:val="auto"/>
                <w:lang w:val="en-US" w:eastAsia="zh-CN"/>
              </w:rPr>
              <w:t>医院</w:t>
            </w:r>
            <w:r>
              <w:rPr>
                <w:rFonts w:hint="eastAsia" w:ascii="Times New Roman" w:cs="Times New Roman"/>
                <w:b w:val="0"/>
                <w:bCs w:val="0"/>
                <w:color w:val="auto"/>
                <w:lang w:val="en-US" w:eastAsia="zh-CN"/>
              </w:rPr>
              <w:t>建筑设计规范</w:t>
            </w:r>
            <w:r>
              <w:rPr>
                <w:rFonts w:hint="default" w:ascii="Times New Roman" w:hAnsi="Times New Roman" w:cs="Times New Roman"/>
                <w:b w:val="0"/>
                <w:bCs w:val="0"/>
                <w:color w:val="auto"/>
                <w:lang w:val="en-US" w:eastAsia="zh-CN"/>
              </w:rPr>
              <w:t>》</w:t>
            </w:r>
            <w:r>
              <w:rPr>
                <w:rFonts w:hint="eastAsia" w:ascii="Times New Roman" w:cs="Times New Roman"/>
                <w:b w:val="0"/>
                <w:bCs w:val="0"/>
                <w:color w:val="auto"/>
                <w:lang w:val="en-US" w:eastAsia="zh-CN"/>
              </w:rPr>
              <w:t>（GB51039-2014）</w:t>
            </w:r>
            <w:r>
              <w:rPr>
                <w:rFonts w:hint="default" w:ascii="Times New Roman" w:hAnsi="Times New Roman" w:cs="Times New Roman"/>
                <w:b w:val="0"/>
                <w:bCs w:val="0"/>
                <w:color w:val="auto"/>
                <w:lang w:val="en-US" w:eastAsia="zh-CN"/>
              </w:rPr>
              <w:t>：</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综合医院的选址应满足交通、安静、卫生、安全、环保等方面的基本要求</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1</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交通方便，宜面临2条城市道路；2</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宜便于利用城市基础设施；3</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环境宜安静，应远离污染源；4</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地形宜力求规整，适宜医院功能布局；5</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远离易燃、易爆物品的生产和储存区，并应远离高压线路及其设施；6</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不应临近少年儿童活动密集场所；7</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不应污染、影响城市的其他区域</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w:t>
            </w:r>
          </w:p>
          <w:p w14:paraId="566C17A2">
            <w:pPr>
              <w:pStyle w:val="35"/>
              <w:keepNext w:val="0"/>
              <w:keepLines w:val="0"/>
              <w:pageBreakBefore w:val="0"/>
              <w:widowControl w:val="0"/>
              <w:numPr>
                <w:ilvl w:val="1"/>
                <w:numId w:val="0"/>
              </w:numPr>
              <w:kinsoku/>
              <w:wordWrap/>
              <w:overflowPunct/>
              <w:topLinePunct w:val="0"/>
              <w:autoSpaceDE w:val="0"/>
              <w:autoSpaceDN w:val="0"/>
              <w:bidi w:val="0"/>
              <w:adjustRightInd/>
              <w:snapToGrid/>
              <w:spacing w:beforeLines="0" w:afterLines="0" w:line="360" w:lineRule="auto"/>
              <w:ind w:firstLine="480" w:firstLineChars="200"/>
              <w:jc w:val="both"/>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项目位于</w:t>
            </w:r>
            <w:r>
              <w:rPr>
                <w:rFonts w:hint="eastAsia" w:cs="宋体"/>
                <w:b w:val="0"/>
                <w:bCs w:val="0"/>
                <w:kern w:val="0"/>
                <w:sz w:val="24"/>
              </w:rPr>
              <w:t>泗县经济开发区</w:t>
            </w:r>
            <w:r>
              <w:rPr>
                <w:rFonts w:hint="eastAsia" w:cs="宋体"/>
                <w:b w:val="0"/>
                <w:bCs w:val="0"/>
                <w:kern w:val="0"/>
                <w:sz w:val="24"/>
                <w:lang w:val="en-US" w:eastAsia="zh-CN"/>
              </w:rPr>
              <w:t>朝阳路与汴河大道交叉口东侧</w:t>
            </w:r>
            <w:r>
              <w:rPr>
                <w:rFonts w:hint="default" w:ascii="Times New Roman" w:hAnsi="Times New Roman" w:cs="Times New Roman"/>
                <w:b w:val="0"/>
                <w:bCs w:val="0"/>
                <w:kern w:val="0"/>
                <w:sz w:val="24"/>
                <w:lang w:val="en-US" w:eastAsia="zh-CN"/>
              </w:rPr>
              <w:t>200m</w:t>
            </w:r>
            <w:r>
              <w:rPr>
                <w:rFonts w:hint="default" w:ascii="Times New Roman" w:hAnsi="Times New Roman" w:cs="Times New Roman"/>
                <w:b w:val="0"/>
                <w:bCs w:val="0"/>
                <w:color w:val="auto"/>
                <w:lang w:val="en-US" w:eastAsia="zh-CN"/>
              </w:rPr>
              <w:t>，项目东</w:t>
            </w:r>
            <w:r>
              <w:rPr>
                <w:rFonts w:hint="eastAsia" w:ascii="Times New Roman" w:cs="Times New Roman"/>
                <w:b w:val="0"/>
                <w:bCs w:val="0"/>
                <w:color w:val="auto"/>
                <w:lang w:val="en-US" w:eastAsia="zh-CN"/>
              </w:rPr>
              <w:t>侧为林地</w:t>
            </w:r>
            <w:r>
              <w:rPr>
                <w:rFonts w:hint="default" w:ascii="Times New Roman" w:hAnsi="Times New Roman" w:cs="Times New Roman"/>
                <w:b w:val="0"/>
                <w:bCs w:val="0"/>
                <w:color w:val="auto"/>
                <w:lang w:val="en-US" w:eastAsia="zh-CN"/>
              </w:rPr>
              <w:t>，西</w:t>
            </w:r>
            <w:r>
              <w:rPr>
                <w:rFonts w:hint="eastAsia" w:ascii="Times New Roman" w:cs="Times New Roman"/>
                <w:b w:val="0"/>
                <w:bCs w:val="0"/>
                <w:color w:val="auto"/>
                <w:lang w:val="en-US" w:eastAsia="zh-CN"/>
              </w:rPr>
              <w:t>侧</w:t>
            </w:r>
            <w:r>
              <w:rPr>
                <w:rFonts w:hint="default" w:ascii="Times New Roman" w:hAnsi="Times New Roman" w:cs="Times New Roman"/>
                <w:b w:val="0"/>
                <w:bCs w:val="0"/>
                <w:color w:val="auto"/>
                <w:lang w:val="en-US" w:eastAsia="zh-CN"/>
              </w:rPr>
              <w:t>为</w:t>
            </w:r>
            <w:r>
              <w:rPr>
                <w:rFonts w:hint="eastAsia" w:ascii="Times New Roman" w:cs="Times New Roman"/>
                <w:b w:val="0"/>
                <w:bCs w:val="0"/>
                <w:color w:val="auto"/>
                <w:lang w:val="en-US" w:eastAsia="zh-CN"/>
              </w:rPr>
              <w:t>中国电信泗县分公司</w:t>
            </w:r>
            <w:r>
              <w:rPr>
                <w:rFonts w:hint="default" w:ascii="Times New Roman" w:hAnsi="Times New Roman" w:cs="Times New Roman"/>
                <w:b w:val="0"/>
                <w:bCs w:val="0"/>
                <w:color w:val="auto"/>
                <w:lang w:val="en-US" w:eastAsia="zh-CN"/>
              </w:rPr>
              <w:t>，南</w:t>
            </w:r>
            <w:r>
              <w:rPr>
                <w:rFonts w:hint="eastAsia" w:ascii="Times New Roman" w:cs="Times New Roman"/>
                <w:b w:val="0"/>
                <w:bCs w:val="0"/>
                <w:color w:val="auto"/>
                <w:lang w:val="en-US" w:eastAsia="zh-CN"/>
              </w:rPr>
              <w:t>侧</w:t>
            </w:r>
            <w:r>
              <w:rPr>
                <w:rFonts w:hint="default" w:ascii="Times New Roman" w:hAnsi="Times New Roman" w:cs="Times New Roman"/>
                <w:b w:val="0"/>
                <w:bCs w:val="0"/>
                <w:color w:val="auto"/>
                <w:lang w:val="en-US" w:eastAsia="zh-CN"/>
              </w:rPr>
              <w:t>为</w:t>
            </w:r>
            <w:r>
              <w:rPr>
                <w:rFonts w:hint="eastAsia" w:ascii="Times New Roman" w:cs="Times New Roman"/>
                <w:b w:val="0"/>
                <w:bCs w:val="0"/>
                <w:color w:val="auto"/>
                <w:lang w:val="en-US" w:eastAsia="zh-CN"/>
              </w:rPr>
              <w:t>空地，北侧为汴河大道</w:t>
            </w:r>
            <w:r>
              <w:rPr>
                <w:rFonts w:hint="default" w:ascii="Times New Roman" w:hAnsi="Times New Roman" w:cs="Times New Roman"/>
                <w:b w:val="0"/>
                <w:bCs w:val="0"/>
                <w:color w:val="auto"/>
                <w:lang w:val="en-US" w:eastAsia="zh-CN"/>
              </w:rPr>
              <w:t>。</w:t>
            </w:r>
            <w:r>
              <w:rPr>
                <w:rFonts w:hint="eastAsia" w:ascii="Times New Roman" w:cs="Times New Roman"/>
                <w:b w:val="0"/>
                <w:bCs w:val="0"/>
                <w:color w:val="auto"/>
                <w:lang w:val="en-US" w:eastAsia="zh-CN"/>
              </w:rPr>
              <w:t>项目500m范围内有泗州枫景、汴光新村、和顺紫悦府、登达·东城美郡等居民住宅区，</w:t>
            </w:r>
            <w:r>
              <w:rPr>
                <w:rFonts w:hint="eastAsia"/>
                <w:b w:val="0"/>
                <w:bCs w:val="0"/>
                <w:color w:val="auto"/>
                <w:lang w:val="en-US" w:eastAsia="zh-CN"/>
              </w:rPr>
              <w:t>可以扩充周边地区的医疗资源，为周边居民就医提供便利，故本项目选址合理。</w:t>
            </w:r>
          </w:p>
          <w:p w14:paraId="6D0D7A7C">
            <w:pPr>
              <w:pStyle w:val="35"/>
              <w:keepNext w:val="0"/>
              <w:keepLines w:val="0"/>
              <w:pageBreakBefore w:val="0"/>
              <w:widowControl w:val="0"/>
              <w:numPr>
                <w:ilvl w:val="1"/>
                <w:numId w:val="0"/>
              </w:numPr>
              <w:kinsoku/>
              <w:wordWrap/>
              <w:overflowPunct/>
              <w:topLinePunct w:val="0"/>
              <w:autoSpaceDE w:val="0"/>
              <w:autoSpaceDN w:val="0"/>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cs="Times New Roman"/>
                <w:b w:val="0"/>
                <w:bCs w:val="0"/>
                <w:color w:val="auto"/>
                <w:lang w:val="en-US" w:eastAsia="zh-CN"/>
              </w:rPr>
              <w:t>（2）</w:t>
            </w:r>
            <w:r>
              <w:rPr>
                <w:rFonts w:hint="default" w:ascii="Times New Roman" w:hAnsi="Times New Roman" w:cs="Times New Roman"/>
                <w:b w:val="0"/>
                <w:bCs w:val="0"/>
                <w:color w:val="auto"/>
                <w:kern w:val="2"/>
                <w:sz w:val="24"/>
                <w:szCs w:val="24"/>
                <w:lang w:val="en-US" w:eastAsia="zh-CN" w:bidi="ar-SA"/>
              </w:rPr>
              <w:t>与周边环境相容性</w:t>
            </w:r>
            <w:r>
              <w:rPr>
                <w:rFonts w:hint="default" w:ascii="Times New Roman" w:hAnsi="Times New Roman" w:eastAsia="宋体" w:cs="Times New Roman"/>
                <w:b w:val="0"/>
                <w:bCs w:val="0"/>
                <w:color w:val="auto"/>
                <w:kern w:val="2"/>
                <w:sz w:val="24"/>
                <w:szCs w:val="24"/>
                <w:lang w:val="en-US" w:eastAsia="zh-CN" w:bidi="ar-SA"/>
              </w:rPr>
              <w:t>分析</w:t>
            </w:r>
          </w:p>
          <w:p w14:paraId="723C5094">
            <w:pPr>
              <w:ind w:firstLine="480" w:firstLineChars="200"/>
              <w:jc w:val="both"/>
              <w:rPr>
                <w:rFonts w:hint="eastAsia"/>
                <w:b w:val="0"/>
                <w:bCs w:val="0"/>
                <w:color w:val="auto"/>
                <w:lang w:val="en-US" w:eastAsia="zh-CN"/>
              </w:rPr>
            </w:pPr>
            <w:r>
              <w:rPr>
                <w:rFonts w:hint="eastAsia"/>
                <w:b w:val="0"/>
                <w:bCs w:val="0"/>
                <w:color w:val="auto"/>
                <w:lang w:val="en-US" w:eastAsia="zh-CN"/>
              </w:rPr>
              <w:t>本项目位于</w:t>
            </w:r>
            <w:r>
              <w:rPr>
                <w:rFonts w:hint="eastAsia" w:cs="宋体"/>
                <w:b w:val="0"/>
                <w:bCs w:val="0"/>
                <w:kern w:val="0"/>
                <w:sz w:val="24"/>
              </w:rPr>
              <w:t>泗县经济开发区</w:t>
            </w:r>
            <w:r>
              <w:rPr>
                <w:rFonts w:hint="eastAsia" w:cs="宋体"/>
                <w:b w:val="0"/>
                <w:bCs w:val="0"/>
                <w:kern w:val="0"/>
                <w:sz w:val="24"/>
                <w:lang w:val="en-US" w:eastAsia="zh-CN"/>
              </w:rPr>
              <w:t>朝阳路与汴河大道交叉口东侧</w:t>
            </w:r>
            <w:r>
              <w:rPr>
                <w:rFonts w:hint="default" w:ascii="Times New Roman" w:hAnsi="Times New Roman" w:cs="Times New Roman"/>
                <w:b w:val="0"/>
                <w:bCs w:val="0"/>
                <w:kern w:val="0"/>
                <w:sz w:val="24"/>
                <w:lang w:val="en-US" w:eastAsia="zh-CN"/>
              </w:rPr>
              <w:t>200m</w:t>
            </w:r>
            <w:r>
              <w:rPr>
                <w:rFonts w:hint="eastAsia"/>
                <w:b w:val="0"/>
                <w:bCs w:val="0"/>
                <w:color w:val="auto"/>
                <w:lang w:val="en-US" w:eastAsia="zh-CN"/>
              </w:rPr>
              <w:t>，项目</w:t>
            </w:r>
            <w:r>
              <w:rPr>
                <w:rFonts w:hint="eastAsia" w:ascii="Times New Roman" w:cs="Times New Roman"/>
                <w:b w:val="0"/>
                <w:bCs w:val="0"/>
                <w:color w:val="auto"/>
                <w:lang w:val="en-US" w:eastAsia="zh-CN"/>
              </w:rPr>
              <w:t>500m范围内有泗州枫景、汴光新村、和顺紫悦府、登达·东城美郡等居民住宅区</w:t>
            </w:r>
            <w:r>
              <w:rPr>
                <w:rFonts w:hint="eastAsia"/>
                <w:b w:val="0"/>
                <w:bCs w:val="0"/>
                <w:color w:val="auto"/>
                <w:lang w:val="en-US" w:eastAsia="zh-CN"/>
              </w:rPr>
              <w:t>，北侧为汴河大道，出行交通便利，设施完善，能为周围居民提供眼部诊疗，能够有效准确的匹配周边居民的需求。周边无自然保护区、风景名胜区及其他需要特殊保护的区域。</w:t>
            </w:r>
          </w:p>
          <w:p w14:paraId="47332509">
            <w:pPr>
              <w:pStyle w:val="35"/>
              <w:keepNext w:val="0"/>
              <w:keepLines w:val="0"/>
              <w:pageBreakBefore w:val="0"/>
              <w:widowControl w:val="0"/>
              <w:numPr>
                <w:ilvl w:val="1"/>
                <w:numId w:val="0"/>
              </w:numPr>
              <w:kinsoku/>
              <w:wordWrap/>
              <w:overflowPunct/>
              <w:topLinePunct w:val="0"/>
              <w:autoSpaceDE w:val="0"/>
              <w:autoSpaceDN w:val="0"/>
              <w:bidi w:val="0"/>
              <w:adjustRightInd/>
              <w:snapToGrid/>
              <w:spacing w:beforeLines="0" w:afterLines="0" w:line="360" w:lineRule="auto"/>
              <w:ind w:firstLine="480" w:firstLineChars="200"/>
              <w:jc w:val="both"/>
              <w:textAlignment w:val="auto"/>
              <w:rPr>
                <w:rFonts w:hint="default" w:ascii="Times New Roman" w:hAnsi="Times New Roman" w:cs="Times New Roman"/>
                <w:b w:val="0"/>
                <w:bCs w:val="0"/>
                <w:color w:val="auto"/>
                <w:lang w:val="en-US" w:eastAsia="zh-CN"/>
              </w:rPr>
            </w:pPr>
            <w:r>
              <w:rPr>
                <w:rFonts w:hint="default" w:ascii="Times New Roman" w:hAnsi="Times New Roman" w:cs="Times New Roman"/>
                <w:b w:val="0"/>
                <w:bCs w:val="0"/>
                <w:color w:val="auto"/>
                <w:lang w:val="en-US" w:eastAsia="zh-CN"/>
              </w:rPr>
              <w:t>项目</w:t>
            </w:r>
            <w:r>
              <w:rPr>
                <w:rFonts w:hint="eastAsia" w:ascii="Times New Roman" w:hAnsi="Times New Roman" w:cs="Times New Roman"/>
                <w:b w:val="0"/>
                <w:bCs w:val="0"/>
                <w:color w:val="auto"/>
                <w:lang w:val="en-US" w:eastAsia="zh-CN"/>
              </w:rPr>
              <w:t>厂界</w:t>
            </w:r>
            <w:r>
              <w:rPr>
                <w:rFonts w:hint="default" w:ascii="Times New Roman" w:hAnsi="Times New Roman" w:cs="Times New Roman"/>
                <w:b w:val="0"/>
                <w:bCs w:val="0"/>
                <w:color w:val="auto"/>
                <w:lang w:val="en-US" w:eastAsia="zh-CN"/>
              </w:rPr>
              <w:t>50m 范围内无生产型工业企业，无工业</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三废</w:t>
            </w:r>
            <w:r>
              <w:rPr>
                <w:rFonts w:hint="eastAsia" w:ascii="Times New Roman" w:cs="Times New Roman"/>
                <w:b w:val="0"/>
                <w:bCs w:val="0"/>
                <w:color w:val="auto"/>
                <w:lang w:val="en-US" w:eastAsia="zh-CN"/>
              </w:rPr>
              <w:t>”</w:t>
            </w:r>
            <w:r>
              <w:rPr>
                <w:rFonts w:hint="default" w:ascii="Times New Roman" w:hAnsi="Times New Roman" w:cs="Times New Roman"/>
                <w:b w:val="0"/>
                <w:bCs w:val="0"/>
                <w:color w:val="auto"/>
                <w:lang w:val="en-US" w:eastAsia="zh-CN"/>
              </w:rPr>
              <w:t>污染，不会对项目诊疗产生明显影响。项目</w:t>
            </w:r>
            <w:r>
              <w:rPr>
                <w:rFonts w:hint="eastAsia" w:ascii="Times New Roman" w:cs="Times New Roman"/>
                <w:b w:val="0"/>
                <w:bCs w:val="0"/>
                <w:color w:val="auto"/>
                <w:lang w:val="en-US" w:eastAsia="zh-CN"/>
              </w:rPr>
              <w:t>北</w:t>
            </w:r>
            <w:r>
              <w:rPr>
                <w:rFonts w:hint="default" w:ascii="Times New Roman" w:hAnsi="Times New Roman" w:cs="Times New Roman"/>
                <w:b w:val="0"/>
                <w:bCs w:val="0"/>
                <w:color w:val="auto"/>
                <w:lang w:val="en-US" w:eastAsia="zh-CN"/>
              </w:rPr>
              <w:t>侧</w:t>
            </w:r>
            <w:r>
              <w:rPr>
                <w:rFonts w:hint="eastAsia" w:ascii="Times New Roman" w:cs="Times New Roman"/>
                <w:b w:val="0"/>
                <w:bCs w:val="0"/>
                <w:color w:val="auto"/>
                <w:lang w:val="en-US" w:eastAsia="zh-CN"/>
              </w:rPr>
              <w:t>汴河</w:t>
            </w:r>
            <w:r>
              <w:rPr>
                <w:rFonts w:hint="eastAsia" w:ascii="Times New Roman" w:hAnsi="Times New Roman" w:cs="Times New Roman"/>
                <w:b w:val="0"/>
                <w:bCs w:val="0"/>
                <w:color w:val="auto"/>
                <w:lang w:val="en-US" w:eastAsia="zh-CN"/>
              </w:rPr>
              <w:t>大道</w:t>
            </w:r>
            <w:r>
              <w:rPr>
                <w:rFonts w:hint="default" w:ascii="Times New Roman" w:hAnsi="Times New Roman" w:cs="Times New Roman"/>
                <w:b w:val="0"/>
                <w:bCs w:val="0"/>
                <w:color w:val="auto"/>
                <w:lang w:val="en-US" w:eastAsia="zh-CN"/>
              </w:rPr>
              <w:t>为城市主干道及快速路，其交通运行噪声可能会对项目产生一定影响，项目采取了</w:t>
            </w:r>
            <w:r>
              <w:rPr>
                <w:rFonts w:hint="eastAsia" w:ascii="Times New Roman" w:hAnsi="Times New Roman" w:cs="Times New Roman"/>
                <w:b w:val="0"/>
                <w:bCs w:val="0"/>
                <w:color w:val="auto"/>
                <w:lang w:val="en-US" w:eastAsia="zh-CN"/>
              </w:rPr>
              <w:t>在</w:t>
            </w:r>
            <w:r>
              <w:rPr>
                <w:rFonts w:hint="default" w:ascii="Times New Roman" w:hAnsi="Times New Roman" w:cs="Times New Roman"/>
                <w:b w:val="0"/>
                <w:bCs w:val="0"/>
                <w:color w:val="auto"/>
                <w:lang w:val="en-US" w:eastAsia="zh-CN"/>
              </w:rPr>
              <w:t>临路一侧房间安装隔声窗，非必要不开窗等措施，在采取上述措施后，项目外环境不会对医院病人及医生产生干扰，不会对医院的运营产生明显影响</w:t>
            </w:r>
            <w:r>
              <w:rPr>
                <w:rFonts w:hint="eastAsia" w:ascii="Times New Roman" w:hAnsi="Times New Roman" w:cs="Times New Roman"/>
                <w:b w:val="0"/>
                <w:bCs w:val="0"/>
                <w:color w:val="auto"/>
                <w:lang w:val="en-US" w:eastAsia="zh-CN"/>
              </w:rPr>
              <w:t>。</w:t>
            </w:r>
          </w:p>
          <w:p w14:paraId="55D6E669">
            <w:pPr>
              <w:pStyle w:val="35"/>
              <w:keepNext w:val="0"/>
              <w:keepLines w:val="0"/>
              <w:pageBreakBefore w:val="0"/>
              <w:widowControl w:val="0"/>
              <w:numPr>
                <w:ilvl w:val="1"/>
                <w:numId w:val="0"/>
              </w:numPr>
              <w:kinsoku/>
              <w:wordWrap/>
              <w:overflowPunct/>
              <w:topLinePunct w:val="0"/>
              <w:autoSpaceDE w:val="0"/>
              <w:autoSpaceDN w:val="0"/>
              <w:bidi w:val="0"/>
              <w:adjustRightInd/>
              <w:snapToGrid/>
              <w:spacing w:beforeLines="0" w:afterLines="0" w:line="360" w:lineRule="auto"/>
              <w:ind w:firstLine="480" w:firstLineChars="200"/>
              <w:jc w:val="both"/>
              <w:textAlignment w:val="auto"/>
              <w:rPr>
                <w:rFonts w:hint="eastAsia" w:ascii="Times New Roman" w:cs="Times New Roman"/>
                <w:b w:val="0"/>
                <w:bCs w:val="0"/>
                <w:color w:val="auto"/>
                <w:lang w:val="en-US" w:eastAsia="zh-CN"/>
              </w:rPr>
            </w:pPr>
            <w:r>
              <w:rPr>
                <w:rFonts w:hint="default" w:ascii="Times New Roman" w:hAnsi="Times New Roman" w:cs="Times New Roman"/>
                <w:b w:val="0"/>
                <w:bCs w:val="0"/>
                <w:color w:val="auto"/>
                <w:lang w:val="en-US" w:eastAsia="zh-CN"/>
              </w:rPr>
              <w:t>根据环境影响分析，医疗废水经院区污水处理站处理后满足泗县污水处理厂接管要求，</w:t>
            </w:r>
            <w:r>
              <w:rPr>
                <w:rFonts w:hint="eastAsia" w:ascii="Times New Roman" w:cs="Times New Roman"/>
                <w:b w:val="0"/>
                <w:bCs w:val="0"/>
                <w:color w:val="auto"/>
                <w:lang w:val="en-US" w:eastAsia="zh-CN"/>
              </w:rPr>
              <w:t>项目产噪设备经隔声降噪、定期维护，排放的污染物对评价区域环境敏感目标影响较小。</w:t>
            </w:r>
          </w:p>
          <w:p w14:paraId="4B6D9845">
            <w:pPr>
              <w:pStyle w:val="35"/>
              <w:keepNext w:val="0"/>
              <w:keepLines w:val="0"/>
              <w:pageBreakBefore w:val="0"/>
              <w:widowControl w:val="0"/>
              <w:numPr>
                <w:ilvl w:val="1"/>
                <w:numId w:val="0"/>
              </w:numPr>
              <w:kinsoku/>
              <w:wordWrap/>
              <w:overflowPunct/>
              <w:topLinePunct w:val="0"/>
              <w:autoSpaceDE w:val="0"/>
              <w:autoSpaceDN w:val="0"/>
              <w:bidi w:val="0"/>
              <w:adjustRightInd/>
              <w:snapToGrid/>
              <w:spacing w:beforeLines="0" w:afterLines="0" w:line="360" w:lineRule="auto"/>
              <w:ind w:firstLine="480" w:firstLineChars="200"/>
              <w:jc w:val="both"/>
              <w:textAlignment w:val="auto"/>
              <w:rPr>
                <w:rFonts w:hint="eastAsia"/>
                <w:b w:val="0"/>
                <w:bCs w:val="0"/>
                <w:color w:val="auto"/>
                <w:lang w:val="en-US" w:eastAsia="zh-CN"/>
              </w:rPr>
            </w:pPr>
            <w:r>
              <w:rPr>
                <w:rFonts w:hint="default" w:ascii="Times New Roman" w:hAnsi="Times New Roman" w:cs="Times New Roman"/>
                <w:b w:val="0"/>
                <w:bCs w:val="0"/>
                <w:color w:val="auto"/>
                <w:lang w:val="en-US" w:eastAsia="zh-CN"/>
              </w:rPr>
              <w:t>因此，在严格落实报告表提出的各项措施和建议的前提下，</w:t>
            </w:r>
            <w:r>
              <w:rPr>
                <w:rFonts w:hint="eastAsia"/>
                <w:b w:val="0"/>
                <w:bCs w:val="0"/>
                <w:color w:val="auto"/>
                <w:lang w:val="en-US" w:eastAsia="zh-CN"/>
              </w:rPr>
              <w:t>项目与周边环境相容。</w:t>
            </w:r>
          </w:p>
          <w:p w14:paraId="6B38ACBA">
            <w:pPr>
              <w:ind w:firstLine="480" w:firstLineChars="200"/>
              <w:rPr>
                <w:b w:val="0"/>
                <w:bCs w:val="0"/>
                <w:color w:val="auto"/>
                <w:lang w:bidi="ar"/>
              </w:rPr>
            </w:pPr>
            <w:r>
              <w:rPr>
                <w:rFonts w:hint="eastAsia"/>
                <w:b w:val="0"/>
                <w:bCs w:val="0"/>
                <w:color w:val="auto"/>
                <w:lang w:val="en-US" w:eastAsia="zh-CN"/>
              </w:rPr>
              <w:t>3、</w:t>
            </w:r>
            <w:r>
              <w:rPr>
                <w:rFonts w:hint="eastAsia"/>
                <w:b w:val="0"/>
                <w:bCs w:val="0"/>
                <w:color w:val="auto"/>
              </w:rPr>
              <w:t>与泗县卫生健康“十四五”规划方案（2021-2025）的相符性分析</w:t>
            </w:r>
          </w:p>
          <w:p w14:paraId="21E6E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lang w:bidi="ar"/>
              </w:rPr>
              <w:t>表1-</w:t>
            </w:r>
            <w:r>
              <w:rPr>
                <w:rFonts w:hint="eastAsia"/>
                <w:b/>
                <w:bCs/>
                <w:color w:val="auto"/>
                <w:sz w:val="21"/>
                <w:szCs w:val="21"/>
                <w:lang w:val="en-US" w:eastAsia="zh-CN" w:bidi="ar"/>
              </w:rPr>
              <w:t>1</w:t>
            </w:r>
            <w:r>
              <w:rPr>
                <w:b/>
                <w:bCs/>
                <w:color w:val="auto"/>
                <w:sz w:val="21"/>
                <w:szCs w:val="21"/>
                <w:lang w:bidi="ar"/>
              </w:rPr>
              <w:t xml:space="preserve"> 与</w:t>
            </w:r>
            <w:r>
              <w:rPr>
                <w:rFonts w:hint="eastAsia"/>
                <w:b/>
                <w:bCs/>
                <w:color w:val="auto"/>
                <w:sz w:val="21"/>
                <w:szCs w:val="21"/>
              </w:rPr>
              <w:t>泗县卫生健康“十四五”规划方案（2021-2025）的相符性</w:t>
            </w:r>
            <w:r>
              <w:rPr>
                <w:b/>
                <w:bCs/>
                <w:color w:val="auto"/>
                <w:sz w:val="21"/>
                <w:szCs w:val="21"/>
                <w:lang w:bidi="ar"/>
              </w:rPr>
              <w:t>分析一览表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775"/>
              <w:gridCol w:w="2506"/>
              <w:gridCol w:w="2090"/>
              <w:gridCol w:w="774"/>
            </w:tblGrid>
            <w:tr w14:paraId="5CB9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72" w:type="dxa"/>
                  <w:vAlign w:val="center"/>
                </w:tcPr>
                <w:p w14:paraId="52036D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lang w:bidi="ar"/>
                    </w:rPr>
                  </w:pPr>
                  <w:r>
                    <w:rPr>
                      <w:b/>
                      <w:bCs/>
                      <w:color w:val="auto"/>
                      <w:sz w:val="21"/>
                      <w:szCs w:val="21"/>
                      <w:lang w:bidi="ar"/>
                    </w:rPr>
                    <w:t>序号</w:t>
                  </w:r>
                </w:p>
              </w:tc>
              <w:tc>
                <w:tcPr>
                  <w:tcW w:w="3605" w:type="dxa"/>
                  <w:gridSpan w:val="2"/>
                  <w:vAlign w:val="center"/>
                </w:tcPr>
                <w:p w14:paraId="1D5200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lang w:bidi="ar"/>
                    </w:rPr>
                  </w:pPr>
                  <w:r>
                    <w:rPr>
                      <w:rFonts w:hint="eastAsia"/>
                      <w:b/>
                      <w:bCs/>
                      <w:color w:val="auto"/>
                      <w:sz w:val="21"/>
                      <w:szCs w:val="21"/>
                    </w:rPr>
                    <w:t>泗县卫生健康“十四五”规划方案（2021-2025）</w:t>
                  </w:r>
                </w:p>
              </w:tc>
              <w:tc>
                <w:tcPr>
                  <w:tcW w:w="2304" w:type="dxa"/>
                  <w:vAlign w:val="center"/>
                </w:tcPr>
                <w:p w14:paraId="2CCE0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lang w:bidi="ar"/>
                    </w:rPr>
                  </w:pPr>
                  <w:r>
                    <w:rPr>
                      <w:b/>
                      <w:bCs/>
                      <w:color w:val="auto"/>
                      <w:sz w:val="21"/>
                      <w:szCs w:val="21"/>
                      <w:lang w:bidi="ar"/>
                    </w:rPr>
                    <w:t>项目情况</w:t>
                  </w:r>
                </w:p>
              </w:tc>
              <w:tc>
                <w:tcPr>
                  <w:tcW w:w="837" w:type="dxa"/>
                  <w:vAlign w:val="center"/>
                </w:tcPr>
                <w:p w14:paraId="27E931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lang w:bidi="ar"/>
                    </w:rPr>
                  </w:pPr>
                  <w:r>
                    <w:rPr>
                      <w:b/>
                      <w:bCs/>
                      <w:color w:val="auto"/>
                      <w:sz w:val="21"/>
                      <w:szCs w:val="21"/>
                      <w:lang w:bidi="ar"/>
                    </w:rPr>
                    <w:t>相符性</w:t>
                  </w:r>
                </w:p>
              </w:tc>
            </w:tr>
            <w:tr w14:paraId="1A6B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672" w:type="dxa"/>
                  <w:vAlign w:val="center"/>
                </w:tcPr>
                <w:p w14:paraId="5FF96F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val="0"/>
                      <w:color w:val="auto"/>
                      <w:sz w:val="21"/>
                      <w:szCs w:val="21"/>
                      <w:lang w:bidi="ar"/>
                    </w:rPr>
                  </w:pPr>
                  <w:r>
                    <w:rPr>
                      <w:rFonts w:hint="eastAsia"/>
                      <w:b w:val="0"/>
                      <w:bCs w:val="0"/>
                      <w:color w:val="auto"/>
                      <w:sz w:val="21"/>
                      <w:szCs w:val="21"/>
                      <w:lang w:bidi="ar"/>
                    </w:rPr>
                    <w:t>1</w:t>
                  </w:r>
                </w:p>
              </w:tc>
              <w:tc>
                <w:tcPr>
                  <w:tcW w:w="838" w:type="dxa"/>
                  <w:shd w:val="clear" w:color="auto" w:fill="auto"/>
                  <w:vAlign w:val="center"/>
                </w:tcPr>
                <w:p w14:paraId="72653D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val="0"/>
                      <w:color w:val="auto"/>
                    </w:rPr>
                  </w:pPr>
                  <w:r>
                    <w:rPr>
                      <w:rFonts w:hint="eastAsia" w:ascii="宋体" w:hAnsi="宋体" w:cs="宋体"/>
                      <w:b w:val="0"/>
                      <w:bCs w:val="0"/>
                      <w:color w:val="auto"/>
                      <w:sz w:val="21"/>
                      <w:szCs w:val="21"/>
                      <w:shd w:val="clear" w:color="auto" w:fill="FFFFFF"/>
                    </w:rPr>
                    <w:t>鼓励社会资本办医</w:t>
                  </w:r>
                </w:p>
              </w:tc>
              <w:tc>
                <w:tcPr>
                  <w:tcW w:w="2767" w:type="dxa"/>
                  <w:shd w:val="clear" w:color="auto" w:fill="auto"/>
                  <w:vAlign w:val="center"/>
                </w:tcPr>
                <w:p w14:paraId="40572A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val="0"/>
                      <w:color w:val="auto"/>
                      <w:sz w:val="21"/>
                      <w:szCs w:val="21"/>
                      <w:lang w:bidi="ar"/>
                    </w:rPr>
                  </w:pPr>
                  <w:r>
                    <w:rPr>
                      <w:rFonts w:hint="eastAsia" w:ascii="宋体" w:hAnsi="宋体" w:cs="宋体"/>
                      <w:b w:val="0"/>
                      <w:bCs w:val="0"/>
                      <w:color w:val="auto"/>
                      <w:sz w:val="21"/>
                      <w:szCs w:val="21"/>
                      <w:shd w:val="clear" w:color="auto" w:fill="FFFFFF"/>
                    </w:rPr>
                    <w:t>鼓励社会力量举办规模化、差异化的医疗机构，鼓励社会资本发展提供儿科、康复、老年护理等基本医疗服务，投资发展相对薄弱且需求潜力大的专科机构。推进社会资本发展多样医疗服务，不断满足群众多层次、多样化的健康服务需求</w:t>
                  </w:r>
                </w:p>
              </w:tc>
              <w:tc>
                <w:tcPr>
                  <w:tcW w:w="2304" w:type="dxa"/>
                  <w:shd w:val="clear" w:color="auto" w:fill="auto"/>
                  <w:vAlign w:val="center"/>
                </w:tcPr>
                <w:p w14:paraId="51637C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val="0"/>
                      <w:bCs w:val="0"/>
                      <w:color w:val="auto"/>
                      <w:sz w:val="21"/>
                      <w:szCs w:val="21"/>
                      <w:lang w:eastAsia="zh-CN" w:bidi="ar"/>
                    </w:rPr>
                  </w:pPr>
                  <w:r>
                    <w:rPr>
                      <w:rFonts w:hint="eastAsia"/>
                      <w:b w:val="0"/>
                      <w:bCs w:val="0"/>
                      <w:color w:val="auto"/>
                      <w:sz w:val="21"/>
                      <w:szCs w:val="21"/>
                      <w:lang w:eastAsia="zh-CN" w:bidi="ar"/>
                    </w:rPr>
                    <w:t>本项目作为眼科医院，服务半径内没有专业眼科医疗机构，区域内的泗县人民医院、泗县中医院等均是综合性医疗机构，与拟设医院不存在相互干扰与恶性竞争，可以在区域内形成良好的合作与互补关系。</w:t>
                  </w:r>
                  <w:r>
                    <w:rPr>
                      <w:rFonts w:hint="eastAsia" w:ascii="宋体" w:hAnsi="宋体" w:cs="宋体"/>
                      <w:b w:val="0"/>
                      <w:bCs w:val="0"/>
                      <w:color w:val="auto"/>
                      <w:sz w:val="21"/>
                      <w:szCs w:val="21"/>
                      <w:shd w:val="clear" w:color="auto" w:fill="FFFFFF"/>
                    </w:rPr>
                    <w:t>满足群众多层次、多样化的健康服务需求</w:t>
                  </w:r>
                  <w:r>
                    <w:rPr>
                      <w:rFonts w:hint="eastAsia" w:ascii="宋体" w:hAnsi="宋体" w:cs="宋体"/>
                      <w:b w:val="0"/>
                      <w:bCs w:val="0"/>
                      <w:color w:val="auto"/>
                      <w:sz w:val="21"/>
                      <w:szCs w:val="21"/>
                      <w:shd w:val="clear" w:color="auto" w:fill="FFFFFF"/>
                      <w:lang w:eastAsia="zh-CN"/>
                    </w:rPr>
                    <w:t>。</w:t>
                  </w:r>
                </w:p>
              </w:tc>
              <w:tc>
                <w:tcPr>
                  <w:tcW w:w="837" w:type="dxa"/>
                  <w:vAlign w:val="center"/>
                </w:tcPr>
                <w:p w14:paraId="3E0DF1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val="0"/>
                      <w:color w:val="auto"/>
                      <w:sz w:val="21"/>
                      <w:szCs w:val="21"/>
                      <w:lang w:bidi="ar"/>
                    </w:rPr>
                  </w:pPr>
                  <w:r>
                    <w:rPr>
                      <w:b w:val="0"/>
                      <w:bCs w:val="0"/>
                      <w:color w:val="auto"/>
                      <w:sz w:val="21"/>
                      <w:szCs w:val="21"/>
                      <w:lang w:bidi="ar"/>
                    </w:rPr>
                    <w:t>相符</w:t>
                  </w:r>
                </w:p>
              </w:tc>
            </w:tr>
          </w:tbl>
          <w:p w14:paraId="26AAD4B3">
            <w:pPr>
              <w:ind w:firstLine="480" w:firstLineChars="200"/>
              <w:rPr>
                <w:b w:val="0"/>
                <w:bCs w:val="0"/>
                <w:color w:val="auto"/>
              </w:rPr>
            </w:pPr>
            <w:r>
              <w:rPr>
                <w:rFonts w:hint="eastAsia"/>
                <w:b w:val="0"/>
                <w:bCs w:val="0"/>
                <w:color w:val="auto"/>
                <w:lang w:val="en-US" w:eastAsia="zh-CN"/>
              </w:rPr>
              <w:t>4、</w:t>
            </w:r>
            <w:r>
              <w:rPr>
                <w:rFonts w:hint="eastAsia"/>
                <w:b w:val="0"/>
                <w:bCs w:val="0"/>
                <w:color w:val="auto"/>
              </w:rPr>
              <w:t>“三线一单”符合性分析</w:t>
            </w:r>
          </w:p>
          <w:p w14:paraId="67C0A337">
            <w:pPr>
              <w:adjustRightInd w:val="0"/>
              <w:snapToGrid w:val="0"/>
              <w:ind w:firstLine="480" w:firstLineChars="200"/>
              <w:rPr>
                <w:b w:val="0"/>
                <w:bCs w:val="0"/>
                <w:color w:val="auto"/>
              </w:rPr>
            </w:pPr>
            <w:r>
              <w:rPr>
                <w:b w:val="0"/>
                <w:bCs w:val="0"/>
                <w:color w:val="auto"/>
              </w:rPr>
              <w:t>据中华人民共和国环境保护部环环评[2016]150号文《关于以改善环境质量为核心加强环境影响评价管理的通知》要求：为适应以改善环境质量为核心的环境管理要求，切实加强环境影响评价管理，落实生态保护红线、环境质量底线、资源利用上线和环境准入负面清单约束，建立项目环评审批与规划环评、现有项目环境管理、区域环境质量联动机制（</w:t>
            </w:r>
            <w:r>
              <w:rPr>
                <w:rFonts w:hint="eastAsia"/>
                <w:b w:val="0"/>
                <w:bCs w:val="0"/>
                <w:color w:val="auto"/>
              </w:rPr>
              <w:t>“三挂钩”</w:t>
            </w:r>
            <w:r>
              <w:rPr>
                <w:b w:val="0"/>
                <w:bCs w:val="0"/>
                <w:color w:val="auto"/>
              </w:rPr>
              <w:t>机制），更好地发挥环评制度从源头防范环境污染和生态破坏的作用，加快推进改善环境质量。</w:t>
            </w:r>
          </w:p>
          <w:p w14:paraId="3311F94B">
            <w:pPr>
              <w:ind w:firstLine="480" w:firstLineChars="200"/>
              <w:rPr>
                <w:rFonts w:hint="default"/>
                <w:b w:val="0"/>
                <w:bCs w:val="0"/>
                <w:color w:val="auto"/>
                <w:lang w:val="en-US" w:eastAsia="zh-CN"/>
              </w:rPr>
            </w:pPr>
            <w:r>
              <w:rPr>
                <w:rFonts w:hint="eastAsia"/>
                <w:b w:val="0"/>
                <w:bCs w:val="0"/>
                <w:color w:val="auto"/>
                <w:lang w:val="zh-CN"/>
              </w:rPr>
              <w:t>（</w:t>
            </w:r>
            <w:r>
              <w:rPr>
                <w:rFonts w:hint="eastAsia"/>
                <w:b w:val="0"/>
                <w:bCs w:val="0"/>
                <w:color w:val="auto"/>
              </w:rPr>
              <w:t>1</w:t>
            </w:r>
            <w:r>
              <w:rPr>
                <w:rFonts w:hint="eastAsia"/>
                <w:b w:val="0"/>
                <w:bCs w:val="0"/>
                <w:color w:val="auto"/>
                <w:lang w:val="zh-CN"/>
              </w:rPr>
              <w:t>）</w:t>
            </w:r>
            <w:r>
              <w:rPr>
                <w:rFonts w:hint="eastAsia"/>
                <w:b w:val="0"/>
                <w:bCs w:val="0"/>
                <w:color w:val="auto"/>
                <w:lang w:val="en-US" w:eastAsia="zh-CN"/>
              </w:rPr>
              <w:t>与</w:t>
            </w:r>
            <w:r>
              <w:rPr>
                <w:b w:val="0"/>
                <w:bCs w:val="0"/>
                <w:color w:val="auto"/>
                <w:lang w:val="zh-CN"/>
              </w:rPr>
              <w:t>生态红线</w:t>
            </w:r>
            <w:r>
              <w:rPr>
                <w:rFonts w:hint="eastAsia"/>
                <w:b w:val="0"/>
                <w:bCs w:val="0"/>
                <w:color w:val="auto"/>
                <w:lang w:val="en-US" w:eastAsia="zh-CN"/>
              </w:rPr>
              <w:t>的符合性</w:t>
            </w:r>
          </w:p>
          <w:p w14:paraId="77F25EA5">
            <w:pPr>
              <w:ind w:firstLine="480" w:firstLineChars="200"/>
              <w:rPr>
                <w:b w:val="0"/>
                <w:bCs w:val="0"/>
                <w:color w:val="auto"/>
                <w:lang w:val="zh-CN"/>
              </w:rPr>
            </w:pPr>
            <w:r>
              <w:rPr>
                <w:b w:val="0"/>
                <w:bCs w:val="0"/>
                <w:color w:val="auto"/>
                <w:lang w:val="zh-CN"/>
              </w:rPr>
              <w:t>本项目位于</w:t>
            </w:r>
            <w:r>
              <w:rPr>
                <w:rFonts w:hint="eastAsia" w:cs="宋体"/>
                <w:b w:val="0"/>
                <w:bCs w:val="0"/>
                <w:kern w:val="0"/>
                <w:sz w:val="24"/>
              </w:rPr>
              <w:t>泗县经济开发区</w:t>
            </w:r>
            <w:r>
              <w:rPr>
                <w:rFonts w:hint="eastAsia" w:cs="宋体"/>
                <w:b w:val="0"/>
                <w:bCs w:val="0"/>
                <w:kern w:val="0"/>
                <w:sz w:val="24"/>
                <w:lang w:val="en-US" w:eastAsia="zh-CN"/>
              </w:rPr>
              <w:t>朝阳路与汴河大道交叉口东侧</w:t>
            </w:r>
            <w:r>
              <w:rPr>
                <w:rFonts w:hint="default" w:ascii="Times New Roman" w:hAnsi="Times New Roman" w:cs="Times New Roman"/>
                <w:b w:val="0"/>
                <w:bCs w:val="0"/>
                <w:kern w:val="0"/>
                <w:sz w:val="24"/>
                <w:lang w:val="en-US" w:eastAsia="zh-CN"/>
              </w:rPr>
              <w:t>200m</w:t>
            </w:r>
            <w:r>
              <w:rPr>
                <w:b w:val="0"/>
                <w:bCs w:val="0"/>
                <w:color w:val="auto"/>
                <w:lang w:val="zh-CN"/>
              </w:rPr>
              <w:t>，</w:t>
            </w:r>
            <w:r>
              <w:rPr>
                <w:rFonts w:hint="eastAsia"/>
                <w:b w:val="0"/>
                <w:bCs w:val="0"/>
                <w:color w:val="auto"/>
              </w:rPr>
              <w:t>根据宿州市生态红线图</w:t>
            </w:r>
            <w:r>
              <w:rPr>
                <w:rFonts w:hint="eastAsia"/>
                <w:b w:val="0"/>
                <w:bCs w:val="0"/>
                <w:color w:val="auto"/>
                <w:lang w:eastAsia="zh-CN"/>
              </w:rPr>
              <w:t>（</w:t>
            </w:r>
            <w:r>
              <w:rPr>
                <w:rFonts w:hint="eastAsia"/>
                <w:b w:val="0"/>
                <w:bCs w:val="0"/>
                <w:color w:val="auto"/>
                <w:lang w:val="en-US" w:eastAsia="zh-CN"/>
              </w:rPr>
              <w:t>附图4</w:t>
            </w:r>
            <w:r>
              <w:rPr>
                <w:rFonts w:hint="eastAsia"/>
                <w:b w:val="0"/>
                <w:bCs w:val="0"/>
                <w:color w:val="auto"/>
                <w:lang w:eastAsia="zh-CN"/>
              </w:rPr>
              <w:t>）</w:t>
            </w:r>
            <w:r>
              <w:rPr>
                <w:rFonts w:hint="eastAsia"/>
                <w:b w:val="0"/>
                <w:bCs w:val="0"/>
                <w:color w:val="auto"/>
              </w:rPr>
              <w:t>，</w:t>
            </w:r>
            <w:r>
              <w:rPr>
                <w:b w:val="0"/>
                <w:bCs w:val="0"/>
                <w:color w:val="auto"/>
                <w:lang w:val="zh-CN"/>
              </w:rPr>
              <w:t>项目建设区域</w:t>
            </w:r>
            <w:r>
              <w:rPr>
                <w:rFonts w:hint="default"/>
                <w:b w:val="0"/>
                <w:bCs w:val="0"/>
                <w:color w:val="auto"/>
                <w:lang w:val="zh-CN"/>
              </w:rPr>
              <w:t>不涉及自然保护区、风景名胜区等特殊生态敏感区和重要生态敏感区</w:t>
            </w:r>
            <w:r>
              <w:rPr>
                <w:rFonts w:hint="eastAsia"/>
                <w:b w:val="0"/>
                <w:bCs w:val="0"/>
                <w:color w:val="auto"/>
                <w:lang w:val="zh-CN"/>
              </w:rPr>
              <w:t>。因</w:t>
            </w:r>
            <w:r>
              <w:rPr>
                <w:b w:val="0"/>
                <w:bCs w:val="0"/>
                <w:color w:val="auto"/>
                <w:lang w:val="zh-CN"/>
              </w:rPr>
              <w:t>此，</w:t>
            </w:r>
            <w:r>
              <w:rPr>
                <w:rFonts w:hint="eastAsia"/>
                <w:b w:val="0"/>
                <w:bCs w:val="0"/>
                <w:color w:val="auto"/>
                <w:lang w:val="en-US" w:eastAsia="zh-CN"/>
              </w:rPr>
              <w:t>本</w:t>
            </w:r>
            <w:r>
              <w:rPr>
                <w:b w:val="0"/>
                <w:bCs w:val="0"/>
                <w:color w:val="auto"/>
                <w:lang w:val="zh-CN"/>
              </w:rPr>
              <w:t>项目建设符合生态红线控制要求。</w:t>
            </w:r>
          </w:p>
          <w:p w14:paraId="0FAC1694">
            <w:pPr>
              <w:ind w:firstLine="480" w:firstLineChars="200"/>
              <w:rPr>
                <w:rFonts w:hint="eastAsia"/>
                <w:b w:val="0"/>
                <w:bCs w:val="0"/>
                <w:color w:val="auto"/>
                <w:lang w:val="zh-CN" w:eastAsia="zh-CN"/>
              </w:rPr>
            </w:pPr>
            <w:r>
              <w:rPr>
                <w:rFonts w:hint="eastAsia"/>
                <w:b w:val="0"/>
                <w:bCs w:val="0"/>
                <w:color w:val="auto"/>
                <w:lang w:val="zh-CN"/>
              </w:rPr>
              <w:t>（</w:t>
            </w:r>
            <w:r>
              <w:rPr>
                <w:rFonts w:hint="eastAsia"/>
                <w:b w:val="0"/>
                <w:bCs w:val="0"/>
                <w:color w:val="auto"/>
              </w:rPr>
              <w:t>2</w:t>
            </w:r>
            <w:r>
              <w:rPr>
                <w:rFonts w:hint="eastAsia"/>
                <w:b w:val="0"/>
                <w:bCs w:val="0"/>
                <w:color w:val="auto"/>
                <w:lang w:val="zh-CN"/>
              </w:rPr>
              <w:t>）</w:t>
            </w:r>
            <w:r>
              <w:rPr>
                <w:rFonts w:hint="eastAsia"/>
                <w:b w:val="0"/>
                <w:bCs w:val="0"/>
                <w:color w:val="auto"/>
                <w:lang w:val="en-US" w:eastAsia="zh-CN"/>
              </w:rPr>
              <w:t>与</w:t>
            </w:r>
            <w:r>
              <w:rPr>
                <w:b w:val="0"/>
                <w:bCs w:val="0"/>
                <w:color w:val="auto"/>
                <w:lang w:val="zh-CN"/>
              </w:rPr>
              <w:t>环境质量底线</w:t>
            </w:r>
            <w:r>
              <w:rPr>
                <w:rFonts w:hint="eastAsia"/>
                <w:b w:val="0"/>
                <w:bCs w:val="0"/>
                <w:color w:val="auto"/>
                <w:lang w:val="en-US" w:eastAsia="zh-CN"/>
              </w:rPr>
              <w:t>符合性</w:t>
            </w:r>
          </w:p>
          <w:p w14:paraId="4791B793">
            <w:pPr>
              <w:adjustRightInd w:val="0"/>
              <w:snapToGrid w:val="0"/>
              <w:spacing w:line="360" w:lineRule="auto"/>
              <w:ind w:firstLine="480" w:firstLineChars="200"/>
              <w:rPr>
                <w:b w:val="0"/>
                <w:bCs w:val="0"/>
                <w:color w:val="auto"/>
                <w:sz w:val="24"/>
              </w:rPr>
            </w:pPr>
            <w:r>
              <w:rPr>
                <w:rFonts w:hint="eastAsia" w:hAnsi="宋体"/>
                <w:b w:val="0"/>
                <w:bCs w:val="0"/>
                <w:color w:val="auto"/>
                <w:sz w:val="24"/>
                <w:lang w:val="en-US" w:eastAsia="zh-CN"/>
              </w:rPr>
              <w:t>大气环境：</w:t>
            </w:r>
            <w:r>
              <w:rPr>
                <w:rFonts w:hint="eastAsia" w:hAnsi="宋体"/>
                <w:b w:val="0"/>
                <w:bCs w:val="0"/>
                <w:color w:val="auto"/>
                <w:sz w:val="24"/>
              </w:rPr>
              <w:t>根据“基于互联网的环境影响评价技术服务平台”发布的信息以及《宿州市202</w:t>
            </w:r>
            <w:r>
              <w:rPr>
                <w:rFonts w:hint="eastAsia" w:hAnsi="宋体"/>
                <w:b w:val="0"/>
                <w:bCs w:val="0"/>
                <w:color w:val="auto"/>
                <w:sz w:val="24"/>
                <w:lang w:val="en-US" w:eastAsia="zh-CN"/>
              </w:rPr>
              <w:t>3</w:t>
            </w:r>
            <w:r>
              <w:rPr>
                <w:rFonts w:hint="eastAsia" w:hAnsi="宋体"/>
                <w:b w:val="0"/>
                <w:bCs w:val="0"/>
                <w:color w:val="auto"/>
                <w:sz w:val="24"/>
              </w:rPr>
              <w:t>年环境质量状况报告》发布的信息</w:t>
            </w:r>
            <w:r>
              <w:rPr>
                <w:rFonts w:hint="eastAsia"/>
                <w:b w:val="0"/>
                <w:bCs w:val="0"/>
                <w:color w:val="auto"/>
                <w:sz w:val="24"/>
              </w:rPr>
              <w:t>，</w:t>
            </w:r>
            <w:r>
              <w:rPr>
                <w:rFonts w:hint="eastAsia"/>
                <w:b w:val="0"/>
                <w:bCs w:val="0"/>
                <w:color w:val="auto"/>
                <w:sz w:val="24"/>
                <w:lang w:bidi="ar"/>
              </w:rPr>
              <w:t>宿州</w:t>
            </w:r>
            <w:r>
              <w:rPr>
                <w:rFonts w:hint="eastAsia"/>
                <w:b w:val="0"/>
                <w:bCs w:val="0"/>
                <w:color w:val="auto"/>
                <w:sz w:val="24"/>
              </w:rPr>
              <w:t>市判定为城市环境空气质量不达标区，为改善环境空气质量情况，宿州市通过优化产业结构和布局，严格控制高耗能、高污染项目建设，对“散乱污”企业进行综合整治，加强扬尘综合整治，严格控制污染物新增排放量，大力发展清洁能源，加强区域工业废气的收集和处理，大力淘汰老旧车辆，加强区域联防联控，以及严格要求和管理企业，减少移动污染源的排放，严格施工和道路扬尘监管，则本地区的环境空气质量将逐渐得到改善。</w:t>
            </w:r>
          </w:p>
          <w:p w14:paraId="25D509D3">
            <w:pPr>
              <w:bidi w:val="0"/>
              <w:spacing w:line="360" w:lineRule="auto"/>
              <w:ind w:firstLine="480" w:firstLineChars="200"/>
              <w:rPr>
                <w:rFonts w:hint="eastAsia"/>
                <w:b w:val="0"/>
                <w:bCs w:val="0"/>
                <w:sz w:val="24"/>
                <w:szCs w:val="32"/>
              </w:rPr>
            </w:pPr>
            <w:r>
              <w:rPr>
                <w:rFonts w:hint="eastAsia"/>
                <w:b w:val="0"/>
                <w:bCs w:val="0"/>
                <w:sz w:val="24"/>
                <w:szCs w:val="32"/>
                <w:lang w:val="en-US" w:eastAsia="zh-CN"/>
              </w:rPr>
              <w:t>水环境：</w:t>
            </w:r>
            <w:r>
              <w:rPr>
                <w:b w:val="0"/>
                <w:bCs w:val="0"/>
                <w:sz w:val="24"/>
                <w:szCs w:val="32"/>
              </w:rPr>
              <w:t>2023年</w:t>
            </w:r>
            <w:r>
              <w:rPr>
                <w:rFonts w:hint="eastAsia"/>
                <w:b w:val="0"/>
                <w:bCs w:val="0"/>
                <w:sz w:val="24"/>
                <w:szCs w:val="32"/>
                <w:lang w:val="en-US" w:eastAsia="zh-CN"/>
              </w:rPr>
              <w:t>宿州</w:t>
            </w:r>
            <w:r>
              <w:rPr>
                <w:b w:val="0"/>
                <w:bCs w:val="0"/>
                <w:sz w:val="24"/>
                <w:szCs w:val="32"/>
              </w:rPr>
              <w:t>市水环境质量稳步改善，全市13个地表水国家考核断面中9个水质为Ⅲ类</w:t>
            </w:r>
            <w:r>
              <w:rPr>
                <w:rFonts w:hint="eastAsia"/>
                <w:b w:val="0"/>
                <w:bCs w:val="0"/>
                <w:sz w:val="24"/>
                <w:szCs w:val="32"/>
                <w:lang w:eastAsia="zh-CN"/>
              </w:rPr>
              <w:t>，</w:t>
            </w:r>
            <w:r>
              <w:rPr>
                <w:b w:val="0"/>
                <w:bCs w:val="0"/>
                <w:sz w:val="24"/>
                <w:szCs w:val="32"/>
              </w:rPr>
              <w:t>水质优良比例为69.2%，较上年同比提升15.4个百分点，好于省年度考核目标7.7个百分点；10个地表水省考核断面中，4个断面水质为Ⅲ类，水质优良比例为40%，好于省年度考核目标10个百分点；9个县级及以上集中式饮用水水源地，水质达标率为100%。</w:t>
            </w:r>
          </w:p>
          <w:p w14:paraId="78F2D0CF">
            <w:pPr>
              <w:ind w:firstLine="480" w:firstLineChars="200"/>
              <w:rPr>
                <w:rFonts w:hint="eastAsia"/>
                <w:b w:val="0"/>
                <w:bCs w:val="0"/>
                <w:color w:val="auto"/>
                <w:lang w:val="en-US" w:eastAsia="zh-CN"/>
              </w:rPr>
            </w:pPr>
            <w:r>
              <w:rPr>
                <w:rFonts w:hint="eastAsia" w:ascii="Times New Roman" w:hAnsi="宋体" w:cs="Times New Roman"/>
                <w:b w:val="0"/>
                <w:bCs w:val="0"/>
                <w:color w:val="auto"/>
                <w:sz w:val="24"/>
                <w:lang w:val="en-US" w:eastAsia="zh-CN"/>
              </w:rPr>
              <w:t>声环境：</w:t>
            </w:r>
            <w:r>
              <w:rPr>
                <w:rFonts w:hint="eastAsia" w:ascii="Times New Roman" w:hAnsi="宋体" w:eastAsia="宋体" w:cs="Times New Roman"/>
                <w:b w:val="0"/>
                <w:bCs w:val="0"/>
                <w:color w:val="auto"/>
                <w:sz w:val="24"/>
              </w:rPr>
              <w:t>2023年宿州市区域声环境共设110个点位，昼间平均等效声级为55.3分贝</w:t>
            </w:r>
            <w:r>
              <w:rPr>
                <w:rFonts w:hint="eastAsia" w:ascii="Times New Roman" w:hAnsi="宋体" w:eastAsia="宋体" w:cs="Times New Roman"/>
                <w:b w:val="0"/>
                <w:bCs w:val="0"/>
                <w:color w:val="auto"/>
                <w:sz w:val="24"/>
                <w:lang w:eastAsia="zh-CN"/>
              </w:rPr>
              <w:t>，</w:t>
            </w:r>
            <w:r>
              <w:rPr>
                <w:rFonts w:hint="eastAsia" w:ascii="Times New Roman" w:hAnsi="宋体" w:eastAsia="宋体" w:cs="Times New Roman"/>
                <w:b w:val="0"/>
                <w:bCs w:val="0"/>
                <w:color w:val="auto"/>
                <w:sz w:val="24"/>
              </w:rPr>
              <w:t>质量等级为三级；道路交通声环境共设68个点位，昼间平均等效声级为65.6分贝，质量等级为一级，与去年持平；功能区噪声共设7个监测点，监测结果均符合相应功能区标准要求。</w:t>
            </w:r>
          </w:p>
          <w:p w14:paraId="1C8D4D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val="0"/>
                <w:color w:val="auto"/>
                <w:lang w:val="en-US" w:eastAsia="zh-CN"/>
              </w:rPr>
            </w:pPr>
            <w:r>
              <w:rPr>
                <w:rFonts w:hint="eastAsia" w:cs="Times New Roman"/>
                <w:b w:val="0"/>
                <w:bCs w:val="0"/>
                <w:color w:val="auto"/>
                <w:highlight w:val="none"/>
                <w:lang w:eastAsia="zh-CN"/>
              </w:rPr>
              <w:t>污水处理站废气无组织排放执行《医疗机构 水污染物排放标准》（GB18466-2005）表3中限值</w:t>
            </w:r>
            <w:r>
              <w:rPr>
                <w:rFonts w:hint="eastAsia" w:cs="Times New Roman"/>
                <w:b w:val="0"/>
                <w:bCs w:val="0"/>
                <w:color w:val="auto"/>
                <w:lang w:val="en-US" w:eastAsia="zh-CN"/>
              </w:rPr>
              <w:t>；</w:t>
            </w:r>
            <w:r>
              <w:rPr>
                <w:rFonts w:hint="eastAsia"/>
                <w:b w:val="0"/>
                <w:bCs w:val="0"/>
                <w:color w:val="auto"/>
                <w:lang w:val="en-US" w:eastAsia="zh-CN"/>
              </w:rPr>
              <w:t>排放的污染物对评价区域环境敏感目标影响较小，与环境容量相容；本项目食堂废水经隔油池处理后和医疗废水经院区污水处理站预处理后，排入市政污水管网再</w:t>
            </w:r>
            <w:r>
              <w:rPr>
                <w:rFonts w:hint="eastAsia"/>
                <w:b w:val="0"/>
                <w:bCs w:val="0"/>
                <w:color w:val="auto"/>
                <w:highlight w:val="none"/>
                <w:lang w:val="en-US" w:eastAsia="zh-CN"/>
              </w:rPr>
              <w:t>进入泗县污水处理厂处理达标后排放至石梁河</w:t>
            </w:r>
            <w:r>
              <w:rPr>
                <w:rFonts w:hint="eastAsia"/>
                <w:b w:val="0"/>
                <w:bCs w:val="0"/>
                <w:color w:val="auto"/>
                <w:lang w:val="en-US" w:eastAsia="zh-CN"/>
              </w:rPr>
              <w:t>，不会造成区域水环境质量的下降；本项目产噪设备经降噪隔声、定期维护后，产生的噪声不会造成区域声环境质量的下降。</w:t>
            </w:r>
          </w:p>
          <w:p w14:paraId="5004C5B5">
            <w:pPr>
              <w:ind w:firstLine="480" w:firstLineChars="200"/>
              <w:rPr>
                <w:b w:val="0"/>
                <w:bCs w:val="0"/>
                <w:color w:val="auto"/>
                <w:lang w:val="zh-CN"/>
              </w:rPr>
            </w:pPr>
            <w:r>
              <w:rPr>
                <w:b w:val="0"/>
                <w:bCs w:val="0"/>
                <w:color w:val="auto"/>
                <w:lang w:val="zh-CN"/>
              </w:rPr>
              <w:t>本项目废水、废气、噪声、固废经治理之后对环境污染较小。采取本环评提出的相关防治措施后，本项目排放的污染物不会</w:t>
            </w:r>
            <w:r>
              <w:rPr>
                <w:rFonts w:hint="eastAsia"/>
                <w:b w:val="0"/>
                <w:bCs w:val="0"/>
                <w:color w:val="auto"/>
                <w:lang w:val="en-US" w:eastAsia="zh-CN"/>
              </w:rPr>
              <w:t>突破</w:t>
            </w:r>
            <w:r>
              <w:rPr>
                <w:b w:val="0"/>
                <w:bCs w:val="0"/>
                <w:color w:val="auto"/>
                <w:lang w:val="zh-CN"/>
              </w:rPr>
              <w:t>区域环境质量底线。</w:t>
            </w:r>
          </w:p>
          <w:p w14:paraId="59F15CA2">
            <w:pPr>
              <w:ind w:firstLine="480" w:firstLineChars="200"/>
              <w:rPr>
                <w:rFonts w:hint="default"/>
                <w:b w:val="0"/>
                <w:bCs w:val="0"/>
                <w:color w:val="auto"/>
                <w:lang w:val="en-US"/>
              </w:rPr>
            </w:pPr>
            <w:r>
              <w:rPr>
                <w:rFonts w:hint="eastAsia"/>
                <w:b w:val="0"/>
                <w:bCs w:val="0"/>
                <w:color w:val="auto"/>
                <w:lang w:val="zh-CN"/>
              </w:rPr>
              <w:t>（</w:t>
            </w:r>
            <w:r>
              <w:rPr>
                <w:rFonts w:hint="eastAsia"/>
                <w:b w:val="0"/>
                <w:bCs w:val="0"/>
                <w:color w:val="auto"/>
              </w:rPr>
              <w:t>3</w:t>
            </w:r>
            <w:r>
              <w:rPr>
                <w:rFonts w:hint="eastAsia"/>
                <w:b w:val="0"/>
                <w:bCs w:val="0"/>
                <w:color w:val="auto"/>
                <w:lang w:val="zh-CN"/>
              </w:rPr>
              <w:t>）</w:t>
            </w:r>
            <w:r>
              <w:rPr>
                <w:rFonts w:hint="eastAsia"/>
                <w:b w:val="0"/>
                <w:bCs w:val="0"/>
                <w:color w:val="auto"/>
                <w:lang w:val="en-US" w:eastAsia="zh-CN"/>
              </w:rPr>
              <w:t>与</w:t>
            </w:r>
            <w:r>
              <w:rPr>
                <w:b w:val="0"/>
                <w:bCs w:val="0"/>
                <w:color w:val="auto"/>
                <w:lang w:val="zh-CN"/>
              </w:rPr>
              <w:t>资源利用上线</w:t>
            </w:r>
            <w:r>
              <w:rPr>
                <w:rFonts w:hint="eastAsia"/>
                <w:b w:val="0"/>
                <w:bCs w:val="0"/>
                <w:color w:val="auto"/>
                <w:lang w:val="en-US" w:eastAsia="zh-CN"/>
              </w:rPr>
              <w:t>的符合性</w:t>
            </w:r>
          </w:p>
          <w:p w14:paraId="09FBAFCA">
            <w:pPr>
              <w:ind w:firstLine="480" w:firstLineChars="200"/>
              <w:rPr>
                <w:rFonts w:hint="eastAsia"/>
                <w:b w:val="0"/>
                <w:bCs w:val="0"/>
                <w:color w:val="auto"/>
                <w:lang w:val="en-US" w:eastAsia="zh-CN"/>
              </w:rPr>
            </w:pPr>
            <w:r>
              <w:rPr>
                <w:rFonts w:hint="eastAsia"/>
                <w:b w:val="0"/>
                <w:bCs w:val="0"/>
                <w:color w:val="auto"/>
                <w:lang w:val="en-US" w:eastAsia="zh-CN"/>
              </w:rPr>
              <w:t>项目所用资源包括水资源、土地资源和能源利用上线，本项目用水依托市政供水，项目用水远小于区域供水能力。从资源角度，本项目的建设充分利用了现有土地资源，减少了土地资源的浪费。项目使用能源主要为电，项目不涉及煤炭等高污染能源</w:t>
            </w:r>
            <w:r>
              <w:rPr>
                <w:b w:val="0"/>
                <w:bCs w:val="0"/>
                <w:color w:val="auto"/>
              </w:rPr>
              <w:t>。因此，拟建项目的建设符合资源利用上线的要求。</w:t>
            </w:r>
          </w:p>
          <w:p w14:paraId="7BA1DEC0">
            <w:pPr>
              <w:spacing w:line="360" w:lineRule="auto"/>
              <w:ind w:firstLine="480" w:firstLineChars="200"/>
              <w:rPr>
                <w:rFonts w:hint="default"/>
                <w:b w:val="0"/>
                <w:bCs w:val="0"/>
                <w:color w:val="auto"/>
                <w:lang w:val="en-US" w:eastAsia="zh-CN"/>
              </w:rPr>
            </w:pPr>
            <w:r>
              <w:rPr>
                <w:rFonts w:hint="eastAsia"/>
                <w:b w:val="0"/>
                <w:bCs w:val="0"/>
                <w:color w:val="auto"/>
                <w:lang w:val="zh-CN"/>
              </w:rPr>
              <w:t>（</w:t>
            </w:r>
            <w:r>
              <w:rPr>
                <w:rFonts w:hint="eastAsia"/>
                <w:b w:val="0"/>
                <w:bCs w:val="0"/>
                <w:color w:val="auto"/>
              </w:rPr>
              <w:t>4</w:t>
            </w:r>
            <w:r>
              <w:rPr>
                <w:rFonts w:hint="eastAsia"/>
                <w:b w:val="0"/>
                <w:bCs w:val="0"/>
                <w:color w:val="auto"/>
                <w:lang w:val="zh-CN"/>
              </w:rPr>
              <w:t>）</w:t>
            </w:r>
            <w:r>
              <w:rPr>
                <w:rFonts w:hint="eastAsia"/>
                <w:b w:val="0"/>
                <w:bCs w:val="0"/>
                <w:color w:val="auto"/>
                <w:lang w:val="en-US" w:eastAsia="zh-CN"/>
              </w:rPr>
              <w:t>与生态环境准入清单的符合性</w:t>
            </w:r>
          </w:p>
          <w:p w14:paraId="53A47229">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b w:val="0"/>
                <w:bCs w:val="0"/>
                <w:color w:val="auto"/>
                <w:lang w:val="en-US" w:eastAsia="zh-CN"/>
              </w:rPr>
              <w:t>对照</w:t>
            </w:r>
            <w:r>
              <w:rPr>
                <w:rFonts w:hint="eastAsia"/>
                <w:b w:val="0"/>
                <w:bCs w:val="0"/>
                <w:color w:val="auto"/>
                <w:lang w:val="zh-CN"/>
              </w:rPr>
              <w:t>《</w:t>
            </w:r>
            <w:r>
              <w:rPr>
                <w:rFonts w:hint="eastAsia"/>
                <w:b w:val="0"/>
                <w:bCs w:val="0"/>
                <w:color w:val="auto"/>
                <w:lang w:val="en-US" w:eastAsia="zh-CN"/>
              </w:rPr>
              <w:t>宿州市生态环境准入清单</w:t>
            </w:r>
            <w:r>
              <w:rPr>
                <w:rFonts w:hint="eastAsia"/>
                <w:b w:val="0"/>
                <w:bCs w:val="0"/>
                <w:color w:val="auto"/>
                <w:lang w:val="zh-CN"/>
              </w:rPr>
              <w:t>》</w:t>
            </w:r>
            <w:r>
              <w:rPr>
                <w:rFonts w:hint="eastAsia"/>
                <w:b w:val="0"/>
                <w:bCs w:val="0"/>
                <w:color w:val="auto"/>
                <w:lang w:val="en-US" w:eastAsia="zh-CN"/>
              </w:rPr>
              <w:t>附件4开发区生态环境准入清单中开发区-安徽泗县经济开发区的产业准入要求，本项目不在限制发展项目和禁止发展项目中。</w:t>
            </w:r>
            <w:r>
              <w:rPr>
                <w:b w:val="0"/>
                <w:bCs w:val="0"/>
                <w:color w:val="auto"/>
                <w:lang w:val="zh-CN"/>
              </w:rPr>
              <w:t>本项目符合国家产业政策</w:t>
            </w:r>
            <w:r>
              <w:rPr>
                <w:rFonts w:hint="eastAsia"/>
                <w:b w:val="0"/>
                <w:bCs w:val="0"/>
                <w:color w:val="auto"/>
                <w:lang w:val="zh-CN"/>
              </w:rPr>
              <w:t>，</w:t>
            </w:r>
            <w:r>
              <w:rPr>
                <w:b w:val="0"/>
                <w:bCs w:val="0"/>
                <w:color w:val="auto"/>
              </w:rPr>
              <w:t>不属于地方和国家禁止的行业</w:t>
            </w:r>
            <w:r>
              <w:rPr>
                <w:rFonts w:hint="eastAsia" w:ascii="Times New Roman" w:hAnsi="Times New Roman" w:eastAsia="宋体" w:cs="Times New Roman"/>
                <w:b w:val="0"/>
                <w:bCs w:val="0"/>
                <w:color w:val="auto"/>
                <w:kern w:val="2"/>
                <w:sz w:val="24"/>
                <w:szCs w:val="24"/>
                <w:lang w:val="en-US" w:eastAsia="zh-CN" w:bidi="ar-SA"/>
              </w:rPr>
              <w:t>。</w:t>
            </w:r>
          </w:p>
          <w:p w14:paraId="753187C2">
            <w:pPr>
              <w:pStyle w:val="105"/>
              <w:ind w:firstLine="480"/>
              <w:rPr>
                <w:b w:val="0"/>
                <w:bCs w:val="0"/>
              </w:rPr>
            </w:pPr>
            <w:r>
              <w:rPr>
                <w:rFonts w:hint="eastAsia"/>
                <w:b w:val="0"/>
                <w:bCs w:val="0"/>
              </w:rPr>
              <w:t>（5）生态环境分区管控相符性分析</w:t>
            </w:r>
          </w:p>
          <w:p w14:paraId="744BF69D">
            <w:pPr>
              <w:pStyle w:val="105"/>
              <w:ind w:firstLine="480"/>
              <w:rPr>
                <w:b w:val="0"/>
                <w:bCs w:val="0"/>
              </w:rPr>
            </w:pPr>
            <w:r>
              <w:rPr>
                <w:rFonts w:hint="eastAsia"/>
                <w:b w:val="0"/>
                <w:bCs w:val="0"/>
              </w:rPr>
              <w:t>根据《安徽省生态环境厅关于印发安徽省“三线一单”生态环境分区管控管理办法（暂行）的通知》（皖环发</w:t>
            </w:r>
            <w:r>
              <w:rPr>
                <w:rFonts w:hint="eastAsia" w:ascii="宋体" w:hAnsi="宋体"/>
                <w:b w:val="0"/>
                <w:bCs w:val="0"/>
              </w:rPr>
              <w:t>〔</w:t>
            </w:r>
            <w:r>
              <w:rPr>
                <w:rFonts w:hint="eastAsia"/>
                <w:b w:val="0"/>
                <w:bCs w:val="0"/>
              </w:rPr>
              <w:t>2022</w:t>
            </w:r>
            <w:r>
              <w:rPr>
                <w:rFonts w:hint="eastAsia" w:ascii="宋体" w:hAnsi="宋体"/>
                <w:b w:val="0"/>
                <w:bCs w:val="0"/>
              </w:rPr>
              <w:t>〕</w:t>
            </w:r>
            <w:r>
              <w:rPr>
                <w:rFonts w:hint="eastAsia"/>
                <w:b w:val="0"/>
                <w:bCs w:val="0"/>
              </w:rPr>
              <w:t>5号）和</w:t>
            </w:r>
            <w:r>
              <w:rPr>
                <w:rFonts w:hint="eastAsia"/>
                <w:b w:val="0"/>
                <w:bCs w:val="0"/>
                <w:lang w:eastAsia="zh-CN"/>
              </w:rPr>
              <w:t>《</w:t>
            </w:r>
            <w:r>
              <w:rPr>
                <w:rFonts w:hint="eastAsia"/>
                <w:b w:val="0"/>
                <w:bCs w:val="0"/>
              </w:rPr>
              <w:t>宿州市“三线一单”</w:t>
            </w:r>
            <w:r>
              <w:rPr>
                <w:rFonts w:hint="eastAsia"/>
                <w:b w:val="0"/>
                <w:bCs w:val="0"/>
                <w:lang w:eastAsia="zh-CN"/>
              </w:rPr>
              <w:t>》</w:t>
            </w:r>
            <w:r>
              <w:rPr>
                <w:rFonts w:hint="eastAsia"/>
                <w:b w:val="0"/>
                <w:bCs w:val="0"/>
              </w:rPr>
              <w:t>相关文件，本项目环境分区管控相关情况如下：</w:t>
            </w:r>
          </w:p>
          <w:p w14:paraId="60A793E8">
            <w:pPr>
              <w:pStyle w:val="105"/>
              <w:ind w:firstLine="480"/>
              <w:rPr>
                <w:b w:val="0"/>
                <w:bCs w:val="0"/>
              </w:rPr>
            </w:pPr>
            <w:r>
              <w:rPr>
                <w:rFonts w:hint="eastAsia"/>
                <w:b w:val="0"/>
                <w:bCs w:val="0"/>
              </w:rPr>
              <w:t>本项目所在地属于大气环境管控分区中的</w:t>
            </w:r>
            <w:r>
              <w:rPr>
                <w:rFonts w:hint="eastAsia"/>
                <w:b w:val="0"/>
                <w:bCs w:val="0"/>
                <w:lang w:val="en-US" w:eastAsia="zh-CN"/>
              </w:rPr>
              <w:t>大气环境受体敏感重点管控区</w:t>
            </w:r>
            <w:r>
              <w:rPr>
                <w:rFonts w:hint="eastAsia"/>
                <w:b w:val="0"/>
                <w:bCs w:val="0"/>
              </w:rPr>
              <w:t>（附图</w:t>
            </w:r>
            <w:r>
              <w:rPr>
                <w:rFonts w:hint="eastAsia"/>
                <w:b w:val="0"/>
                <w:bCs w:val="0"/>
                <w:lang w:val="en-US" w:eastAsia="zh-CN"/>
              </w:rPr>
              <w:t>5</w:t>
            </w:r>
            <w:r>
              <w:rPr>
                <w:rFonts w:hint="eastAsia"/>
                <w:b w:val="0"/>
                <w:bCs w:val="0"/>
              </w:rPr>
              <w:t>）、水环境管控分区中的</w:t>
            </w:r>
            <w:r>
              <w:rPr>
                <w:rFonts w:hint="eastAsia"/>
                <w:b w:val="0"/>
                <w:bCs w:val="0"/>
                <w:lang w:val="en-US" w:eastAsia="zh-CN"/>
              </w:rPr>
              <w:t>水环境工业污染重点管控区</w:t>
            </w:r>
            <w:r>
              <w:rPr>
                <w:rFonts w:hint="eastAsia"/>
                <w:b w:val="0"/>
                <w:bCs w:val="0"/>
              </w:rPr>
              <w:t>（附图</w:t>
            </w:r>
            <w:r>
              <w:rPr>
                <w:rFonts w:hint="eastAsia"/>
                <w:b w:val="0"/>
                <w:bCs w:val="0"/>
                <w:lang w:val="en-US" w:eastAsia="zh-CN"/>
              </w:rPr>
              <w:t>6</w:t>
            </w:r>
            <w:r>
              <w:rPr>
                <w:rFonts w:hint="eastAsia"/>
                <w:b w:val="0"/>
                <w:bCs w:val="0"/>
              </w:rPr>
              <w:t>）、土壤污染风险分区中的一般管控区（附图</w:t>
            </w:r>
            <w:r>
              <w:rPr>
                <w:rFonts w:hint="eastAsia"/>
                <w:b w:val="0"/>
                <w:bCs w:val="0"/>
                <w:lang w:val="en-US" w:eastAsia="zh-CN"/>
              </w:rPr>
              <w:t>7</w:t>
            </w:r>
            <w:r>
              <w:rPr>
                <w:rFonts w:hint="eastAsia"/>
                <w:b w:val="0"/>
                <w:bCs w:val="0"/>
              </w:rPr>
              <w:t>）。</w:t>
            </w:r>
          </w:p>
          <w:p w14:paraId="1D525DB1">
            <w:pPr>
              <w:spacing w:line="240" w:lineRule="auto"/>
              <w:jc w:val="center"/>
              <w:rPr>
                <w:rFonts w:hint="eastAsia" w:eastAsia="宋体"/>
                <w:b/>
                <w:bCs/>
                <w:sz w:val="21"/>
                <w:szCs w:val="21"/>
                <w:lang w:val="en-US" w:eastAsia="zh-CN"/>
              </w:rPr>
            </w:pPr>
            <w:r>
              <w:rPr>
                <w:rFonts w:hint="eastAsia"/>
                <w:b/>
                <w:bCs/>
                <w:sz w:val="21"/>
                <w:szCs w:val="21"/>
              </w:rPr>
              <w:t>表1-</w:t>
            </w:r>
            <w:r>
              <w:rPr>
                <w:rFonts w:hint="eastAsia"/>
                <w:b/>
                <w:bCs/>
                <w:sz w:val="21"/>
                <w:szCs w:val="21"/>
                <w:lang w:val="en-US" w:eastAsia="zh-CN"/>
              </w:rPr>
              <w:t>2</w:t>
            </w:r>
            <w:r>
              <w:rPr>
                <w:rFonts w:hint="eastAsia"/>
                <w:b/>
                <w:bCs/>
                <w:sz w:val="21"/>
                <w:szCs w:val="21"/>
              </w:rPr>
              <w:t>与环境分区管控要求的协调性分析</w:t>
            </w:r>
            <w:r>
              <w:rPr>
                <w:rFonts w:hint="eastAsia"/>
                <w:b/>
                <w:bCs/>
                <w:sz w:val="21"/>
                <w:szCs w:val="21"/>
                <w:lang w:val="en-US" w:eastAsia="zh-CN"/>
              </w:rPr>
              <w:t>一览表</w:t>
            </w:r>
          </w:p>
          <w:tbl>
            <w:tblPr>
              <w:tblStyle w:val="2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291"/>
              <w:gridCol w:w="3058"/>
              <w:gridCol w:w="1769"/>
            </w:tblGrid>
            <w:tr w14:paraId="65CB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noWrap w:val="0"/>
                  <w:vAlign w:val="center"/>
                </w:tcPr>
                <w:p w14:paraId="348C21B2">
                  <w:pPr>
                    <w:pStyle w:val="156"/>
                    <w:spacing w:line="240" w:lineRule="auto"/>
                    <w:ind w:firstLine="0" w:firstLineChars="0"/>
                    <w:jc w:val="center"/>
                    <w:rPr>
                      <w:rFonts w:hint="eastAsia"/>
                      <w:b w:val="0"/>
                      <w:bCs w:val="0"/>
                      <w:sz w:val="21"/>
                    </w:rPr>
                  </w:pPr>
                  <w:r>
                    <w:rPr>
                      <w:rFonts w:hint="eastAsia"/>
                      <w:b w:val="0"/>
                      <w:bCs w:val="0"/>
                      <w:sz w:val="21"/>
                    </w:rPr>
                    <w:t>属性</w:t>
                  </w:r>
                </w:p>
              </w:tc>
              <w:tc>
                <w:tcPr>
                  <w:tcW w:w="954" w:type="pct"/>
                  <w:noWrap w:val="0"/>
                  <w:vAlign w:val="center"/>
                </w:tcPr>
                <w:p w14:paraId="15A739DA">
                  <w:pPr>
                    <w:pStyle w:val="156"/>
                    <w:spacing w:line="240" w:lineRule="auto"/>
                    <w:ind w:firstLine="0" w:firstLineChars="0"/>
                    <w:jc w:val="center"/>
                    <w:rPr>
                      <w:rFonts w:hint="eastAsia"/>
                      <w:b w:val="0"/>
                      <w:bCs w:val="0"/>
                      <w:sz w:val="21"/>
                    </w:rPr>
                  </w:pPr>
                  <w:r>
                    <w:rPr>
                      <w:rFonts w:hint="eastAsia"/>
                      <w:b w:val="0"/>
                      <w:bCs w:val="0"/>
                      <w:sz w:val="21"/>
                    </w:rPr>
                    <w:t>管控类型</w:t>
                  </w:r>
                </w:p>
              </w:tc>
              <w:tc>
                <w:tcPr>
                  <w:tcW w:w="2260" w:type="pct"/>
                  <w:noWrap w:val="0"/>
                  <w:vAlign w:val="center"/>
                </w:tcPr>
                <w:p w14:paraId="205C5295">
                  <w:pPr>
                    <w:pStyle w:val="156"/>
                    <w:spacing w:line="240" w:lineRule="auto"/>
                    <w:ind w:firstLine="0" w:firstLineChars="0"/>
                    <w:jc w:val="center"/>
                    <w:rPr>
                      <w:rFonts w:hint="eastAsia"/>
                      <w:b w:val="0"/>
                      <w:bCs w:val="0"/>
                      <w:sz w:val="21"/>
                    </w:rPr>
                  </w:pPr>
                  <w:r>
                    <w:rPr>
                      <w:rFonts w:hint="eastAsia"/>
                      <w:b w:val="0"/>
                      <w:bCs w:val="0"/>
                      <w:sz w:val="21"/>
                    </w:rPr>
                    <w:t>管控要求</w:t>
                  </w:r>
                </w:p>
              </w:tc>
              <w:tc>
                <w:tcPr>
                  <w:tcW w:w="1308" w:type="pct"/>
                  <w:noWrap w:val="0"/>
                  <w:vAlign w:val="center"/>
                </w:tcPr>
                <w:p w14:paraId="72AAA0A6">
                  <w:pPr>
                    <w:pStyle w:val="156"/>
                    <w:spacing w:line="240" w:lineRule="auto"/>
                    <w:ind w:firstLine="0" w:firstLineChars="0"/>
                    <w:jc w:val="center"/>
                    <w:rPr>
                      <w:rFonts w:hint="eastAsia"/>
                      <w:b w:val="0"/>
                      <w:bCs w:val="0"/>
                      <w:sz w:val="21"/>
                    </w:rPr>
                  </w:pPr>
                  <w:r>
                    <w:rPr>
                      <w:rFonts w:hint="eastAsia"/>
                      <w:b w:val="0"/>
                      <w:bCs w:val="0"/>
                      <w:sz w:val="21"/>
                    </w:rPr>
                    <w:t>协调性分析</w:t>
                  </w:r>
                </w:p>
              </w:tc>
            </w:tr>
            <w:tr w14:paraId="6883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noWrap w:val="0"/>
                  <w:vAlign w:val="center"/>
                </w:tcPr>
                <w:p w14:paraId="024B6594">
                  <w:pPr>
                    <w:pStyle w:val="156"/>
                    <w:spacing w:line="240" w:lineRule="auto"/>
                    <w:ind w:firstLine="0" w:firstLineChars="0"/>
                    <w:jc w:val="center"/>
                    <w:rPr>
                      <w:rFonts w:hint="eastAsia"/>
                      <w:b w:val="0"/>
                      <w:bCs w:val="0"/>
                      <w:sz w:val="21"/>
                    </w:rPr>
                  </w:pPr>
                  <w:r>
                    <w:rPr>
                      <w:rFonts w:hint="eastAsia"/>
                      <w:b w:val="0"/>
                      <w:bCs w:val="0"/>
                      <w:sz w:val="21"/>
                    </w:rPr>
                    <w:t>大气环境管控</w:t>
                  </w:r>
                </w:p>
              </w:tc>
              <w:tc>
                <w:tcPr>
                  <w:tcW w:w="954" w:type="pct"/>
                  <w:noWrap w:val="0"/>
                  <w:vAlign w:val="center"/>
                </w:tcPr>
                <w:p w14:paraId="645FD68E">
                  <w:pPr>
                    <w:pStyle w:val="156"/>
                    <w:spacing w:line="240" w:lineRule="auto"/>
                    <w:ind w:firstLine="0" w:firstLineChars="0"/>
                    <w:jc w:val="center"/>
                    <w:rPr>
                      <w:rFonts w:hint="default"/>
                      <w:b w:val="0"/>
                      <w:bCs w:val="0"/>
                      <w:sz w:val="21"/>
                      <w:szCs w:val="21"/>
                      <w:lang w:val="en-US" w:eastAsia="zh-CN"/>
                    </w:rPr>
                  </w:pPr>
                  <w:r>
                    <w:rPr>
                      <w:rFonts w:hint="eastAsia"/>
                      <w:b w:val="0"/>
                      <w:bCs w:val="0"/>
                      <w:sz w:val="21"/>
                      <w:szCs w:val="21"/>
                      <w:lang w:val="en-US" w:eastAsia="zh-CN"/>
                    </w:rPr>
                    <w:t>大气环境受体敏感重点管控区</w:t>
                  </w:r>
                </w:p>
              </w:tc>
              <w:tc>
                <w:tcPr>
                  <w:tcW w:w="2260" w:type="pct"/>
                  <w:noWrap w:val="0"/>
                  <w:vAlign w:val="center"/>
                </w:tcPr>
                <w:p w14:paraId="60D2B3B8">
                  <w:pPr>
                    <w:bidi w:val="0"/>
                    <w:spacing w:line="240" w:lineRule="auto"/>
                    <w:ind w:left="0" w:leftChars="0" w:firstLine="0" w:firstLineChars="0"/>
                    <w:jc w:val="center"/>
                    <w:rPr>
                      <w:rFonts w:hint="eastAsia"/>
                      <w:b w:val="0"/>
                      <w:bCs w:val="0"/>
                    </w:rPr>
                  </w:pPr>
                  <w:r>
                    <w:rPr>
                      <w:b w:val="0"/>
                      <w:bCs w:val="0"/>
                      <w:sz w:val="21"/>
                      <w:szCs w:val="21"/>
                      <w:lang w:val="en-US" w:eastAsia="zh-CN"/>
                    </w:rPr>
                    <w:t>落实《安徽省大气污染防治条例》《安徽省碳达峰实</w:t>
                  </w:r>
                  <w:r>
                    <w:rPr>
                      <w:rFonts w:hint="eastAsia"/>
                      <w:b w:val="0"/>
                      <w:bCs w:val="0"/>
                      <w:sz w:val="21"/>
                      <w:szCs w:val="21"/>
                      <w:lang w:val="en-US" w:eastAsia="zh-CN"/>
                    </w:rPr>
                    <w:t>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宿州市“十四五”节能减排实施方案》严格目标实施计划，加强环境监管，促进生态环境质量好转；新建、改建和扩建项目大气污染物实施“倍量替代”，执行特别排放标准的行</w:t>
                  </w:r>
                  <w:r>
                    <w:rPr>
                      <w:b w:val="0"/>
                      <w:bCs w:val="0"/>
                      <w:sz w:val="21"/>
                      <w:szCs w:val="21"/>
                      <w:lang w:val="en-US" w:eastAsia="zh-CN"/>
                    </w:rPr>
                    <w:t>业实施提标升级改造。</w:t>
                  </w:r>
                </w:p>
              </w:tc>
              <w:tc>
                <w:tcPr>
                  <w:tcW w:w="1308" w:type="pct"/>
                  <w:noWrap w:val="0"/>
                  <w:vAlign w:val="center"/>
                </w:tcPr>
                <w:p w14:paraId="38157143">
                  <w:pPr>
                    <w:pStyle w:val="156"/>
                    <w:spacing w:line="240" w:lineRule="auto"/>
                    <w:ind w:firstLine="0" w:firstLineChars="0"/>
                    <w:jc w:val="center"/>
                    <w:rPr>
                      <w:rFonts w:hint="eastAsia"/>
                      <w:b w:val="0"/>
                      <w:bCs w:val="0"/>
                      <w:sz w:val="21"/>
                    </w:rPr>
                  </w:pPr>
                  <w:r>
                    <w:rPr>
                      <w:rFonts w:hint="eastAsia"/>
                      <w:b w:val="0"/>
                      <w:bCs w:val="0"/>
                      <w:sz w:val="21"/>
                    </w:rPr>
                    <w:t>本项目</w:t>
                  </w:r>
                  <w:r>
                    <w:rPr>
                      <w:rFonts w:hint="eastAsia"/>
                      <w:b w:val="0"/>
                      <w:bCs w:val="0"/>
                      <w:sz w:val="21"/>
                      <w:lang w:val="en-US" w:eastAsia="zh-CN"/>
                    </w:rPr>
                    <w:t>营运期废气为污水处理站产生的臭气，污水处理站为地埋式，臭气产生量很小，无组织排放</w:t>
                  </w:r>
                  <w:r>
                    <w:rPr>
                      <w:rFonts w:hint="eastAsia"/>
                      <w:b w:val="0"/>
                      <w:bCs w:val="0"/>
                      <w:sz w:val="21"/>
                    </w:rPr>
                    <w:t>，满足大气环境分区管控要求。</w:t>
                  </w:r>
                </w:p>
              </w:tc>
            </w:tr>
            <w:tr w14:paraId="745A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6" w:type="pct"/>
                  <w:noWrap w:val="0"/>
                  <w:vAlign w:val="center"/>
                </w:tcPr>
                <w:p w14:paraId="4E50F016">
                  <w:pPr>
                    <w:pStyle w:val="156"/>
                    <w:spacing w:line="240" w:lineRule="auto"/>
                    <w:ind w:firstLine="0" w:firstLineChars="0"/>
                    <w:jc w:val="center"/>
                    <w:rPr>
                      <w:rFonts w:hint="eastAsia"/>
                      <w:b w:val="0"/>
                      <w:bCs w:val="0"/>
                      <w:sz w:val="21"/>
                    </w:rPr>
                  </w:pPr>
                  <w:r>
                    <w:rPr>
                      <w:rFonts w:hint="eastAsia"/>
                      <w:b w:val="0"/>
                      <w:bCs w:val="0"/>
                      <w:sz w:val="21"/>
                    </w:rPr>
                    <w:t>水环境管控</w:t>
                  </w:r>
                </w:p>
              </w:tc>
              <w:tc>
                <w:tcPr>
                  <w:tcW w:w="954" w:type="pct"/>
                  <w:noWrap w:val="0"/>
                  <w:vAlign w:val="center"/>
                </w:tcPr>
                <w:p w14:paraId="447CB6DF">
                  <w:pPr>
                    <w:pStyle w:val="156"/>
                    <w:spacing w:line="240" w:lineRule="auto"/>
                    <w:ind w:firstLine="0" w:firstLineChars="0"/>
                    <w:jc w:val="center"/>
                    <w:rPr>
                      <w:rFonts w:hint="default"/>
                      <w:b w:val="0"/>
                      <w:bCs w:val="0"/>
                      <w:sz w:val="21"/>
                      <w:szCs w:val="21"/>
                      <w:lang w:val="en-US" w:eastAsia="zh-CN"/>
                    </w:rPr>
                  </w:pPr>
                  <w:r>
                    <w:rPr>
                      <w:rFonts w:hint="eastAsia"/>
                      <w:b w:val="0"/>
                      <w:bCs w:val="0"/>
                      <w:sz w:val="21"/>
                      <w:szCs w:val="21"/>
                      <w:lang w:val="en-US" w:eastAsia="zh-CN"/>
                    </w:rPr>
                    <w:t>水环境工业污染重点管控区</w:t>
                  </w:r>
                </w:p>
              </w:tc>
              <w:tc>
                <w:tcPr>
                  <w:tcW w:w="2260" w:type="pct"/>
                  <w:noWrap w:val="0"/>
                  <w:vAlign w:val="center"/>
                </w:tcPr>
                <w:p w14:paraId="4F8EB7A1">
                  <w:pPr>
                    <w:pStyle w:val="156"/>
                    <w:spacing w:line="240" w:lineRule="auto"/>
                    <w:ind w:firstLine="0" w:firstLineChars="0"/>
                    <w:jc w:val="center"/>
                    <w:rPr>
                      <w:rFonts w:hint="eastAsia"/>
                      <w:b w:val="0"/>
                      <w:bCs w:val="0"/>
                      <w:sz w:val="21"/>
                    </w:rPr>
                  </w:pPr>
                  <w:r>
                    <w:rPr>
                      <w:rFonts w:hint="eastAsia"/>
                      <w:b w:val="0"/>
                      <w:bCs w:val="0"/>
                      <w:sz w:val="21"/>
                    </w:rPr>
                    <w:t>以《宿州市水污染防治工作方案》（宿政发〔2015〕29号）、宿州市重点流域“十四五”规划</w:t>
                  </w:r>
                  <w:bookmarkStart w:id="1" w:name="_GoBack"/>
                  <w:bookmarkEnd w:id="1"/>
                  <w:r>
                    <w:rPr>
                      <w:rFonts w:hint="eastAsia"/>
                      <w:b w:val="0"/>
                      <w:bCs w:val="0"/>
                      <w:sz w:val="21"/>
                    </w:rPr>
                    <w:t>等确定的目标为基础，依据水环境质量只能变好、不能变差的总体原则，同时综合考虑水环境质量变化趋势、流域上下游水质目标统筹协调性等综合设定。</w:t>
                  </w:r>
                </w:p>
              </w:tc>
              <w:tc>
                <w:tcPr>
                  <w:tcW w:w="1308" w:type="pct"/>
                  <w:noWrap w:val="0"/>
                  <w:vAlign w:val="center"/>
                </w:tcPr>
                <w:p w14:paraId="479CDC5C">
                  <w:pPr>
                    <w:pStyle w:val="156"/>
                    <w:spacing w:line="240" w:lineRule="auto"/>
                    <w:ind w:firstLine="0" w:firstLineChars="0"/>
                    <w:jc w:val="center"/>
                    <w:rPr>
                      <w:rFonts w:hint="eastAsia"/>
                      <w:b w:val="0"/>
                      <w:bCs w:val="0"/>
                      <w:sz w:val="21"/>
                    </w:rPr>
                  </w:pPr>
                  <w:r>
                    <w:rPr>
                      <w:rFonts w:hint="eastAsia"/>
                      <w:b w:val="0"/>
                      <w:bCs w:val="0"/>
                      <w:sz w:val="21"/>
                    </w:rPr>
                    <w:t>本项目运营期主要废水污染源为</w:t>
                  </w:r>
                  <w:r>
                    <w:rPr>
                      <w:rFonts w:hint="eastAsia"/>
                      <w:b w:val="0"/>
                      <w:bCs w:val="0"/>
                      <w:sz w:val="21"/>
                      <w:lang w:val="en-US" w:eastAsia="zh-CN"/>
                    </w:rPr>
                    <w:t>医疗废水和食堂废水</w:t>
                  </w:r>
                  <w:r>
                    <w:rPr>
                      <w:rFonts w:hint="eastAsia"/>
                      <w:b w:val="0"/>
                      <w:bCs w:val="0"/>
                      <w:sz w:val="21"/>
                    </w:rPr>
                    <w:t>，</w:t>
                  </w:r>
                  <w:r>
                    <w:rPr>
                      <w:rFonts w:hint="eastAsia"/>
                      <w:b w:val="0"/>
                      <w:bCs w:val="0"/>
                      <w:sz w:val="21"/>
                      <w:lang w:val="en-US" w:eastAsia="zh-CN"/>
                    </w:rPr>
                    <w:t>设置污水处理站处理达标后，通过市政管网进入泗县污水处理厂，</w:t>
                  </w:r>
                  <w:r>
                    <w:rPr>
                      <w:rFonts w:hint="eastAsia"/>
                      <w:b w:val="0"/>
                      <w:bCs w:val="0"/>
                      <w:sz w:val="21"/>
                    </w:rPr>
                    <w:t>满足水环境分区管控要求。</w:t>
                  </w:r>
                </w:p>
              </w:tc>
            </w:tr>
            <w:tr w14:paraId="3A7C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76" w:type="pct"/>
                  <w:noWrap w:val="0"/>
                  <w:vAlign w:val="center"/>
                </w:tcPr>
                <w:p w14:paraId="06795ABC">
                  <w:pPr>
                    <w:pStyle w:val="156"/>
                    <w:spacing w:line="240" w:lineRule="auto"/>
                    <w:ind w:firstLine="0" w:firstLineChars="0"/>
                    <w:jc w:val="center"/>
                    <w:rPr>
                      <w:rFonts w:hint="eastAsia"/>
                      <w:b w:val="0"/>
                      <w:bCs w:val="0"/>
                      <w:sz w:val="21"/>
                    </w:rPr>
                  </w:pPr>
                  <w:r>
                    <w:rPr>
                      <w:rFonts w:hint="eastAsia"/>
                      <w:b w:val="0"/>
                      <w:bCs w:val="0"/>
                      <w:sz w:val="21"/>
                    </w:rPr>
                    <w:t>土壤环境管控</w:t>
                  </w:r>
                </w:p>
              </w:tc>
              <w:tc>
                <w:tcPr>
                  <w:tcW w:w="954" w:type="pct"/>
                  <w:noWrap w:val="0"/>
                  <w:vAlign w:val="center"/>
                </w:tcPr>
                <w:p w14:paraId="2C94C9E0">
                  <w:pPr>
                    <w:pStyle w:val="156"/>
                    <w:spacing w:line="240" w:lineRule="auto"/>
                    <w:ind w:firstLine="0" w:firstLineChars="0"/>
                    <w:jc w:val="center"/>
                    <w:rPr>
                      <w:rFonts w:hint="eastAsia"/>
                      <w:b w:val="0"/>
                      <w:bCs w:val="0"/>
                      <w:sz w:val="21"/>
                    </w:rPr>
                  </w:pPr>
                  <w:r>
                    <w:rPr>
                      <w:rFonts w:hint="eastAsia"/>
                      <w:b w:val="0"/>
                      <w:bCs w:val="0"/>
                      <w:sz w:val="21"/>
                    </w:rPr>
                    <w:t>一般管控区</w:t>
                  </w:r>
                </w:p>
              </w:tc>
              <w:tc>
                <w:tcPr>
                  <w:tcW w:w="2260" w:type="pct"/>
                  <w:noWrap w:val="0"/>
                  <w:vAlign w:val="center"/>
                </w:tcPr>
                <w:p w14:paraId="1F4143B3">
                  <w:pPr>
                    <w:bidi w:val="0"/>
                    <w:spacing w:line="240" w:lineRule="auto"/>
                    <w:rPr>
                      <w:rFonts w:hint="eastAsia"/>
                      <w:b w:val="0"/>
                      <w:bCs w:val="0"/>
                      <w:sz w:val="21"/>
                    </w:rPr>
                  </w:pPr>
                  <w:r>
                    <w:rPr>
                      <w:rFonts w:hint="default" w:ascii="Times New Roman" w:hAnsi="Times New Roman" w:cs="Times New Roman"/>
                      <w:b w:val="0"/>
                      <w:bCs w:val="0"/>
                      <w:sz w:val="21"/>
                      <w:szCs w:val="21"/>
                      <w:lang w:val="en-US" w:eastAsia="zh-CN"/>
                    </w:rPr>
                    <w:t>依据《中华人民共和国土壤污染防治法》《土壤污染防治行动计划》《安徽省土壤污染防治工作方案》《安徽省</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十四五</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环境保护规划》《安徽省</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十四五</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土壤、地下水和农村生态环境保护规划》《安徽省重金属污染防控工作方案》《安徽省</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十四五</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危险废物工业固体废物污染环境防治规划》《安徽省土壤污染防治工作方案》《宿州市</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十四五</w:t>
                  </w:r>
                  <w:r>
                    <w:rPr>
                      <w:rFonts w:hint="eastAsia" w:ascii="Times New Roman" w:hAnsi="Times New Roman" w:cs="Times New Roman"/>
                      <w:b w:val="0"/>
                      <w:bCs w:val="0"/>
                      <w:sz w:val="21"/>
                      <w:szCs w:val="21"/>
                      <w:lang w:val="en-US" w:eastAsia="zh-CN"/>
                    </w:rPr>
                    <w:t>”</w:t>
                  </w:r>
                  <w:r>
                    <w:rPr>
                      <w:rFonts w:hint="default" w:ascii="Times New Roman" w:hAnsi="Times New Roman" w:cs="Times New Roman"/>
                      <w:b w:val="0"/>
                      <w:bCs w:val="0"/>
                      <w:sz w:val="21"/>
                      <w:szCs w:val="21"/>
                      <w:lang w:val="en-US" w:eastAsia="zh-CN"/>
                    </w:rPr>
                    <w:t>生态环境保护规划》对一般管控区实施管控。</w:t>
                  </w:r>
                </w:p>
              </w:tc>
              <w:tc>
                <w:tcPr>
                  <w:tcW w:w="1308" w:type="pct"/>
                  <w:noWrap w:val="0"/>
                  <w:vAlign w:val="center"/>
                </w:tcPr>
                <w:p w14:paraId="0E88F687">
                  <w:pPr>
                    <w:pStyle w:val="156"/>
                    <w:spacing w:line="240" w:lineRule="auto"/>
                    <w:ind w:firstLine="0" w:firstLineChars="0"/>
                    <w:jc w:val="center"/>
                    <w:rPr>
                      <w:rFonts w:hint="eastAsia"/>
                      <w:b w:val="0"/>
                      <w:bCs w:val="0"/>
                      <w:sz w:val="21"/>
                    </w:rPr>
                  </w:pPr>
                  <w:r>
                    <w:rPr>
                      <w:rFonts w:hint="eastAsia"/>
                      <w:b w:val="0"/>
                      <w:bCs w:val="0"/>
                      <w:sz w:val="21"/>
                      <w:szCs w:val="21"/>
                    </w:rPr>
                    <w:t>本项目</w:t>
                  </w:r>
                  <w:r>
                    <w:rPr>
                      <w:rFonts w:hint="eastAsia"/>
                      <w:b w:val="0"/>
                      <w:bCs w:val="0"/>
                      <w:sz w:val="21"/>
                      <w:szCs w:val="21"/>
                      <w:lang w:val="en-US" w:eastAsia="zh-CN"/>
                    </w:rPr>
                    <w:t>租用</w:t>
                  </w:r>
                  <w:r>
                    <w:rPr>
                      <w:rFonts w:hint="eastAsia"/>
                      <w:b w:val="0"/>
                      <w:bCs w:val="0"/>
                      <w:sz w:val="21"/>
                      <w:szCs w:val="21"/>
                    </w:rPr>
                    <w:t>泗县</w:t>
                  </w:r>
                  <w:r>
                    <w:rPr>
                      <w:rFonts w:hint="eastAsia"/>
                      <w:b w:val="0"/>
                      <w:bCs w:val="0"/>
                      <w:sz w:val="21"/>
                      <w:szCs w:val="21"/>
                      <w:lang w:val="en-US" w:eastAsia="zh-CN"/>
                    </w:rPr>
                    <w:t>益民</w:t>
                  </w:r>
                  <w:r>
                    <w:rPr>
                      <w:rFonts w:hint="eastAsia"/>
                      <w:b w:val="0"/>
                      <w:bCs w:val="0"/>
                      <w:sz w:val="21"/>
                      <w:szCs w:val="21"/>
                    </w:rPr>
                    <w:t>公交</w:t>
                  </w:r>
                  <w:r>
                    <w:rPr>
                      <w:rFonts w:hint="eastAsia"/>
                      <w:b w:val="0"/>
                      <w:bCs w:val="0"/>
                      <w:sz w:val="21"/>
                      <w:szCs w:val="21"/>
                      <w:lang w:val="en-US" w:eastAsia="zh-CN"/>
                    </w:rPr>
                    <w:t>运输有限责任</w:t>
                  </w:r>
                  <w:r>
                    <w:rPr>
                      <w:rFonts w:hint="eastAsia"/>
                      <w:b w:val="0"/>
                      <w:bCs w:val="0"/>
                      <w:sz w:val="21"/>
                      <w:szCs w:val="21"/>
                    </w:rPr>
                    <w:t>公司</w:t>
                  </w:r>
                  <w:r>
                    <w:rPr>
                      <w:rFonts w:hint="eastAsia"/>
                      <w:b w:val="0"/>
                      <w:bCs w:val="0"/>
                      <w:sz w:val="21"/>
                      <w:szCs w:val="21"/>
                      <w:lang w:val="en-US" w:eastAsia="zh-CN"/>
                    </w:rPr>
                    <w:t>现有大楼、辅楼，无新增用地，</w:t>
                  </w:r>
                  <w:r>
                    <w:rPr>
                      <w:rFonts w:hint="eastAsia"/>
                      <w:b w:val="0"/>
                      <w:bCs w:val="0"/>
                      <w:sz w:val="21"/>
                      <w:szCs w:val="21"/>
                    </w:rPr>
                    <w:t>满足土壤环境分区管控要求。</w:t>
                  </w:r>
                </w:p>
              </w:tc>
            </w:tr>
          </w:tbl>
          <w:p w14:paraId="7BC62FF5">
            <w:pPr>
              <w:pStyle w:val="38"/>
              <w:ind w:left="0" w:leftChars="0" w:firstLine="0" w:firstLineChars="0"/>
              <w:rPr>
                <w:rFonts w:hint="default"/>
                <w:b w:val="0"/>
                <w:bCs w:val="0"/>
                <w:color w:val="auto"/>
                <w:lang w:val="en-US" w:eastAsia="zh-CN"/>
              </w:rPr>
            </w:pPr>
          </w:p>
        </w:tc>
      </w:tr>
    </w:tbl>
    <w:p w14:paraId="737620A0">
      <w:pPr>
        <w:ind w:firstLine="480"/>
        <w:rPr>
          <w:color w:val="auto"/>
        </w:rPr>
        <w:sectPr>
          <w:headerReference r:id="rId5" w:type="default"/>
          <w:footerReference r:id="rId6" w:type="default"/>
          <w:pgSz w:w="11905" w:h="16838"/>
          <w:pgMar w:top="1440" w:right="1800" w:bottom="1440" w:left="1800" w:header="850" w:footer="850" w:gutter="0"/>
          <w:pgBorders>
            <w:top w:val="none" w:sz="0" w:space="0"/>
            <w:left w:val="none" w:sz="0" w:space="0"/>
            <w:bottom w:val="none" w:sz="0" w:space="0"/>
            <w:right w:val="none" w:sz="0" w:space="0"/>
          </w:pgBorders>
          <w:pgNumType w:fmt="decimal" w:start="1"/>
          <w:cols w:space="720" w:num="1"/>
          <w:docGrid w:linePitch="312" w:charSpace="0"/>
        </w:sectPr>
      </w:pPr>
    </w:p>
    <w:p w14:paraId="62BFAF66">
      <w:pPr>
        <w:pStyle w:val="3"/>
        <w:keepNext w:val="0"/>
        <w:keepLines w:val="0"/>
        <w:pageBreakBefore w:val="0"/>
        <w:widowControl w:val="0"/>
        <w:numPr>
          <w:ilvl w:val="-1"/>
          <w:numId w:val="0"/>
        </w:numPr>
        <w:kinsoku/>
        <w:wordWrap/>
        <w:overflowPunct/>
        <w:topLinePunct w:val="0"/>
        <w:autoSpaceDE/>
        <w:autoSpaceDN/>
        <w:bidi w:val="0"/>
        <w:adjustRightInd w:val="0"/>
        <w:snapToGrid/>
        <w:spacing w:before="0" w:beforeLines="0" w:after="0" w:afterLines="0"/>
        <w:ind w:firstLine="0"/>
        <w:jc w:val="center"/>
        <w:textAlignment w:val="auto"/>
        <w:rPr>
          <w:rFonts w:hint="eastAsia"/>
          <w:color w:val="auto"/>
        </w:rPr>
      </w:pPr>
      <w:r>
        <w:rPr>
          <w:rFonts w:hint="eastAsia"/>
          <w:color w:val="auto"/>
          <w:lang w:eastAsia="zh-CN"/>
        </w:rPr>
        <w:t>二、</w:t>
      </w:r>
      <w:r>
        <w:rPr>
          <w:rFonts w:hint="eastAsia"/>
          <w:color w:val="auto"/>
        </w:rPr>
        <w:t>建设项目工程分析</w:t>
      </w:r>
    </w:p>
    <w:tbl>
      <w:tblPr>
        <w:tblStyle w:val="29"/>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013"/>
      </w:tblGrid>
      <w:tr w14:paraId="456F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26" w:type="dxa"/>
            <w:vAlign w:val="center"/>
          </w:tcPr>
          <w:p w14:paraId="15D36910">
            <w:pPr>
              <w:spacing w:line="240" w:lineRule="auto"/>
              <w:ind w:firstLine="0" w:firstLineChars="0"/>
              <w:jc w:val="center"/>
              <w:rPr>
                <w:rFonts w:hint="eastAsia"/>
                <w:color w:val="auto"/>
                <w:vertAlign w:val="baseline"/>
              </w:rPr>
            </w:pPr>
            <w:r>
              <w:rPr>
                <w:rFonts w:hint="eastAsia"/>
                <w:b w:val="0"/>
                <w:bCs w:val="0"/>
                <w:color w:val="auto"/>
              </w:rPr>
              <w:t>建设内容</w:t>
            </w:r>
          </w:p>
        </w:tc>
        <w:tc>
          <w:tcPr>
            <w:tcW w:w="8013" w:type="dxa"/>
            <w:vAlign w:val="center"/>
          </w:tcPr>
          <w:p w14:paraId="66173FAB">
            <w:pPr>
              <w:adjustRightInd w:val="0"/>
              <w:snapToGrid w:val="0"/>
              <w:spacing w:line="360" w:lineRule="auto"/>
              <w:ind w:firstLine="482" w:firstLineChars="200"/>
              <w:rPr>
                <w:rFonts w:hint="default" w:eastAsia="宋体"/>
                <w:b/>
                <w:bCs/>
                <w:color w:val="auto"/>
                <w:lang w:val="en-US" w:eastAsia="zh-CN"/>
              </w:rPr>
            </w:pPr>
            <w:r>
              <w:rPr>
                <w:rFonts w:hint="eastAsia"/>
                <w:b/>
                <w:bCs/>
                <w:color w:val="auto"/>
                <w:lang w:val="en-US" w:eastAsia="zh-CN"/>
              </w:rPr>
              <w:t>1、项目背景</w:t>
            </w:r>
          </w:p>
          <w:p w14:paraId="62890B62">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随着社会经济的迅速发展，人民生活水平的提高，大众对健康的需求意识也在逐渐加强。尽管中国医疗卫生事业发展目前取得了一些成就，但政府对卫生事业的投入与广大人民群众日益增长的医疗需求还存在较大差距，大量社会资本还没有得到有效利用，多元化投资和多渠道办医的格局尚未形成。鼓励社会力量办医，大力发展民营医疗机构，加强公共卫生部门与民营医疗机构之间的合作，是增加医疗卫生筹资渠道、扩大医疗卫生资金来源的有效途径。</w:t>
            </w:r>
          </w:p>
          <w:p w14:paraId="3BDAEDDB">
            <w:pPr>
              <w:pStyle w:val="117"/>
              <w:keepNext w:val="0"/>
              <w:keepLines w:val="0"/>
              <w:pageBreakBefore w:val="0"/>
              <w:widowControl w:val="0"/>
              <w:shd w:val="clear" w:color="auto" w:fill="auto"/>
              <w:kinsoku/>
              <w:wordWrap w:val="0"/>
              <w:overflowPunct/>
              <w:topLinePunct w:val="0"/>
              <w:autoSpaceDE/>
              <w:autoSpaceDN/>
              <w:bidi w:val="0"/>
              <w:adjustRightInd/>
              <w:snapToGrid/>
              <w:spacing w:before="0" w:after="0" w:line="360" w:lineRule="auto"/>
              <w:ind w:left="0" w:right="0" w:firstLine="620"/>
              <w:jc w:val="both"/>
              <w:textAlignment w:val="auto"/>
              <w:rPr>
                <w:rFonts w:hint="default" w:ascii="Times New Roman" w:hAnsi="Times New Roman" w:cs="Times New Roman"/>
                <w:color w:val="auto"/>
                <w:spacing w:val="0"/>
                <w:w w:val="100"/>
                <w:position w:val="0"/>
                <w:sz w:val="24"/>
                <w:szCs w:val="24"/>
                <w:lang w:val="en-US" w:eastAsia="zh-CN"/>
              </w:rPr>
            </w:pPr>
            <w:r>
              <w:rPr>
                <w:rFonts w:hint="default" w:ascii="Times New Roman" w:hAnsi="Times New Roman" w:cs="Times New Roman"/>
                <w:color w:val="auto"/>
                <w:spacing w:val="0"/>
                <w:w w:val="100"/>
                <w:position w:val="0"/>
                <w:sz w:val="24"/>
                <w:szCs w:val="24"/>
                <w:lang w:val="en-US" w:eastAsia="zh-CN"/>
              </w:rPr>
              <w:t>近年来，随着屈光不正、干眼症和老年性眼病等眼科疾病的发病率的攀升和人们眼保健意识和眼科疾病治疗观念的逐步提升，我国眼科医疗服务行业的发展迅速，眼科医疗的门诊增长率高于全国医疗服务行业的整体门诊增长率。上海</w:t>
            </w:r>
            <w:r>
              <w:rPr>
                <w:rFonts w:hint="default" w:ascii="Times New Roman" w:hAnsi="Times New Roman" w:cs="Times New Roman"/>
                <w:color w:val="auto"/>
                <w:sz w:val="24"/>
                <w:szCs w:val="24"/>
                <w:highlight w:val="none"/>
                <w:lang w:val="en-US" w:eastAsia="zh-CN"/>
              </w:rPr>
              <w:t>初灿医疗管理有限公司拟投资6000万元在宿州市泗县建设</w:t>
            </w:r>
            <w:r>
              <w:rPr>
                <w:rFonts w:hint="eastAsia" w:ascii="Times New Roman" w:hAnsi="Times New Roman" w:cs="Times New Roman"/>
                <w:color w:val="auto"/>
                <w:sz w:val="24"/>
                <w:szCs w:val="24"/>
                <w:highlight w:val="none"/>
                <w:lang w:val="en-US" w:eastAsia="zh-CN"/>
              </w:rPr>
              <w:t>泗县</w:t>
            </w:r>
            <w:r>
              <w:rPr>
                <w:rFonts w:hint="default" w:ascii="Times New Roman" w:hAnsi="Times New Roman" w:cs="Times New Roman"/>
                <w:color w:val="auto"/>
                <w:sz w:val="24"/>
                <w:szCs w:val="24"/>
                <w:highlight w:val="none"/>
                <w:lang w:val="en-US" w:eastAsia="zh-CN"/>
              </w:rPr>
              <w:t>眼科</w:t>
            </w:r>
            <w:r>
              <w:rPr>
                <w:rFonts w:hint="eastAsia" w:ascii="Times New Roman" w:hAnsi="Times New Roman" w:cs="Times New Roman"/>
                <w:color w:val="auto"/>
                <w:sz w:val="24"/>
                <w:szCs w:val="24"/>
                <w:highlight w:val="none"/>
                <w:lang w:val="en-US" w:eastAsia="zh-CN"/>
              </w:rPr>
              <w:t>专科</w:t>
            </w:r>
            <w:r>
              <w:rPr>
                <w:rFonts w:hint="default" w:ascii="Times New Roman" w:hAnsi="Times New Roman" w:cs="Times New Roman"/>
                <w:color w:val="auto"/>
                <w:sz w:val="24"/>
                <w:szCs w:val="24"/>
                <w:highlight w:val="none"/>
                <w:lang w:val="en-US" w:eastAsia="zh-CN"/>
              </w:rPr>
              <w:t>医院项目，租赁房屋总建筑面积约</w:t>
            </w:r>
            <w:r>
              <w:rPr>
                <w:rFonts w:hint="eastAsia" w:ascii="Times New Roman" w:hAnsi="Times New Roman" w:cs="Times New Roman"/>
                <w:color w:val="auto"/>
                <w:sz w:val="24"/>
                <w:szCs w:val="24"/>
                <w:highlight w:val="none"/>
                <w:lang w:val="en-US" w:eastAsia="zh-CN"/>
              </w:rPr>
              <w:t>6799.76</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。设置住院床位60张。项目建设完成后可达日接待门诊病例</w:t>
            </w:r>
            <w:r>
              <w:rPr>
                <w:rFonts w:hint="eastAsia" w:ascii="Times New Roman" w:hAnsi="Times New Roman" w:cs="Times New Roman"/>
                <w:color w:val="auto"/>
                <w:sz w:val="24"/>
                <w:szCs w:val="24"/>
                <w:highlight w:val="none"/>
                <w:lang w:val="en-US" w:eastAsia="zh-CN"/>
              </w:rPr>
              <w:t>90</w:t>
            </w:r>
            <w:r>
              <w:rPr>
                <w:rFonts w:hint="default" w:ascii="Times New Roman" w:hAnsi="Times New Roman" w:cs="Times New Roman"/>
                <w:color w:val="auto"/>
                <w:sz w:val="24"/>
                <w:szCs w:val="24"/>
                <w:highlight w:val="none"/>
                <w:lang w:val="en-US" w:eastAsia="zh-CN"/>
              </w:rPr>
              <w:t>人次/天。</w:t>
            </w:r>
          </w:p>
          <w:p w14:paraId="2B7704E1">
            <w:pPr>
              <w:adjustRightInd w:val="0"/>
              <w:snapToGrid w:val="0"/>
              <w:ind w:firstLine="480"/>
              <w:rPr>
                <w:rFonts w:hint="default" w:ascii="Times New Roman" w:hAnsi="Times New Roman" w:cs="Times New Roman"/>
                <w:color w:val="auto"/>
                <w:spacing w:val="0"/>
                <w:w w:val="100"/>
                <w:position w:val="0"/>
                <w:sz w:val="24"/>
                <w:szCs w:val="24"/>
                <w:lang w:val="en-US" w:eastAsia="zh-CN"/>
              </w:rPr>
            </w:pPr>
            <w:r>
              <w:rPr>
                <w:rFonts w:hint="eastAsia" w:cs="Times New Roman"/>
                <w:color w:val="auto"/>
                <w:sz w:val="24"/>
                <w:szCs w:val="24"/>
                <w:highlight w:val="none"/>
                <w:lang w:val="en-US" w:eastAsia="zh-CN"/>
              </w:rPr>
              <w:t>泗县人民政府</w:t>
            </w:r>
            <w:r>
              <w:rPr>
                <w:rFonts w:hint="default" w:ascii="Times New Roman" w:hAnsi="Times New Roman" w:cs="Times New Roman"/>
                <w:color w:val="auto"/>
                <w:sz w:val="24"/>
                <w:szCs w:val="24"/>
                <w:highlight w:val="none"/>
              </w:rPr>
              <w:t>于202</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年</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月</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日</w:t>
            </w:r>
            <w:r>
              <w:rPr>
                <w:rFonts w:hint="eastAsia" w:cs="Times New Roman"/>
                <w:color w:val="auto"/>
                <w:sz w:val="24"/>
                <w:szCs w:val="24"/>
                <w:highlight w:val="none"/>
                <w:lang w:eastAsia="zh-CN"/>
              </w:rPr>
              <w:t>召开会议“</w:t>
            </w:r>
            <w:r>
              <w:rPr>
                <w:rFonts w:hint="eastAsia"/>
                <w:color w:val="auto"/>
                <w:highlight w:val="none"/>
                <w:lang w:eastAsia="zh-CN"/>
              </w:rPr>
              <w:t>研究</w:t>
            </w:r>
            <w:r>
              <w:rPr>
                <w:rFonts w:hint="eastAsia"/>
                <w:color w:val="auto"/>
                <w:highlight w:val="none"/>
                <w:lang w:val="en-US" w:eastAsia="zh-CN"/>
              </w:rPr>
              <w:t>上海初灿医疗管理有限公司设立泗县眼科专科医院项目的专题会议纪要”</w:t>
            </w:r>
            <w:r>
              <w:rPr>
                <w:rFonts w:hint="eastAsia" w:cs="Times New Roman"/>
                <w:color w:val="auto"/>
                <w:sz w:val="24"/>
                <w:szCs w:val="24"/>
                <w:highlight w:val="none"/>
                <w:lang w:val="en-US" w:eastAsia="zh-CN"/>
              </w:rPr>
              <w:t>泗县人民政府专题会议纪要第4号</w:t>
            </w:r>
            <w:r>
              <w:rPr>
                <w:rFonts w:hint="eastAsia" w:cs="Times New Roman"/>
                <w:color w:val="auto"/>
                <w:sz w:val="24"/>
                <w:szCs w:val="24"/>
                <w:highlight w:val="none"/>
                <w:lang w:eastAsia="zh-CN"/>
              </w:rPr>
              <w:t>，会议</w:t>
            </w:r>
            <w:r>
              <w:rPr>
                <w:rFonts w:hint="eastAsia" w:cs="Times New Roman"/>
                <w:color w:val="auto"/>
                <w:sz w:val="24"/>
                <w:szCs w:val="24"/>
                <w:highlight w:val="none"/>
                <w:lang w:val="en-US" w:eastAsia="zh-CN"/>
              </w:rPr>
              <w:t>听取了泗县卫健委关于泗县眼科专科医院建设工作的汇报。会议原则同意</w:t>
            </w:r>
            <w:r>
              <w:rPr>
                <w:rFonts w:hint="eastAsia"/>
                <w:color w:val="auto"/>
                <w:highlight w:val="none"/>
                <w:lang w:val="en-US" w:eastAsia="zh-CN"/>
              </w:rPr>
              <w:t>上海初灿医疗管理有限公司在泗县设立眼科专科医院（附件2）</w:t>
            </w:r>
            <w:r>
              <w:rPr>
                <w:rFonts w:hint="default" w:ascii="Times New Roman" w:hAnsi="Times New Roman" w:cs="Times New Roman"/>
                <w:color w:val="auto"/>
                <w:spacing w:val="0"/>
                <w:w w:val="100"/>
                <w:position w:val="0"/>
                <w:sz w:val="24"/>
                <w:szCs w:val="24"/>
                <w:lang w:val="en-US" w:eastAsia="zh-CN"/>
              </w:rPr>
              <w:t>。</w:t>
            </w:r>
            <w:r>
              <w:rPr>
                <w:rFonts w:hint="eastAsia" w:cs="Times New Roman"/>
                <w:color w:val="auto"/>
                <w:spacing w:val="0"/>
                <w:w w:val="100"/>
                <w:position w:val="0"/>
                <w:sz w:val="24"/>
                <w:szCs w:val="24"/>
                <w:lang w:val="en-US" w:eastAsia="zh-CN"/>
              </w:rPr>
              <w:t>并于2024年10月28日，取得泗县卫生健康委员会《关于宿州复兴眼科医院床位的情况说明》（附件3）。</w:t>
            </w:r>
          </w:p>
          <w:p w14:paraId="65557034">
            <w:pPr>
              <w:adjustRightInd w:val="0"/>
              <w:snapToGrid w:val="0"/>
              <w:ind w:firstLine="480"/>
              <w:rPr>
                <w:color w:val="auto"/>
              </w:rPr>
            </w:pPr>
            <w:r>
              <w:rPr>
                <w:rFonts w:hint="eastAsia"/>
                <w:color w:val="auto"/>
              </w:rPr>
              <w:t>依据《环境影响评价法》、《建设项目环境保护管理条例》和《建设项目环境影响评价分类管理名录》的相关规定，</w:t>
            </w:r>
            <w:r>
              <w:rPr>
                <w:rFonts w:hint="eastAsia"/>
                <w:color w:val="auto"/>
                <w:lang w:eastAsia="zh-CN"/>
              </w:rPr>
              <w:t>本项目新建床位</w:t>
            </w:r>
            <w:r>
              <w:rPr>
                <w:rFonts w:hint="eastAsia"/>
                <w:color w:val="auto"/>
                <w:lang w:val="en-US" w:eastAsia="zh-CN"/>
              </w:rPr>
              <w:t>60张，应编制环境影响报告表</w:t>
            </w:r>
            <w:r>
              <w:rPr>
                <w:rFonts w:hint="eastAsia"/>
                <w:color w:val="auto"/>
                <w:lang w:eastAsia="zh-CN"/>
              </w:rPr>
              <w:t>。</w:t>
            </w:r>
            <w:r>
              <w:rPr>
                <w:rFonts w:hint="eastAsia"/>
                <w:color w:val="auto"/>
              </w:rPr>
              <w:t>建设单位特委托本单位承担该项目的环境影响报告表编制工作，我单位通过现场踏勘调查、资料收集，并依据《建设项目环境影响报告表编制技术指南</w:t>
            </w:r>
            <w:r>
              <w:rPr>
                <w:color w:val="auto"/>
              </w:rPr>
              <w:t>（污染影响类）</w:t>
            </w:r>
            <w:r>
              <w:rPr>
                <w:rFonts w:hint="eastAsia"/>
                <w:color w:val="auto"/>
              </w:rPr>
              <w:t>（试行）》的要求编制了本项目的环境影响报告表。</w:t>
            </w:r>
          </w:p>
          <w:p w14:paraId="38C2C286">
            <w:pPr>
              <w:bidi w:val="0"/>
              <w:spacing w:line="240" w:lineRule="auto"/>
              <w:jc w:val="center"/>
              <w:rPr>
                <w:b/>
                <w:bCs/>
                <w:sz w:val="21"/>
                <w:szCs w:val="21"/>
              </w:rPr>
            </w:pPr>
            <w:r>
              <w:rPr>
                <w:rFonts w:hint="default"/>
                <w:b/>
                <w:bCs/>
                <w:sz w:val="21"/>
                <w:szCs w:val="21"/>
                <w:lang w:val="en-US" w:eastAsia="zh-CN"/>
              </w:rPr>
              <w:t>表2-1</w:t>
            </w:r>
            <w:r>
              <w:rPr>
                <w:b/>
                <w:bCs/>
                <w:sz w:val="21"/>
                <w:szCs w:val="21"/>
              </w:rPr>
              <w:t>分类管理名录</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1875"/>
              <w:gridCol w:w="1824"/>
              <w:gridCol w:w="2120"/>
            </w:tblGrid>
            <w:tr w14:paraId="54EA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 w:type="pct"/>
                  <w:tcBorders>
                    <w:tl2br w:val="single" w:color="auto" w:sz="4" w:space="0"/>
                  </w:tcBorders>
                </w:tcPr>
                <w:p w14:paraId="369A11E7">
                  <w:pPr>
                    <w:spacing w:line="240" w:lineRule="auto"/>
                    <w:ind w:firstLine="0" w:firstLineChars="0"/>
                    <w:jc w:val="right"/>
                    <w:rPr>
                      <w:b/>
                      <w:bCs/>
                      <w:color w:val="auto"/>
                      <w:sz w:val="21"/>
                      <w:szCs w:val="21"/>
                    </w:rPr>
                  </w:pPr>
                  <w:r>
                    <w:rPr>
                      <w:b/>
                      <w:bCs/>
                      <w:color w:val="auto"/>
                      <w:sz w:val="21"/>
                      <w:szCs w:val="21"/>
                    </w:rPr>
                    <w:t>环评类别</w:t>
                  </w:r>
                </w:p>
                <w:p w14:paraId="68B9E6AD">
                  <w:pPr>
                    <w:spacing w:line="240" w:lineRule="auto"/>
                    <w:ind w:firstLine="0" w:firstLineChars="0"/>
                    <w:rPr>
                      <w:b/>
                      <w:bCs/>
                      <w:color w:val="auto"/>
                      <w:sz w:val="21"/>
                      <w:szCs w:val="21"/>
                    </w:rPr>
                  </w:pPr>
                  <w:r>
                    <w:rPr>
                      <w:b/>
                      <w:bCs/>
                      <w:color w:val="auto"/>
                      <w:sz w:val="21"/>
                      <w:szCs w:val="21"/>
                    </w:rPr>
                    <w:t>项目类别</w:t>
                  </w:r>
                </w:p>
              </w:tc>
              <w:tc>
                <w:tcPr>
                  <w:tcW w:w="1204" w:type="pct"/>
                  <w:vAlign w:val="center"/>
                </w:tcPr>
                <w:p w14:paraId="0E9C0AB1">
                  <w:pPr>
                    <w:spacing w:line="240" w:lineRule="auto"/>
                    <w:ind w:firstLine="0" w:firstLineChars="0"/>
                    <w:jc w:val="center"/>
                    <w:rPr>
                      <w:b/>
                      <w:bCs/>
                      <w:color w:val="auto"/>
                      <w:sz w:val="21"/>
                      <w:szCs w:val="21"/>
                    </w:rPr>
                  </w:pPr>
                  <w:r>
                    <w:rPr>
                      <w:b/>
                      <w:bCs/>
                      <w:color w:val="auto"/>
                      <w:sz w:val="21"/>
                      <w:szCs w:val="21"/>
                    </w:rPr>
                    <w:t>报告书</w:t>
                  </w:r>
                </w:p>
              </w:tc>
              <w:tc>
                <w:tcPr>
                  <w:tcW w:w="1171" w:type="pct"/>
                  <w:vAlign w:val="center"/>
                </w:tcPr>
                <w:p w14:paraId="3D7403F6">
                  <w:pPr>
                    <w:spacing w:line="240" w:lineRule="auto"/>
                    <w:ind w:firstLine="0" w:firstLineChars="0"/>
                    <w:jc w:val="center"/>
                    <w:rPr>
                      <w:b/>
                      <w:bCs/>
                      <w:color w:val="auto"/>
                      <w:sz w:val="21"/>
                      <w:szCs w:val="21"/>
                    </w:rPr>
                  </w:pPr>
                  <w:r>
                    <w:rPr>
                      <w:b/>
                      <w:bCs/>
                      <w:color w:val="auto"/>
                      <w:sz w:val="21"/>
                      <w:szCs w:val="21"/>
                    </w:rPr>
                    <w:t>报告表</w:t>
                  </w:r>
                </w:p>
              </w:tc>
              <w:tc>
                <w:tcPr>
                  <w:tcW w:w="1361" w:type="pct"/>
                  <w:vAlign w:val="center"/>
                </w:tcPr>
                <w:p w14:paraId="401779E7">
                  <w:pPr>
                    <w:spacing w:line="240" w:lineRule="auto"/>
                    <w:ind w:firstLine="0" w:firstLineChars="0"/>
                    <w:jc w:val="center"/>
                    <w:rPr>
                      <w:b/>
                      <w:bCs/>
                      <w:color w:val="auto"/>
                      <w:sz w:val="21"/>
                      <w:szCs w:val="21"/>
                    </w:rPr>
                  </w:pPr>
                  <w:r>
                    <w:rPr>
                      <w:b/>
                      <w:bCs/>
                      <w:color w:val="auto"/>
                      <w:sz w:val="21"/>
                      <w:szCs w:val="21"/>
                    </w:rPr>
                    <w:t>登记表</w:t>
                  </w:r>
                </w:p>
              </w:tc>
            </w:tr>
            <w:tr w14:paraId="74C3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1" w:type="pct"/>
                  <w:vAlign w:val="center"/>
                </w:tcPr>
                <w:p w14:paraId="24E5F29E">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108医院 841</w:t>
                  </w:r>
                </w:p>
              </w:tc>
              <w:tc>
                <w:tcPr>
                  <w:tcW w:w="1204" w:type="pct"/>
                  <w:vAlign w:val="center"/>
                </w:tcPr>
                <w:p w14:paraId="082B1651">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新建、扩建住院床位500张及以上的</w:t>
                  </w:r>
                </w:p>
              </w:tc>
              <w:tc>
                <w:tcPr>
                  <w:tcW w:w="1171" w:type="pct"/>
                  <w:vAlign w:val="center"/>
                </w:tcPr>
                <w:p w14:paraId="4281F666">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其他（住院床位20张以下的除外）</w:t>
                  </w:r>
                </w:p>
              </w:tc>
              <w:tc>
                <w:tcPr>
                  <w:tcW w:w="1361" w:type="pct"/>
                  <w:vAlign w:val="center"/>
                </w:tcPr>
                <w:p w14:paraId="5933CB1E">
                  <w:pPr>
                    <w:widowControl/>
                    <w:wordWrap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住院床位20张以</w:t>
                  </w:r>
                </w:p>
                <w:p w14:paraId="500878CF">
                  <w:pPr>
                    <w:widowControl/>
                    <w:wordWrap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下的（不含20张住</w:t>
                  </w:r>
                </w:p>
                <w:p w14:paraId="4082BCDE">
                  <w:pPr>
                    <w:widowControl/>
                    <w:wordWrap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院床位的）</w:t>
                  </w:r>
                </w:p>
              </w:tc>
            </w:tr>
          </w:tbl>
          <w:p w14:paraId="61C67183">
            <w:pPr>
              <w:adjustRightInd w:val="0"/>
              <w:snapToGrid w:val="0"/>
              <w:ind w:firstLine="482" w:firstLineChars="200"/>
              <w:rPr>
                <w:rFonts w:hint="default" w:eastAsia="宋体"/>
                <w:b/>
                <w:bCs/>
                <w:color w:val="auto"/>
                <w:lang w:val="en-US" w:eastAsia="zh-CN"/>
              </w:rPr>
            </w:pPr>
            <w:r>
              <w:rPr>
                <w:rFonts w:hint="eastAsia"/>
                <w:b/>
                <w:bCs/>
                <w:color w:val="auto"/>
                <w:lang w:val="en-US" w:eastAsia="zh-CN"/>
              </w:rPr>
              <w:t>2</w:t>
            </w:r>
            <w:r>
              <w:rPr>
                <w:rFonts w:hint="eastAsia"/>
                <w:b/>
                <w:bCs/>
                <w:color w:val="auto"/>
              </w:rPr>
              <w:t>、项目</w:t>
            </w:r>
            <w:r>
              <w:rPr>
                <w:rFonts w:hint="eastAsia"/>
                <w:b/>
                <w:bCs/>
                <w:color w:val="auto"/>
                <w:lang w:val="en-US" w:eastAsia="zh-CN"/>
              </w:rPr>
              <w:t>建设内容及规模</w:t>
            </w:r>
          </w:p>
          <w:p w14:paraId="25A8241E">
            <w:pPr>
              <w:pStyle w:val="119"/>
              <w:ind w:firstLine="422"/>
              <w:jc w:val="both"/>
              <w:rPr>
                <w:rFonts w:hint="default" w:ascii="Times New Roman" w:hAnsi="Times New Roman" w:eastAsia="宋体" w:cs="Times New Roman"/>
                <w:b w:val="0"/>
                <w:bCs/>
                <w:color w:val="auto"/>
                <w:kern w:val="10"/>
                <w:sz w:val="24"/>
                <w:highlight w:val="none"/>
                <w:lang w:val="en-US" w:eastAsia="zh-CN"/>
              </w:rPr>
            </w:pPr>
            <w:r>
              <w:rPr>
                <w:rFonts w:hint="eastAsia" w:cs="Times New Roman"/>
                <w:b w:val="0"/>
                <w:bCs/>
                <w:color w:val="auto"/>
                <w:kern w:val="10"/>
                <w:sz w:val="24"/>
                <w:highlight w:val="none"/>
                <w:lang w:val="en-US" w:eastAsia="zh-CN"/>
              </w:rPr>
              <w:t>宿州市复兴</w:t>
            </w:r>
            <w:r>
              <w:rPr>
                <w:rFonts w:hint="eastAsia" w:ascii="Times New Roman" w:hAnsi="Times New Roman" w:eastAsia="宋体" w:cs="Times New Roman"/>
                <w:b w:val="0"/>
                <w:bCs/>
                <w:color w:val="auto"/>
                <w:kern w:val="10"/>
                <w:sz w:val="24"/>
                <w:highlight w:val="none"/>
                <w:lang w:val="en-US" w:eastAsia="zh-CN"/>
              </w:rPr>
              <w:t>眼科医院</w:t>
            </w:r>
            <w:r>
              <w:rPr>
                <w:rFonts w:hint="eastAsia" w:cs="Times New Roman"/>
                <w:b w:val="0"/>
                <w:bCs/>
                <w:color w:val="auto"/>
                <w:kern w:val="10"/>
                <w:sz w:val="24"/>
                <w:highlight w:val="none"/>
                <w:lang w:val="en-US" w:eastAsia="zh-CN"/>
              </w:rPr>
              <w:t>有限公司</w:t>
            </w:r>
            <w:r>
              <w:rPr>
                <w:rFonts w:hint="eastAsia" w:ascii="Times New Roman" w:hAnsi="Times New Roman" w:eastAsia="宋体" w:cs="Times New Roman"/>
                <w:b w:val="0"/>
                <w:bCs/>
                <w:color w:val="auto"/>
                <w:kern w:val="10"/>
                <w:sz w:val="24"/>
                <w:highlight w:val="none"/>
                <w:lang w:val="en-US" w:eastAsia="zh-CN"/>
              </w:rPr>
              <w:t>租赁</w:t>
            </w:r>
            <w:r>
              <w:rPr>
                <w:rFonts w:hint="eastAsia"/>
                <w:b w:val="0"/>
                <w:bCs/>
                <w:sz w:val="24"/>
                <w:szCs w:val="36"/>
              </w:rPr>
              <w:t>泗县经济开发区</w:t>
            </w:r>
            <w:r>
              <w:rPr>
                <w:rFonts w:hint="eastAsia"/>
                <w:b w:val="0"/>
                <w:bCs/>
                <w:sz w:val="24"/>
                <w:szCs w:val="36"/>
                <w:lang w:val="en-US" w:eastAsia="zh-CN"/>
              </w:rPr>
              <w:t>朝阳路与汴河大道交叉口东侧</w:t>
            </w:r>
            <w:r>
              <w:rPr>
                <w:rFonts w:hint="default"/>
                <w:b w:val="0"/>
                <w:bCs/>
                <w:sz w:val="24"/>
                <w:szCs w:val="36"/>
                <w:lang w:val="en-US" w:eastAsia="zh-CN"/>
              </w:rPr>
              <w:t>200m</w:t>
            </w:r>
            <w:r>
              <w:rPr>
                <w:rFonts w:hint="eastAsia"/>
                <w:b w:val="0"/>
                <w:bCs/>
                <w:sz w:val="24"/>
                <w:szCs w:val="36"/>
              </w:rPr>
              <w:t>泗县</w:t>
            </w:r>
            <w:r>
              <w:rPr>
                <w:rFonts w:hint="eastAsia"/>
                <w:b w:val="0"/>
                <w:bCs/>
                <w:sz w:val="24"/>
                <w:szCs w:val="36"/>
                <w:lang w:val="en-US" w:eastAsia="zh-CN"/>
              </w:rPr>
              <w:t>益民</w:t>
            </w:r>
            <w:r>
              <w:rPr>
                <w:rFonts w:hint="eastAsia"/>
                <w:b w:val="0"/>
                <w:bCs/>
                <w:sz w:val="24"/>
                <w:szCs w:val="36"/>
              </w:rPr>
              <w:t>公交</w:t>
            </w:r>
            <w:r>
              <w:rPr>
                <w:rFonts w:hint="eastAsia"/>
                <w:b w:val="0"/>
                <w:bCs/>
                <w:sz w:val="24"/>
                <w:szCs w:val="36"/>
                <w:lang w:val="en-US" w:eastAsia="zh-CN"/>
              </w:rPr>
              <w:t>运输有限责任</w:t>
            </w:r>
            <w:r>
              <w:rPr>
                <w:rFonts w:hint="eastAsia"/>
                <w:b w:val="0"/>
                <w:bCs/>
                <w:sz w:val="24"/>
                <w:szCs w:val="36"/>
              </w:rPr>
              <w:t>公司大楼1~6层，辅楼</w:t>
            </w:r>
            <w:r>
              <w:rPr>
                <w:rFonts w:hint="eastAsia"/>
                <w:b w:val="0"/>
                <w:bCs/>
                <w:sz w:val="24"/>
                <w:szCs w:val="36"/>
                <w:lang w:val="en-US" w:eastAsia="zh-CN"/>
              </w:rPr>
              <w:t>1</w:t>
            </w:r>
            <w:r>
              <w:rPr>
                <w:rFonts w:hint="eastAsia"/>
                <w:b w:val="0"/>
                <w:bCs/>
                <w:sz w:val="24"/>
                <w:szCs w:val="36"/>
              </w:rPr>
              <w:t>栋1~</w:t>
            </w:r>
            <w:r>
              <w:rPr>
                <w:rFonts w:hint="eastAsia"/>
                <w:b w:val="0"/>
                <w:bCs/>
                <w:sz w:val="24"/>
                <w:szCs w:val="36"/>
                <w:lang w:val="en-US" w:eastAsia="zh-CN"/>
              </w:rPr>
              <w:t>2</w:t>
            </w:r>
            <w:r>
              <w:rPr>
                <w:rFonts w:hint="eastAsia"/>
                <w:b w:val="0"/>
                <w:bCs/>
                <w:sz w:val="24"/>
                <w:szCs w:val="36"/>
              </w:rPr>
              <w:t>层</w:t>
            </w:r>
            <w:r>
              <w:rPr>
                <w:rFonts w:hint="eastAsia" w:ascii="Times New Roman" w:hAnsi="Times New Roman" w:eastAsia="宋体" w:cs="Times New Roman"/>
                <w:b w:val="0"/>
                <w:bCs/>
                <w:color w:val="auto"/>
                <w:kern w:val="10"/>
                <w:sz w:val="24"/>
                <w:highlight w:val="none"/>
                <w:lang w:val="en-US" w:eastAsia="zh-CN"/>
              </w:rPr>
              <w:t>建设</w:t>
            </w:r>
            <w:r>
              <w:rPr>
                <w:rFonts w:hint="eastAsia"/>
                <w:b w:val="0"/>
                <w:bCs/>
                <w:sz w:val="24"/>
                <w:szCs w:val="36"/>
                <w:lang w:val="en-US" w:eastAsia="zh-CN"/>
              </w:rPr>
              <w:t>泗县眼科专科医院项目</w:t>
            </w:r>
            <w:r>
              <w:rPr>
                <w:rFonts w:hint="eastAsia" w:cs="Times New Roman"/>
                <w:b w:val="0"/>
                <w:bCs/>
                <w:color w:val="auto"/>
                <w:kern w:val="10"/>
                <w:sz w:val="24"/>
                <w:highlight w:val="none"/>
                <w:lang w:val="en-US" w:eastAsia="zh-CN"/>
              </w:rPr>
              <w:t>，利用</w:t>
            </w:r>
            <w:r>
              <w:rPr>
                <w:rFonts w:hint="eastAsia"/>
                <w:b w:val="0"/>
                <w:bCs/>
                <w:color w:val="auto"/>
                <w:sz w:val="24"/>
                <w:szCs w:val="24"/>
                <w:lang w:val="en-US" w:eastAsia="zh-CN"/>
              </w:rPr>
              <w:t>原租赁单位</w:t>
            </w:r>
            <w:r>
              <w:rPr>
                <w:rFonts w:hint="eastAsia"/>
                <w:b w:val="0"/>
                <w:bCs/>
                <w:sz w:val="24"/>
                <w:szCs w:val="36"/>
              </w:rPr>
              <w:t>泗县新城中西医结合医院</w:t>
            </w:r>
            <w:r>
              <w:rPr>
                <w:rFonts w:hint="eastAsia"/>
                <w:b w:val="0"/>
                <w:bCs/>
                <w:color w:val="auto"/>
                <w:sz w:val="24"/>
                <w:szCs w:val="24"/>
                <w:lang w:val="en-US" w:eastAsia="zh-CN"/>
              </w:rPr>
              <w:t>的医疗废物暂存间、污水处理站等</w:t>
            </w:r>
            <w:r>
              <w:rPr>
                <w:rFonts w:hint="eastAsia" w:ascii="Times New Roman" w:hAnsi="Times New Roman" w:eastAsia="宋体" w:cs="Times New Roman"/>
                <w:b w:val="0"/>
                <w:bCs/>
                <w:color w:val="auto"/>
                <w:kern w:val="10"/>
                <w:sz w:val="24"/>
                <w:highlight w:val="none"/>
                <w:lang w:val="en-US" w:eastAsia="zh-CN"/>
              </w:rPr>
              <w:t>。项目占地面积</w:t>
            </w:r>
            <w:r>
              <w:rPr>
                <w:rFonts w:hint="eastAsia"/>
                <w:b w:val="0"/>
                <w:bCs/>
                <w:color w:val="auto"/>
                <w:sz w:val="24"/>
                <w:szCs w:val="24"/>
                <w:lang w:val="en-US" w:eastAsia="zh-CN"/>
              </w:rPr>
              <w:t>2716.07m</w:t>
            </w:r>
            <w:r>
              <w:rPr>
                <w:rFonts w:hint="eastAsia"/>
                <w:b w:val="0"/>
                <w:bCs/>
                <w:color w:val="auto"/>
                <w:sz w:val="24"/>
                <w:szCs w:val="24"/>
                <w:vertAlign w:val="superscript"/>
                <w:lang w:val="en-US" w:eastAsia="zh-CN"/>
              </w:rPr>
              <w:t>2</w:t>
            </w:r>
            <w:r>
              <w:rPr>
                <w:rFonts w:hint="eastAsia"/>
                <w:b w:val="0"/>
                <w:bCs/>
                <w:color w:val="auto"/>
                <w:sz w:val="24"/>
                <w:szCs w:val="24"/>
                <w:lang w:val="en-US" w:eastAsia="zh-CN"/>
              </w:rPr>
              <w:t>，总建筑面积6799.76m</w:t>
            </w:r>
            <w:r>
              <w:rPr>
                <w:rFonts w:hint="eastAsia"/>
                <w:b w:val="0"/>
                <w:bCs/>
                <w:color w:val="auto"/>
                <w:sz w:val="24"/>
                <w:szCs w:val="24"/>
                <w:vertAlign w:val="superscript"/>
                <w:lang w:val="en-US" w:eastAsia="zh-CN"/>
              </w:rPr>
              <w:t>2</w:t>
            </w:r>
            <w:r>
              <w:rPr>
                <w:rFonts w:hint="eastAsia" w:ascii="Times New Roman" w:hAnsi="Times New Roman" w:eastAsia="宋体" w:cs="Times New Roman"/>
                <w:b w:val="0"/>
                <w:bCs/>
                <w:color w:val="auto"/>
                <w:kern w:val="10"/>
                <w:sz w:val="24"/>
                <w:highlight w:val="none"/>
                <w:lang w:val="en-US" w:eastAsia="zh-CN"/>
              </w:rPr>
              <w:t>，内设</w:t>
            </w:r>
            <w:r>
              <w:rPr>
                <w:rFonts w:hint="eastAsia" w:cs="Times New Roman"/>
                <w:b w:val="0"/>
                <w:bCs/>
                <w:color w:val="auto"/>
                <w:kern w:val="10"/>
                <w:sz w:val="24"/>
                <w:highlight w:val="none"/>
                <w:lang w:val="en-US" w:eastAsia="zh-CN"/>
              </w:rPr>
              <w:t>诊室、斜弱视康复训练室、抽血区、检验科、检查室、DR室、手术室等。</w:t>
            </w:r>
          </w:p>
          <w:p w14:paraId="648B89D4">
            <w:pPr>
              <w:pStyle w:val="119"/>
              <w:ind w:firstLine="422"/>
              <w:jc w:val="both"/>
              <w:rPr>
                <w:rFonts w:hint="eastAsia" w:ascii="Times New Roman" w:hAnsi="Times New Roman" w:eastAsia="宋体" w:cs="Times New Roman"/>
                <w:b w:val="0"/>
                <w:bCs/>
                <w:color w:val="auto"/>
                <w:kern w:val="10"/>
                <w:sz w:val="24"/>
                <w:highlight w:val="none"/>
                <w:lang w:val="en-US" w:eastAsia="zh-CN"/>
              </w:rPr>
            </w:pPr>
            <w:r>
              <w:rPr>
                <w:rFonts w:hint="eastAsia" w:cs="Times New Roman"/>
                <w:b w:val="0"/>
                <w:bCs/>
                <w:color w:val="auto"/>
                <w:kern w:val="10"/>
                <w:sz w:val="24"/>
                <w:highlight w:val="none"/>
                <w:lang w:val="en-US" w:eastAsia="zh-CN"/>
              </w:rPr>
              <w:t>根据建设单位提供的资料，本环评对本项目部分设置作如下说明：</w:t>
            </w:r>
          </w:p>
          <w:p w14:paraId="12F9CA0B">
            <w:pPr>
              <w:pStyle w:val="119"/>
              <w:ind w:firstLine="422"/>
              <w:jc w:val="both"/>
              <w:rPr>
                <w:rFonts w:hint="eastAsia" w:ascii="Times New Roman" w:hAnsi="Times New Roman" w:eastAsia="宋体" w:cs="Times New Roman"/>
                <w:b w:val="0"/>
                <w:bCs/>
                <w:color w:val="auto"/>
                <w:kern w:val="10"/>
                <w:sz w:val="24"/>
                <w:highlight w:val="none"/>
                <w:lang w:val="en-US" w:eastAsia="zh-CN"/>
              </w:rPr>
            </w:pPr>
            <w:r>
              <w:rPr>
                <w:rFonts w:hint="eastAsia" w:ascii="Times New Roman" w:hAnsi="Times New Roman" w:eastAsia="宋体" w:cs="Times New Roman"/>
                <w:b w:val="0"/>
                <w:bCs/>
                <w:color w:val="auto"/>
                <w:kern w:val="10"/>
                <w:sz w:val="24"/>
                <w:highlight w:val="none"/>
                <w:lang w:val="en-US" w:eastAsia="zh-CN"/>
              </w:rPr>
              <w:t>①</w:t>
            </w:r>
            <w:r>
              <w:rPr>
                <w:rFonts w:hint="eastAsia" w:cs="Times New Roman"/>
                <w:b w:val="0"/>
                <w:bCs/>
                <w:color w:val="auto"/>
                <w:kern w:val="10"/>
                <w:sz w:val="24"/>
                <w:highlight w:val="none"/>
                <w:lang w:val="en-US" w:eastAsia="zh-CN"/>
              </w:rPr>
              <w:t>本</w:t>
            </w:r>
            <w:r>
              <w:rPr>
                <w:rFonts w:hint="eastAsia" w:ascii="Times New Roman" w:hAnsi="Times New Roman" w:eastAsia="宋体" w:cs="Times New Roman"/>
                <w:b w:val="0"/>
                <w:bCs/>
                <w:color w:val="auto"/>
                <w:kern w:val="10"/>
                <w:sz w:val="24"/>
                <w:highlight w:val="none"/>
                <w:lang w:val="en-US" w:eastAsia="zh-CN"/>
              </w:rPr>
              <w:t>项目不涉及传染病</w:t>
            </w:r>
            <w:r>
              <w:rPr>
                <w:rFonts w:hint="eastAsia" w:cs="Times New Roman"/>
                <w:b w:val="0"/>
                <w:bCs/>
                <w:color w:val="auto"/>
                <w:kern w:val="10"/>
                <w:sz w:val="24"/>
                <w:highlight w:val="none"/>
                <w:lang w:val="en-US" w:eastAsia="zh-CN"/>
              </w:rPr>
              <w:t>；</w:t>
            </w:r>
          </w:p>
          <w:p w14:paraId="24D71A29">
            <w:pPr>
              <w:pStyle w:val="119"/>
              <w:ind w:firstLine="422"/>
              <w:jc w:val="both"/>
              <w:rPr>
                <w:rFonts w:hint="eastAsia" w:ascii="Times New Roman" w:hAnsi="Times New Roman" w:eastAsia="宋体" w:cs="Times New Roman"/>
                <w:b w:val="0"/>
                <w:bCs/>
                <w:color w:val="auto"/>
                <w:kern w:val="10"/>
                <w:sz w:val="24"/>
                <w:highlight w:val="none"/>
                <w:lang w:val="en-US" w:eastAsia="zh-CN"/>
              </w:rPr>
            </w:pPr>
            <w:r>
              <w:rPr>
                <w:rFonts w:hint="eastAsia" w:ascii="Times New Roman" w:hAnsi="Times New Roman" w:eastAsia="宋体" w:cs="Times New Roman"/>
                <w:b w:val="0"/>
                <w:bCs/>
                <w:color w:val="auto"/>
                <w:kern w:val="10"/>
                <w:sz w:val="24"/>
                <w:highlight w:val="none"/>
                <w:lang w:val="en-US" w:eastAsia="zh-CN"/>
              </w:rPr>
              <w:t>②</w:t>
            </w:r>
            <w:r>
              <w:rPr>
                <w:rFonts w:hint="eastAsia" w:cs="Times New Roman"/>
                <w:b w:val="0"/>
                <w:bCs/>
                <w:color w:val="auto"/>
                <w:kern w:val="10"/>
                <w:sz w:val="24"/>
                <w:highlight w:val="none"/>
                <w:lang w:val="en-US" w:eastAsia="zh-CN"/>
              </w:rPr>
              <w:t>本</w:t>
            </w:r>
            <w:r>
              <w:rPr>
                <w:rFonts w:hint="eastAsia" w:ascii="Times New Roman" w:hAnsi="Times New Roman" w:eastAsia="宋体" w:cs="Times New Roman"/>
                <w:b w:val="0"/>
                <w:bCs/>
                <w:color w:val="auto"/>
                <w:kern w:val="10"/>
                <w:sz w:val="24"/>
                <w:highlight w:val="none"/>
                <w:lang w:val="en-US" w:eastAsia="zh-CN"/>
              </w:rPr>
              <w:t>项目不设置锅炉房</w:t>
            </w:r>
            <w:r>
              <w:rPr>
                <w:rFonts w:hint="eastAsia" w:cs="Times New Roman"/>
                <w:b w:val="0"/>
                <w:bCs/>
                <w:color w:val="auto"/>
                <w:kern w:val="10"/>
                <w:sz w:val="24"/>
                <w:highlight w:val="none"/>
                <w:lang w:val="en-US" w:eastAsia="zh-CN"/>
              </w:rPr>
              <w:t>；</w:t>
            </w:r>
          </w:p>
          <w:p w14:paraId="549920CC">
            <w:pPr>
              <w:pStyle w:val="119"/>
              <w:ind w:firstLine="422"/>
              <w:jc w:val="both"/>
              <w:rPr>
                <w:rFonts w:hint="eastAsia" w:ascii="Times New Roman" w:hAnsi="Times New Roman" w:eastAsia="宋体" w:cs="Times New Roman"/>
                <w:b w:val="0"/>
                <w:bCs/>
                <w:color w:val="auto"/>
                <w:kern w:val="10"/>
                <w:sz w:val="24"/>
                <w:highlight w:val="none"/>
                <w:lang w:val="en-US" w:eastAsia="zh-CN"/>
              </w:rPr>
            </w:pPr>
            <w:r>
              <w:rPr>
                <w:rFonts w:hint="eastAsia" w:cs="Times New Roman"/>
                <w:b w:val="0"/>
                <w:bCs/>
                <w:color w:val="auto"/>
                <w:kern w:val="10"/>
                <w:sz w:val="24"/>
                <w:highlight w:val="none"/>
                <w:lang w:val="en-US" w:eastAsia="zh-CN"/>
              </w:rPr>
              <w:t>③本</w:t>
            </w:r>
            <w:r>
              <w:rPr>
                <w:rFonts w:hint="eastAsia" w:ascii="Times New Roman" w:hAnsi="Times New Roman" w:eastAsia="宋体" w:cs="Times New Roman"/>
                <w:b w:val="0"/>
                <w:bCs/>
                <w:color w:val="auto"/>
                <w:kern w:val="10"/>
                <w:sz w:val="24"/>
                <w:highlight w:val="none"/>
                <w:lang w:val="en-US" w:eastAsia="zh-CN"/>
              </w:rPr>
              <w:t>项目检验科利用全自动生化分析仪或检验试纸进行常规生化检验，不涉及含氰废水及含铬废水</w:t>
            </w:r>
            <w:r>
              <w:rPr>
                <w:rFonts w:hint="eastAsia" w:cs="Times New Roman"/>
                <w:b w:val="0"/>
                <w:bCs/>
                <w:color w:val="auto"/>
                <w:kern w:val="10"/>
                <w:sz w:val="24"/>
                <w:highlight w:val="none"/>
                <w:lang w:val="en-US" w:eastAsia="zh-CN"/>
              </w:rPr>
              <w:t>；</w:t>
            </w:r>
          </w:p>
          <w:p w14:paraId="2A59A795">
            <w:pPr>
              <w:pStyle w:val="119"/>
              <w:ind w:firstLine="422"/>
              <w:jc w:val="both"/>
              <w:rPr>
                <w:rFonts w:hint="eastAsia" w:ascii="Times New Roman" w:hAnsi="Times New Roman" w:eastAsia="宋体" w:cs="Times New Roman"/>
                <w:b w:val="0"/>
                <w:bCs/>
                <w:color w:val="auto"/>
                <w:kern w:val="10"/>
                <w:sz w:val="24"/>
                <w:highlight w:val="none"/>
                <w:lang w:val="en-US" w:eastAsia="zh-CN"/>
              </w:rPr>
            </w:pPr>
            <w:r>
              <w:rPr>
                <w:rFonts w:hint="eastAsia" w:cs="Times New Roman"/>
                <w:b w:val="0"/>
                <w:bCs/>
                <w:color w:val="auto"/>
                <w:kern w:val="10"/>
                <w:sz w:val="24"/>
                <w:highlight w:val="none"/>
                <w:lang w:val="en-US" w:eastAsia="zh-CN"/>
              </w:rPr>
              <w:t>④本项目影印照片采用数码打印，无影印废水产生；</w:t>
            </w:r>
          </w:p>
          <w:p w14:paraId="35CD452B">
            <w:pPr>
              <w:pStyle w:val="119"/>
              <w:ind w:firstLine="422"/>
              <w:jc w:val="both"/>
              <w:rPr>
                <w:rFonts w:hint="eastAsia"/>
                <w:color w:val="auto"/>
                <w:lang w:val="en-US" w:eastAsia="zh-CN"/>
              </w:rPr>
            </w:pPr>
            <w:r>
              <w:rPr>
                <w:rFonts w:hint="eastAsia" w:cs="Times New Roman"/>
                <w:b w:val="0"/>
                <w:bCs/>
                <w:color w:val="auto"/>
                <w:kern w:val="10"/>
                <w:sz w:val="24"/>
                <w:highlight w:val="none"/>
                <w:lang w:val="en-US" w:eastAsia="zh-CN"/>
              </w:rPr>
              <w:t>⑤本项目不提供煎药服务。</w:t>
            </w:r>
          </w:p>
          <w:p w14:paraId="3DCAAFD4">
            <w:pPr>
              <w:pStyle w:val="119"/>
              <w:ind w:firstLine="422"/>
              <w:jc w:val="both"/>
              <w:rPr>
                <w:rFonts w:hint="eastAsia" w:ascii="Times New Roman" w:hAnsi="Times New Roman" w:eastAsia="宋体" w:cs="Times New Roman"/>
                <w:b w:val="0"/>
                <w:bCs/>
                <w:color w:val="auto"/>
                <w:kern w:val="10"/>
                <w:sz w:val="24"/>
                <w:highlight w:val="none"/>
                <w:lang w:val="en-US" w:eastAsia="zh-CN"/>
              </w:rPr>
            </w:pPr>
            <w:r>
              <w:rPr>
                <w:rFonts w:hint="eastAsia" w:ascii="Times New Roman" w:hAnsi="Times New Roman" w:eastAsia="宋体" w:cs="Times New Roman"/>
                <w:b w:val="0"/>
                <w:bCs/>
                <w:color w:val="auto"/>
                <w:kern w:val="10"/>
                <w:sz w:val="24"/>
                <w:highlight w:val="none"/>
                <w:lang w:val="en-US" w:eastAsia="zh-CN"/>
              </w:rPr>
              <w:t>本项目所涉及到的放射性部分均不在本次评价范围内。</w:t>
            </w:r>
          </w:p>
          <w:p w14:paraId="17BCFBAD">
            <w:pPr>
              <w:bidi w:val="0"/>
              <w:spacing w:line="240" w:lineRule="auto"/>
              <w:jc w:val="center"/>
              <w:rPr>
                <w:rFonts w:hint="eastAsia"/>
                <w:b/>
                <w:bCs/>
                <w:sz w:val="21"/>
                <w:szCs w:val="21"/>
              </w:rPr>
            </w:pPr>
            <w:r>
              <w:rPr>
                <w:rFonts w:hint="default"/>
                <w:b/>
                <w:bCs/>
                <w:sz w:val="21"/>
                <w:szCs w:val="21"/>
                <w:lang w:val="en-US" w:eastAsia="zh-CN"/>
              </w:rPr>
              <w:t>表2-2</w:t>
            </w:r>
            <w:r>
              <w:rPr>
                <w:rFonts w:hint="eastAsia"/>
                <w:b/>
                <w:bCs/>
                <w:sz w:val="21"/>
                <w:szCs w:val="21"/>
              </w:rPr>
              <w:t>项目组成一览表</w:t>
            </w:r>
          </w:p>
          <w:tbl>
            <w:tblPr>
              <w:tblStyle w:val="142"/>
              <w:tblW w:w="7878"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592"/>
              <w:gridCol w:w="1161"/>
              <w:gridCol w:w="5324"/>
              <w:gridCol w:w="801"/>
            </w:tblGrid>
            <w:tr w14:paraId="30A9823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5" w:hRule="atLeast"/>
                <w:jc w:val="center"/>
              </w:trPr>
              <w:tc>
                <w:tcPr>
                  <w:tcW w:w="592" w:type="dxa"/>
                  <w:vAlign w:val="center"/>
                </w:tcPr>
                <w:p w14:paraId="29C7D25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color w:val="auto"/>
                      <w:spacing w:val="0"/>
                      <w:kern w:val="2"/>
                      <w:position w:val="0"/>
                      <w:sz w:val="21"/>
                      <w:szCs w:val="28"/>
                      <w:lang w:val="en-US" w:eastAsia="zh-CN" w:bidi="ar-SA"/>
                    </w:rPr>
                  </w:pPr>
                  <w:r>
                    <w:rPr>
                      <w:rFonts w:hint="default" w:ascii="Times New Roman" w:hAnsi="Times New Roman" w:eastAsia="宋体" w:cs="Times New Roman"/>
                      <w:b/>
                      <w:color w:val="auto"/>
                      <w:spacing w:val="0"/>
                      <w:kern w:val="2"/>
                      <w:position w:val="0"/>
                      <w:sz w:val="21"/>
                      <w:szCs w:val="28"/>
                      <w:lang w:val="en-US" w:eastAsia="zh-CN" w:bidi="ar-SA"/>
                    </w:rPr>
                    <w:t>工程</w:t>
                  </w:r>
                </w:p>
                <w:p w14:paraId="5282BE7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color w:val="auto"/>
                      <w:spacing w:val="0"/>
                      <w:kern w:val="2"/>
                      <w:position w:val="0"/>
                      <w:sz w:val="21"/>
                      <w:szCs w:val="28"/>
                      <w:lang w:val="en-US" w:eastAsia="zh-CN" w:bidi="ar-SA"/>
                    </w:rPr>
                  </w:pPr>
                  <w:r>
                    <w:rPr>
                      <w:rFonts w:hint="default" w:ascii="Times New Roman" w:hAnsi="Times New Roman" w:eastAsia="宋体" w:cs="Times New Roman"/>
                      <w:b/>
                      <w:color w:val="auto"/>
                      <w:spacing w:val="0"/>
                      <w:kern w:val="2"/>
                      <w:position w:val="0"/>
                      <w:sz w:val="21"/>
                      <w:szCs w:val="28"/>
                      <w:lang w:val="en-US" w:eastAsia="zh-CN" w:bidi="ar-SA"/>
                    </w:rPr>
                    <w:t>名称</w:t>
                  </w:r>
                </w:p>
              </w:tc>
              <w:tc>
                <w:tcPr>
                  <w:tcW w:w="1161" w:type="dxa"/>
                  <w:vAlign w:val="center"/>
                </w:tcPr>
                <w:p w14:paraId="7D24398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color w:val="auto"/>
                      <w:spacing w:val="0"/>
                      <w:kern w:val="2"/>
                      <w:position w:val="0"/>
                      <w:sz w:val="21"/>
                      <w:szCs w:val="28"/>
                      <w:lang w:val="en-US" w:eastAsia="zh-CN" w:bidi="ar-SA"/>
                    </w:rPr>
                  </w:pPr>
                  <w:r>
                    <w:rPr>
                      <w:rFonts w:hint="default" w:ascii="Times New Roman" w:hAnsi="Times New Roman" w:eastAsia="宋体" w:cs="Times New Roman"/>
                      <w:b/>
                      <w:color w:val="auto"/>
                      <w:spacing w:val="0"/>
                      <w:kern w:val="2"/>
                      <w:position w:val="0"/>
                      <w:sz w:val="21"/>
                      <w:szCs w:val="28"/>
                      <w:lang w:val="en-US" w:eastAsia="zh-CN" w:bidi="ar-SA"/>
                    </w:rPr>
                    <w:t>单项工程名称</w:t>
                  </w:r>
                </w:p>
              </w:tc>
              <w:tc>
                <w:tcPr>
                  <w:tcW w:w="5324" w:type="dxa"/>
                  <w:vAlign w:val="center"/>
                </w:tcPr>
                <w:p w14:paraId="347BBA2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color w:val="auto"/>
                      <w:spacing w:val="0"/>
                      <w:kern w:val="2"/>
                      <w:position w:val="0"/>
                      <w:sz w:val="21"/>
                      <w:szCs w:val="28"/>
                      <w:lang w:val="en-US" w:eastAsia="zh-CN" w:bidi="ar-SA"/>
                    </w:rPr>
                  </w:pPr>
                  <w:r>
                    <w:rPr>
                      <w:rFonts w:hint="default" w:ascii="Times New Roman" w:hAnsi="Times New Roman" w:eastAsia="宋体" w:cs="Times New Roman"/>
                      <w:b/>
                      <w:color w:val="auto"/>
                      <w:spacing w:val="0"/>
                      <w:kern w:val="2"/>
                      <w:position w:val="0"/>
                      <w:sz w:val="21"/>
                      <w:szCs w:val="28"/>
                      <w:lang w:val="en-US" w:eastAsia="zh-CN" w:bidi="ar-SA"/>
                    </w:rPr>
                    <w:t>项目工程内容及规模</w:t>
                  </w:r>
                </w:p>
              </w:tc>
              <w:tc>
                <w:tcPr>
                  <w:tcW w:w="801" w:type="dxa"/>
                  <w:vAlign w:val="center"/>
                </w:tcPr>
                <w:p w14:paraId="564CFEB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color w:val="auto"/>
                      <w:spacing w:val="0"/>
                      <w:kern w:val="2"/>
                      <w:position w:val="0"/>
                      <w:sz w:val="21"/>
                      <w:szCs w:val="28"/>
                      <w:lang w:val="en-US" w:eastAsia="zh-CN" w:bidi="ar-SA"/>
                    </w:rPr>
                  </w:pPr>
                  <w:r>
                    <w:rPr>
                      <w:rFonts w:hint="default" w:ascii="Times New Roman" w:hAnsi="Times New Roman" w:eastAsia="宋体" w:cs="Times New Roman"/>
                      <w:b/>
                      <w:color w:val="auto"/>
                      <w:spacing w:val="0"/>
                      <w:kern w:val="2"/>
                      <w:position w:val="0"/>
                      <w:sz w:val="21"/>
                      <w:szCs w:val="28"/>
                      <w:lang w:val="en-US" w:eastAsia="zh-CN" w:bidi="ar-SA"/>
                    </w:rPr>
                    <w:t>备注</w:t>
                  </w:r>
                </w:p>
              </w:tc>
            </w:tr>
            <w:tr w14:paraId="460829E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592" w:type="dxa"/>
                  <w:vMerge w:val="restart"/>
                  <w:vAlign w:val="center"/>
                </w:tcPr>
                <w:p w14:paraId="73E94CC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主体</w:t>
                  </w:r>
                </w:p>
                <w:p w14:paraId="04B44A3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工程</w:t>
                  </w:r>
                </w:p>
              </w:tc>
              <w:tc>
                <w:tcPr>
                  <w:tcW w:w="1161" w:type="dxa"/>
                  <w:vAlign w:val="center"/>
                </w:tcPr>
                <w:p w14:paraId="47160A2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一层</w:t>
                  </w:r>
                </w:p>
              </w:tc>
              <w:tc>
                <w:tcPr>
                  <w:tcW w:w="5324" w:type="dxa"/>
                  <w:vAlign w:val="center"/>
                </w:tcPr>
                <w:p w14:paraId="51F9712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建筑面积</w:t>
                  </w:r>
                  <w:r>
                    <w:rPr>
                      <w:rFonts w:hint="eastAsia" w:ascii="Times New Roman" w:hAnsi="Times New Roman" w:cs="Times New Roman"/>
                      <w:color w:val="auto"/>
                      <w:spacing w:val="0"/>
                      <w:position w:val="0"/>
                      <w:sz w:val="21"/>
                      <w:szCs w:val="21"/>
                      <w:lang w:val="en-US" w:eastAsia="zh-CN"/>
                    </w:rPr>
                    <w:t>931.20</w:t>
                  </w:r>
                  <w:r>
                    <w:rPr>
                      <w:rFonts w:hint="default" w:ascii="Times New Roman" w:hAnsi="Times New Roman" w:eastAsia="宋体" w:cs="Times New Roman"/>
                      <w:color w:val="auto"/>
                      <w:spacing w:val="0"/>
                      <w:position w:val="0"/>
                      <w:sz w:val="21"/>
                      <w:szCs w:val="21"/>
                    </w:rPr>
                    <w:t>m</w:t>
                  </w:r>
                  <w:r>
                    <w:rPr>
                      <w:rFonts w:hint="default" w:ascii="Times New Roman" w:hAnsi="Times New Roman" w:eastAsia="宋体" w:cs="Times New Roman"/>
                      <w:color w:val="auto"/>
                      <w:spacing w:val="0"/>
                      <w:position w:val="0"/>
                      <w:sz w:val="21"/>
                      <w:szCs w:val="21"/>
                      <w:vertAlign w:val="superscript"/>
                    </w:rPr>
                    <w:t>2</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val="en-US" w:eastAsia="zh-CN"/>
                    </w:rPr>
                    <w:t>布置大厅、候诊区、药房、等候区、出入院窗口、挂号收费窗口、取药窗口、诊室、加工间、角膜塑形区、休闲沟通区、器材展示区、休息区、消防控制室</w:t>
                  </w:r>
                </w:p>
              </w:tc>
              <w:tc>
                <w:tcPr>
                  <w:tcW w:w="801" w:type="dxa"/>
                  <w:vAlign w:val="center"/>
                </w:tcPr>
                <w:p w14:paraId="177F0E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eastAsia"/>
                      <w:color w:val="auto"/>
                      <w:sz w:val="21"/>
                      <w:szCs w:val="21"/>
                      <w:lang w:eastAsia="zh-CN" w:bidi="ar"/>
                    </w:rPr>
                    <w:t>利用</w:t>
                  </w:r>
                  <w:r>
                    <w:rPr>
                      <w:rFonts w:hint="eastAsia"/>
                      <w:color w:val="auto"/>
                      <w:sz w:val="21"/>
                      <w:szCs w:val="21"/>
                      <w:lang w:bidi="ar"/>
                    </w:rPr>
                    <w:t>已建房屋</w:t>
                  </w:r>
                  <w:r>
                    <w:rPr>
                      <w:rFonts w:hint="eastAsia"/>
                      <w:color w:val="auto"/>
                      <w:sz w:val="21"/>
                      <w:szCs w:val="21"/>
                      <w:lang w:eastAsia="zh-CN" w:bidi="ar"/>
                    </w:rPr>
                    <w:t>新建</w:t>
                  </w:r>
                </w:p>
              </w:tc>
            </w:tr>
            <w:tr w14:paraId="518933B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62" w:hRule="atLeast"/>
                <w:jc w:val="center"/>
              </w:trPr>
              <w:tc>
                <w:tcPr>
                  <w:tcW w:w="592" w:type="dxa"/>
                  <w:vMerge w:val="continue"/>
                  <w:vAlign w:val="center"/>
                </w:tcPr>
                <w:p w14:paraId="5AD3C7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Align w:val="center"/>
                </w:tcPr>
                <w:p w14:paraId="2B51D9C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二层</w:t>
                  </w:r>
                </w:p>
              </w:tc>
              <w:tc>
                <w:tcPr>
                  <w:tcW w:w="5324" w:type="dxa"/>
                  <w:vAlign w:val="center"/>
                </w:tcPr>
                <w:p w14:paraId="7DEDD27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lang w:val="en-US"/>
                    </w:rPr>
                  </w:pPr>
                  <w:r>
                    <w:rPr>
                      <w:rFonts w:hint="default" w:ascii="Times New Roman" w:hAnsi="Times New Roman" w:eastAsia="宋体" w:cs="Times New Roman"/>
                      <w:color w:val="auto"/>
                      <w:spacing w:val="0"/>
                      <w:position w:val="0"/>
                      <w:sz w:val="21"/>
                      <w:szCs w:val="21"/>
                    </w:rPr>
                    <w:t>建筑面积</w:t>
                  </w:r>
                  <w:r>
                    <w:rPr>
                      <w:rFonts w:hint="eastAsia" w:ascii="Times New Roman" w:hAnsi="Times New Roman" w:cs="Times New Roman"/>
                      <w:color w:val="auto"/>
                      <w:spacing w:val="0"/>
                      <w:position w:val="0"/>
                      <w:sz w:val="21"/>
                      <w:szCs w:val="21"/>
                      <w:lang w:val="en-US" w:eastAsia="zh-CN"/>
                    </w:rPr>
                    <w:t>1017.93</w:t>
                  </w:r>
                  <w:r>
                    <w:rPr>
                      <w:rFonts w:hint="default" w:ascii="Times New Roman" w:hAnsi="Times New Roman" w:eastAsia="宋体" w:cs="Times New Roman"/>
                      <w:color w:val="auto"/>
                      <w:spacing w:val="0"/>
                      <w:position w:val="0"/>
                      <w:sz w:val="21"/>
                      <w:szCs w:val="21"/>
                    </w:rPr>
                    <w:t>m</w:t>
                  </w:r>
                  <w:r>
                    <w:rPr>
                      <w:rFonts w:hint="default" w:ascii="Times New Roman" w:hAnsi="Times New Roman" w:eastAsia="宋体" w:cs="Times New Roman"/>
                      <w:color w:val="auto"/>
                      <w:spacing w:val="0"/>
                      <w:position w:val="0"/>
                      <w:sz w:val="21"/>
                      <w:szCs w:val="21"/>
                      <w:vertAlign w:val="superscript"/>
                    </w:rPr>
                    <w:t>2</w:t>
                  </w:r>
                  <w:r>
                    <w:rPr>
                      <w:rFonts w:hint="default" w:ascii="Times New Roman" w:hAnsi="Times New Roman" w:eastAsia="宋体" w:cs="Times New Roman"/>
                      <w:color w:val="auto"/>
                      <w:spacing w:val="0"/>
                      <w:position w:val="0"/>
                      <w:sz w:val="21"/>
                      <w:szCs w:val="21"/>
                    </w:rPr>
                    <w:t>，布置</w:t>
                  </w:r>
                  <w:r>
                    <w:rPr>
                      <w:rFonts w:hint="eastAsia" w:ascii="Times New Roman" w:hAnsi="Times New Roman" w:cs="Times New Roman"/>
                      <w:color w:val="auto"/>
                      <w:spacing w:val="0"/>
                      <w:position w:val="0"/>
                      <w:sz w:val="21"/>
                      <w:szCs w:val="21"/>
                      <w:lang w:val="en-US" w:eastAsia="zh-CN"/>
                    </w:rPr>
                    <w:t>斜弱视康复训练室</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val="en-US" w:eastAsia="zh-CN"/>
                    </w:rPr>
                    <w:t>VIP斜弱视康复训练室、抽血区、检验科、库房（加地漏）、设备间、</w:t>
                  </w:r>
                </w:p>
                <w:p w14:paraId="13297A2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DR室、候诊区、诊疗室、等候区、检查室/资料室、医生办公室、休息室、心电图室、特检室、检查室</w:t>
                  </w:r>
                </w:p>
              </w:tc>
              <w:tc>
                <w:tcPr>
                  <w:tcW w:w="801" w:type="dxa"/>
                  <w:vAlign w:val="center"/>
                </w:tcPr>
                <w:p w14:paraId="36A1B1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olor w:val="auto"/>
                      <w:sz w:val="21"/>
                      <w:szCs w:val="21"/>
                      <w:lang w:eastAsia="zh-CN" w:bidi="ar"/>
                    </w:rPr>
                    <w:t>利用</w:t>
                  </w:r>
                  <w:r>
                    <w:rPr>
                      <w:rFonts w:hint="eastAsia"/>
                      <w:color w:val="auto"/>
                      <w:sz w:val="21"/>
                      <w:szCs w:val="21"/>
                      <w:lang w:bidi="ar"/>
                    </w:rPr>
                    <w:t>已建房屋</w:t>
                  </w:r>
                  <w:r>
                    <w:rPr>
                      <w:rFonts w:hint="eastAsia"/>
                      <w:color w:val="auto"/>
                      <w:sz w:val="21"/>
                      <w:szCs w:val="21"/>
                      <w:lang w:eastAsia="zh-CN" w:bidi="ar"/>
                    </w:rPr>
                    <w:t>新建</w:t>
                  </w:r>
                </w:p>
              </w:tc>
            </w:tr>
            <w:tr w14:paraId="25CB533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592" w:type="dxa"/>
                  <w:vMerge w:val="continue"/>
                  <w:vAlign w:val="center"/>
                </w:tcPr>
                <w:p w14:paraId="79F29B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Align w:val="center"/>
                </w:tcPr>
                <w:p w14:paraId="7792CD8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三层</w:t>
                  </w:r>
                </w:p>
              </w:tc>
              <w:tc>
                <w:tcPr>
                  <w:tcW w:w="5324" w:type="dxa"/>
                  <w:vAlign w:val="center"/>
                </w:tcPr>
                <w:p w14:paraId="6C7705E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建筑面积</w:t>
                  </w:r>
                  <w:r>
                    <w:rPr>
                      <w:rFonts w:hint="eastAsia" w:ascii="Times New Roman" w:hAnsi="Times New Roman" w:cs="Times New Roman"/>
                      <w:color w:val="auto"/>
                      <w:spacing w:val="0"/>
                      <w:position w:val="0"/>
                      <w:sz w:val="21"/>
                      <w:szCs w:val="21"/>
                      <w:lang w:val="en-US" w:eastAsia="zh-CN"/>
                    </w:rPr>
                    <w:t>986.86</w:t>
                  </w:r>
                  <w:r>
                    <w:rPr>
                      <w:rFonts w:hint="default" w:ascii="Times New Roman" w:hAnsi="Times New Roman" w:eastAsia="宋体" w:cs="Times New Roman"/>
                      <w:color w:val="auto"/>
                      <w:spacing w:val="0"/>
                      <w:position w:val="0"/>
                      <w:sz w:val="21"/>
                      <w:szCs w:val="21"/>
                    </w:rPr>
                    <w:t>m</w:t>
                  </w:r>
                  <w:r>
                    <w:rPr>
                      <w:rFonts w:hint="default" w:ascii="Times New Roman" w:hAnsi="Times New Roman" w:eastAsia="宋体" w:cs="Times New Roman"/>
                      <w:color w:val="auto"/>
                      <w:spacing w:val="0"/>
                      <w:position w:val="0"/>
                      <w:sz w:val="21"/>
                      <w:szCs w:val="21"/>
                      <w:vertAlign w:val="superscript"/>
                    </w:rPr>
                    <w:t>2</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val="en-US" w:eastAsia="zh-CN"/>
                    </w:rPr>
                    <w:t>布置医生办公室、主任办公室、医生值班室、护士长办公室、库房、护士站、工作间、更衣室、护士值班室、普通病房、VIP病房</w:t>
                  </w:r>
                </w:p>
              </w:tc>
              <w:tc>
                <w:tcPr>
                  <w:tcW w:w="801" w:type="dxa"/>
                  <w:vAlign w:val="center"/>
                </w:tcPr>
                <w:p w14:paraId="05C1D7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olor w:val="auto"/>
                      <w:sz w:val="21"/>
                      <w:szCs w:val="21"/>
                      <w:lang w:eastAsia="zh-CN" w:bidi="ar"/>
                    </w:rPr>
                    <w:t>利用</w:t>
                  </w:r>
                  <w:r>
                    <w:rPr>
                      <w:rFonts w:hint="eastAsia"/>
                      <w:color w:val="auto"/>
                      <w:sz w:val="21"/>
                      <w:szCs w:val="21"/>
                      <w:lang w:bidi="ar"/>
                    </w:rPr>
                    <w:t>已建房屋</w:t>
                  </w:r>
                  <w:r>
                    <w:rPr>
                      <w:rFonts w:hint="eastAsia"/>
                      <w:color w:val="auto"/>
                      <w:sz w:val="21"/>
                      <w:szCs w:val="21"/>
                      <w:lang w:eastAsia="zh-CN" w:bidi="ar"/>
                    </w:rPr>
                    <w:t>新建</w:t>
                  </w:r>
                </w:p>
              </w:tc>
            </w:tr>
            <w:tr w14:paraId="0C7FD59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592" w:type="dxa"/>
                  <w:vMerge w:val="continue"/>
                  <w:vAlign w:val="center"/>
                </w:tcPr>
                <w:p w14:paraId="4C7293B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Align w:val="center"/>
                </w:tcPr>
                <w:p w14:paraId="11D281A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四层</w:t>
                  </w:r>
                </w:p>
              </w:tc>
              <w:tc>
                <w:tcPr>
                  <w:tcW w:w="5324" w:type="dxa"/>
                  <w:vAlign w:val="center"/>
                </w:tcPr>
                <w:p w14:paraId="54224E5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建筑面积</w:t>
                  </w:r>
                  <w:r>
                    <w:rPr>
                      <w:rFonts w:hint="eastAsia" w:ascii="Times New Roman" w:hAnsi="Times New Roman" w:cs="Times New Roman"/>
                      <w:color w:val="auto"/>
                      <w:spacing w:val="0"/>
                      <w:position w:val="0"/>
                      <w:sz w:val="21"/>
                      <w:szCs w:val="21"/>
                      <w:lang w:val="en-US" w:eastAsia="zh-CN"/>
                    </w:rPr>
                    <w:t>986.86</w:t>
                  </w:r>
                  <w:r>
                    <w:rPr>
                      <w:rFonts w:hint="default" w:ascii="Times New Roman" w:hAnsi="Times New Roman" w:eastAsia="宋体" w:cs="Times New Roman"/>
                      <w:color w:val="auto"/>
                      <w:spacing w:val="0"/>
                      <w:position w:val="0"/>
                      <w:sz w:val="21"/>
                      <w:szCs w:val="21"/>
                    </w:rPr>
                    <w:t>m</w:t>
                  </w:r>
                  <w:r>
                    <w:rPr>
                      <w:rFonts w:hint="default" w:ascii="Times New Roman" w:hAnsi="Times New Roman" w:eastAsia="宋体" w:cs="Times New Roman"/>
                      <w:color w:val="auto"/>
                      <w:spacing w:val="0"/>
                      <w:position w:val="0"/>
                      <w:sz w:val="21"/>
                      <w:szCs w:val="21"/>
                      <w:vertAlign w:val="superscript"/>
                    </w:rPr>
                    <w:t>2</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val="en-US" w:eastAsia="zh-CN"/>
                    </w:rPr>
                    <w:t>布置医生办公室、主任办公室、医生值班室、护士长办公室、库房、护士站、工作间、更衣室、护士值班室、普通病房、VIP病房</w:t>
                  </w:r>
                </w:p>
              </w:tc>
              <w:tc>
                <w:tcPr>
                  <w:tcW w:w="801" w:type="dxa"/>
                  <w:vAlign w:val="center"/>
                </w:tcPr>
                <w:p w14:paraId="142AB53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olor w:val="auto"/>
                      <w:sz w:val="21"/>
                      <w:szCs w:val="21"/>
                      <w:lang w:eastAsia="zh-CN" w:bidi="ar"/>
                    </w:rPr>
                    <w:t>利用</w:t>
                  </w:r>
                  <w:r>
                    <w:rPr>
                      <w:rFonts w:hint="eastAsia"/>
                      <w:color w:val="auto"/>
                      <w:sz w:val="21"/>
                      <w:szCs w:val="21"/>
                      <w:lang w:bidi="ar"/>
                    </w:rPr>
                    <w:t>已建房屋</w:t>
                  </w:r>
                  <w:r>
                    <w:rPr>
                      <w:rFonts w:hint="eastAsia"/>
                      <w:color w:val="auto"/>
                      <w:sz w:val="21"/>
                      <w:szCs w:val="21"/>
                      <w:lang w:eastAsia="zh-CN" w:bidi="ar"/>
                    </w:rPr>
                    <w:t>新建</w:t>
                  </w:r>
                </w:p>
              </w:tc>
            </w:tr>
            <w:tr w14:paraId="3D150BE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592" w:type="dxa"/>
                  <w:vMerge w:val="continue"/>
                  <w:vAlign w:val="center"/>
                </w:tcPr>
                <w:p w14:paraId="6957F22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Align w:val="center"/>
                </w:tcPr>
                <w:p w14:paraId="5282D5F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五层</w:t>
                  </w:r>
                </w:p>
              </w:tc>
              <w:tc>
                <w:tcPr>
                  <w:tcW w:w="5324" w:type="dxa"/>
                  <w:vAlign w:val="center"/>
                </w:tcPr>
                <w:p w14:paraId="3EFD0E9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建筑面积</w:t>
                  </w:r>
                  <w:r>
                    <w:rPr>
                      <w:rFonts w:hint="eastAsia" w:ascii="Times New Roman" w:hAnsi="Times New Roman" w:cs="Times New Roman"/>
                      <w:color w:val="auto"/>
                      <w:spacing w:val="0"/>
                      <w:position w:val="0"/>
                      <w:sz w:val="21"/>
                      <w:szCs w:val="21"/>
                      <w:lang w:val="en-US" w:eastAsia="zh-CN"/>
                    </w:rPr>
                    <w:t>986.86</w:t>
                  </w:r>
                  <w:r>
                    <w:rPr>
                      <w:rFonts w:hint="default" w:ascii="Times New Roman" w:hAnsi="Times New Roman" w:eastAsia="宋体" w:cs="Times New Roman"/>
                      <w:color w:val="auto"/>
                      <w:spacing w:val="0"/>
                      <w:position w:val="0"/>
                      <w:sz w:val="21"/>
                      <w:szCs w:val="21"/>
                    </w:rPr>
                    <w:t>m</w:t>
                  </w:r>
                  <w:r>
                    <w:rPr>
                      <w:rFonts w:hint="default" w:ascii="Times New Roman" w:hAnsi="Times New Roman" w:eastAsia="宋体" w:cs="Times New Roman"/>
                      <w:color w:val="auto"/>
                      <w:spacing w:val="0"/>
                      <w:position w:val="0"/>
                      <w:sz w:val="21"/>
                      <w:szCs w:val="21"/>
                      <w:vertAlign w:val="superscript"/>
                    </w:rPr>
                    <w:t>2</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val="en-US" w:eastAsia="zh-CN"/>
                    </w:rPr>
                    <w:t>闲置不使用</w:t>
                  </w:r>
                </w:p>
              </w:tc>
              <w:tc>
                <w:tcPr>
                  <w:tcW w:w="801" w:type="dxa"/>
                  <w:vAlign w:val="center"/>
                </w:tcPr>
                <w:p w14:paraId="29D27B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color w:val="auto"/>
                      <w:sz w:val="21"/>
                      <w:szCs w:val="21"/>
                      <w:lang w:eastAsia="zh-CN" w:bidi="ar"/>
                    </w:rPr>
                    <w:t>利用</w:t>
                  </w:r>
                  <w:r>
                    <w:rPr>
                      <w:rFonts w:hint="eastAsia"/>
                      <w:color w:val="auto"/>
                      <w:sz w:val="21"/>
                      <w:szCs w:val="21"/>
                      <w:lang w:bidi="ar"/>
                    </w:rPr>
                    <w:t>已建房屋</w:t>
                  </w:r>
                  <w:r>
                    <w:rPr>
                      <w:rFonts w:hint="eastAsia"/>
                      <w:color w:val="auto"/>
                      <w:sz w:val="21"/>
                      <w:szCs w:val="21"/>
                      <w:lang w:eastAsia="zh-CN" w:bidi="ar"/>
                    </w:rPr>
                    <w:t>新建</w:t>
                  </w:r>
                </w:p>
              </w:tc>
            </w:tr>
            <w:tr w14:paraId="292AB18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592" w:type="dxa"/>
                  <w:vMerge w:val="continue"/>
                  <w:vAlign w:val="center"/>
                </w:tcPr>
                <w:p w14:paraId="0067F0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Align w:val="center"/>
                </w:tcPr>
                <w:p w14:paraId="2C1CB23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六层</w:t>
                  </w:r>
                </w:p>
              </w:tc>
              <w:tc>
                <w:tcPr>
                  <w:tcW w:w="5324" w:type="dxa"/>
                  <w:vAlign w:val="center"/>
                </w:tcPr>
                <w:p w14:paraId="3DF2B7D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建筑面积986.86</w:t>
                  </w:r>
                  <w:r>
                    <w:rPr>
                      <w:rFonts w:hint="default" w:ascii="Times New Roman" w:hAnsi="Times New Roman" w:eastAsia="宋体" w:cs="Times New Roman"/>
                      <w:color w:val="auto"/>
                      <w:spacing w:val="0"/>
                      <w:position w:val="0"/>
                      <w:sz w:val="21"/>
                      <w:szCs w:val="21"/>
                    </w:rPr>
                    <w:t>m</w:t>
                  </w:r>
                  <w:r>
                    <w:rPr>
                      <w:rFonts w:hint="default" w:ascii="Times New Roman" w:hAnsi="Times New Roman" w:eastAsia="宋体" w:cs="Times New Roman"/>
                      <w:color w:val="auto"/>
                      <w:spacing w:val="0"/>
                      <w:position w:val="0"/>
                      <w:sz w:val="21"/>
                      <w:szCs w:val="21"/>
                      <w:vertAlign w:val="superscript"/>
                    </w:rPr>
                    <w:t>2</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val="en-US" w:eastAsia="zh-CN"/>
                    </w:rPr>
                    <w:t>布置手术室、激光室、医生值班室、一次性无菌物品存放区、消毒区、打包区、清洗区、更衣室、预处理区、无菌暂存区、污物走廊、洁净走廊、谈话区、病人家属等待区</w:t>
                  </w:r>
                </w:p>
              </w:tc>
              <w:tc>
                <w:tcPr>
                  <w:tcW w:w="801" w:type="dxa"/>
                  <w:vAlign w:val="center"/>
                </w:tcPr>
                <w:p w14:paraId="2C9AB5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lang w:eastAsia="zh-CN" w:bidi="ar"/>
                    </w:rPr>
                  </w:pPr>
                  <w:r>
                    <w:rPr>
                      <w:rFonts w:hint="eastAsia"/>
                      <w:color w:val="auto"/>
                      <w:sz w:val="21"/>
                      <w:szCs w:val="21"/>
                      <w:lang w:eastAsia="zh-CN" w:bidi="ar"/>
                    </w:rPr>
                    <w:t>利用</w:t>
                  </w:r>
                  <w:r>
                    <w:rPr>
                      <w:rFonts w:hint="eastAsia"/>
                      <w:color w:val="auto"/>
                      <w:sz w:val="21"/>
                      <w:szCs w:val="21"/>
                      <w:lang w:bidi="ar"/>
                    </w:rPr>
                    <w:t>已建房屋</w:t>
                  </w:r>
                  <w:r>
                    <w:rPr>
                      <w:rFonts w:hint="eastAsia"/>
                      <w:color w:val="auto"/>
                      <w:sz w:val="21"/>
                      <w:szCs w:val="21"/>
                      <w:lang w:eastAsia="zh-CN" w:bidi="ar"/>
                    </w:rPr>
                    <w:t>新建</w:t>
                  </w:r>
                </w:p>
              </w:tc>
            </w:tr>
            <w:tr w14:paraId="1729A27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592" w:type="dxa"/>
                  <w:vMerge w:val="restart"/>
                  <w:vAlign w:val="center"/>
                </w:tcPr>
                <w:p w14:paraId="11AF4A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辅助工程</w:t>
                  </w:r>
                </w:p>
              </w:tc>
              <w:tc>
                <w:tcPr>
                  <w:tcW w:w="1161" w:type="dxa"/>
                  <w:vAlign w:val="center"/>
                </w:tcPr>
                <w:p w14:paraId="5CC2326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一层</w:t>
                  </w:r>
                </w:p>
              </w:tc>
              <w:tc>
                <w:tcPr>
                  <w:tcW w:w="5324" w:type="dxa"/>
                  <w:vAlign w:val="center"/>
                </w:tcPr>
                <w:p w14:paraId="29E6FEE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建筑面积542.12</w:t>
                  </w:r>
                  <w:r>
                    <w:rPr>
                      <w:rFonts w:hint="default" w:ascii="Times New Roman" w:hAnsi="Times New Roman" w:eastAsia="宋体" w:cs="Times New Roman"/>
                      <w:color w:val="auto"/>
                      <w:spacing w:val="0"/>
                      <w:position w:val="0"/>
                      <w:sz w:val="21"/>
                      <w:szCs w:val="21"/>
                    </w:rPr>
                    <w:t>m</w:t>
                  </w:r>
                  <w:r>
                    <w:rPr>
                      <w:rFonts w:hint="default" w:ascii="Times New Roman" w:hAnsi="Times New Roman" w:eastAsia="宋体" w:cs="Times New Roman"/>
                      <w:color w:val="auto"/>
                      <w:spacing w:val="0"/>
                      <w:position w:val="0"/>
                      <w:sz w:val="21"/>
                      <w:szCs w:val="21"/>
                      <w:vertAlign w:val="superscript"/>
                    </w:rPr>
                    <w:t>2</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val="en-US" w:eastAsia="zh-CN"/>
                    </w:rPr>
                    <w:t>布置食堂、超市</w:t>
                  </w:r>
                </w:p>
              </w:tc>
              <w:tc>
                <w:tcPr>
                  <w:tcW w:w="801" w:type="dxa"/>
                  <w:vAlign w:val="center"/>
                </w:tcPr>
                <w:p w14:paraId="711646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lang w:val="en-US" w:eastAsia="zh-CN" w:bidi="ar"/>
                    </w:rPr>
                  </w:pPr>
                  <w:r>
                    <w:rPr>
                      <w:rFonts w:hint="eastAsia"/>
                      <w:color w:val="auto"/>
                      <w:sz w:val="21"/>
                      <w:szCs w:val="21"/>
                      <w:lang w:val="en-US" w:eastAsia="zh-CN" w:bidi="ar"/>
                    </w:rPr>
                    <w:t>利旧</w:t>
                  </w:r>
                </w:p>
              </w:tc>
            </w:tr>
            <w:tr w14:paraId="1F7D6A5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592" w:type="dxa"/>
                  <w:vMerge w:val="continue"/>
                  <w:vAlign w:val="center"/>
                </w:tcPr>
                <w:p w14:paraId="7759D2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spacing w:val="0"/>
                      <w:position w:val="0"/>
                      <w:sz w:val="21"/>
                      <w:szCs w:val="21"/>
                      <w:lang w:val="en-US" w:eastAsia="zh-CN"/>
                    </w:rPr>
                  </w:pPr>
                </w:p>
              </w:tc>
              <w:tc>
                <w:tcPr>
                  <w:tcW w:w="1161" w:type="dxa"/>
                  <w:vAlign w:val="center"/>
                </w:tcPr>
                <w:p w14:paraId="5E4E0B6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二层</w:t>
                  </w:r>
                </w:p>
              </w:tc>
              <w:tc>
                <w:tcPr>
                  <w:tcW w:w="5324" w:type="dxa"/>
                  <w:vAlign w:val="center"/>
                </w:tcPr>
                <w:p w14:paraId="50CD2DE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建筑面积361.07</w:t>
                  </w:r>
                  <w:r>
                    <w:rPr>
                      <w:rFonts w:hint="default" w:ascii="Times New Roman" w:hAnsi="Times New Roman" w:eastAsia="宋体" w:cs="Times New Roman"/>
                      <w:color w:val="auto"/>
                      <w:spacing w:val="0"/>
                      <w:position w:val="0"/>
                      <w:sz w:val="21"/>
                      <w:szCs w:val="21"/>
                    </w:rPr>
                    <w:t>m</w:t>
                  </w:r>
                  <w:r>
                    <w:rPr>
                      <w:rFonts w:hint="default" w:ascii="Times New Roman" w:hAnsi="Times New Roman" w:eastAsia="宋体" w:cs="Times New Roman"/>
                      <w:color w:val="auto"/>
                      <w:spacing w:val="0"/>
                      <w:position w:val="0"/>
                      <w:sz w:val="21"/>
                      <w:szCs w:val="21"/>
                      <w:vertAlign w:val="superscript"/>
                    </w:rPr>
                    <w:t>2</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val="en-US" w:eastAsia="zh-CN"/>
                    </w:rPr>
                    <w:t>布置宿舍</w:t>
                  </w:r>
                </w:p>
              </w:tc>
              <w:tc>
                <w:tcPr>
                  <w:tcW w:w="801" w:type="dxa"/>
                  <w:vAlign w:val="center"/>
                </w:tcPr>
                <w:p w14:paraId="5492BA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lang w:val="en-US" w:eastAsia="zh-CN" w:bidi="ar"/>
                    </w:rPr>
                  </w:pPr>
                  <w:r>
                    <w:rPr>
                      <w:rFonts w:hint="eastAsia"/>
                      <w:color w:val="auto"/>
                      <w:sz w:val="21"/>
                      <w:szCs w:val="21"/>
                      <w:lang w:val="en-US" w:eastAsia="zh-CN" w:bidi="ar"/>
                    </w:rPr>
                    <w:t>利旧</w:t>
                  </w:r>
                </w:p>
              </w:tc>
            </w:tr>
            <w:tr w14:paraId="0972983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592" w:type="dxa"/>
                  <w:vMerge w:val="restart"/>
                  <w:vAlign w:val="center"/>
                </w:tcPr>
                <w:p w14:paraId="0E93434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s="Times New Roman"/>
                      <w:color w:val="auto"/>
                      <w:spacing w:val="0"/>
                      <w:position w:val="0"/>
                      <w:sz w:val="21"/>
                      <w:szCs w:val="21"/>
                      <w:lang w:val="en-US" w:eastAsia="zh-CN"/>
                    </w:rPr>
                  </w:pPr>
                  <w:r>
                    <w:rPr>
                      <w:rFonts w:hint="eastAsia" w:cs="Times New Roman"/>
                      <w:color w:val="auto"/>
                      <w:spacing w:val="0"/>
                      <w:position w:val="0"/>
                      <w:sz w:val="21"/>
                      <w:szCs w:val="21"/>
                      <w:lang w:val="en-US" w:eastAsia="zh-CN"/>
                    </w:rPr>
                    <w:t>储运工程</w:t>
                  </w:r>
                </w:p>
              </w:tc>
              <w:tc>
                <w:tcPr>
                  <w:tcW w:w="1161" w:type="dxa"/>
                  <w:vAlign w:val="center"/>
                </w:tcPr>
                <w:p w14:paraId="56B5BE6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停车场</w:t>
                  </w:r>
                </w:p>
              </w:tc>
              <w:tc>
                <w:tcPr>
                  <w:tcW w:w="5324" w:type="dxa"/>
                  <w:vAlign w:val="center"/>
                </w:tcPr>
                <w:p w14:paraId="3E24357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地面停车场（25辆）</w:t>
                  </w:r>
                </w:p>
              </w:tc>
              <w:tc>
                <w:tcPr>
                  <w:tcW w:w="801" w:type="dxa"/>
                  <w:vAlign w:val="center"/>
                </w:tcPr>
                <w:p w14:paraId="427263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lang w:val="en-US" w:eastAsia="zh-CN" w:bidi="ar"/>
                    </w:rPr>
                  </w:pPr>
                  <w:r>
                    <w:rPr>
                      <w:rFonts w:hint="eastAsia"/>
                      <w:color w:val="auto"/>
                      <w:sz w:val="21"/>
                      <w:szCs w:val="21"/>
                      <w:lang w:val="en-US" w:eastAsia="zh-CN" w:bidi="ar"/>
                    </w:rPr>
                    <w:t>利旧</w:t>
                  </w:r>
                </w:p>
              </w:tc>
            </w:tr>
            <w:tr w14:paraId="2BFB244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592" w:type="dxa"/>
                  <w:vMerge w:val="continue"/>
                  <w:vAlign w:val="center"/>
                </w:tcPr>
                <w:p w14:paraId="604AD5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spacing w:val="0"/>
                      <w:position w:val="0"/>
                      <w:sz w:val="21"/>
                      <w:szCs w:val="21"/>
                      <w:lang w:val="en-US" w:eastAsia="zh-CN"/>
                    </w:rPr>
                  </w:pPr>
                </w:p>
              </w:tc>
              <w:tc>
                <w:tcPr>
                  <w:tcW w:w="1161" w:type="dxa"/>
                  <w:vAlign w:val="center"/>
                </w:tcPr>
                <w:p w14:paraId="3D91B2E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柴油储存</w:t>
                  </w:r>
                </w:p>
              </w:tc>
              <w:tc>
                <w:tcPr>
                  <w:tcW w:w="5324" w:type="dxa"/>
                  <w:vAlign w:val="center"/>
                </w:tcPr>
                <w:p w14:paraId="3B742B6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项目发电机用柴油，年用量约为0.31t/a，储存于配电房内设置的储油间内</w:t>
                  </w:r>
                </w:p>
              </w:tc>
              <w:tc>
                <w:tcPr>
                  <w:tcW w:w="801" w:type="dxa"/>
                  <w:vAlign w:val="center"/>
                </w:tcPr>
                <w:p w14:paraId="4421393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lang w:val="en-US" w:eastAsia="zh-CN" w:bidi="ar"/>
                    </w:rPr>
                  </w:pPr>
                  <w:r>
                    <w:rPr>
                      <w:rFonts w:hint="eastAsia"/>
                      <w:color w:val="auto"/>
                      <w:sz w:val="21"/>
                      <w:szCs w:val="21"/>
                      <w:lang w:val="en-US" w:eastAsia="zh-CN" w:bidi="ar"/>
                    </w:rPr>
                    <w:t>利旧</w:t>
                  </w:r>
                </w:p>
              </w:tc>
            </w:tr>
            <w:tr w14:paraId="443B795F">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96" w:hRule="atLeast"/>
                <w:jc w:val="center"/>
              </w:trPr>
              <w:tc>
                <w:tcPr>
                  <w:tcW w:w="592" w:type="dxa"/>
                  <w:vMerge w:val="restart"/>
                  <w:vAlign w:val="center"/>
                </w:tcPr>
                <w:p w14:paraId="310929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eastAsia="宋体" w:cs="Times New Roman"/>
                      <w:color w:val="auto"/>
                      <w:spacing w:val="0"/>
                      <w:position w:val="0"/>
                      <w:sz w:val="21"/>
                      <w:szCs w:val="21"/>
                      <w:lang w:val="en-US" w:eastAsia="zh-CN"/>
                    </w:rPr>
                    <w:t>公用工程</w:t>
                  </w:r>
                </w:p>
              </w:tc>
              <w:tc>
                <w:tcPr>
                  <w:tcW w:w="1161" w:type="dxa"/>
                  <w:vAlign w:val="center"/>
                </w:tcPr>
                <w:p w14:paraId="39C42634">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en-US" w:bidi="ar-SA"/>
                    </w:rPr>
                  </w:pPr>
                  <w:r>
                    <w:rPr>
                      <w:rFonts w:hint="default" w:ascii="Times New Roman" w:hAnsi="Times New Roman" w:eastAsia="宋体" w:cs="Times New Roman"/>
                      <w:color w:val="auto"/>
                      <w:spacing w:val="0"/>
                      <w:position w:val="0"/>
                      <w:sz w:val="21"/>
                      <w:szCs w:val="21"/>
                    </w:rPr>
                    <w:t>供水</w:t>
                  </w:r>
                </w:p>
              </w:tc>
              <w:tc>
                <w:tcPr>
                  <w:tcW w:w="5324" w:type="dxa"/>
                  <w:vAlign w:val="center"/>
                </w:tcPr>
                <w:p w14:paraId="5AA32FB8">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position w:val="0"/>
                      <w:sz w:val="21"/>
                      <w:szCs w:val="21"/>
                      <w:lang w:val="en-US" w:eastAsia="en-US" w:bidi="ar-SA"/>
                    </w:rPr>
                  </w:pPr>
                  <w:r>
                    <w:rPr>
                      <w:rFonts w:hint="default" w:ascii="Times New Roman" w:hAnsi="Times New Roman" w:eastAsia="宋体" w:cs="Times New Roman"/>
                      <w:color w:val="auto"/>
                      <w:spacing w:val="0"/>
                      <w:position w:val="0"/>
                      <w:sz w:val="21"/>
                      <w:szCs w:val="21"/>
                    </w:rPr>
                    <w:t>项目供水</w:t>
                  </w:r>
                  <w:r>
                    <w:rPr>
                      <w:rFonts w:hint="eastAsia" w:ascii="Times New Roman" w:hAnsi="Times New Roman" w:eastAsia="宋体" w:cs="Times New Roman"/>
                      <w:color w:val="auto"/>
                      <w:spacing w:val="0"/>
                      <w:position w:val="0"/>
                      <w:sz w:val="21"/>
                      <w:szCs w:val="21"/>
                      <w:lang w:val="en-US" w:eastAsia="zh-CN"/>
                    </w:rPr>
                    <w:t>由</w:t>
                  </w:r>
                  <w:r>
                    <w:rPr>
                      <w:rFonts w:hint="default" w:ascii="Times New Roman" w:hAnsi="Times New Roman" w:eastAsia="宋体" w:cs="Times New Roman"/>
                      <w:color w:val="auto"/>
                      <w:spacing w:val="0"/>
                      <w:position w:val="0"/>
                      <w:sz w:val="21"/>
                      <w:szCs w:val="21"/>
                    </w:rPr>
                    <w:t>市政给水管网供给</w:t>
                  </w:r>
                </w:p>
              </w:tc>
              <w:tc>
                <w:tcPr>
                  <w:tcW w:w="801" w:type="dxa"/>
                  <w:vAlign w:val="center"/>
                </w:tcPr>
                <w:p w14:paraId="204AC63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eastAsia="zh-CN"/>
                    </w:rPr>
                    <w:t>利旧</w:t>
                  </w:r>
                </w:p>
              </w:tc>
            </w:tr>
            <w:tr w14:paraId="00635AA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20" w:hRule="atLeast"/>
                <w:jc w:val="center"/>
              </w:trPr>
              <w:tc>
                <w:tcPr>
                  <w:tcW w:w="592" w:type="dxa"/>
                  <w:vMerge w:val="continue"/>
                  <w:vAlign w:val="center"/>
                </w:tcPr>
                <w:p w14:paraId="011EEB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p>
              </w:tc>
              <w:tc>
                <w:tcPr>
                  <w:tcW w:w="1161" w:type="dxa"/>
                  <w:vAlign w:val="center"/>
                </w:tcPr>
                <w:p w14:paraId="5F4765E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排水</w:t>
                  </w:r>
                </w:p>
              </w:tc>
              <w:tc>
                <w:tcPr>
                  <w:tcW w:w="5324" w:type="dxa"/>
                  <w:vAlign w:val="center"/>
                </w:tcPr>
                <w:p w14:paraId="36995E2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color w:val="auto"/>
                      <w:sz w:val="21"/>
                      <w:szCs w:val="21"/>
                    </w:rPr>
                    <w:t>项目实行雨污分流，雨水由管道排至雨水管网，</w:t>
                  </w:r>
                  <w:r>
                    <w:rPr>
                      <w:rFonts w:hint="eastAsia"/>
                      <w:color w:val="auto"/>
                      <w:sz w:val="21"/>
                      <w:szCs w:val="21"/>
                      <w:lang w:val="en-US" w:eastAsia="zh-CN"/>
                    </w:rPr>
                    <w:t>食堂废水经隔油池处理后同医疗</w:t>
                  </w:r>
                  <w:r>
                    <w:rPr>
                      <w:color w:val="auto"/>
                      <w:sz w:val="21"/>
                      <w:szCs w:val="21"/>
                    </w:rPr>
                    <w:t>废水</w:t>
                  </w:r>
                  <w:r>
                    <w:rPr>
                      <w:rFonts w:hint="eastAsia"/>
                      <w:color w:val="auto"/>
                      <w:sz w:val="21"/>
                      <w:szCs w:val="21"/>
                      <w:lang w:val="en-US" w:eastAsia="zh-CN"/>
                    </w:rPr>
                    <w:t>一起进入</w:t>
                  </w:r>
                  <w:r>
                    <w:rPr>
                      <w:color w:val="auto"/>
                      <w:sz w:val="21"/>
                      <w:szCs w:val="21"/>
                    </w:rPr>
                    <w:t>污水处理站处理</w:t>
                  </w:r>
                  <w:r>
                    <w:rPr>
                      <w:rFonts w:hint="eastAsia"/>
                      <w:color w:val="auto"/>
                      <w:sz w:val="21"/>
                      <w:szCs w:val="21"/>
                      <w:lang w:eastAsia="zh-CN"/>
                    </w:rPr>
                    <w:t>，</w:t>
                  </w:r>
                  <w:r>
                    <w:rPr>
                      <w:rFonts w:hint="eastAsia"/>
                      <w:color w:val="auto"/>
                      <w:sz w:val="21"/>
                      <w:szCs w:val="21"/>
                      <w:lang w:val="en-US" w:eastAsia="zh-CN"/>
                    </w:rPr>
                    <w:t>处理达标后排入市政管网</w:t>
                  </w:r>
                  <w:r>
                    <w:rPr>
                      <w:color w:val="auto"/>
                      <w:sz w:val="21"/>
                      <w:szCs w:val="21"/>
                    </w:rPr>
                    <w:t>进</w:t>
                  </w:r>
                  <w:r>
                    <w:rPr>
                      <w:rFonts w:hint="eastAsia"/>
                      <w:color w:val="auto"/>
                      <w:sz w:val="21"/>
                      <w:szCs w:val="21"/>
                    </w:rPr>
                    <w:t>泗县污水处理厂</w:t>
                  </w:r>
                  <w:r>
                    <w:rPr>
                      <w:color w:val="auto"/>
                      <w:sz w:val="21"/>
                      <w:szCs w:val="21"/>
                    </w:rPr>
                    <w:t>进一步处理，达标排入</w:t>
                  </w:r>
                  <w:r>
                    <w:rPr>
                      <w:rFonts w:hint="eastAsia"/>
                      <w:color w:val="auto"/>
                      <w:sz w:val="21"/>
                      <w:szCs w:val="21"/>
                    </w:rPr>
                    <w:t>石梁河</w:t>
                  </w:r>
                </w:p>
              </w:tc>
              <w:tc>
                <w:tcPr>
                  <w:tcW w:w="801" w:type="dxa"/>
                  <w:vAlign w:val="center"/>
                </w:tcPr>
                <w:p w14:paraId="1015EB6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eastAsia="zh-CN"/>
                    </w:rPr>
                    <w:t>利旧</w:t>
                  </w:r>
                </w:p>
              </w:tc>
            </w:tr>
            <w:tr w14:paraId="24650B4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592" w:type="dxa"/>
                  <w:vMerge w:val="continue"/>
                  <w:vAlign w:val="center"/>
                </w:tcPr>
                <w:p w14:paraId="7B9F51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Align w:val="center"/>
                </w:tcPr>
                <w:p w14:paraId="64BD567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供电</w:t>
                  </w:r>
                </w:p>
              </w:tc>
              <w:tc>
                <w:tcPr>
                  <w:tcW w:w="5324" w:type="dxa"/>
                  <w:vAlign w:val="center"/>
                </w:tcPr>
                <w:p w14:paraId="19AEDDE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项目用电</w:t>
                  </w:r>
                  <w:r>
                    <w:rPr>
                      <w:rFonts w:hint="eastAsia" w:ascii="Times New Roman" w:hAnsi="Times New Roman" w:cs="Times New Roman"/>
                      <w:color w:val="auto"/>
                      <w:spacing w:val="0"/>
                      <w:position w:val="0"/>
                      <w:sz w:val="21"/>
                      <w:szCs w:val="21"/>
                      <w:lang w:val="en-US" w:eastAsia="zh-CN"/>
                    </w:rPr>
                    <w:t>由</w:t>
                  </w:r>
                  <w:r>
                    <w:rPr>
                      <w:rFonts w:hint="default" w:ascii="Times New Roman" w:hAnsi="Times New Roman" w:eastAsia="宋体" w:cs="Times New Roman"/>
                      <w:color w:val="auto"/>
                      <w:spacing w:val="0"/>
                      <w:position w:val="0"/>
                      <w:sz w:val="21"/>
                      <w:szCs w:val="21"/>
                    </w:rPr>
                    <w:t>市政供电线路供给</w:t>
                  </w:r>
                  <w:r>
                    <w:rPr>
                      <w:rFonts w:hint="eastAsia" w:ascii="Times New Roman" w:hAnsi="Times New Roman" w:cs="Times New Roman"/>
                      <w:color w:val="auto"/>
                      <w:spacing w:val="0"/>
                      <w:position w:val="0"/>
                      <w:sz w:val="21"/>
                      <w:szCs w:val="21"/>
                      <w:lang w:eastAsia="zh-CN"/>
                    </w:rPr>
                    <w:t>，</w:t>
                  </w:r>
                  <w:r>
                    <w:rPr>
                      <w:rFonts w:hint="eastAsia" w:ascii="Times New Roman" w:hAnsi="Times New Roman" w:cs="Times New Roman"/>
                      <w:color w:val="auto"/>
                      <w:spacing w:val="0"/>
                      <w:position w:val="0"/>
                      <w:sz w:val="21"/>
                      <w:szCs w:val="21"/>
                      <w:lang w:val="en-US" w:eastAsia="zh-CN"/>
                    </w:rPr>
                    <w:t>并配有300KW柴油发电机一台</w:t>
                  </w:r>
                </w:p>
              </w:tc>
              <w:tc>
                <w:tcPr>
                  <w:tcW w:w="801" w:type="dxa"/>
                  <w:vAlign w:val="center"/>
                </w:tcPr>
                <w:p w14:paraId="60BBCE1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eastAsia="zh-CN"/>
                    </w:rPr>
                    <w:t>利旧</w:t>
                  </w:r>
                </w:p>
              </w:tc>
            </w:tr>
            <w:tr w14:paraId="64C5EFD4">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92" w:type="dxa"/>
                  <w:vMerge w:val="restart"/>
                  <w:tcBorders>
                    <w:bottom w:val="nil"/>
                  </w:tcBorders>
                  <w:vAlign w:val="center"/>
                </w:tcPr>
                <w:p w14:paraId="49631CA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环保工程</w:t>
                  </w:r>
                </w:p>
              </w:tc>
              <w:tc>
                <w:tcPr>
                  <w:tcW w:w="1161" w:type="dxa"/>
                  <w:vAlign w:val="center"/>
                </w:tcPr>
                <w:p w14:paraId="5B7E66E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废气治理</w:t>
                  </w:r>
                </w:p>
              </w:tc>
              <w:tc>
                <w:tcPr>
                  <w:tcW w:w="5324" w:type="dxa"/>
                  <w:vAlign w:val="center"/>
                </w:tcPr>
                <w:p w14:paraId="7375CEA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rPr>
                    <w:t>污水处理站为地埋式，构筑物加盖封闭，喷洒生物制剂除臭处理后，无组织排放</w:t>
                  </w:r>
                  <w:r>
                    <w:rPr>
                      <w:rFonts w:hint="eastAsia" w:ascii="Times New Roman" w:hAnsi="Times New Roman" w:cs="Times New Roman"/>
                      <w:color w:val="auto"/>
                      <w:spacing w:val="0"/>
                      <w:position w:val="0"/>
                      <w:sz w:val="21"/>
                      <w:szCs w:val="21"/>
                      <w:lang w:eastAsia="zh-CN"/>
                    </w:rPr>
                    <w:t>。</w:t>
                  </w:r>
                  <w:r>
                    <w:rPr>
                      <w:rFonts w:hint="eastAsia"/>
                      <w:color w:val="auto"/>
                      <w:sz w:val="21"/>
                      <w:szCs w:val="18"/>
                    </w:rPr>
                    <w:t>项目食堂油烟经油烟净化器处理</w:t>
                  </w:r>
                  <w:r>
                    <w:rPr>
                      <w:rFonts w:hint="eastAsia"/>
                      <w:color w:val="auto"/>
                      <w:sz w:val="21"/>
                      <w:szCs w:val="18"/>
                      <w:lang w:val="en-US" w:eastAsia="zh-CN"/>
                    </w:rPr>
                    <w:t>达标</w:t>
                  </w:r>
                  <w:r>
                    <w:rPr>
                      <w:rFonts w:hint="default"/>
                      <w:color w:val="auto"/>
                      <w:sz w:val="21"/>
                      <w:szCs w:val="21"/>
                      <w:lang w:val="en-US" w:eastAsia="zh-CN"/>
                    </w:rPr>
                    <w:t>后</w:t>
                  </w:r>
                  <w:r>
                    <w:rPr>
                      <w:rFonts w:hint="eastAsia"/>
                      <w:color w:val="auto"/>
                      <w:sz w:val="21"/>
                      <w:szCs w:val="21"/>
                      <w:lang w:val="en-US" w:eastAsia="zh-CN"/>
                    </w:rPr>
                    <w:t>，</w:t>
                  </w:r>
                  <w:r>
                    <w:rPr>
                      <w:rFonts w:hint="default"/>
                      <w:color w:val="auto"/>
                      <w:sz w:val="21"/>
                      <w:szCs w:val="21"/>
                      <w:lang w:val="en-US" w:eastAsia="zh-CN"/>
                    </w:rPr>
                    <w:t>烟气经专用烟道引到建筑物外排</w:t>
                  </w:r>
                  <w:r>
                    <w:rPr>
                      <w:rFonts w:hint="eastAsia"/>
                      <w:color w:val="auto"/>
                      <w:sz w:val="21"/>
                      <w:szCs w:val="18"/>
                      <w:lang w:eastAsia="zh-CN"/>
                    </w:rPr>
                    <w:t>。</w:t>
                  </w:r>
                </w:p>
              </w:tc>
              <w:tc>
                <w:tcPr>
                  <w:tcW w:w="801" w:type="dxa"/>
                  <w:vAlign w:val="center"/>
                </w:tcPr>
                <w:p w14:paraId="04B5F28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利旧</w:t>
                  </w:r>
                </w:p>
              </w:tc>
            </w:tr>
            <w:tr w14:paraId="444A904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592" w:type="dxa"/>
                  <w:vMerge w:val="continue"/>
                  <w:tcBorders>
                    <w:top w:val="nil"/>
                    <w:bottom w:val="nil"/>
                  </w:tcBorders>
                  <w:vAlign w:val="center"/>
                </w:tcPr>
                <w:p w14:paraId="535C97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Align w:val="center"/>
                </w:tcPr>
                <w:p w14:paraId="23FBC4C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废水治理</w:t>
                  </w:r>
                </w:p>
              </w:tc>
              <w:tc>
                <w:tcPr>
                  <w:tcW w:w="5324" w:type="dxa"/>
                  <w:vAlign w:val="center"/>
                </w:tcPr>
                <w:p w14:paraId="594D3EB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项目</w:t>
                  </w:r>
                  <w:r>
                    <w:rPr>
                      <w:rFonts w:hint="eastAsia" w:ascii="Times New Roman" w:hAnsi="Times New Roman" w:cs="Times New Roman"/>
                      <w:color w:val="auto"/>
                      <w:spacing w:val="0"/>
                      <w:position w:val="0"/>
                      <w:sz w:val="21"/>
                      <w:szCs w:val="21"/>
                      <w:lang w:val="en-US" w:eastAsia="zh-CN"/>
                    </w:rPr>
                    <w:t>食堂废水经隔油池处理后同</w:t>
                  </w:r>
                  <w:r>
                    <w:rPr>
                      <w:rFonts w:hint="default" w:ascii="Times New Roman" w:hAnsi="Times New Roman" w:eastAsia="宋体" w:cs="Times New Roman"/>
                      <w:color w:val="auto"/>
                      <w:spacing w:val="0"/>
                      <w:position w:val="0"/>
                      <w:sz w:val="21"/>
                      <w:szCs w:val="21"/>
                    </w:rPr>
                    <w:t>医疗废水一起经</w:t>
                  </w:r>
                  <w:r>
                    <w:rPr>
                      <w:rFonts w:hint="eastAsia" w:ascii="Times New Roman" w:hAnsi="Times New Roman" w:cs="Times New Roman"/>
                      <w:color w:val="auto"/>
                      <w:spacing w:val="0"/>
                      <w:position w:val="0"/>
                      <w:sz w:val="21"/>
                      <w:szCs w:val="21"/>
                      <w:lang w:val="en-US" w:eastAsia="zh-CN"/>
                    </w:rPr>
                    <w:t>院区污水处理站（处理规模90m</w:t>
                  </w:r>
                  <w:r>
                    <w:rPr>
                      <w:rFonts w:hint="eastAsia" w:ascii="Times New Roman" w:hAnsi="Times New Roman" w:cs="Times New Roman"/>
                      <w:color w:val="auto"/>
                      <w:spacing w:val="0"/>
                      <w:position w:val="0"/>
                      <w:sz w:val="21"/>
                      <w:szCs w:val="21"/>
                      <w:vertAlign w:val="superscript"/>
                      <w:lang w:val="en-US" w:eastAsia="zh-CN"/>
                    </w:rPr>
                    <w:t>3</w:t>
                  </w:r>
                  <w:r>
                    <w:rPr>
                      <w:rFonts w:hint="eastAsia" w:ascii="Times New Roman" w:hAnsi="Times New Roman" w:cs="Times New Roman"/>
                      <w:color w:val="auto"/>
                      <w:spacing w:val="0"/>
                      <w:position w:val="0"/>
                      <w:sz w:val="21"/>
                      <w:szCs w:val="21"/>
                      <w:lang w:val="en-US" w:eastAsia="zh-CN"/>
                    </w:rPr>
                    <w:t>/d）</w:t>
                  </w:r>
                  <w:r>
                    <w:rPr>
                      <w:rFonts w:hint="default" w:ascii="Times New Roman" w:hAnsi="Times New Roman" w:eastAsia="宋体" w:cs="Times New Roman"/>
                      <w:color w:val="auto"/>
                      <w:spacing w:val="0"/>
                      <w:position w:val="0"/>
                      <w:sz w:val="21"/>
                      <w:szCs w:val="21"/>
                    </w:rPr>
                    <w:t>预处理后，排入市政污水管网再进入泗县污水处理厂处理达标后排放至石梁河</w:t>
                  </w:r>
                </w:p>
              </w:tc>
              <w:tc>
                <w:tcPr>
                  <w:tcW w:w="801" w:type="dxa"/>
                  <w:vAlign w:val="center"/>
                </w:tcPr>
                <w:p w14:paraId="07B90ED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val="en-US" w:eastAsia="zh-CN"/>
                    </w:rPr>
                    <w:t>利旧</w:t>
                  </w:r>
                </w:p>
              </w:tc>
            </w:tr>
            <w:tr w14:paraId="0950CC7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075" w:hRule="atLeast"/>
                <w:jc w:val="center"/>
              </w:trPr>
              <w:tc>
                <w:tcPr>
                  <w:tcW w:w="592" w:type="dxa"/>
                  <w:vMerge w:val="continue"/>
                  <w:tcBorders>
                    <w:top w:val="nil"/>
                    <w:bottom w:val="nil"/>
                  </w:tcBorders>
                  <w:vAlign w:val="center"/>
                </w:tcPr>
                <w:p w14:paraId="3C1C9B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Merge w:val="restart"/>
                  <w:vAlign w:val="center"/>
                </w:tcPr>
                <w:p w14:paraId="283C009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固废治理</w:t>
                  </w:r>
                </w:p>
              </w:tc>
              <w:tc>
                <w:tcPr>
                  <w:tcW w:w="5324" w:type="dxa"/>
                  <w:vAlign w:val="center"/>
                </w:tcPr>
                <w:p w14:paraId="79D253C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eastAsia="zh-CN"/>
                    </w:rPr>
                    <w:t>医疗废物暂存间</w:t>
                  </w:r>
                  <w:r>
                    <w:rPr>
                      <w:rFonts w:hint="default" w:ascii="Times New Roman" w:hAnsi="Times New Roman" w:eastAsia="宋体" w:cs="Times New Roman"/>
                      <w:color w:val="auto"/>
                      <w:spacing w:val="0"/>
                      <w:position w:val="0"/>
                      <w:sz w:val="21"/>
                      <w:szCs w:val="21"/>
                    </w:rPr>
                    <w:t>位于</w:t>
                  </w:r>
                  <w:r>
                    <w:rPr>
                      <w:rFonts w:hint="eastAsia" w:ascii="Times New Roman" w:hAnsi="Times New Roman" w:cs="Times New Roman"/>
                      <w:color w:val="auto"/>
                      <w:spacing w:val="0"/>
                      <w:position w:val="0"/>
                      <w:sz w:val="21"/>
                      <w:szCs w:val="21"/>
                      <w:lang w:val="en-US" w:eastAsia="zh-CN"/>
                    </w:rPr>
                    <w:t>主楼和辅楼之间</w:t>
                  </w:r>
                  <w:r>
                    <w:rPr>
                      <w:rFonts w:hint="default" w:ascii="Times New Roman" w:hAnsi="Times New Roman" w:eastAsia="宋体" w:cs="Times New Roman"/>
                      <w:color w:val="auto"/>
                      <w:spacing w:val="0"/>
                      <w:position w:val="0"/>
                      <w:sz w:val="21"/>
                      <w:szCs w:val="21"/>
                    </w:rPr>
                    <w:t>，</w:t>
                  </w:r>
                  <w:r>
                    <w:rPr>
                      <w:rFonts w:hint="eastAsia" w:ascii="Times New Roman" w:hAnsi="Times New Roman" w:cs="Times New Roman"/>
                      <w:color w:val="auto"/>
                      <w:spacing w:val="0"/>
                      <w:position w:val="0"/>
                      <w:sz w:val="21"/>
                      <w:szCs w:val="21"/>
                      <w:lang w:val="en-US" w:eastAsia="zh-CN"/>
                    </w:rPr>
                    <w:t>占地面积约6</w:t>
                  </w:r>
                  <w:r>
                    <w:rPr>
                      <w:rFonts w:hint="default" w:ascii="Times New Roman" w:hAnsi="Times New Roman" w:eastAsia="宋体" w:cs="Times New Roman"/>
                      <w:color w:val="auto"/>
                      <w:spacing w:val="0"/>
                      <w:position w:val="0"/>
                      <w:sz w:val="21"/>
                      <w:szCs w:val="21"/>
                    </w:rPr>
                    <w:t>m</w:t>
                  </w:r>
                  <w:r>
                    <w:rPr>
                      <w:rFonts w:hint="eastAsia" w:ascii="Times New Roman" w:hAnsi="Times New Roman" w:cs="Times New Roman"/>
                      <w:color w:val="auto"/>
                      <w:spacing w:val="0"/>
                      <w:position w:val="0"/>
                      <w:sz w:val="21"/>
                      <w:szCs w:val="21"/>
                      <w:vertAlign w:val="superscript"/>
                      <w:lang w:val="en-US" w:eastAsia="zh-CN"/>
                    </w:rPr>
                    <w:t>2</w:t>
                  </w:r>
                  <w:r>
                    <w:rPr>
                      <w:rFonts w:hint="default" w:ascii="Times New Roman" w:hAnsi="Times New Roman" w:eastAsia="宋体" w:cs="Times New Roman"/>
                      <w:color w:val="auto"/>
                      <w:spacing w:val="0"/>
                      <w:position w:val="0"/>
                      <w:sz w:val="21"/>
                      <w:szCs w:val="21"/>
                    </w:rPr>
                    <w:t>，采取防渗、防雨、防漏措施</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医疗废物分类收集后，暂存</w:t>
                  </w:r>
                  <w:r>
                    <w:rPr>
                      <w:rFonts w:hint="eastAsia" w:ascii="Times New Roman" w:hAnsi="Times New Roman" w:cs="Times New Roman"/>
                      <w:color w:val="auto"/>
                      <w:spacing w:val="0"/>
                      <w:position w:val="0"/>
                      <w:sz w:val="21"/>
                      <w:szCs w:val="21"/>
                      <w:lang w:eastAsia="zh-CN"/>
                    </w:rPr>
                    <w:t>医疗废物暂存间</w:t>
                  </w:r>
                  <w:r>
                    <w:rPr>
                      <w:rFonts w:hint="default" w:ascii="Times New Roman" w:hAnsi="Times New Roman" w:eastAsia="宋体" w:cs="Times New Roman"/>
                      <w:color w:val="auto"/>
                      <w:spacing w:val="0"/>
                      <w:position w:val="0"/>
                      <w:sz w:val="21"/>
                      <w:szCs w:val="21"/>
                    </w:rPr>
                    <w:t>，委托有资质单位处置</w:t>
                  </w:r>
                  <w:r>
                    <w:rPr>
                      <w:rFonts w:hint="eastAsia" w:ascii="Times New Roman" w:hAnsi="Times New Roman" w:cs="Times New Roman"/>
                      <w:color w:val="auto"/>
                      <w:spacing w:val="0"/>
                      <w:position w:val="0"/>
                      <w:sz w:val="21"/>
                      <w:szCs w:val="21"/>
                      <w:lang w:eastAsia="zh-CN"/>
                    </w:rPr>
                    <w:t>。</w:t>
                  </w:r>
                </w:p>
              </w:tc>
              <w:tc>
                <w:tcPr>
                  <w:tcW w:w="801" w:type="dxa"/>
                  <w:vAlign w:val="center"/>
                </w:tcPr>
                <w:p w14:paraId="5AC981A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val="en-US" w:eastAsia="zh-CN"/>
                    </w:rPr>
                    <w:t>利旧</w:t>
                  </w:r>
                </w:p>
              </w:tc>
            </w:tr>
            <w:tr w14:paraId="0B948DD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92" w:type="dxa"/>
                  <w:vMerge w:val="continue"/>
                  <w:tcBorders>
                    <w:top w:val="nil"/>
                    <w:bottom w:val="nil"/>
                  </w:tcBorders>
                  <w:vAlign w:val="center"/>
                </w:tcPr>
                <w:p w14:paraId="2DD805E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Merge w:val="continue"/>
                  <w:vAlign w:val="center"/>
                </w:tcPr>
                <w:p w14:paraId="58F638D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5324" w:type="dxa"/>
                  <w:vAlign w:val="center"/>
                </w:tcPr>
                <w:p w14:paraId="638805A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新建</w:t>
                  </w:r>
                  <w:r>
                    <w:rPr>
                      <w:rFonts w:hint="eastAsia" w:ascii="Times New Roman" w:hAnsi="Times New Roman" w:cs="Times New Roman"/>
                      <w:color w:val="auto"/>
                      <w:spacing w:val="0"/>
                      <w:position w:val="0"/>
                      <w:sz w:val="21"/>
                      <w:szCs w:val="21"/>
                      <w:lang w:eastAsia="zh-CN"/>
                    </w:rPr>
                    <w:t>一般固废间在医疗废物暂存间</w:t>
                  </w:r>
                  <w:r>
                    <w:rPr>
                      <w:rFonts w:hint="eastAsia" w:ascii="Times New Roman" w:hAnsi="Times New Roman" w:cs="Times New Roman"/>
                      <w:color w:val="auto"/>
                      <w:spacing w:val="0"/>
                      <w:position w:val="0"/>
                      <w:sz w:val="21"/>
                      <w:szCs w:val="21"/>
                      <w:lang w:val="en-US" w:eastAsia="zh-CN"/>
                    </w:rPr>
                    <w:t>东</w:t>
                  </w:r>
                  <w:r>
                    <w:rPr>
                      <w:rFonts w:hint="eastAsia" w:ascii="Times New Roman" w:hAnsi="Times New Roman" w:cs="Times New Roman"/>
                      <w:color w:val="auto"/>
                      <w:spacing w:val="0"/>
                      <w:position w:val="0"/>
                      <w:sz w:val="21"/>
                      <w:szCs w:val="21"/>
                      <w:lang w:eastAsia="zh-CN"/>
                    </w:rPr>
                    <w:t>侧</w:t>
                  </w:r>
                  <w:r>
                    <w:rPr>
                      <w:rFonts w:hint="eastAsia" w:ascii="Times New Roman" w:hAnsi="Times New Roman" w:cs="Times New Roman"/>
                      <w:color w:val="auto"/>
                      <w:spacing w:val="0"/>
                      <w:position w:val="0"/>
                      <w:sz w:val="21"/>
                      <w:szCs w:val="21"/>
                      <w:lang w:val="en-US" w:eastAsia="zh-CN"/>
                    </w:rPr>
                    <w:t>，建筑面积6m</w:t>
                  </w:r>
                  <w:r>
                    <w:rPr>
                      <w:rFonts w:hint="eastAsia" w:ascii="Times New Roman" w:hAnsi="Times New Roman" w:cs="Times New Roman"/>
                      <w:color w:val="auto"/>
                      <w:spacing w:val="0"/>
                      <w:position w:val="0"/>
                      <w:sz w:val="21"/>
                      <w:szCs w:val="21"/>
                      <w:vertAlign w:val="superscript"/>
                      <w:lang w:val="en-US" w:eastAsia="zh-CN"/>
                    </w:rPr>
                    <w:t>2</w:t>
                  </w:r>
                  <w:r>
                    <w:rPr>
                      <w:rFonts w:hint="eastAsia" w:ascii="Times New Roman" w:hAnsi="Times New Roman" w:cs="Times New Roman"/>
                      <w:color w:val="auto"/>
                      <w:spacing w:val="0"/>
                      <w:position w:val="0"/>
                      <w:sz w:val="21"/>
                      <w:szCs w:val="21"/>
                      <w:lang w:val="en-US" w:eastAsia="zh-CN"/>
                    </w:rPr>
                    <w:t>。</w:t>
                  </w:r>
                </w:p>
              </w:tc>
              <w:tc>
                <w:tcPr>
                  <w:tcW w:w="801" w:type="dxa"/>
                  <w:vAlign w:val="center"/>
                </w:tcPr>
                <w:p w14:paraId="6E6C71D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新建</w:t>
                  </w:r>
                </w:p>
              </w:tc>
            </w:tr>
            <w:tr w14:paraId="0E61726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075" w:hRule="atLeast"/>
                <w:jc w:val="center"/>
              </w:trPr>
              <w:tc>
                <w:tcPr>
                  <w:tcW w:w="592" w:type="dxa"/>
                  <w:vMerge w:val="continue"/>
                  <w:tcBorders>
                    <w:top w:val="nil"/>
                    <w:bottom w:val="nil"/>
                  </w:tcBorders>
                  <w:vAlign w:val="center"/>
                </w:tcPr>
                <w:p w14:paraId="1BAB0E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Merge w:val="continue"/>
                  <w:vAlign w:val="center"/>
                </w:tcPr>
                <w:p w14:paraId="29223B3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5324" w:type="dxa"/>
                  <w:vAlign w:val="center"/>
                </w:tcPr>
                <w:p w14:paraId="6B7EEA6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cs="Times New Roman"/>
                      <w:color w:val="auto"/>
                      <w:spacing w:val="0"/>
                      <w:position w:val="0"/>
                      <w:sz w:val="21"/>
                      <w:szCs w:val="21"/>
                      <w:lang w:val="en-US" w:eastAsia="zh-CN"/>
                    </w:rPr>
                  </w:pPr>
                  <w:r>
                    <w:rPr>
                      <w:rFonts w:hint="default" w:ascii="Times New Roman" w:hAnsi="Times New Roman" w:eastAsia="宋体" w:cs="Times New Roman"/>
                      <w:color w:val="auto"/>
                      <w:spacing w:val="0"/>
                      <w:position w:val="0"/>
                      <w:sz w:val="21"/>
                      <w:szCs w:val="21"/>
                      <w:highlight w:val="none"/>
                    </w:rPr>
                    <w:t>污水站污泥与栅渣定期清掏，消毒后委托有资质单位处置</w:t>
                  </w:r>
                  <w:r>
                    <w:rPr>
                      <w:rFonts w:hint="default" w:ascii="Times New Roman" w:hAnsi="Times New Roman" w:eastAsia="宋体" w:cs="Times New Roman"/>
                      <w:color w:val="auto"/>
                      <w:spacing w:val="0"/>
                      <w:position w:val="0"/>
                      <w:sz w:val="21"/>
                      <w:szCs w:val="21"/>
                    </w:rPr>
                    <w:t>；未污染的一次性输液袋（瓶）、一次性医用外包装物，由专业单位回收利用或处置；制片边角料、生活垃圾分类集中收集后由环卫部门统一清运。</w:t>
                  </w:r>
                </w:p>
              </w:tc>
              <w:tc>
                <w:tcPr>
                  <w:tcW w:w="801" w:type="dxa"/>
                  <w:vAlign w:val="center"/>
                </w:tcPr>
                <w:p w14:paraId="25C8838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w:t>
                  </w:r>
                </w:p>
              </w:tc>
            </w:tr>
            <w:tr w14:paraId="416F35C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592" w:type="dxa"/>
                  <w:vMerge w:val="continue"/>
                  <w:tcBorders>
                    <w:top w:val="nil"/>
                    <w:bottom w:val="nil"/>
                  </w:tcBorders>
                  <w:vAlign w:val="center"/>
                </w:tcPr>
                <w:p w14:paraId="7317E33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Align w:val="center"/>
                </w:tcPr>
                <w:p w14:paraId="4FF3DA0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噪声治理</w:t>
                  </w:r>
                </w:p>
              </w:tc>
              <w:tc>
                <w:tcPr>
                  <w:tcW w:w="5324" w:type="dxa"/>
                  <w:vAlign w:val="center"/>
                </w:tcPr>
                <w:p w14:paraId="3045063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color w:val="auto"/>
                      <w:spacing w:val="0"/>
                      <w:position w:val="0"/>
                      <w:sz w:val="21"/>
                      <w:szCs w:val="21"/>
                    </w:rPr>
                    <w:t>优先选用低噪声设备，</w:t>
                  </w:r>
                  <w:r>
                    <w:rPr>
                      <w:rFonts w:hint="eastAsia" w:ascii="Times New Roman" w:hAnsi="Times New Roman" w:cs="Times New Roman"/>
                      <w:color w:val="auto"/>
                      <w:spacing w:val="0"/>
                      <w:position w:val="0"/>
                      <w:sz w:val="21"/>
                      <w:szCs w:val="21"/>
                      <w:lang w:eastAsia="zh-CN"/>
                    </w:rPr>
                    <w:t>加设减震基</w:t>
                  </w:r>
                  <w:r>
                    <w:rPr>
                      <w:rFonts w:hint="eastAsia" w:ascii="Times New Roman" w:hAnsi="Times New Roman" w:cs="Times New Roman"/>
                      <w:color w:val="auto"/>
                      <w:spacing w:val="0"/>
                      <w:position w:val="0"/>
                      <w:sz w:val="21"/>
                      <w:szCs w:val="21"/>
                      <w:lang w:val="en-US" w:eastAsia="zh-CN"/>
                    </w:rPr>
                    <w:t>座</w:t>
                  </w:r>
                  <w:r>
                    <w:rPr>
                      <w:rFonts w:hint="default" w:ascii="Times New Roman" w:hAnsi="Times New Roman" w:eastAsia="宋体" w:cs="Times New Roman"/>
                      <w:color w:val="auto"/>
                      <w:spacing w:val="0"/>
                      <w:position w:val="0"/>
                      <w:sz w:val="21"/>
                      <w:szCs w:val="21"/>
                    </w:rPr>
                    <w:t>。</w:t>
                  </w:r>
                </w:p>
              </w:tc>
              <w:tc>
                <w:tcPr>
                  <w:tcW w:w="801" w:type="dxa"/>
                  <w:vAlign w:val="center"/>
                </w:tcPr>
                <w:p w14:paraId="423424E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val="en-US" w:eastAsia="zh-CN"/>
                    </w:rPr>
                    <w:t>利旧</w:t>
                  </w:r>
                </w:p>
              </w:tc>
            </w:tr>
            <w:tr w14:paraId="7FB845F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6" w:hRule="atLeast"/>
                <w:jc w:val="center"/>
              </w:trPr>
              <w:tc>
                <w:tcPr>
                  <w:tcW w:w="592" w:type="dxa"/>
                  <w:vMerge w:val="continue"/>
                  <w:tcBorders>
                    <w:top w:val="nil"/>
                    <w:bottom w:val="nil"/>
                  </w:tcBorders>
                  <w:vAlign w:val="center"/>
                </w:tcPr>
                <w:p w14:paraId="637A9C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Align w:val="center"/>
                </w:tcPr>
                <w:p w14:paraId="737EB43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eastAsia="zh-CN"/>
                    </w:rPr>
                    <w:t>地下水、土壤</w:t>
                  </w:r>
                </w:p>
              </w:tc>
              <w:tc>
                <w:tcPr>
                  <w:tcW w:w="5324" w:type="dxa"/>
                  <w:vAlign w:val="center"/>
                </w:tcPr>
                <w:p w14:paraId="617890F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position w:val="0"/>
                      <w:sz w:val="21"/>
                      <w:szCs w:val="21"/>
                    </w:rPr>
                  </w:pPr>
                  <w:r>
                    <w:rPr>
                      <w:rFonts w:hint="eastAsia" w:ascii="Times New Roman" w:hAnsi="Times New Roman" w:eastAsia="宋体" w:cs="Times New Roman"/>
                      <w:color w:val="auto"/>
                      <w:spacing w:val="0"/>
                      <w:position w:val="0"/>
                      <w:sz w:val="21"/>
                      <w:szCs w:val="21"/>
                      <w:lang w:eastAsia="zh-CN"/>
                    </w:rPr>
                    <w:t>分区</w:t>
                  </w:r>
                  <w:r>
                    <w:rPr>
                      <w:rFonts w:hint="default" w:ascii="Times New Roman" w:hAnsi="Times New Roman" w:eastAsia="宋体" w:cs="Times New Roman"/>
                      <w:color w:val="auto"/>
                      <w:spacing w:val="0"/>
                      <w:position w:val="0"/>
                      <w:sz w:val="21"/>
                      <w:szCs w:val="21"/>
                    </w:rPr>
                    <w:t>防渗：</w:t>
                  </w:r>
                  <w:r>
                    <w:rPr>
                      <w:rFonts w:hint="eastAsia" w:ascii="Times New Roman" w:hAnsi="Times New Roman" w:cs="Times New Roman"/>
                      <w:color w:val="auto"/>
                      <w:spacing w:val="0"/>
                      <w:position w:val="0"/>
                      <w:sz w:val="21"/>
                      <w:szCs w:val="21"/>
                      <w:lang w:eastAsia="zh-CN"/>
                    </w:rPr>
                    <w:t>医疗废物暂存间</w:t>
                  </w:r>
                  <w:r>
                    <w:rPr>
                      <w:rFonts w:hint="default" w:ascii="Times New Roman" w:hAnsi="Times New Roman" w:eastAsia="宋体" w:cs="Times New Roman"/>
                      <w:color w:val="auto"/>
                      <w:spacing w:val="0"/>
                      <w:position w:val="0"/>
                      <w:sz w:val="21"/>
                      <w:szCs w:val="21"/>
                    </w:rPr>
                    <w:t>、污水处理站</w:t>
                  </w:r>
                  <w:r>
                    <w:rPr>
                      <w:rFonts w:hint="eastAsia" w:ascii="Times New Roman" w:hAnsi="Times New Roman" w:cs="Times New Roman"/>
                      <w:color w:val="auto"/>
                      <w:spacing w:val="0"/>
                      <w:position w:val="0"/>
                      <w:sz w:val="21"/>
                      <w:szCs w:val="21"/>
                      <w:lang w:eastAsia="zh-CN"/>
                    </w:rPr>
                    <w:t>、应急事故池</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储油间、二氧化氯制备间</w:t>
                  </w:r>
                  <w:r>
                    <w:rPr>
                      <w:rFonts w:hint="default" w:ascii="Times New Roman" w:hAnsi="Times New Roman" w:eastAsia="宋体" w:cs="Times New Roman"/>
                      <w:color w:val="auto"/>
                      <w:spacing w:val="0"/>
                      <w:position w:val="0"/>
                      <w:sz w:val="21"/>
                      <w:szCs w:val="21"/>
                    </w:rPr>
                    <w:t>等按照重点防渗区进行防渗</w:t>
                  </w:r>
                  <w:r>
                    <w:rPr>
                      <w:rFonts w:hint="eastAsia" w:ascii="Times New Roman" w:hAnsi="Times New Roman" w:cs="Times New Roman"/>
                      <w:color w:val="auto"/>
                      <w:spacing w:val="0"/>
                      <w:position w:val="0"/>
                      <w:sz w:val="21"/>
                      <w:szCs w:val="21"/>
                      <w:lang w:eastAsia="zh-CN"/>
                    </w:rPr>
                    <w:t>（</w:t>
                  </w:r>
                  <w:r>
                    <w:rPr>
                      <w:rFonts w:hint="eastAsia" w:ascii="Times New Roman" w:hAnsi="Times New Roman" w:cs="Times New Roman"/>
                      <w:color w:val="auto"/>
                      <w:spacing w:val="0"/>
                      <w:position w:val="0"/>
                      <w:sz w:val="21"/>
                      <w:szCs w:val="21"/>
                      <w:lang w:val="en-US" w:eastAsia="zh-CN"/>
                    </w:rPr>
                    <w:t>改建</w:t>
                  </w:r>
                  <w:r>
                    <w:rPr>
                      <w:rFonts w:hint="eastAsia" w:ascii="Times New Roman" w:hAnsi="Times New Roman" w:cs="Times New Roman"/>
                      <w:color w:val="auto"/>
                      <w:spacing w:val="0"/>
                      <w:position w:val="0"/>
                      <w:sz w:val="21"/>
                      <w:szCs w:val="21"/>
                      <w:lang w:eastAsia="zh-CN"/>
                    </w:rPr>
                    <w:t>），办公室及其他场所一般防渗（</w:t>
                  </w:r>
                  <w:r>
                    <w:rPr>
                      <w:rFonts w:hint="eastAsia" w:ascii="Times New Roman" w:hAnsi="Times New Roman" w:cs="Times New Roman"/>
                      <w:color w:val="auto"/>
                      <w:spacing w:val="0"/>
                      <w:position w:val="0"/>
                      <w:sz w:val="21"/>
                      <w:szCs w:val="21"/>
                      <w:lang w:val="en-US" w:eastAsia="zh-CN"/>
                    </w:rPr>
                    <w:t>利旧</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w:t>
                  </w:r>
                </w:p>
              </w:tc>
              <w:tc>
                <w:tcPr>
                  <w:tcW w:w="801" w:type="dxa"/>
                  <w:vAlign w:val="center"/>
                </w:tcPr>
                <w:p w14:paraId="7CFAA97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val="en-US" w:eastAsia="zh-CN"/>
                    </w:rPr>
                    <w:t>利旧、</w:t>
                  </w:r>
                  <w:r>
                    <w:rPr>
                      <w:rFonts w:hint="eastAsia" w:ascii="Times New Roman" w:hAnsi="Times New Roman" w:cs="Times New Roman"/>
                      <w:color w:val="auto"/>
                      <w:spacing w:val="0"/>
                      <w:position w:val="0"/>
                      <w:sz w:val="21"/>
                      <w:szCs w:val="21"/>
                      <w:lang w:eastAsia="zh-CN"/>
                    </w:rPr>
                    <w:t>改建</w:t>
                  </w:r>
                </w:p>
              </w:tc>
            </w:tr>
            <w:tr w14:paraId="68C22E9E">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63" w:hRule="atLeast"/>
                <w:jc w:val="center"/>
              </w:trPr>
              <w:tc>
                <w:tcPr>
                  <w:tcW w:w="592" w:type="dxa"/>
                  <w:vMerge w:val="continue"/>
                  <w:tcBorders>
                    <w:top w:val="nil"/>
                  </w:tcBorders>
                  <w:vAlign w:val="center"/>
                </w:tcPr>
                <w:p w14:paraId="270D6FD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p>
              </w:tc>
              <w:tc>
                <w:tcPr>
                  <w:tcW w:w="1161" w:type="dxa"/>
                  <w:vAlign w:val="center"/>
                </w:tcPr>
                <w:p w14:paraId="3669726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eastAsia="zh-CN"/>
                    </w:rPr>
                    <w:t>环境风险</w:t>
                  </w:r>
                </w:p>
              </w:tc>
              <w:tc>
                <w:tcPr>
                  <w:tcW w:w="5324" w:type="dxa"/>
                  <w:vAlign w:val="center"/>
                </w:tcPr>
                <w:p w14:paraId="6D7CD14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highlight w:val="none"/>
                      <w:lang w:eastAsia="zh-CN"/>
                    </w:rPr>
                    <w:t>新建一座</w:t>
                  </w:r>
                  <w:r>
                    <w:rPr>
                      <w:rFonts w:hint="eastAsia" w:ascii="Times New Roman" w:hAnsi="Times New Roman" w:cs="Times New Roman"/>
                      <w:color w:val="auto"/>
                      <w:spacing w:val="0"/>
                      <w:position w:val="0"/>
                      <w:sz w:val="21"/>
                      <w:szCs w:val="21"/>
                      <w:highlight w:val="none"/>
                      <w:lang w:val="en-US" w:eastAsia="zh-CN"/>
                    </w:rPr>
                    <w:t>10m</w:t>
                  </w:r>
                  <w:r>
                    <w:rPr>
                      <w:rFonts w:hint="eastAsia" w:ascii="Times New Roman" w:hAnsi="Times New Roman" w:cs="Times New Roman"/>
                      <w:color w:val="auto"/>
                      <w:spacing w:val="0"/>
                      <w:position w:val="0"/>
                      <w:sz w:val="21"/>
                      <w:szCs w:val="21"/>
                      <w:highlight w:val="none"/>
                      <w:vertAlign w:val="superscript"/>
                      <w:lang w:val="en-US" w:eastAsia="zh-CN"/>
                    </w:rPr>
                    <w:t>3</w:t>
                  </w:r>
                  <w:r>
                    <w:rPr>
                      <w:rFonts w:hint="eastAsia" w:ascii="Times New Roman" w:hAnsi="Times New Roman" w:cs="Times New Roman"/>
                      <w:color w:val="auto"/>
                      <w:spacing w:val="0"/>
                      <w:position w:val="0"/>
                      <w:sz w:val="21"/>
                      <w:szCs w:val="21"/>
                      <w:lang w:val="en-US" w:eastAsia="zh-CN"/>
                    </w:rPr>
                    <w:t>应急事故池；</w:t>
                  </w:r>
                  <w:r>
                    <w:rPr>
                      <w:rFonts w:hint="default" w:ascii="Times New Roman" w:hAnsi="Times New Roman" w:eastAsia="宋体" w:cs="Times New Roman"/>
                      <w:color w:val="auto"/>
                      <w:spacing w:val="0"/>
                      <w:position w:val="0"/>
                      <w:sz w:val="21"/>
                      <w:szCs w:val="21"/>
                    </w:rPr>
                    <w:t>编制企业突发环境事件应急预案，并报生态环境主管部门备案。</w:t>
                  </w:r>
                </w:p>
              </w:tc>
              <w:tc>
                <w:tcPr>
                  <w:tcW w:w="801" w:type="dxa"/>
                  <w:vAlign w:val="center"/>
                </w:tcPr>
                <w:p w14:paraId="5450CF4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val="en-US" w:eastAsia="zh-CN"/>
                    </w:rPr>
                    <w:t>新</w:t>
                  </w:r>
                  <w:r>
                    <w:rPr>
                      <w:rFonts w:hint="eastAsia" w:ascii="Times New Roman" w:hAnsi="Times New Roman" w:cs="Times New Roman"/>
                      <w:color w:val="auto"/>
                      <w:spacing w:val="0"/>
                      <w:position w:val="0"/>
                      <w:sz w:val="21"/>
                      <w:szCs w:val="21"/>
                      <w:lang w:eastAsia="zh-CN"/>
                    </w:rPr>
                    <w:t>建</w:t>
                  </w:r>
                </w:p>
              </w:tc>
            </w:tr>
          </w:tbl>
          <w:p w14:paraId="062D3948">
            <w:pPr>
              <w:pStyle w:val="2"/>
              <w:keepNext w:val="0"/>
              <w:keepLines w:val="0"/>
              <w:pageBreakBefore w:val="0"/>
              <w:widowControl w:val="0"/>
              <w:numPr>
                <w:ilvl w:val="0"/>
                <w:numId w:val="0"/>
              </w:numPr>
              <w:kinsoku/>
              <w:wordWrap/>
              <w:overflowPunct/>
              <w:topLinePunct w:val="0"/>
              <w:autoSpaceDE/>
              <w:autoSpaceDN/>
              <w:bidi w:val="0"/>
              <w:adjustRightInd/>
              <w:snapToGrid/>
              <w:spacing w:after="0"/>
              <w:ind w:right="0" w:rightChars="0" w:firstLine="482" w:firstLineChars="200"/>
              <w:textAlignment w:val="auto"/>
              <w:rPr>
                <w:rFonts w:hint="eastAsia"/>
                <w:b/>
                <w:bCs/>
                <w:color w:val="auto"/>
                <w:sz w:val="24"/>
                <w:szCs w:val="24"/>
              </w:rPr>
            </w:pPr>
            <w:r>
              <w:rPr>
                <w:rFonts w:hint="eastAsia"/>
                <w:b/>
                <w:bCs w:val="0"/>
                <w:color w:val="auto"/>
                <w:kern w:val="0"/>
                <w:sz w:val="24"/>
                <w:szCs w:val="24"/>
                <w:highlight w:val="none"/>
                <w:lang w:val="en-US" w:eastAsia="zh-CN"/>
              </w:rPr>
              <w:t>3、</w:t>
            </w:r>
            <w:r>
              <w:rPr>
                <w:rFonts w:hint="eastAsia"/>
                <w:b/>
                <w:bCs/>
                <w:color w:val="auto"/>
                <w:sz w:val="24"/>
                <w:szCs w:val="24"/>
                <w:lang w:val="en-US" w:eastAsia="zh-CN"/>
              </w:rPr>
              <w:t>主要原辅材料</w:t>
            </w:r>
          </w:p>
          <w:p w14:paraId="14820DFD">
            <w:pPr>
              <w:pStyle w:val="141"/>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color w:val="auto"/>
                <w:spacing w:val="0"/>
                <w:sz w:val="24"/>
              </w:rPr>
            </w:pPr>
            <w:r>
              <w:rPr>
                <w:color w:val="auto"/>
                <w:spacing w:val="0"/>
                <w:sz w:val="24"/>
              </w:rPr>
              <w:t>项目药品用量、医疗消耗品及能源消耗情况见表</w:t>
            </w:r>
            <w:r>
              <w:rPr>
                <w:rFonts w:hint="default" w:ascii="Times New Roman" w:hAnsi="Times New Roman" w:cs="Times New Roman"/>
                <w:color w:val="auto"/>
                <w:spacing w:val="0"/>
                <w:sz w:val="24"/>
              </w:rPr>
              <w:t>2-</w:t>
            </w:r>
            <w:r>
              <w:rPr>
                <w:rFonts w:hint="eastAsia" w:ascii="Times New Roman" w:hAnsi="Times New Roman" w:cs="Times New Roman"/>
                <w:color w:val="auto"/>
                <w:spacing w:val="0"/>
                <w:sz w:val="24"/>
                <w:lang w:val="en-US" w:eastAsia="zh-CN"/>
              </w:rPr>
              <w:t>3</w:t>
            </w:r>
            <w:r>
              <w:rPr>
                <w:rFonts w:hint="default" w:ascii="Times New Roman" w:hAnsi="Times New Roman" w:cs="Times New Roman"/>
                <w:color w:val="auto"/>
                <w:spacing w:val="0"/>
                <w:sz w:val="24"/>
              </w:rPr>
              <w:t>。</w:t>
            </w:r>
          </w:p>
          <w:p w14:paraId="4C21E5C4">
            <w:pPr>
              <w:bidi w:val="0"/>
              <w:spacing w:line="240" w:lineRule="auto"/>
              <w:jc w:val="center"/>
              <w:rPr>
                <w:rFonts w:hint="default"/>
                <w:b/>
                <w:bCs/>
                <w:sz w:val="21"/>
                <w:szCs w:val="21"/>
                <w:lang w:val="en-US" w:eastAsia="zh-CN"/>
              </w:rPr>
            </w:pPr>
            <w:r>
              <w:rPr>
                <w:rFonts w:hint="default"/>
                <w:b/>
                <w:bCs/>
                <w:sz w:val="21"/>
                <w:szCs w:val="21"/>
                <w:lang w:val="en-US" w:eastAsia="zh-CN"/>
              </w:rPr>
              <w:t>表2-3项目主要原辅材料及能源消耗表</w:t>
            </w:r>
          </w:p>
          <w:tbl>
            <w:tblPr>
              <w:tblStyle w:val="142"/>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2"/>
              <w:gridCol w:w="884"/>
              <w:gridCol w:w="3196"/>
              <w:gridCol w:w="1061"/>
              <w:gridCol w:w="923"/>
              <w:gridCol w:w="1302"/>
            </w:tblGrid>
            <w:tr w14:paraId="0DE3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jc w:val="center"/>
              </w:trPr>
              <w:tc>
                <w:tcPr>
                  <w:tcW w:w="512" w:type="dxa"/>
                  <w:vAlign w:val="center"/>
                </w:tcPr>
                <w:p w14:paraId="06AB939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序号</w:t>
                  </w:r>
                </w:p>
              </w:tc>
              <w:tc>
                <w:tcPr>
                  <w:tcW w:w="884" w:type="dxa"/>
                  <w:vAlign w:val="center"/>
                </w:tcPr>
                <w:p w14:paraId="0BB9FFC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类别</w:t>
                  </w:r>
                </w:p>
              </w:tc>
              <w:tc>
                <w:tcPr>
                  <w:tcW w:w="3196" w:type="dxa"/>
                  <w:vAlign w:val="center"/>
                </w:tcPr>
                <w:p w14:paraId="6C6F68E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名称</w:t>
                  </w:r>
                </w:p>
              </w:tc>
              <w:tc>
                <w:tcPr>
                  <w:tcW w:w="1061" w:type="dxa"/>
                  <w:vAlign w:val="center"/>
                </w:tcPr>
                <w:p w14:paraId="64713CA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规格/单位</w:t>
                  </w:r>
                </w:p>
              </w:tc>
              <w:tc>
                <w:tcPr>
                  <w:tcW w:w="923" w:type="dxa"/>
                  <w:vAlign w:val="center"/>
                </w:tcPr>
                <w:p w14:paraId="3FBB5C5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年用量</w:t>
                  </w:r>
                  <w:r>
                    <w:rPr>
                      <w:rFonts w:hint="eastAsia" w:ascii="Times New Roman" w:hAnsi="Times New Roman" w:cs="Times New Roman"/>
                      <w:b/>
                      <w:bCs w:val="0"/>
                      <w:color w:val="auto"/>
                      <w:kern w:val="2"/>
                      <w:sz w:val="21"/>
                      <w:szCs w:val="21"/>
                      <w:lang w:val="en-US" w:eastAsia="zh-CN" w:bidi="ar-SA"/>
                    </w:rPr>
                    <w:t>/t</w:t>
                  </w:r>
                </w:p>
              </w:tc>
              <w:tc>
                <w:tcPr>
                  <w:tcW w:w="1302" w:type="dxa"/>
                  <w:vAlign w:val="center"/>
                </w:tcPr>
                <w:p w14:paraId="2CA22C0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bCs w:val="0"/>
                      <w:color w:val="auto"/>
                      <w:kern w:val="2"/>
                      <w:sz w:val="21"/>
                      <w:szCs w:val="21"/>
                      <w:lang w:val="en-US" w:eastAsia="zh-CN" w:bidi="ar-SA"/>
                    </w:rPr>
                    <w:t>最大储存量</w:t>
                  </w:r>
                  <w:r>
                    <w:rPr>
                      <w:rFonts w:hint="eastAsia" w:ascii="Times New Roman" w:hAnsi="Times New Roman" w:cs="Times New Roman"/>
                      <w:b/>
                      <w:bCs w:val="0"/>
                      <w:color w:val="auto"/>
                      <w:kern w:val="2"/>
                      <w:sz w:val="21"/>
                      <w:szCs w:val="21"/>
                      <w:lang w:val="en-US" w:eastAsia="zh-CN" w:bidi="ar-SA"/>
                    </w:rPr>
                    <w:t>/t</w:t>
                  </w:r>
                </w:p>
              </w:tc>
            </w:tr>
            <w:tr w14:paraId="56F1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74CC367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w:t>
                  </w:r>
                </w:p>
              </w:tc>
              <w:tc>
                <w:tcPr>
                  <w:tcW w:w="884" w:type="dxa"/>
                  <w:vMerge w:val="restart"/>
                  <w:vAlign w:val="center"/>
                </w:tcPr>
                <w:p w14:paraId="209BBC4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药品用量、医疗消耗品</w:t>
                  </w:r>
                </w:p>
              </w:tc>
              <w:tc>
                <w:tcPr>
                  <w:tcW w:w="3196" w:type="dxa"/>
                  <w:vAlign w:val="center"/>
                </w:tcPr>
                <w:p w14:paraId="2492208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玻璃酸钠滴眼液（海露）</w:t>
                  </w:r>
                </w:p>
              </w:tc>
              <w:tc>
                <w:tcPr>
                  <w:tcW w:w="1061" w:type="dxa"/>
                  <w:vAlign w:val="center"/>
                </w:tcPr>
                <w:p w14:paraId="1FD422B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4DBDF803">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69</w:t>
                  </w:r>
                </w:p>
              </w:tc>
              <w:tc>
                <w:tcPr>
                  <w:tcW w:w="1302" w:type="dxa"/>
                  <w:vAlign w:val="center"/>
                </w:tcPr>
                <w:p w14:paraId="141BBCE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20</w:t>
                  </w:r>
                </w:p>
              </w:tc>
            </w:tr>
            <w:tr w14:paraId="1196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3BFFE1D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2</w:t>
                  </w:r>
                </w:p>
              </w:tc>
              <w:tc>
                <w:tcPr>
                  <w:tcW w:w="884" w:type="dxa"/>
                  <w:vMerge w:val="continue"/>
                  <w:vAlign w:val="center"/>
                </w:tcPr>
                <w:p w14:paraId="06DA9F6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2EDF0FC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普拉洛芬滴眼液（普南扑灵）</w:t>
                  </w:r>
                </w:p>
              </w:tc>
              <w:tc>
                <w:tcPr>
                  <w:tcW w:w="1061" w:type="dxa"/>
                  <w:vAlign w:val="center"/>
                </w:tcPr>
                <w:p w14:paraId="36D3FCF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138850A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85</w:t>
                  </w:r>
                </w:p>
              </w:tc>
              <w:tc>
                <w:tcPr>
                  <w:tcW w:w="1302" w:type="dxa"/>
                  <w:vAlign w:val="center"/>
                </w:tcPr>
                <w:p w14:paraId="0C24F6DE">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r>
                    <w:rPr>
                      <w:rFonts w:hint="eastAsia" w:cs="Times New Roman"/>
                      <w:b w:val="0"/>
                      <w:bCs/>
                      <w:color w:val="auto"/>
                      <w:sz w:val="21"/>
                      <w:szCs w:val="21"/>
                      <w:lang w:val="en-US" w:eastAsia="zh-CN"/>
                    </w:rPr>
                    <w:t>5</w:t>
                  </w:r>
                </w:p>
              </w:tc>
            </w:tr>
            <w:tr w14:paraId="2D1C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512" w:type="dxa"/>
                  <w:vAlign w:val="center"/>
                </w:tcPr>
                <w:p w14:paraId="356517D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3</w:t>
                  </w:r>
                </w:p>
              </w:tc>
              <w:tc>
                <w:tcPr>
                  <w:tcW w:w="884" w:type="dxa"/>
                  <w:vMerge w:val="continue"/>
                  <w:vAlign w:val="center"/>
                </w:tcPr>
                <w:p w14:paraId="2896F4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23A3DAD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（施图伦）七叶洋地黄双苷滴眼液</w:t>
                  </w:r>
                </w:p>
              </w:tc>
              <w:tc>
                <w:tcPr>
                  <w:tcW w:w="1061" w:type="dxa"/>
                  <w:vAlign w:val="center"/>
                </w:tcPr>
                <w:p w14:paraId="4D63EDD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3D33DF1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73</w:t>
                  </w:r>
                </w:p>
              </w:tc>
              <w:tc>
                <w:tcPr>
                  <w:tcW w:w="1302" w:type="dxa"/>
                  <w:vAlign w:val="center"/>
                </w:tcPr>
                <w:p w14:paraId="0D63231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20</w:t>
                  </w:r>
                </w:p>
              </w:tc>
            </w:tr>
            <w:tr w14:paraId="618D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512" w:type="dxa"/>
                  <w:vAlign w:val="center"/>
                </w:tcPr>
                <w:p w14:paraId="6148BEA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4</w:t>
                  </w:r>
                </w:p>
              </w:tc>
              <w:tc>
                <w:tcPr>
                  <w:tcW w:w="884" w:type="dxa"/>
                  <w:vMerge w:val="continue"/>
                  <w:vAlign w:val="center"/>
                </w:tcPr>
                <w:p w14:paraId="7AE1FE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5D866CF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小牛血去蛋白提取物眼用凝胶</w:t>
                  </w:r>
                </w:p>
              </w:tc>
              <w:tc>
                <w:tcPr>
                  <w:tcW w:w="1061" w:type="dxa"/>
                  <w:vAlign w:val="center"/>
                </w:tcPr>
                <w:p w14:paraId="203A9E2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45E2027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161</w:t>
                  </w:r>
                </w:p>
              </w:tc>
              <w:tc>
                <w:tcPr>
                  <w:tcW w:w="1302" w:type="dxa"/>
                  <w:vAlign w:val="center"/>
                </w:tcPr>
                <w:p w14:paraId="3B9CCA6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r>
                    <w:rPr>
                      <w:rFonts w:hint="eastAsia" w:cs="Times New Roman"/>
                      <w:b w:val="0"/>
                      <w:bCs/>
                      <w:color w:val="auto"/>
                      <w:sz w:val="21"/>
                      <w:szCs w:val="21"/>
                      <w:lang w:val="en-US" w:eastAsia="zh-CN"/>
                    </w:rPr>
                    <w:t>5</w:t>
                  </w:r>
                </w:p>
              </w:tc>
            </w:tr>
            <w:tr w14:paraId="4FF4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512" w:type="dxa"/>
                  <w:vAlign w:val="center"/>
                </w:tcPr>
                <w:p w14:paraId="0DACED6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5</w:t>
                  </w:r>
                </w:p>
              </w:tc>
              <w:tc>
                <w:tcPr>
                  <w:tcW w:w="884" w:type="dxa"/>
                  <w:vMerge w:val="continue"/>
                  <w:vAlign w:val="center"/>
                </w:tcPr>
                <w:p w14:paraId="489F76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3F95CEC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复方托吡卡胺滴眼液（卓比安）</w:t>
                  </w:r>
                </w:p>
              </w:tc>
              <w:tc>
                <w:tcPr>
                  <w:tcW w:w="1061" w:type="dxa"/>
                  <w:vAlign w:val="center"/>
                </w:tcPr>
                <w:p w14:paraId="5232B9D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526FB3C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176</w:t>
                  </w:r>
                </w:p>
              </w:tc>
              <w:tc>
                <w:tcPr>
                  <w:tcW w:w="1302" w:type="dxa"/>
                  <w:vAlign w:val="center"/>
                </w:tcPr>
                <w:p w14:paraId="5D7A91F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55</w:t>
                  </w:r>
                </w:p>
              </w:tc>
            </w:tr>
            <w:tr w14:paraId="66CD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315F9E9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6</w:t>
                  </w:r>
                </w:p>
              </w:tc>
              <w:tc>
                <w:tcPr>
                  <w:tcW w:w="884" w:type="dxa"/>
                  <w:vMerge w:val="continue"/>
                  <w:vAlign w:val="center"/>
                </w:tcPr>
                <w:p w14:paraId="48017F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142393A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玻璃酸钠滴眼液（爱丽 0.3%</w:t>
                  </w:r>
                  <w:r>
                    <w:rPr>
                      <w:rFonts w:hint="eastAsia" w:ascii="Times New Roman" w:hAnsi="Times New Roman" w:cs="Times New Roman"/>
                      <w:b w:val="0"/>
                      <w:bCs/>
                      <w:color w:val="auto"/>
                      <w:spacing w:val="0"/>
                      <w:position w:val="0"/>
                      <w:sz w:val="21"/>
                      <w:szCs w:val="21"/>
                      <w:lang w:eastAsia="zh-CN"/>
                    </w:rPr>
                    <w:t>）</w:t>
                  </w:r>
                </w:p>
              </w:tc>
              <w:tc>
                <w:tcPr>
                  <w:tcW w:w="1061" w:type="dxa"/>
                  <w:vAlign w:val="center"/>
                </w:tcPr>
                <w:p w14:paraId="6BB7D25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0EB9F768">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242</w:t>
                  </w:r>
                </w:p>
              </w:tc>
              <w:tc>
                <w:tcPr>
                  <w:tcW w:w="1302" w:type="dxa"/>
                  <w:vAlign w:val="center"/>
                </w:tcPr>
                <w:p w14:paraId="60F2667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w:t>
                  </w:r>
                  <w:r>
                    <w:rPr>
                      <w:rFonts w:hint="eastAsia" w:cs="Times New Roman"/>
                      <w:b w:val="0"/>
                      <w:bCs/>
                      <w:color w:val="auto"/>
                      <w:sz w:val="21"/>
                      <w:szCs w:val="21"/>
                      <w:lang w:val="en-US" w:eastAsia="zh-CN"/>
                    </w:rPr>
                    <w:t>5</w:t>
                  </w:r>
                </w:p>
              </w:tc>
            </w:tr>
            <w:tr w14:paraId="41B8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1A8C59D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7</w:t>
                  </w:r>
                </w:p>
              </w:tc>
              <w:tc>
                <w:tcPr>
                  <w:tcW w:w="884" w:type="dxa"/>
                  <w:vMerge w:val="continue"/>
                  <w:vAlign w:val="center"/>
                </w:tcPr>
                <w:p w14:paraId="043E0E2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142B336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左氧氟沙星滴眼液（可乐必妥）</w:t>
                  </w:r>
                </w:p>
              </w:tc>
              <w:tc>
                <w:tcPr>
                  <w:tcW w:w="1061" w:type="dxa"/>
                  <w:vAlign w:val="center"/>
                </w:tcPr>
                <w:p w14:paraId="6895DBA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32BBCE7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168</w:t>
                  </w:r>
                </w:p>
              </w:tc>
              <w:tc>
                <w:tcPr>
                  <w:tcW w:w="1302" w:type="dxa"/>
                  <w:vAlign w:val="center"/>
                </w:tcPr>
                <w:p w14:paraId="6B851AF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r>
                    <w:rPr>
                      <w:rFonts w:hint="eastAsia" w:cs="Times New Roman"/>
                      <w:b w:val="0"/>
                      <w:bCs/>
                      <w:color w:val="auto"/>
                      <w:sz w:val="21"/>
                      <w:szCs w:val="21"/>
                      <w:lang w:val="en-US" w:eastAsia="zh-CN"/>
                    </w:rPr>
                    <w:t>5</w:t>
                  </w:r>
                </w:p>
              </w:tc>
            </w:tr>
            <w:tr w14:paraId="5D4A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545AD9E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8</w:t>
                  </w:r>
                </w:p>
              </w:tc>
              <w:tc>
                <w:tcPr>
                  <w:tcW w:w="884" w:type="dxa"/>
                  <w:vMerge w:val="continue"/>
                  <w:vAlign w:val="center"/>
                </w:tcPr>
                <w:p w14:paraId="0FC784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2C384AE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氟米龙滴眼液（氟美童）</w:t>
                  </w:r>
                </w:p>
              </w:tc>
              <w:tc>
                <w:tcPr>
                  <w:tcW w:w="1061" w:type="dxa"/>
                  <w:vAlign w:val="center"/>
                </w:tcPr>
                <w:p w14:paraId="3548A4C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76683FA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176</w:t>
                  </w:r>
                </w:p>
              </w:tc>
              <w:tc>
                <w:tcPr>
                  <w:tcW w:w="1302" w:type="dxa"/>
                  <w:vAlign w:val="center"/>
                </w:tcPr>
                <w:p w14:paraId="2428B6DE">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r>
                    <w:rPr>
                      <w:rFonts w:hint="eastAsia" w:cs="Times New Roman"/>
                      <w:b w:val="0"/>
                      <w:bCs/>
                      <w:color w:val="auto"/>
                      <w:sz w:val="21"/>
                      <w:szCs w:val="21"/>
                      <w:lang w:val="en-US" w:eastAsia="zh-CN"/>
                    </w:rPr>
                    <w:t>5</w:t>
                  </w:r>
                </w:p>
              </w:tc>
            </w:tr>
            <w:tr w14:paraId="3823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45A692D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9</w:t>
                  </w:r>
                </w:p>
              </w:tc>
              <w:tc>
                <w:tcPr>
                  <w:tcW w:w="884" w:type="dxa"/>
                  <w:vMerge w:val="continue"/>
                  <w:vAlign w:val="center"/>
                </w:tcPr>
                <w:p w14:paraId="502B4CB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668981A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（爱丽0.1%</w:t>
                  </w:r>
                  <w:r>
                    <w:rPr>
                      <w:rFonts w:hint="eastAsia" w:ascii="Times New Roman" w:hAnsi="Times New Roman" w:cs="Times New Roman"/>
                      <w:b w:val="0"/>
                      <w:bCs/>
                      <w:color w:val="auto"/>
                      <w:spacing w:val="0"/>
                      <w:position w:val="0"/>
                      <w:sz w:val="21"/>
                      <w:szCs w:val="21"/>
                      <w:lang w:eastAsia="zh-CN"/>
                    </w:rPr>
                    <w:t>）</w:t>
                  </w:r>
                  <w:r>
                    <w:rPr>
                      <w:rFonts w:hint="default" w:ascii="Times New Roman" w:hAnsi="Times New Roman" w:eastAsia="宋体" w:cs="Times New Roman"/>
                      <w:b w:val="0"/>
                      <w:bCs/>
                      <w:color w:val="auto"/>
                      <w:spacing w:val="0"/>
                      <w:position w:val="0"/>
                      <w:sz w:val="21"/>
                      <w:szCs w:val="21"/>
                    </w:rPr>
                    <w:t>玻璃酸钠滴眼液</w:t>
                  </w:r>
                </w:p>
              </w:tc>
              <w:tc>
                <w:tcPr>
                  <w:tcW w:w="1061" w:type="dxa"/>
                  <w:vAlign w:val="center"/>
                </w:tcPr>
                <w:p w14:paraId="7205637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4EFF829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167</w:t>
                  </w:r>
                </w:p>
              </w:tc>
              <w:tc>
                <w:tcPr>
                  <w:tcW w:w="1302" w:type="dxa"/>
                  <w:vAlign w:val="center"/>
                </w:tcPr>
                <w:p w14:paraId="341AD07E">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w:t>
                  </w:r>
                  <w:r>
                    <w:rPr>
                      <w:rFonts w:hint="eastAsia" w:cs="Times New Roman"/>
                      <w:b w:val="0"/>
                      <w:bCs/>
                      <w:color w:val="auto"/>
                      <w:sz w:val="21"/>
                      <w:szCs w:val="21"/>
                      <w:lang w:val="en-US" w:eastAsia="zh-CN"/>
                    </w:rPr>
                    <w:t>5</w:t>
                  </w:r>
                </w:p>
              </w:tc>
            </w:tr>
            <w:tr w14:paraId="78D4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512" w:type="dxa"/>
                  <w:vAlign w:val="center"/>
                </w:tcPr>
                <w:p w14:paraId="01A07D0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10</w:t>
                  </w:r>
                </w:p>
              </w:tc>
              <w:tc>
                <w:tcPr>
                  <w:tcW w:w="884" w:type="dxa"/>
                  <w:vMerge w:val="continue"/>
                  <w:vAlign w:val="center"/>
                </w:tcPr>
                <w:p w14:paraId="6825AF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6DD2625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（海伦）盐酸左氧氟沙星滴眼液</w:t>
                  </w:r>
                </w:p>
              </w:tc>
              <w:tc>
                <w:tcPr>
                  <w:tcW w:w="1061" w:type="dxa"/>
                  <w:vAlign w:val="center"/>
                </w:tcPr>
                <w:p w14:paraId="7741B4C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4E8A7A57">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312</w:t>
                  </w:r>
                </w:p>
              </w:tc>
              <w:tc>
                <w:tcPr>
                  <w:tcW w:w="1302" w:type="dxa"/>
                  <w:vAlign w:val="center"/>
                </w:tcPr>
                <w:p w14:paraId="7AABEEB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w:t>
                  </w:r>
                  <w:r>
                    <w:rPr>
                      <w:rFonts w:hint="eastAsia" w:cs="Times New Roman"/>
                      <w:b w:val="0"/>
                      <w:bCs/>
                      <w:color w:val="auto"/>
                      <w:sz w:val="21"/>
                      <w:szCs w:val="21"/>
                      <w:lang w:val="en-US" w:eastAsia="zh-CN"/>
                    </w:rPr>
                    <w:t>5</w:t>
                  </w:r>
                </w:p>
              </w:tc>
            </w:tr>
            <w:tr w14:paraId="7267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20E1C55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11</w:t>
                  </w:r>
                </w:p>
              </w:tc>
              <w:tc>
                <w:tcPr>
                  <w:tcW w:w="884" w:type="dxa"/>
                  <w:vMerge w:val="continue"/>
                  <w:vAlign w:val="center"/>
                </w:tcPr>
                <w:p w14:paraId="46C1EC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26C8B35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卡波姆眼用凝胶</w:t>
                  </w:r>
                </w:p>
              </w:tc>
              <w:tc>
                <w:tcPr>
                  <w:tcW w:w="1061" w:type="dxa"/>
                  <w:vAlign w:val="center"/>
                </w:tcPr>
                <w:p w14:paraId="21A10B9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3BC67DF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189</w:t>
                  </w:r>
                </w:p>
              </w:tc>
              <w:tc>
                <w:tcPr>
                  <w:tcW w:w="1302" w:type="dxa"/>
                  <w:vAlign w:val="center"/>
                </w:tcPr>
                <w:p w14:paraId="0F615D1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55</w:t>
                  </w:r>
                </w:p>
              </w:tc>
            </w:tr>
            <w:tr w14:paraId="0C35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512" w:type="dxa"/>
                  <w:vAlign w:val="center"/>
                </w:tcPr>
                <w:p w14:paraId="7A73A40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12</w:t>
                  </w:r>
                </w:p>
              </w:tc>
              <w:tc>
                <w:tcPr>
                  <w:tcW w:w="884" w:type="dxa"/>
                  <w:vMerge w:val="continue"/>
                  <w:vAlign w:val="center"/>
                </w:tcPr>
                <w:p w14:paraId="2CF0A4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4B36994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布林佐胺噻吗洛尔滴眼液</w:t>
                  </w:r>
                  <w:r>
                    <w:rPr>
                      <w:rFonts w:hint="eastAsia" w:ascii="Times New Roman" w:hAnsi="Times New Roman" w:cs="Times New Roman"/>
                      <w:b w:val="0"/>
                      <w:bCs/>
                      <w:color w:val="auto"/>
                      <w:spacing w:val="0"/>
                      <w:position w:val="0"/>
                      <w:sz w:val="21"/>
                      <w:szCs w:val="21"/>
                      <w:lang w:eastAsia="zh-CN"/>
                    </w:rPr>
                    <w:t>（</w:t>
                  </w:r>
                  <w:r>
                    <w:rPr>
                      <w:rFonts w:hint="default" w:ascii="Times New Roman" w:hAnsi="Times New Roman" w:eastAsia="宋体" w:cs="Times New Roman"/>
                      <w:b w:val="0"/>
                      <w:bCs/>
                      <w:color w:val="auto"/>
                      <w:spacing w:val="0"/>
                      <w:position w:val="0"/>
                      <w:sz w:val="21"/>
                      <w:szCs w:val="21"/>
                    </w:rPr>
                    <w:t>派立噻</w:t>
                  </w:r>
                  <w:r>
                    <w:rPr>
                      <w:rFonts w:hint="eastAsia" w:ascii="Times New Roman" w:hAnsi="Times New Roman" w:cs="Times New Roman"/>
                      <w:b w:val="0"/>
                      <w:bCs/>
                      <w:color w:val="auto"/>
                      <w:spacing w:val="0"/>
                      <w:position w:val="0"/>
                      <w:sz w:val="21"/>
                      <w:szCs w:val="21"/>
                      <w:lang w:eastAsia="zh-CN"/>
                    </w:rPr>
                    <w:t>）</w:t>
                  </w:r>
                </w:p>
              </w:tc>
              <w:tc>
                <w:tcPr>
                  <w:tcW w:w="1061" w:type="dxa"/>
                  <w:vAlign w:val="center"/>
                </w:tcPr>
                <w:p w14:paraId="7FF6063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4AE78D8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83</w:t>
                  </w:r>
                </w:p>
              </w:tc>
              <w:tc>
                <w:tcPr>
                  <w:tcW w:w="1302" w:type="dxa"/>
                  <w:vAlign w:val="center"/>
                </w:tcPr>
                <w:p w14:paraId="5E9C2BA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20</w:t>
                  </w:r>
                </w:p>
              </w:tc>
            </w:tr>
            <w:tr w14:paraId="740C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650C1D8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13</w:t>
                  </w:r>
                </w:p>
              </w:tc>
              <w:tc>
                <w:tcPr>
                  <w:tcW w:w="884" w:type="dxa"/>
                  <w:vMerge w:val="continue"/>
                  <w:vAlign w:val="center"/>
                </w:tcPr>
                <w:p w14:paraId="2759286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6D5AC78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聚乙二醇滴眼液（思然）</w:t>
                  </w:r>
                </w:p>
              </w:tc>
              <w:tc>
                <w:tcPr>
                  <w:tcW w:w="1061" w:type="dxa"/>
                  <w:vAlign w:val="center"/>
                </w:tcPr>
                <w:p w14:paraId="7CEC79B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6BBF544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69</w:t>
                  </w:r>
                </w:p>
              </w:tc>
              <w:tc>
                <w:tcPr>
                  <w:tcW w:w="1302" w:type="dxa"/>
                  <w:vAlign w:val="center"/>
                </w:tcPr>
                <w:p w14:paraId="5FB92AB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20</w:t>
                  </w:r>
                </w:p>
              </w:tc>
            </w:tr>
            <w:tr w14:paraId="1592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512" w:type="dxa"/>
                  <w:vAlign w:val="center"/>
                </w:tcPr>
                <w:p w14:paraId="1C83D31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14</w:t>
                  </w:r>
                </w:p>
              </w:tc>
              <w:tc>
                <w:tcPr>
                  <w:tcW w:w="884" w:type="dxa"/>
                  <w:vMerge w:val="continue"/>
                  <w:vAlign w:val="center"/>
                </w:tcPr>
                <w:p w14:paraId="70C6B6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272F7C0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盐酸奥洛他定滴眼液（帕坦洛）</w:t>
                  </w:r>
                </w:p>
              </w:tc>
              <w:tc>
                <w:tcPr>
                  <w:tcW w:w="1061" w:type="dxa"/>
                  <w:vAlign w:val="center"/>
                </w:tcPr>
                <w:p w14:paraId="624CA9C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25EB7C8E">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80</w:t>
                  </w:r>
                </w:p>
              </w:tc>
              <w:tc>
                <w:tcPr>
                  <w:tcW w:w="1302" w:type="dxa"/>
                  <w:vAlign w:val="center"/>
                </w:tcPr>
                <w:p w14:paraId="0264BD78">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20</w:t>
                  </w:r>
                </w:p>
              </w:tc>
            </w:tr>
            <w:tr w14:paraId="0DF2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4450D57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15</w:t>
                  </w:r>
                </w:p>
              </w:tc>
              <w:tc>
                <w:tcPr>
                  <w:tcW w:w="884" w:type="dxa"/>
                  <w:vMerge w:val="continue"/>
                  <w:vAlign w:val="center"/>
                </w:tcPr>
                <w:p w14:paraId="02DB0B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2135B5F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维生素 B12 滴眼液</w:t>
                  </w:r>
                </w:p>
              </w:tc>
              <w:tc>
                <w:tcPr>
                  <w:tcW w:w="1061" w:type="dxa"/>
                  <w:vAlign w:val="center"/>
                </w:tcPr>
                <w:p w14:paraId="1893D82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7B811D6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109</w:t>
                  </w:r>
                </w:p>
              </w:tc>
              <w:tc>
                <w:tcPr>
                  <w:tcW w:w="1302" w:type="dxa"/>
                  <w:vAlign w:val="center"/>
                </w:tcPr>
                <w:p w14:paraId="4341A438">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20</w:t>
                  </w:r>
                </w:p>
              </w:tc>
            </w:tr>
            <w:tr w14:paraId="36BE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662A105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16</w:t>
                  </w:r>
                </w:p>
              </w:tc>
              <w:tc>
                <w:tcPr>
                  <w:tcW w:w="884" w:type="dxa"/>
                  <w:vMerge w:val="continue"/>
                  <w:vAlign w:val="center"/>
                </w:tcPr>
                <w:p w14:paraId="1E73E0A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1969989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他氟前列素滴眼液</w:t>
                  </w:r>
                </w:p>
              </w:tc>
              <w:tc>
                <w:tcPr>
                  <w:tcW w:w="1061" w:type="dxa"/>
                  <w:vAlign w:val="center"/>
                </w:tcPr>
                <w:p w14:paraId="35F9D4F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2BEA670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69</w:t>
                  </w:r>
                </w:p>
              </w:tc>
              <w:tc>
                <w:tcPr>
                  <w:tcW w:w="1302" w:type="dxa"/>
                  <w:vAlign w:val="center"/>
                </w:tcPr>
                <w:p w14:paraId="3326AB2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r>
                    <w:rPr>
                      <w:rFonts w:hint="eastAsia" w:cs="Times New Roman"/>
                      <w:b w:val="0"/>
                      <w:bCs/>
                      <w:color w:val="auto"/>
                      <w:sz w:val="21"/>
                      <w:szCs w:val="21"/>
                      <w:lang w:val="en-US" w:eastAsia="zh-CN"/>
                    </w:rPr>
                    <w:t>0</w:t>
                  </w:r>
                </w:p>
              </w:tc>
            </w:tr>
            <w:tr w14:paraId="66C1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5F40BF2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17</w:t>
                  </w:r>
                </w:p>
              </w:tc>
              <w:tc>
                <w:tcPr>
                  <w:tcW w:w="884" w:type="dxa"/>
                  <w:vMerge w:val="continue"/>
                  <w:vAlign w:val="center"/>
                </w:tcPr>
                <w:p w14:paraId="5990E1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08E08CE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和血明目片</w:t>
                  </w:r>
                </w:p>
              </w:tc>
              <w:tc>
                <w:tcPr>
                  <w:tcW w:w="1061" w:type="dxa"/>
                  <w:vAlign w:val="center"/>
                </w:tcPr>
                <w:p w14:paraId="6E371A7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5618F4C8">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133</w:t>
                  </w:r>
                </w:p>
              </w:tc>
              <w:tc>
                <w:tcPr>
                  <w:tcW w:w="1302" w:type="dxa"/>
                  <w:vAlign w:val="center"/>
                </w:tcPr>
                <w:p w14:paraId="71EFF56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55</w:t>
                  </w:r>
                </w:p>
              </w:tc>
            </w:tr>
            <w:tr w14:paraId="321B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7343C3F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18</w:t>
                  </w:r>
                </w:p>
              </w:tc>
              <w:tc>
                <w:tcPr>
                  <w:tcW w:w="884" w:type="dxa"/>
                  <w:vMerge w:val="continue"/>
                  <w:vAlign w:val="center"/>
                </w:tcPr>
                <w:p w14:paraId="2852B2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43F01AD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软性亲水接触镜（绷带镜）</w:t>
                  </w:r>
                </w:p>
              </w:tc>
              <w:tc>
                <w:tcPr>
                  <w:tcW w:w="1061" w:type="dxa"/>
                  <w:vAlign w:val="center"/>
                </w:tcPr>
                <w:p w14:paraId="6F0936D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盒</w:t>
                  </w:r>
                </w:p>
              </w:tc>
              <w:tc>
                <w:tcPr>
                  <w:tcW w:w="923" w:type="dxa"/>
                  <w:vAlign w:val="center"/>
                </w:tcPr>
                <w:p w14:paraId="650B1AB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31</w:t>
                  </w:r>
                </w:p>
              </w:tc>
              <w:tc>
                <w:tcPr>
                  <w:tcW w:w="1302" w:type="dxa"/>
                  <w:vAlign w:val="center"/>
                </w:tcPr>
                <w:p w14:paraId="7BA6E64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r>
                    <w:rPr>
                      <w:rFonts w:hint="eastAsia" w:cs="Times New Roman"/>
                      <w:b w:val="0"/>
                      <w:bCs/>
                      <w:color w:val="auto"/>
                      <w:sz w:val="21"/>
                      <w:szCs w:val="21"/>
                      <w:lang w:val="en-US" w:eastAsia="zh-CN"/>
                    </w:rPr>
                    <w:t>0</w:t>
                  </w:r>
                </w:p>
              </w:tc>
            </w:tr>
            <w:tr w14:paraId="7827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3D5E01A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19</w:t>
                  </w:r>
                </w:p>
              </w:tc>
              <w:tc>
                <w:tcPr>
                  <w:tcW w:w="884" w:type="dxa"/>
                  <w:vMerge w:val="continue"/>
                  <w:vAlign w:val="center"/>
                </w:tcPr>
                <w:p w14:paraId="56046F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24024F3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洗手液</w:t>
                  </w:r>
                </w:p>
              </w:tc>
              <w:tc>
                <w:tcPr>
                  <w:tcW w:w="1061" w:type="dxa"/>
                  <w:vAlign w:val="center"/>
                </w:tcPr>
                <w:p w14:paraId="2A99ABD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瓶</w:t>
                  </w:r>
                </w:p>
              </w:tc>
              <w:tc>
                <w:tcPr>
                  <w:tcW w:w="923" w:type="dxa"/>
                  <w:vAlign w:val="center"/>
                </w:tcPr>
                <w:p w14:paraId="3B34659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19</w:t>
                  </w:r>
                </w:p>
              </w:tc>
              <w:tc>
                <w:tcPr>
                  <w:tcW w:w="1302" w:type="dxa"/>
                  <w:vAlign w:val="center"/>
                </w:tcPr>
                <w:p w14:paraId="3E235C0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r>
                    <w:rPr>
                      <w:rFonts w:hint="eastAsia" w:cs="Times New Roman"/>
                      <w:b w:val="0"/>
                      <w:bCs/>
                      <w:color w:val="auto"/>
                      <w:sz w:val="21"/>
                      <w:szCs w:val="21"/>
                      <w:lang w:val="en-US" w:eastAsia="zh-CN"/>
                    </w:rPr>
                    <w:t>0</w:t>
                  </w:r>
                </w:p>
              </w:tc>
            </w:tr>
            <w:tr w14:paraId="0D80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16839FD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20</w:t>
                  </w:r>
                </w:p>
              </w:tc>
              <w:tc>
                <w:tcPr>
                  <w:tcW w:w="884" w:type="dxa"/>
                  <w:vMerge w:val="continue"/>
                  <w:vAlign w:val="center"/>
                </w:tcPr>
                <w:p w14:paraId="027794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5B17B53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75%酒精</w:t>
                  </w:r>
                </w:p>
              </w:tc>
              <w:tc>
                <w:tcPr>
                  <w:tcW w:w="1061" w:type="dxa"/>
                  <w:vAlign w:val="center"/>
                </w:tcPr>
                <w:p w14:paraId="121747E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500ml/瓶</w:t>
                  </w:r>
                </w:p>
              </w:tc>
              <w:tc>
                <w:tcPr>
                  <w:tcW w:w="923" w:type="dxa"/>
                  <w:vAlign w:val="center"/>
                </w:tcPr>
                <w:p w14:paraId="4FBE861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24</w:t>
                  </w:r>
                </w:p>
              </w:tc>
              <w:tc>
                <w:tcPr>
                  <w:tcW w:w="1302" w:type="dxa"/>
                  <w:vAlign w:val="center"/>
                </w:tcPr>
                <w:p w14:paraId="5EE7FE6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w:t>
                  </w:r>
                </w:p>
              </w:tc>
            </w:tr>
            <w:tr w14:paraId="709C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512" w:type="dxa"/>
                  <w:vAlign w:val="center"/>
                </w:tcPr>
                <w:p w14:paraId="0D9E17E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21</w:t>
                  </w:r>
                </w:p>
              </w:tc>
              <w:tc>
                <w:tcPr>
                  <w:tcW w:w="884" w:type="dxa"/>
                  <w:vMerge w:val="continue"/>
                  <w:vAlign w:val="center"/>
                </w:tcPr>
                <w:p w14:paraId="5787AC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40C4A8F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一次性使用灭菌橡胶外科手套</w:t>
                  </w:r>
                </w:p>
              </w:tc>
              <w:tc>
                <w:tcPr>
                  <w:tcW w:w="1061" w:type="dxa"/>
                  <w:vAlign w:val="center"/>
                </w:tcPr>
                <w:p w14:paraId="14A3576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50副/盒</w:t>
                  </w:r>
                </w:p>
              </w:tc>
              <w:tc>
                <w:tcPr>
                  <w:tcW w:w="923" w:type="dxa"/>
                  <w:vAlign w:val="center"/>
                </w:tcPr>
                <w:p w14:paraId="7E2E118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33</w:t>
                  </w:r>
                </w:p>
              </w:tc>
              <w:tc>
                <w:tcPr>
                  <w:tcW w:w="1302" w:type="dxa"/>
                  <w:vAlign w:val="center"/>
                </w:tcPr>
                <w:p w14:paraId="02653AC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33</w:t>
                  </w:r>
                </w:p>
              </w:tc>
            </w:tr>
            <w:tr w14:paraId="6A60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3559F99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22</w:t>
                  </w:r>
                </w:p>
              </w:tc>
              <w:tc>
                <w:tcPr>
                  <w:tcW w:w="884" w:type="dxa"/>
                  <w:vMerge w:val="continue"/>
                  <w:vAlign w:val="center"/>
                </w:tcPr>
                <w:p w14:paraId="1699C9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67B2FAC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一次性使用配药针</w:t>
                  </w:r>
                </w:p>
              </w:tc>
              <w:tc>
                <w:tcPr>
                  <w:tcW w:w="1061" w:type="dxa"/>
                  <w:vAlign w:val="center"/>
                </w:tcPr>
                <w:p w14:paraId="4D5235D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100支/盒</w:t>
                  </w:r>
                </w:p>
              </w:tc>
              <w:tc>
                <w:tcPr>
                  <w:tcW w:w="923" w:type="dxa"/>
                  <w:vAlign w:val="center"/>
                </w:tcPr>
                <w:p w14:paraId="586E34A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w:t>
                  </w:r>
                </w:p>
              </w:tc>
              <w:tc>
                <w:tcPr>
                  <w:tcW w:w="1302" w:type="dxa"/>
                  <w:vAlign w:val="center"/>
                </w:tcPr>
                <w:p w14:paraId="5C480138">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w:t>
                  </w:r>
                </w:p>
              </w:tc>
            </w:tr>
            <w:tr w14:paraId="1D78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375FDDF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23</w:t>
                  </w:r>
                </w:p>
              </w:tc>
              <w:tc>
                <w:tcPr>
                  <w:tcW w:w="884" w:type="dxa"/>
                  <w:vMerge w:val="continue"/>
                  <w:vAlign w:val="center"/>
                </w:tcPr>
                <w:p w14:paraId="49DCFC3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6CDB288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多酶清洗液</w:t>
                  </w:r>
                </w:p>
              </w:tc>
              <w:tc>
                <w:tcPr>
                  <w:tcW w:w="1061" w:type="dxa"/>
                  <w:vAlign w:val="center"/>
                </w:tcPr>
                <w:p w14:paraId="594C3FF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600ml/瓶</w:t>
                  </w:r>
                </w:p>
              </w:tc>
              <w:tc>
                <w:tcPr>
                  <w:tcW w:w="923" w:type="dxa"/>
                  <w:vAlign w:val="center"/>
                </w:tcPr>
                <w:p w14:paraId="0F79073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w:t>
                  </w:r>
                </w:p>
              </w:tc>
              <w:tc>
                <w:tcPr>
                  <w:tcW w:w="1302" w:type="dxa"/>
                  <w:vAlign w:val="center"/>
                </w:tcPr>
                <w:p w14:paraId="33CC172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w:t>
                  </w:r>
                </w:p>
              </w:tc>
            </w:tr>
            <w:tr w14:paraId="6012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2946986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24</w:t>
                  </w:r>
                </w:p>
              </w:tc>
              <w:tc>
                <w:tcPr>
                  <w:tcW w:w="884" w:type="dxa"/>
                  <w:vMerge w:val="continue"/>
                  <w:vAlign w:val="center"/>
                </w:tcPr>
                <w:p w14:paraId="15B4047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3E3C5C4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一次性使用静脉采血针</w:t>
                  </w:r>
                </w:p>
              </w:tc>
              <w:tc>
                <w:tcPr>
                  <w:tcW w:w="1061" w:type="dxa"/>
                  <w:vAlign w:val="center"/>
                </w:tcPr>
                <w:p w14:paraId="63B0EAC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100支/包</w:t>
                  </w:r>
                </w:p>
              </w:tc>
              <w:tc>
                <w:tcPr>
                  <w:tcW w:w="923" w:type="dxa"/>
                  <w:vAlign w:val="center"/>
                </w:tcPr>
                <w:p w14:paraId="0CFE9A2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w:t>
                  </w:r>
                </w:p>
              </w:tc>
              <w:tc>
                <w:tcPr>
                  <w:tcW w:w="1302" w:type="dxa"/>
                  <w:vAlign w:val="center"/>
                </w:tcPr>
                <w:p w14:paraId="73A669F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w:t>
                  </w:r>
                </w:p>
              </w:tc>
            </w:tr>
            <w:tr w14:paraId="0109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1F5F18C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25</w:t>
                  </w:r>
                </w:p>
              </w:tc>
              <w:tc>
                <w:tcPr>
                  <w:tcW w:w="884" w:type="dxa"/>
                  <w:vMerge w:val="continue"/>
                  <w:vAlign w:val="center"/>
                </w:tcPr>
                <w:p w14:paraId="76A4E12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4937626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一次性使用输液器带针</w:t>
                  </w:r>
                </w:p>
              </w:tc>
              <w:tc>
                <w:tcPr>
                  <w:tcW w:w="1061" w:type="dxa"/>
                  <w:vAlign w:val="center"/>
                </w:tcPr>
                <w:p w14:paraId="0E8BAB5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25支/包</w:t>
                  </w:r>
                </w:p>
              </w:tc>
              <w:tc>
                <w:tcPr>
                  <w:tcW w:w="923" w:type="dxa"/>
                  <w:vAlign w:val="center"/>
                </w:tcPr>
                <w:p w14:paraId="1B45E6A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w:t>
                  </w:r>
                </w:p>
              </w:tc>
              <w:tc>
                <w:tcPr>
                  <w:tcW w:w="1302" w:type="dxa"/>
                  <w:vAlign w:val="center"/>
                </w:tcPr>
                <w:p w14:paraId="1E8E3DC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8</w:t>
                  </w:r>
                </w:p>
              </w:tc>
            </w:tr>
            <w:tr w14:paraId="1D4A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5E29580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26</w:t>
                  </w:r>
                </w:p>
              </w:tc>
              <w:tc>
                <w:tcPr>
                  <w:tcW w:w="884" w:type="dxa"/>
                  <w:vMerge w:val="continue"/>
                  <w:vAlign w:val="center"/>
                </w:tcPr>
                <w:p w14:paraId="4A3D25C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1D11179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一次性使用静脉输液针</w:t>
                  </w:r>
                </w:p>
              </w:tc>
              <w:tc>
                <w:tcPr>
                  <w:tcW w:w="1061" w:type="dxa"/>
                  <w:vAlign w:val="center"/>
                </w:tcPr>
                <w:p w14:paraId="1F05E15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100支/包</w:t>
                  </w:r>
                </w:p>
              </w:tc>
              <w:tc>
                <w:tcPr>
                  <w:tcW w:w="923" w:type="dxa"/>
                  <w:vAlign w:val="center"/>
                </w:tcPr>
                <w:p w14:paraId="09945D3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w:t>
                  </w:r>
                </w:p>
              </w:tc>
              <w:tc>
                <w:tcPr>
                  <w:tcW w:w="1302" w:type="dxa"/>
                  <w:vAlign w:val="center"/>
                </w:tcPr>
                <w:p w14:paraId="43AB1DC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w:t>
                  </w:r>
                </w:p>
              </w:tc>
            </w:tr>
            <w:tr w14:paraId="10F5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12" w:type="dxa"/>
                  <w:vAlign w:val="center"/>
                </w:tcPr>
                <w:p w14:paraId="7855141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27</w:t>
                  </w:r>
                </w:p>
              </w:tc>
              <w:tc>
                <w:tcPr>
                  <w:tcW w:w="884" w:type="dxa"/>
                  <w:vMerge w:val="continue"/>
                  <w:vAlign w:val="center"/>
                </w:tcPr>
                <w:p w14:paraId="56582C8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7FA29A2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一次性使用无菌注射器带针</w:t>
                  </w:r>
                </w:p>
              </w:tc>
              <w:tc>
                <w:tcPr>
                  <w:tcW w:w="1061" w:type="dxa"/>
                  <w:vAlign w:val="center"/>
                </w:tcPr>
                <w:p w14:paraId="1A4F320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150支/盒</w:t>
                  </w:r>
                </w:p>
              </w:tc>
              <w:tc>
                <w:tcPr>
                  <w:tcW w:w="923" w:type="dxa"/>
                  <w:vAlign w:val="center"/>
                </w:tcPr>
                <w:p w14:paraId="269A31B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w:t>
                  </w:r>
                </w:p>
              </w:tc>
              <w:tc>
                <w:tcPr>
                  <w:tcW w:w="1302" w:type="dxa"/>
                  <w:vAlign w:val="center"/>
                </w:tcPr>
                <w:p w14:paraId="19897798">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14</w:t>
                  </w:r>
                </w:p>
              </w:tc>
            </w:tr>
            <w:tr w14:paraId="5113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411D7C2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28</w:t>
                  </w:r>
                </w:p>
              </w:tc>
              <w:tc>
                <w:tcPr>
                  <w:tcW w:w="884" w:type="dxa"/>
                  <w:vMerge w:val="continue"/>
                  <w:vAlign w:val="center"/>
                </w:tcPr>
                <w:p w14:paraId="7878FB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02BE5CB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color w:val="auto"/>
                      <w:spacing w:val="0"/>
                      <w:position w:val="0"/>
                      <w:sz w:val="21"/>
                      <w:szCs w:val="21"/>
                      <w:lang w:eastAsia="zh-CN"/>
                    </w:rPr>
                  </w:pPr>
                  <w:r>
                    <w:rPr>
                      <w:rFonts w:hint="eastAsia" w:ascii="Times New Roman" w:hAnsi="Times New Roman" w:eastAsia="宋体" w:cs="Times New Roman"/>
                      <w:b w:val="0"/>
                      <w:bCs/>
                      <w:color w:val="auto"/>
                      <w:spacing w:val="0"/>
                      <w:position w:val="0"/>
                      <w:sz w:val="21"/>
                      <w:szCs w:val="21"/>
                      <w:lang w:eastAsia="zh-CN"/>
                    </w:rPr>
                    <w:t>氧气</w:t>
                  </w:r>
                </w:p>
              </w:tc>
              <w:tc>
                <w:tcPr>
                  <w:tcW w:w="1061" w:type="dxa"/>
                  <w:vAlign w:val="center"/>
                </w:tcPr>
                <w:p w14:paraId="78D00FF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4"/>
                      <w:lang w:val="en-US" w:eastAsia="zh-CN" w:bidi="ar-SA"/>
                    </w:rPr>
                  </w:pPr>
                  <w:r>
                    <w:rPr>
                      <w:b w:val="0"/>
                      <w:bCs/>
                      <w:color w:val="auto"/>
                      <w:sz w:val="21"/>
                      <w:szCs w:val="56"/>
                    </w:rPr>
                    <w:t>＞99%</w:t>
                  </w:r>
                </w:p>
              </w:tc>
              <w:tc>
                <w:tcPr>
                  <w:tcW w:w="923" w:type="dxa"/>
                  <w:vAlign w:val="center"/>
                </w:tcPr>
                <w:p w14:paraId="744CEA8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2200</w:t>
                  </w:r>
                  <w:r>
                    <w:rPr>
                      <w:b w:val="0"/>
                      <w:bCs/>
                      <w:color w:val="auto"/>
                      <w:sz w:val="21"/>
                      <w:szCs w:val="21"/>
                    </w:rPr>
                    <w:t>L</w:t>
                  </w:r>
                </w:p>
              </w:tc>
              <w:tc>
                <w:tcPr>
                  <w:tcW w:w="1302" w:type="dxa"/>
                  <w:vAlign w:val="center"/>
                </w:tcPr>
                <w:p w14:paraId="61E66D2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11</w:t>
                  </w:r>
                  <w:r>
                    <w:rPr>
                      <w:b w:val="0"/>
                      <w:bCs/>
                      <w:color w:val="auto"/>
                      <w:sz w:val="21"/>
                      <w:szCs w:val="21"/>
                    </w:rPr>
                    <w:t>0L</w:t>
                  </w:r>
                </w:p>
              </w:tc>
            </w:tr>
            <w:tr w14:paraId="416B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54D4B68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29</w:t>
                  </w:r>
                </w:p>
              </w:tc>
              <w:tc>
                <w:tcPr>
                  <w:tcW w:w="884" w:type="dxa"/>
                  <w:vMerge w:val="continue"/>
                  <w:vAlign w:val="center"/>
                </w:tcPr>
                <w:p w14:paraId="355ED6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2792509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棉签</w:t>
                  </w:r>
                </w:p>
              </w:tc>
              <w:tc>
                <w:tcPr>
                  <w:tcW w:w="1061" w:type="dxa"/>
                  <w:vAlign w:val="center"/>
                </w:tcPr>
                <w:p w14:paraId="62447E2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default" w:ascii="Times New Roman" w:hAnsi="Times New Roman" w:eastAsia="宋体" w:cs="Times New Roman"/>
                      <w:b w:val="0"/>
                      <w:bCs/>
                      <w:color w:val="auto"/>
                      <w:spacing w:val="0"/>
                      <w:position w:val="0"/>
                      <w:sz w:val="21"/>
                      <w:szCs w:val="21"/>
                    </w:rPr>
                    <w:t>2500支/包</w:t>
                  </w:r>
                </w:p>
              </w:tc>
              <w:tc>
                <w:tcPr>
                  <w:tcW w:w="923" w:type="dxa"/>
                  <w:vAlign w:val="center"/>
                </w:tcPr>
                <w:p w14:paraId="2D35831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21</w:t>
                  </w:r>
                </w:p>
              </w:tc>
              <w:tc>
                <w:tcPr>
                  <w:tcW w:w="1302" w:type="dxa"/>
                  <w:vAlign w:val="center"/>
                </w:tcPr>
                <w:p w14:paraId="28338D7F">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21</w:t>
                  </w:r>
                </w:p>
              </w:tc>
            </w:tr>
            <w:tr w14:paraId="77F4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52EF2D9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default" w:ascii="Times New Roman" w:hAnsi="Times New Roman" w:eastAsia="宋体" w:cs="Times New Roman"/>
                      <w:b w:val="0"/>
                      <w:bCs/>
                      <w:color w:val="auto"/>
                      <w:spacing w:val="0"/>
                      <w:position w:val="0"/>
                      <w:sz w:val="21"/>
                      <w:szCs w:val="21"/>
                      <w:lang w:val="en-US" w:eastAsia="zh-CN"/>
                    </w:rPr>
                    <w:t>1</w:t>
                  </w:r>
                </w:p>
              </w:tc>
              <w:tc>
                <w:tcPr>
                  <w:tcW w:w="884" w:type="dxa"/>
                  <w:vMerge w:val="restart"/>
                  <w:vAlign w:val="center"/>
                </w:tcPr>
                <w:p w14:paraId="26DC01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color w:val="auto"/>
                      <w:spacing w:val="0"/>
                      <w:position w:val="0"/>
                      <w:sz w:val="21"/>
                      <w:szCs w:val="21"/>
                      <w:lang w:eastAsia="zh-CN"/>
                    </w:rPr>
                  </w:pPr>
                  <w:r>
                    <w:rPr>
                      <w:rFonts w:hint="eastAsia" w:ascii="Times New Roman" w:hAnsi="Times New Roman" w:eastAsia="宋体" w:cs="Times New Roman"/>
                      <w:b w:val="0"/>
                      <w:bCs/>
                      <w:color w:val="auto"/>
                      <w:spacing w:val="0"/>
                      <w:position w:val="0"/>
                      <w:sz w:val="21"/>
                      <w:szCs w:val="21"/>
                      <w:lang w:eastAsia="zh-CN"/>
                    </w:rPr>
                    <w:t>检验试剂</w:t>
                  </w:r>
                </w:p>
              </w:tc>
              <w:tc>
                <w:tcPr>
                  <w:tcW w:w="3196" w:type="dxa"/>
                  <w:vAlign w:val="center"/>
                </w:tcPr>
                <w:p w14:paraId="1C6042B7">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胆固醇测定试剂盒</w:t>
                  </w:r>
                </w:p>
              </w:tc>
              <w:tc>
                <w:tcPr>
                  <w:tcW w:w="1061" w:type="dxa"/>
                  <w:vAlign w:val="center"/>
                </w:tcPr>
                <w:p w14:paraId="69E642BE">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pacing w:val="0"/>
                      <w:position w:val="0"/>
                      <w:sz w:val="21"/>
                      <w:szCs w:val="21"/>
                      <w:lang w:val="en-US" w:eastAsia="zh-CN"/>
                    </w:rPr>
                    <w:t>4</w:t>
                  </w:r>
                  <w:r>
                    <w:rPr>
                      <w:rFonts w:hint="default" w:ascii="Times New Roman" w:hAnsi="Times New Roman" w:eastAsia="宋体" w:cs="Times New Roman"/>
                      <w:b w:val="0"/>
                      <w:bCs/>
                      <w:color w:val="auto"/>
                      <w:spacing w:val="0"/>
                      <w:position w:val="0"/>
                      <w:sz w:val="21"/>
                      <w:szCs w:val="21"/>
                    </w:rPr>
                    <w:t>支/盒</w:t>
                  </w:r>
                </w:p>
              </w:tc>
              <w:tc>
                <w:tcPr>
                  <w:tcW w:w="923" w:type="dxa"/>
                  <w:vAlign w:val="center"/>
                </w:tcPr>
                <w:p w14:paraId="2D71076F">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1302" w:type="dxa"/>
                  <w:vAlign w:val="center"/>
                </w:tcPr>
                <w:p w14:paraId="2E7B3667">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r>
            <w:tr w14:paraId="548D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2F34887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default" w:ascii="Times New Roman" w:hAnsi="Times New Roman" w:eastAsia="宋体" w:cs="Times New Roman"/>
                      <w:b w:val="0"/>
                      <w:bCs/>
                      <w:color w:val="auto"/>
                      <w:spacing w:val="0"/>
                      <w:position w:val="0"/>
                      <w:sz w:val="21"/>
                      <w:szCs w:val="21"/>
                      <w:lang w:val="en-US" w:eastAsia="zh-CN"/>
                    </w:rPr>
                    <w:t>2</w:t>
                  </w:r>
                </w:p>
              </w:tc>
              <w:tc>
                <w:tcPr>
                  <w:tcW w:w="884" w:type="dxa"/>
                  <w:vMerge w:val="continue"/>
                  <w:vAlign w:val="center"/>
                </w:tcPr>
                <w:p w14:paraId="7F11CF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7CCE6CD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低密度脂蛋白胆固醇测定试剂盒</w:t>
                  </w:r>
                </w:p>
              </w:tc>
              <w:tc>
                <w:tcPr>
                  <w:tcW w:w="1061" w:type="dxa"/>
                  <w:vAlign w:val="center"/>
                </w:tcPr>
                <w:p w14:paraId="0400455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pacing w:val="0"/>
                      <w:position w:val="0"/>
                      <w:sz w:val="21"/>
                      <w:szCs w:val="21"/>
                      <w:lang w:val="en-US" w:eastAsia="zh-CN"/>
                    </w:rPr>
                    <w:t>4</w:t>
                  </w:r>
                  <w:r>
                    <w:rPr>
                      <w:rFonts w:hint="default" w:ascii="Times New Roman" w:hAnsi="Times New Roman" w:eastAsia="宋体" w:cs="Times New Roman"/>
                      <w:b w:val="0"/>
                      <w:bCs/>
                      <w:color w:val="auto"/>
                      <w:spacing w:val="0"/>
                      <w:position w:val="0"/>
                      <w:sz w:val="21"/>
                      <w:szCs w:val="21"/>
                    </w:rPr>
                    <w:t>支/盒</w:t>
                  </w:r>
                </w:p>
              </w:tc>
              <w:tc>
                <w:tcPr>
                  <w:tcW w:w="923" w:type="dxa"/>
                  <w:vAlign w:val="center"/>
                </w:tcPr>
                <w:p w14:paraId="6B4C711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13</w:t>
                  </w:r>
                </w:p>
              </w:tc>
              <w:tc>
                <w:tcPr>
                  <w:tcW w:w="1302" w:type="dxa"/>
                  <w:vAlign w:val="center"/>
                </w:tcPr>
                <w:p w14:paraId="2D54DED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13</w:t>
                  </w:r>
                </w:p>
              </w:tc>
            </w:tr>
            <w:tr w14:paraId="7083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265405F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default" w:ascii="Times New Roman" w:hAnsi="Times New Roman" w:eastAsia="宋体" w:cs="Times New Roman"/>
                      <w:b w:val="0"/>
                      <w:bCs/>
                      <w:color w:val="auto"/>
                      <w:spacing w:val="0"/>
                      <w:position w:val="0"/>
                      <w:sz w:val="21"/>
                      <w:szCs w:val="21"/>
                      <w:lang w:val="en-US" w:eastAsia="zh-CN"/>
                    </w:rPr>
                    <w:t>3</w:t>
                  </w:r>
                </w:p>
              </w:tc>
              <w:tc>
                <w:tcPr>
                  <w:tcW w:w="884" w:type="dxa"/>
                  <w:vMerge w:val="continue"/>
                  <w:vAlign w:val="center"/>
                </w:tcPr>
                <w:p w14:paraId="4395E76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14F45EEE">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丙氨酸氨基转移酶测定试剂盒</w:t>
                  </w:r>
                </w:p>
              </w:tc>
              <w:tc>
                <w:tcPr>
                  <w:tcW w:w="1061" w:type="dxa"/>
                  <w:vAlign w:val="center"/>
                </w:tcPr>
                <w:p w14:paraId="29D4E6E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pacing w:val="0"/>
                      <w:position w:val="0"/>
                      <w:sz w:val="21"/>
                      <w:szCs w:val="21"/>
                      <w:lang w:val="en-US" w:eastAsia="zh-CN"/>
                    </w:rPr>
                    <w:t>4</w:t>
                  </w:r>
                  <w:r>
                    <w:rPr>
                      <w:rFonts w:hint="default" w:ascii="Times New Roman" w:hAnsi="Times New Roman" w:eastAsia="宋体" w:cs="Times New Roman"/>
                      <w:b w:val="0"/>
                      <w:bCs/>
                      <w:color w:val="auto"/>
                      <w:spacing w:val="0"/>
                      <w:position w:val="0"/>
                      <w:sz w:val="21"/>
                      <w:szCs w:val="21"/>
                    </w:rPr>
                    <w:t>支/盒</w:t>
                  </w:r>
                </w:p>
              </w:tc>
              <w:tc>
                <w:tcPr>
                  <w:tcW w:w="923" w:type="dxa"/>
                  <w:vAlign w:val="center"/>
                </w:tcPr>
                <w:p w14:paraId="56414208">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302" w:type="dxa"/>
                  <w:vAlign w:val="center"/>
                </w:tcPr>
                <w:p w14:paraId="2F9B0D6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r>
            <w:tr w14:paraId="0F98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79CD6E14">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eastAsia" w:ascii="Times New Roman" w:hAnsi="Times New Roman" w:eastAsia="宋体" w:cs="Times New Roman"/>
                      <w:b w:val="0"/>
                      <w:bCs/>
                      <w:color w:val="auto"/>
                      <w:spacing w:val="0"/>
                      <w:kern w:val="2"/>
                      <w:position w:val="0"/>
                      <w:sz w:val="21"/>
                      <w:szCs w:val="21"/>
                      <w:lang w:val="en-US" w:eastAsia="zh-CN" w:bidi="ar-SA"/>
                    </w:rPr>
                    <w:t>4</w:t>
                  </w:r>
                </w:p>
              </w:tc>
              <w:tc>
                <w:tcPr>
                  <w:tcW w:w="884" w:type="dxa"/>
                  <w:vMerge w:val="continue"/>
                  <w:vAlign w:val="center"/>
                </w:tcPr>
                <w:p w14:paraId="7CF949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15C0666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eastAsia="zh-CN"/>
                    </w:rPr>
                    <w:t>甘油三酯</w:t>
                  </w:r>
                  <w:r>
                    <w:rPr>
                      <w:rFonts w:hint="default" w:ascii="Times New Roman" w:hAnsi="Times New Roman" w:eastAsia="宋体" w:cs="Times New Roman"/>
                      <w:b w:val="0"/>
                      <w:bCs/>
                      <w:color w:val="auto"/>
                      <w:sz w:val="21"/>
                      <w:szCs w:val="21"/>
                    </w:rPr>
                    <w:t>测定试剂盒</w:t>
                  </w:r>
                </w:p>
              </w:tc>
              <w:tc>
                <w:tcPr>
                  <w:tcW w:w="1061" w:type="dxa"/>
                  <w:vAlign w:val="center"/>
                </w:tcPr>
                <w:p w14:paraId="0784650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pacing w:val="0"/>
                      <w:position w:val="0"/>
                      <w:sz w:val="21"/>
                      <w:szCs w:val="21"/>
                      <w:lang w:val="en-US" w:eastAsia="zh-CN"/>
                    </w:rPr>
                    <w:t>4</w:t>
                  </w:r>
                  <w:r>
                    <w:rPr>
                      <w:rFonts w:hint="default" w:ascii="Times New Roman" w:hAnsi="Times New Roman" w:eastAsia="宋体" w:cs="Times New Roman"/>
                      <w:b w:val="0"/>
                      <w:bCs/>
                      <w:color w:val="auto"/>
                      <w:spacing w:val="0"/>
                      <w:position w:val="0"/>
                      <w:sz w:val="21"/>
                      <w:szCs w:val="21"/>
                    </w:rPr>
                    <w:t>支/盒</w:t>
                  </w:r>
                </w:p>
              </w:tc>
              <w:tc>
                <w:tcPr>
                  <w:tcW w:w="923" w:type="dxa"/>
                  <w:vAlign w:val="center"/>
                </w:tcPr>
                <w:p w14:paraId="4916EAB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302" w:type="dxa"/>
                  <w:vAlign w:val="center"/>
                </w:tcPr>
                <w:p w14:paraId="2B3CA96E">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r>
            <w:tr w14:paraId="5A50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4ADB9494">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default" w:ascii="Times New Roman" w:hAnsi="Times New Roman" w:eastAsia="宋体" w:cs="Times New Roman"/>
                      <w:b w:val="0"/>
                      <w:bCs/>
                      <w:color w:val="auto"/>
                      <w:spacing w:val="0"/>
                      <w:kern w:val="2"/>
                      <w:position w:val="0"/>
                      <w:sz w:val="21"/>
                      <w:szCs w:val="21"/>
                      <w:lang w:val="en-US" w:eastAsia="zh-CN" w:bidi="ar-SA"/>
                    </w:rPr>
                    <w:t>5</w:t>
                  </w:r>
                </w:p>
              </w:tc>
              <w:tc>
                <w:tcPr>
                  <w:tcW w:w="884" w:type="dxa"/>
                  <w:vMerge w:val="continue"/>
                  <w:vAlign w:val="center"/>
                </w:tcPr>
                <w:p w14:paraId="72BB11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1E5805F3">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γ-谷氨酰转移酶测定试剂盒</w:t>
                  </w:r>
                </w:p>
              </w:tc>
              <w:tc>
                <w:tcPr>
                  <w:tcW w:w="1061" w:type="dxa"/>
                  <w:vAlign w:val="center"/>
                </w:tcPr>
                <w:p w14:paraId="2592375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pacing w:val="0"/>
                      <w:position w:val="0"/>
                      <w:sz w:val="21"/>
                      <w:szCs w:val="21"/>
                      <w:lang w:val="en-US" w:eastAsia="zh-CN"/>
                    </w:rPr>
                    <w:t>4</w:t>
                  </w:r>
                  <w:r>
                    <w:rPr>
                      <w:rFonts w:hint="default" w:ascii="Times New Roman" w:hAnsi="Times New Roman" w:eastAsia="宋体" w:cs="Times New Roman"/>
                      <w:b w:val="0"/>
                      <w:bCs/>
                      <w:color w:val="auto"/>
                      <w:spacing w:val="0"/>
                      <w:position w:val="0"/>
                      <w:sz w:val="21"/>
                      <w:szCs w:val="21"/>
                    </w:rPr>
                    <w:t>支/盒</w:t>
                  </w:r>
                </w:p>
              </w:tc>
              <w:tc>
                <w:tcPr>
                  <w:tcW w:w="923" w:type="dxa"/>
                  <w:vAlign w:val="center"/>
                </w:tcPr>
                <w:p w14:paraId="45D89D8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w:t>
                  </w:r>
                </w:p>
              </w:tc>
              <w:tc>
                <w:tcPr>
                  <w:tcW w:w="1302" w:type="dxa"/>
                  <w:vAlign w:val="center"/>
                </w:tcPr>
                <w:p w14:paraId="7DA67743">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w:t>
                  </w:r>
                </w:p>
              </w:tc>
            </w:tr>
            <w:tr w14:paraId="5DE5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2CC5DFC7">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default" w:ascii="Times New Roman" w:hAnsi="Times New Roman" w:eastAsia="宋体" w:cs="Times New Roman"/>
                      <w:b w:val="0"/>
                      <w:bCs/>
                      <w:color w:val="auto"/>
                      <w:spacing w:val="0"/>
                      <w:position w:val="0"/>
                      <w:sz w:val="21"/>
                      <w:szCs w:val="21"/>
                      <w:lang w:val="en-US" w:eastAsia="zh-CN"/>
                    </w:rPr>
                    <w:t>6</w:t>
                  </w:r>
                </w:p>
              </w:tc>
              <w:tc>
                <w:tcPr>
                  <w:tcW w:w="884" w:type="dxa"/>
                  <w:vMerge w:val="continue"/>
                  <w:vAlign w:val="center"/>
                </w:tcPr>
                <w:p w14:paraId="6B6A7B3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1B607E1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白蛋白测定试剂盒</w:t>
                  </w:r>
                </w:p>
              </w:tc>
              <w:tc>
                <w:tcPr>
                  <w:tcW w:w="1061" w:type="dxa"/>
                  <w:vAlign w:val="center"/>
                </w:tcPr>
                <w:p w14:paraId="52A2CF3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pacing w:val="0"/>
                      <w:position w:val="0"/>
                      <w:sz w:val="21"/>
                      <w:szCs w:val="21"/>
                      <w:lang w:val="en-US" w:eastAsia="zh-CN"/>
                    </w:rPr>
                    <w:t>4</w:t>
                  </w:r>
                  <w:r>
                    <w:rPr>
                      <w:rFonts w:hint="default" w:ascii="Times New Roman" w:hAnsi="Times New Roman" w:eastAsia="宋体" w:cs="Times New Roman"/>
                      <w:b w:val="0"/>
                      <w:bCs/>
                      <w:color w:val="auto"/>
                      <w:spacing w:val="0"/>
                      <w:position w:val="0"/>
                      <w:sz w:val="21"/>
                      <w:szCs w:val="21"/>
                    </w:rPr>
                    <w:t>支/盒</w:t>
                  </w:r>
                </w:p>
              </w:tc>
              <w:tc>
                <w:tcPr>
                  <w:tcW w:w="923" w:type="dxa"/>
                  <w:vAlign w:val="center"/>
                </w:tcPr>
                <w:p w14:paraId="099A8DD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w:t>
                  </w:r>
                </w:p>
              </w:tc>
              <w:tc>
                <w:tcPr>
                  <w:tcW w:w="1302" w:type="dxa"/>
                  <w:vAlign w:val="center"/>
                </w:tcPr>
                <w:p w14:paraId="48FB374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w:t>
                  </w:r>
                </w:p>
              </w:tc>
            </w:tr>
            <w:tr w14:paraId="5D7F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75A3C1CB">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default" w:ascii="Times New Roman" w:hAnsi="Times New Roman" w:eastAsia="宋体" w:cs="Times New Roman"/>
                      <w:b w:val="0"/>
                      <w:bCs/>
                      <w:color w:val="auto"/>
                      <w:spacing w:val="0"/>
                      <w:position w:val="0"/>
                      <w:sz w:val="21"/>
                      <w:szCs w:val="21"/>
                      <w:lang w:val="en-US" w:eastAsia="zh-CN"/>
                    </w:rPr>
                    <w:t>7</w:t>
                  </w:r>
                </w:p>
              </w:tc>
              <w:tc>
                <w:tcPr>
                  <w:tcW w:w="884" w:type="dxa"/>
                  <w:vMerge w:val="continue"/>
                  <w:vAlign w:val="center"/>
                </w:tcPr>
                <w:p w14:paraId="03AF8EB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5C96E68F">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高密度脂蛋白胆固醇测定试剂盒</w:t>
                  </w:r>
                </w:p>
              </w:tc>
              <w:tc>
                <w:tcPr>
                  <w:tcW w:w="1061" w:type="dxa"/>
                  <w:vAlign w:val="center"/>
                </w:tcPr>
                <w:p w14:paraId="0A9A488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pacing w:val="0"/>
                      <w:position w:val="0"/>
                      <w:sz w:val="21"/>
                      <w:szCs w:val="21"/>
                      <w:lang w:val="en-US" w:eastAsia="zh-CN"/>
                    </w:rPr>
                    <w:t>4</w:t>
                  </w:r>
                  <w:r>
                    <w:rPr>
                      <w:rFonts w:hint="default" w:ascii="Times New Roman" w:hAnsi="Times New Roman" w:eastAsia="宋体" w:cs="Times New Roman"/>
                      <w:b w:val="0"/>
                      <w:bCs/>
                      <w:color w:val="auto"/>
                      <w:spacing w:val="0"/>
                      <w:position w:val="0"/>
                      <w:sz w:val="21"/>
                      <w:szCs w:val="21"/>
                    </w:rPr>
                    <w:t>支/盒</w:t>
                  </w:r>
                </w:p>
              </w:tc>
              <w:tc>
                <w:tcPr>
                  <w:tcW w:w="923" w:type="dxa"/>
                  <w:vAlign w:val="center"/>
                </w:tcPr>
                <w:p w14:paraId="4CFD2B4F">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302" w:type="dxa"/>
                  <w:vAlign w:val="center"/>
                </w:tcPr>
                <w:p w14:paraId="11A33AF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r>
            <w:tr w14:paraId="5E97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48F8C702">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default" w:ascii="Times New Roman" w:hAnsi="Times New Roman" w:eastAsia="宋体" w:cs="Times New Roman"/>
                      <w:b w:val="0"/>
                      <w:bCs/>
                      <w:color w:val="auto"/>
                      <w:spacing w:val="0"/>
                      <w:position w:val="0"/>
                      <w:sz w:val="21"/>
                      <w:szCs w:val="21"/>
                      <w:lang w:val="en-US" w:eastAsia="zh-CN"/>
                    </w:rPr>
                    <w:t>8</w:t>
                  </w:r>
                </w:p>
              </w:tc>
              <w:tc>
                <w:tcPr>
                  <w:tcW w:w="884" w:type="dxa"/>
                  <w:vMerge w:val="continue"/>
                  <w:vAlign w:val="center"/>
                </w:tcPr>
                <w:p w14:paraId="45C134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25F32ED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氯化钙</w:t>
                  </w:r>
                </w:p>
              </w:tc>
              <w:tc>
                <w:tcPr>
                  <w:tcW w:w="1061" w:type="dxa"/>
                  <w:vAlign w:val="center"/>
                </w:tcPr>
                <w:p w14:paraId="45E8828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15ml</w:t>
                  </w:r>
                  <w:r>
                    <w:rPr>
                      <w:rFonts w:hint="eastAsia" w:ascii="Times New Roman" w:hAnsi="Times New Roman" w:eastAsia="宋体" w:cs="Times New Roman"/>
                      <w:b w:val="0"/>
                      <w:bCs/>
                      <w:color w:val="auto"/>
                      <w:sz w:val="21"/>
                      <w:szCs w:val="21"/>
                      <w:lang w:val="en-US" w:eastAsia="zh-CN"/>
                    </w:rPr>
                    <w:t>/瓶</w:t>
                  </w:r>
                </w:p>
              </w:tc>
              <w:tc>
                <w:tcPr>
                  <w:tcW w:w="923" w:type="dxa"/>
                  <w:vAlign w:val="center"/>
                </w:tcPr>
                <w:p w14:paraId="43B8621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w:t>
                  </w:r>
                </w:p>
              </w:tc>
              <w:tc>
                <w:tcPr>
                  <w:tcW w:w="1302" w:type="dxa"/>
                  <w:vAlign w:val="center"/>
                </w:tcPr>
                <w:p w14:paraId="3A09A14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11</w:t>
                  </w:r>
                </w:p>
              </w:tc>
            </w:tr>
            <w:tr w14:paraId="51BC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547375E0">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default" w:ascii="Times New Roman" w:hAnsi="Times New Roman" w:eastAsia="宋体" w:cs="Times New Roman"/>
                      <w:b w:val="0"/>
                      <w:bCs/>
                      <w:color w:val="auto"/>
                      <w:spacing w:val="0"/>
                      <w:position w:val="0"/>
                      <w:sz w:val="21"/>
                      <w:szCs w:val="21"/>
                      <w:lang w:val="en-US" w:eastAsia="zh-CN"/>
                    </w:rPr>
                    <w:t>9</w:t>
                  </w:r>
                </w:p>
              </w:tc>
              <w:tc>
                <w:tcPr>
                  <w:tcW w:w="884" w:type="dxa"/>
                  <w:vMerge w:val="continue"/>
                  <w:vAlign w:val="center"/>
                </w:tcPr>
                <w:p w14:paraId="50BF70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792409DE">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血琼脂平板</w:t>
                  </w:r>
                </w:p>
              </w:tc>
              <w:tc>
                <w:tcPr>
                  <w:tcW w:w="1061" w:type="dxa"/>
                  <w:vAlign w:val="center"/>
                </w:tcPr>
                <w:p w14:paraId="7091B2D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70mm</w:t>
                  </w:r>
                </w:p>
              </w:tc>
              <w:tc>
                <w:tcPr>
                  <w:tcW w:w="923" w:type="dxa"/>
                  <w:vAlign w:val="center"/>
                </w:tcPr>
                <w:p w14:paraId="70A7BDA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484</w:t>
                  </w:r>
                </w:p>
              </w:tc>
              <w:tc>
                <w:tcPr>
                  <w:tcW w:w="1302" w:type="dxa"/>
                  <w:vAlign w:val="center"/>
                </w:tcPr>
                <w:p w14:paraId="653785C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44</w:t>
                  </w:r>
                </w:p>
              </w:tc>
            </w:tr>
            <w:tr w14:paraId="7BCC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24D95EED">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default" w:ascii="Times New Roman" w:hAnsi="Times New Roman" w:eastAsia="宋体" w:cs="Times New Roman"/>
                      <w:b w:val="0"/>
                      <w:bCs/>
                      <w:color w:val="auto"/>
                      <w:spacing w:val="0"/>
                      <w:position w:val="0"/>
                      <w:sz w:val="21"/>
                      <w:szCs w:val="21"/>
                      <w:lang w:val="en-US" w:eastAsia="zh-CN"/>
                    </w:rPr>
                    <w:t>10</w:t>
                  </w:r>
                </w:p>
              </w:tc>
              <w:tc>
                <w:tcPr>
                  <w:tcW w:w="884" w:type="dxa"/>
                  <w:vMerge w:val="continue"/>
                  <w:vAlign w:val="center"/>
                </w:tcPr>
                <w:p w14:paraId="525145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1B2508A3">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营养琼脂平板</w:t>
                  </w:r>
                </w:p>
              </w:tc>
              <w:tc>
                <w:tcPr>
                  <w:tcW w:w="1061" w:type="dxa"/>
                  <w:vAlign w:val="center"/>
                </w:tcPr>
                <w:p w14:paraId="530C04D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5块/包</w:t>
                  </w:r>
                </w:p>
              </w:tc>
              <w:tc>
                <w:tcPr>
                  <w:tcW w:w="923" w:type="dxa"/>
                  <w:vAlign w:val="center"/>
                </w:tcPr>
                <w:p w14:paraId="50EB782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62</w:t>
                  </w:r>
                </w:p>
              </w:tc>
              <w:tc>
                <w:tcPr>
                  <w:tcW w:w="1302" w:type="dxa"/>
                  <w:vAlign w:val="center"/>
                </w:tcPr>
                <w:p w14:paraId="060D7C8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9</w:t>
                  </w:r>
                </w:p>
              </w:tc>
            </w:tr>
            <w:tr w14:paraId="2075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3FB39131">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default" w:ascii="Times New Roman" w:hAnsi="Times New Roman" w:eastAsia="宋体" w:cs="Times New Roman"/>
                      <w:b w:val="0"/>
                      <w:bCs/>
                      <w:color w:val="auto"/>
                      <w:spacing w:val="0"/>
                      <w:position w:val="0"/>
                      <w:sz w:val="21"/>
                      <w:szCs w:val="21"/>
                      <w:lang w:val="en-US" w:eastAsia="zh-CN"/>
                    </w:rPr>
                    <w:t>11</w:t>
                  </w:r>
                </w:p>
              </w:tc>
              <w:tc>
                <w:tcPr>
                  <w:tcW w:w="884" w:type="dxa"/>
                  <w:vMerge w:val="continue"/>
                  <w:vAlign w:val="center"/>
                </w:tcPr>
                <w:p w14:paraId="75CB32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7E6E8A8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AU生化-清洗液</w:t>
                  </w:r>
                </w:p>
              </w:tc>
              <w:tc>
                <w:tcPr>
                  <w:tcW w:w="1061" w:type="dxa"/>
                  <w:vAlign w:val="center"/>
                </w:tcPr>
                <w:p w14:paraId="0CAC2C1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2L</w:t>
                  </w:r>
                </w:p>
              </w:tc>
              <w:tc>
                <w:tcPr>
                  <w:tcW w:w="923" w:type="dxa"/>
                  <w:vAlign w:val="center"/>
                </w:tcPr>
                <w:p w14:paraId="30D2F01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3</w:t>
                  </w:r>
                </w:p>
              </w:tc>
              <w:tc>
                <w:tcPr>
                  <w:tcW w:w="1302" w:type="dxa"/>
                  <w:vAlign w:val="center"/>
                </w:tcPr>
                <w:p w14:paraId="5FD5148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 xml:space="preserve">3 </w:t>
                  </w:r>
                </w:p>
              </w:tc>
            </w:tr>
            <w:tr w14:paraId="5052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2F1E3621">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default" w:ascii="Times New Roman" w:hAnsi="Times New Roman" w:eastAsia="宋体" w:cs="Times New Roman"/>
                      <w:b w:val="0"/>
                      <w:bCs/>
                      <w:color w:val="auto"/>
                      <w:spacing w:val="0"/>
                      <w:position w:val="0"/>
                      <w:sz w:val="21"/>
                      <w:szCs w:val="21"/>
                      <w:lang w:val="en-US" w:eastAsia="zh-CN"/>
                    </w:rPr>
                    <w:t>12</w:t>
                  </w:r>
                </w:p>
              </w:tc>
              <w:tc>
                <w:tcPr>
                  <w:tcW w:w="884" w:type="dxa"/>
                  <w:vMerge w:val="continue"/>
                  <w:vAlign w:val="center"/>
                </w:tcPr>
                <w:p w14:paraId="14019C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56AD534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白蛋白测定试剂盒</w:t>
                  </w:r>
                </w:p>
              </w:tc>
              <w:tc>
                <w:tcPr>
                  <w:tcW w:w="1061" w:type="dxa"/>
                  <w:vAlign w:val="center"/>
                </w:tcPr>
                <w:p w14:paraId="2CEA362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pacing w:val="0"/>
                      <w:position w:val="0"/>
                      <w:sz w:val="21"/>
                      <w:szCs w:val="21"/>
                      <w:lang w:val="en-US" w:eastAsia="zh-CN"/>
                    </w:rPr>
                    <w:t>4</w:t>
                  </w:r>
                  <w:r>
                    <w:rPr>
                      <w:rFonts w:hint="default" w:ascii="Times New Roman" w:hAnsi="Times New Roman" w:eastAsia="宋体" w:cs="Times New Roman"/>
                      <w:b w:val="0"/>
                      <w:bCs/>
                      <w:color w:val="auto"/>
                      <w:spacing w:val="0"/>
                      <w:position w:val="0"/>
                      <w:sz w:val="21"/>
                      <w:szCs w:val="21"/>
                    </w:rPr>
                    <w:t>支/盒</w:t>
                  </w:r>
                </w:p>
              </w:tc>
              <w:tc>
                <w:tcPr>
                  <w:tcW w:w="923" w:type="dxa"/>
                  <w:vAlign w:val="center"/>
                </w:tcPr>
                <w:p w14:paraId="51CFAD28">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7</w:t>
                  </w:r>
                </w:p>
              </w:tc>
              <w:tc>
                <w:tcPr>
                  <w:tcW w:w="1302" w:type="dxa"/>
                  <w:vAlign w:val="center"/>
                </w:tcPr>
                <w:p w14:paraId="3ABBE9D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 xml:space="preserve">7 </w:t>
                  </w:r>
                </w:p>
              </w:tc>
            </w:tr>
            <w:tr w14:paraId="7620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1085B8C3">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default" w:ascii="Times New Roman" w:hAnsi="Times New Roman" w:eastAsia="宋体" w:cs="Times New Roman"/>
                      <w:b w:val="0"/>
                      <w:bCs/>
                      <w:color w:val="auto"/>
                      <w:spacing w:val="0"/>
                      <w:position w:val="0"/>
                      <w:sz w:val="21"/>
                      <w:szCs w:val="21"/>
                      <w:lang w:val="en-US" w:eastAsia="zh-CN"/>
                    </w:rPr>
                    <w:t>13</w:t>
                  </w:r>
                </w:p>
              </w:tc>
              <w:tc>
                <w:tcPr>
                  <w:tcW w:w="884" w:type="dxa"/>
                  <w:vMerge w:val="continue"/>
                  <w:vAlign w:val="center"/>
                </w:tcPr>
                <w:p w14:paraId="0382DA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233F5D3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丙氨酸氨基转移酶测定干片</w:t>
                  </w:r>
                </w:p>
              </w:tc>
              <w:tc>
                <w:tcPr>
                  <w:tcW w:w="1061" w:type="dxa"/>
                  <w:vAlign w:val="center"/>
                </w:tcPr>
                <w:p w14:paraId="318F6028">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250片</w:t>
                  </w:r>
                  <w:r>
                    <w:rPr>
                      <w:rFonts w:hint="eastAsia" w:ascii="Times New Roman" w:hAnsi="Times New Roman" w:eastAsia="宋体" w:cs="Times New Roman"/>
                      <w:b w:val="0"/>
                      <w:bCs/>
                      <w:color w:val="auto"/>
                      <w:sz w:val="21"/>
                      <w:szCs w:val="21"/>
                      <w:lang w:val="en-US" w:eastAsia="zh-CN"/>
                    </w:rPr>
                    <w:t>/盒</w:t>
                  </w:r>
                </w:p>
              </w:tc>
              <w:tc>
                <w:tcPr>
                  <w:tcW w:w="923" w:type="dxa"/>
                  <w:vAlign w:val="center"/>
                </w:tcPr>
                <w:p w14:paraId="3E65736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1302" w:type="dxa"/>
                  <w:vAlign w:val="center"/>
                </w:tcPr>
                <w:p w14:paraId="49027E88">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r>
            <w:tr w14:paraId="4F42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6B1DB9A5">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default" w:ascii="Times New Roman" w:hAnsi="Times New Roman" w:eastAsia="宋体" w:cs="Times New Roman"/>
                      <w:b w:val="0"/>
                      <w:bCs/>
                      <w:color w:val="auto"/>
                      <w:spacing w:val="0"/>
                      <w:position w:val="0"/>
                      <w:sz w:val="21"/>
                      <w:szCs w:val="21"/>
                      <w:lang w:val="en-US" w:eastAsia="zh-CN"/>
                    </w:rPr>
                    <w:t>14</w:t>
                  </w:r>
                </w:p>
              </w:tc>
              <w:tc>
                <w:tcPr>
                  <w:tcW w:w="884" w:type="dxa"/>
                  <w:vMerge w:val="continue"/>
                  <w:vAlign w:val="center"/>
                </w:tcPr>
                <w:p w14:paraId="02D169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7F5DC43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高密度脂蛋白胆固醇测定试剂盒</w:t>
                  </w:r>
                </w:p>
              </w:tc>
              <w:tc>
                <w:tcPr>
                  <w:tcW w:w="1061" w:type="dxa"/>
                  <w:vAlign w:val="center"/>
                </w:tcPr>
                <w:p w14:paraId="3932087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pacing w:val="0"/>
                      <w:position w:val="0"/>
                      <w:sz w:val="21"/>
                      <w:szCs w:val="21"/>
                      <w:lang w:val="en-US" w:eastAsia="zh-CN"/>
                    </w:rPr>
                    <w:t>4</w:t>
                  </w:r>
                  <w:r>
                    <w:rPr>
                      <w:rFonts w:hint="default" w:ascii="Times New Roman" w:hAnsi="Times New Roman" w:eastAsia="宋体" w:cs="Times New Roman"/>
                      <w:b w:val="0"/>
                      <w:bCs/>
                      <w:color w:val="auto"/>
                      <w:spacing w:val="0"/>
                      <w:position w:val="0"/>
                      <w:sz w:val="21"/>
                      <w:szCs w:val="21"/>
                    </w:rPr>
                    <w:t>支/盒</w:t>
                  </w:r>
                </w:p>
              </w:tc>
              <w:tc>
                <w:tcPr>
                  <w:tcW w:w="923" w:type="dxa"/>
                  <w:vAlign w:val="center"/>
                </w:tcPr>
                <w:p w14:paraId="0F7A169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c>
                <w:tcPr>
                  <w:tcW w:w="1302" w:type="dxa"/>
                  <w:vAlign w:val="center"/>
                </w:tcPr>
                <w:p w14:paraId="62DEB19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p>
              </w:tc>
            </w:tr>
            <w:tr w14:paraId="0DCC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512" w:type="dxa"/>
                  <w:vAlign w:val="center"/>
                </w:tcPr>
                <w:p w14:paraId="52D28A1B">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kern w:val="2"/>
                      <w:position w:val="0"/>
                      <w:sz w:val="21"/>
                      <w:szCs w:val="21"/>
                      <w:lang w:val="en-US" w:eastAsia="zh-CN" w:bidi="ar-SA"/>
                    </w:rPr>
                  </w:pPr>
                  <w:r>
                    <w:rPr>
                      <w:rFonts w:hint="default" w:ascii="Times New Roman" w:hAnsi="Times New Roman" w:eastAsia="宋体" w:cs="Times New Roman"/>
                      <w:b w:val="0"/>
                      <w:bCs/>
                      <w:color w:val="auto"/>
                      <w:spacing w:val="0"/>
                      <w:position w:val="0"/>
                      <w:sz w:val="21"/>
                      <w:szCs w:val="21"/>
                      <w:lang w:val="en-US" w:eastAsia="zh-CN"/>
                    </w:rPr>
                    <w:t>15</w:t>
                  </w:r>
                </w:p>
              </w:tc>
              <w:tc>
                <w:tcPr>
                  <w:tcW w:w="884" w:type="dxa"/>
                  <w:vMerge w:val="continue"/>
                  <w:vAlign w:val="center"/>
                </w:tcPr>
                <w:p w14:paraId="3687EC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6DFE30D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缓冲液</w:t>
                  </w:r>
                </w:p>
              </w:tc>
              <w:tc>
                <w:tcPr>
                  <w:tcW w:w="1061" w:type="dxa"/>
                  <w:vAlign w:val="center"/>
                </w:tcPr>
                <w:p w14:paraId="650C0B5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15ml</w:t>
                  </w:r>
                  <w:r>
                    <w:rPr>
                      <w:rFonts w:hint="eastAsia" w:ascii="Times New Roman" w:hAnsi="Times New Roman" w:eastAsia="宋体" w:cs="Times New Roman"/>
                      <w:b w:val="0"/>
                      <w:bCs/>
                      <w:color w:val="auto"/>
                      <w:sz w:val="21"/>
                      <w:szCs w:val="21"/>
                      <w:lang w:val="en-US" w:eastAsia="zh-CN"/>
                    </w:rPr>
                    <w:t>/瓶</w:t>
                  </w:r>
                </w:p>
              </w:tc>
              <w:tc>
                <w:tcPr>
                  <w:tcW w:w="923" w:type="dxa"/>
                  <w:vAlign w:val="center"/>
                </w:tcPr>
                <w:p w14:paraId="2D502C9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22</w:t>
                  </w:r>
                </w:p>
              </w:tc>
              <w:tc>
                <w:tcPr>
                  <w:tcW w:w="1302" w:type="dxa"/>
                  <w:vAlign w:val="center"/>
                </w:tcPr>
                <w:p w14:paraId="081716E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r>
                    <w:rPr>
                      <w:rFonts w:hint="eastAsia" w:cs="Times New Roman"/>
                      <w:b w:val="0"/>
                      <w:bCs/>
                      <w:color w:val="auto"/>
                      <w:sz w:val="21"/>
                      <w:szCs w:val="21"/>
                      <w:lang w:val="en-US" w:eastAsia="zh-CN"/>
                    </w:rPr>
                    <w:t>0</w:t>
                  </w:r>
                </w:p>
              </w:tc>
            </w:tr>
            <w:tr w14:paraId="6A0A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512" w:type="dxa"/>
                  <w:vAlign w:val="center"/>
                </w:tcPr>
                <w:p w14:paraId="5065A32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1</w:t>
                  </w:r>
                </w:p>
              </w:tc>
              <w:tc>
                <w:tcPr>
                  <w:tcW w:w="884" w:type="dxa"/>
                  <w:vMerge w:val="restart"/>
                  <w:vAlign w:val="center"/>
                </w:tcPr>
                <w:p w14:paraId="51AA387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color w:val="auto"/>
                      <w:spacing w:val="0"/>
                      <w:position w:val="0"/>
                      <w:sz w:val="21"/>
                      <w:szCs w:val="21"/>
                      <w:lang w:eastAsia="zh-CN"/>
                    </w:rPr>
                  </w:pPr>
                  <w:r>
                    <w:rPr>
                      <w:rFonts w:hint="eastAsia" w:cs="Times New Roman"/>
                      <w:b w:val="0"/>
                      <w:bCs/>
                      <w:color w:val="auto"/>
                      <w:spacing w:val="0"/>
                      <w:position w:val="0"/>
                      <w:sz w:val="21"/>
                      <w:szCs w:val="21"/>
                      <w:lang w:eastAsia="zh-CN"/>
                    </w:rPr>
                    <w:t>废水处理</w:t>
                  </w:r>
                </w:p>
              </w:tc>
              <w:tc>
                <w:tcPr>
                  <w:tcW w:w="3196" w:type="dxa"/>
                  <w:vAlign w:val="center"/>
                </w:tcPr>
                <w:p w14:paraId="07EEAE1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color w:val="auto"/>
                      <w:spacing w:val="0"/>
                      <w:position w:val="0"/>
                      <w:sz w:val="21"/>
                      <w:szCs w:val="21"/>
                      <w:lang w:eastAsia="zh-CN"/>
                    </w:rPr>
                  </w:pPr>
                  <w:r>
                    <w:rPr>
                      <w:rFonts w:hint="eastAsia" w:ascii="Times New Roman" w:hAnsi="Times New Roman" w:cs="Times New Roman"/>
                      <w:b w:val="0"/>
                      <w:bCs/>
                      <w:color w:val="auto"/>
                      <w:spacing w:val="0"/>
                      <w:position w:val="0"/>
                      <w:sz w:val="21"/>
                      <w:szCs w:val="21"/>
                      <w:lang w:eastAsia="zh-CN"/>
                    </w:rPr>
                    <w:t>亚氯酸钠（</w:t>
                  </w:r>
                  <w:r>
                    <w:rPr>
                      <w:rFonts w:hint="eastAsia" w:ascii="Times New Roman" w:hAnsi="Times New Roman" w:cs="Times New Roman"/>
                      <w:b w:val="0"/>
                      <w:bCs/>
                      <w:color w:val="auto"/>
                      <w:spacing w:val="0"/>
                      <w:position w:val="0"/>
                      <w:sz w:val="21"/>
                      <w:szCs w:val="21"/>
                      <w:lang w:val="en-US" w:eastAsia="zh-CN"/>
                    </w:rPr>
                    <w:t>80%</w:t>
                  </w:r>
                  <w:r>
                    <w:rPr>
                      <w:rFonts w:hint="eastAsia" w:ascii="Times New Roman" w:hAnsi="Times New Roman" w:cs="Times New Roman"/>
                      <w:b w:val="0"/>
                      <w:bCs/>
                      <w:color w:val="auto"/>
                      <w:spacing w:val="0"/>
                      <w:position w:val="0"/>
                      <w:sz w:val="21"/>
                      <w:szCs w:val="21"/>
                      <w:lang w:eastAsia="zh-CN"/>
                    </w:rPr>
                    <w:t>）</w:t>
                  </w:r>
                </w:p>
              </w:tc>
              <w:tc>
                <w:tcPr>
                  <w:tcW w:w="1061" w:type="dxa"/>
                  <w:vAlign w:val="center"/>
                </w:tcPr>
                <w:p w14:paraId="4BE6DC8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25kg/袋</w:t>
                  </w:r>
                </w:p>
              </w:tc>
              <w:tc>
                <w:tcPr>
                  <w:tcW w:w="923" w:type="dxa"/>
                  <w:vAlign w:val="center"/>
                </w:tcPr>
                <w:p w14:paraId="0E8E99D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0.0954</w:t>
                  </w:r>
                </w:p>
              </w:tc>
              <w:tc>
                <w:tcPr>
                  <w:tcW w:w="1302" w:type="dxa"/>
                  <w:vAlign w:val="center"/>
                </w:tcPr>
                <w:p w14:paraId="492C68D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0.025</w:t>
                  </w:r>
                </w:p>
              </w:tc>
            </w:tr>
            <w:tr w14:paraId="3654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512" w:type="dxa"/>
                  <w:vAlign w:val="center"/>
                </w:tcPr>
                <w:p w14:paraId="3FB673F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2</w:t>
                  </w:r>
                </w:p>
              </w:tc>
              <w:tc>
                <w:tcPr>
                  <w:tcW w:w="884" w:type="dxa"/>
                  <w:vMerge w:val="continue"/>
                  <w:vAlign w:val="center"/>
                </w:tcPr>
                <w:p w14:paraId="3FD6FA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57E2DBB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color w:val="auto"/>
                      <w:spacing w:val="0"/>
                      <w:position w:val="0"/>
                      <w:sz w:val="21"/>
                      <w:szCs w:val="21"/>
                      <w:lang w:eastAsia="zh-CN"/>
                    </w:rPr>
                  </w:pPr>
                  <w:r>
                    <w:rPr>
                      <w:rFonts w:hint="eastAsia" w:ascii="Times New Roman" w:hAnsi="Times New Roman" w:cs="Times New Roman"/>
                      <w:b w:val="0"/>
                      <w:bCs/>
                      <w:color w:val="auto"/>
                      <w:spacing w:val="0"/>
                      <w:position w:val="0"/>
                      <w:sz w:val="21"/>
                      <w:szCs w:val="21"/>
                      <w:lang w:eastAsia="zh-CN"/>
                    </w:rPr>
                    <w:t>盐酸（</w:t>
                  </w:r>
                  <w:r>
                    <w:rPr>
                      <w:rFonts w:hint="eastAsia" w:ascii="Times New Roman" w:hAnsi="Times New Roman" w:cs="Times New Roman"/>
                      <w:b w:val="0"/>
                      <w:bCs/>
                      <w:color w:val="auto"/>
                      <w:spacing w:val="0"/>
                      <w:position w:val="0"/>
                      <w:sz w:val="21"/>
                      <w:szCs w:val="21"/>
                      <w:lang w:val="en-US" w:eastAsia="zh-CN"/>
                    </w:rPr>
                    <w:t>31%</w:t>
                  </w:r>
                  <w:r>
                    <w:rPr>
                      <w:rFonts w:hint="eastAsia" w:ascii="Times New Roman" w:hAnsi="Times New Roman" w:cs="Times New Roman"/>
                      <w:b w:val="0"/>
                      <w:bCs/>
                      <w:color w:val="auto"/>
                      <w:spacing w:val="0"/>
                      <w:position w:val="0"/>
                      <w:sz w:val="21"/>
                      <w:szCs w:val="21"/>
                      <w:lang w:eastAsia="zh-CN"/>
                    </w:rPr>
                    <w:t>）</w:t>
                  </w:r>
                </w:p>
              </w:tc>
              <w:tc>
                <w:tcPr>
                  <w:tcW w:w="1061" w:type="dxa"/>
                  <w:vAlign w:val="center"/>
                </w:tcPr>
                <w:p w14:paraId="304A613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25kg/桶</w:t>
                  </w:r>
                </w:p>
              </w:tc>
              <w:tc>
                <w:tcPr>
                  <w:tcW w:w="923" w:type="dxa"/>
                  <w:vAlign w:val="center"/>
                </w:tcPr>
                <w:p w14:paraId="1E58174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0.0820</w:t>
                  </w:r>
                </w:p>
              </w:tc>
              <w:tc>
                <w:tcPr>
                  <w:tcW w:w="1302" w:type="dxa"/>
                  <w:vAlign w:val="center"/>
                </w:tcPr>
                <w:p w14:paraId="1329414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0.025</w:t>
                  </w:r>
                </w:p>
              </w:tc>
            </w:tr>
            <w:tr w14:paraId="7EDA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512" w:type="dxa"/>
                  <w:vAlign w:val="center"/>
                </w:tcPr>
                <w:p w14:paraId="4EE50FC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5</w:t>
                  </w:r>
                </w:p>
              </w:tc>
              <w:tc>
                <w:tcPr>
                  <w:tcW w:w="884" w:type="dxa"/>
                  <w:vMerge w:val="continue"/>
                  <w:vAlign w:val="center"/>
                </w:tcPr>
                <w:p w14:paraId="51DBDC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p>
              </w:tc>
              <w:tc>
                <w:tcPr>
                  <w:tcW w:w="3196" w:type="dxa"/>
                  <w:vAlign w:val="center"/>
                </w:tcPr>
                <w:p w14:paraId="11F8E63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石灰</w:t>
                  </w:r>
                </w:p>
              </w:tc>
              <w:tc>
                <w:tcPr>
                  <w:tcW w:w="1061" w:type="dxa"/>
                  <w:vAlign w:val="center"/>
                </w:tcPr>
                <w:p w14:paraId="21602E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rPr>
                  </w:pPr>
                  <w:r>
                    <w:rPr>
                      <w:rFonts w:hint="eastAsia" w:ascii="Times New Roman" w:hAnsi="Times New Roman" w:cs="Times New Roman"/>
                      <w:b w:val="0"/>
                      <w:bCs/>
                      <w:color w:val="auto"/>
                      <w:spacing w:val="0"/>
                      <w:position w:val="0"/>
                      <w:sz w:val="21"/>
                      <w:szCs w:val="21"/>
                      <w:lang w:val="en-US" w:eastAsia="zh-CN"/>
                    </w:rPr>
                    <w:t>25kg/袋</w:t>
                  </w:r>
                </w:p>
              </w:tc>
              <w:tc>
                <w:tcPr>
                  <w:tcW w:w="923" w:type="dxa"/>
                  <w:vAlign w:val="center"/>
                </w:tcPr>
                <w:p w14:paraId="6621DA97">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0.7</w:t>
                  </w:r>
                </w:p>
              </w:tc>
              <w:tc>
                <w:tcPr>
                  <w:tcW w:w="1302" w:type="dxa"/>
                  <w:vAlign w:val="center"/>
                </w:tcPr>
                <w:p w14:paraId="204643DB">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0.175</w:t>
                  </w:r>
                </w:p>
              </w:tc>
            </w:tr>
            <w:tr w14:paraId="4855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512" w:type="dxa"/>
                  <w:vAlign w:val="center"/>
                </w:tcPr>
                <w:p w14:paraId="4476E76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1</w:t>
                  </w:r>
                </w:p>
              </w:tc>
              <w:tc>
                <w:tcPr>
                  <w:tcW w:w="884" w:type="dxa"/>
                  <w:vAlign w:val="center"/>
                </w:tcPr>
                <w:p w14:paraId="2D78C6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柴油发电机</w:t>
                  </w:r>
                </w:p>
              </w:tc>
              <w:tc>
                <w:tcPr>
                  <w:tcW w:w="3196" w:type="dxa"/>
                  <w:vAlign w:val="center"/>
                </w:tcPr>
                <w:p w14:paraId="7A2DD8B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柴油</w:t>
                  </w:r>
                </w:p>
              </w:tc>
              <w:tc>
                <w:tcPr>
                  <w:tcW w:w="1061" w:type="dxa"/>
                  <w:vAlign w:val="center"/>
                </w:tcPr>
                <w:p w14:paraId="67E9D39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color w:val="auto"/>
                      <w:spacing w:val="0"/>
                      <w:position w:val="0"/>
                      <w:sz w:val="21"/>
                      <w:szCs w:val="21"/>
                      <w:lang w:val="en-US" w:eastAsia="zh-CN"/>
                    </w:rPr>
                  </w:pPr>
                  <w:r>
                    <w:rPr>
                      <w:rFonts w:hint="eastAsia" w:cs="Times New Roman"/>
                      <w:b w:val="0"/>
                      <w:bCs/>
                      <w:color w:val="auto"/>
                      <w:spacing w:val="0"/>
                      <w:position w:val="0"/>
                      <w:sz w:val="21"/>
                      <w:szCs w:val="21"/>
                      <w:lang w:val="en-US" w:eastAsia="zh-CN"/>
                    </w:rPr>
                    <w:t>/</w:t>
                  </w:r>
                </w:p>
              </w:tc>
              <w:tc>
                <w:tcPr>
                  <w:tcW w:w="923" w:type="dxa"/>
                  <w:vAlign w:val="center"/>
                </w:tcPr>
                <w:p w14:paraId="4445586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0.3</w:t>
                  </w:r>
                </w:p>
              </w:tc>
              <w:tc>
                <w:tcPr>
                  <w:tcW w:w="1302" w:type="dxa"/>
                  <w:vAlign w:val="center"/>
                </w:tcPr>
                <w:p w14:paraId="2C24968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0.3</w:t>
                  </w:r>
                </w:p>
              </w:tc>
            </w:tr>
          </w:tbl>
          <w:p w14:paraId="1EE28C50">
            <w:pPr>
              <w:pStyle w:val="141"/>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pacing w:val="0"/>
                <w:position w:val="0"/>
                <w:sz w:val="21"/>
                <w:szCs w:val="21"/>
              </w:rPr>
            </w:pPr>
            <w:r>
              <w:rPr>
                <w:rFonts w:hint="eastAsia"/>
                <w:b/>
                <w:bCs/>
                <w:color w:val="auto"/>
                <w:sz w:val="21"/>
                <w:szCs w:val="21"/>
                <w:lang w:val="en-US" w:eastAsia="zh-CN"/>
              </w:rPr>
              <w:t>注：本项目不涉及制氧</w:t>
            </w:r>
            <w:r>
              <w:rPr>
                <w:rFonts w:hint="eastAsia"/>
                <w:color w:val="auto"/>
                <w:sz w:val="21"/>
                <w:szCs w:val="21"/>
                <w:lang w:val="en-US" w:eastAsia="zh-CN"/>
              </w:rPr>
              <w:t>。</w:t>
            </w:r>
          </w:p>
          <w:p w14:paraId="5CA8C786">
            <w:pPr>
              <w:pStyle w:val="141"/>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cs="Times New Roman"/>
                <w:color w:val="auto"/>
                <w:spacing w:val="0"/>
                <w:position w:val="0"/>
                <w:sz w:val="24"/>
              </w:rPr>
            </w:pPr>
            <w:r>
              <w:rPr>
                <w:rFonts w:hint="default" w:ascii="Times New Roman" w:hAnsi="Times New Roman" w:cs="Times New Roman"/>
                <w:color w:val="auto"/>
                <w:spacing w:val="0"/>
                <w:position w:val="0"/>
                <w:sz w:val="24"/>
              </w:rPr>
              <w:t>主要原辅材料理化及毒理性质汇总见表2-</w:t>
            </w:r>
            <w:r>
              <w:rPr>
                <w:rFonts w:hint="eastAsia" w:ascii="Times New Roman" w:hAnsi="Times New Roman" w:cs="Times New Roman"/>
                <w:color w:val="auto"/>
                <w:spacing w:val="0"/>
                <w:position w:val="0"/>
                <w:sz w:val="24"/>
                <w:lang w:val="en-US" w:eastAsia="zh-CN"/>
              </w:rPr>
              <w:t>4</w:t>
            </w:r>
            <w:r>
              <w:rPr>
                <w:rFonts w:hint="default" w:ascii="Times New Roman" w:hAnsi="Times New Roman" w:cs="Times New Roman"/>
                <w:color w:val="auto"/>
                <w:spacing w:val="0"/>
                <w:position w:val="0"/>
                <w:sz w:val="24"/>
              </w:rPr>
              <w:t>。</w:t>
            </w:r>
          </w:p>
          <w:p w14:paraId="0DFE099B">
            <w:pPr>
              <w:bidi w:val="0"/>
              <w:spacing w:line="240" w:lineRule="auto"/>
              <w:jc w:val="center"/>
              <w:rPr>
                <w:rFonts w:hint="default"/>
                <w:b/>
                <w:bCs/>
                <w:sz w:val="21"/>
                <w:szCs w:val="21"/>
                <w:lang w:val="en-US" w:eastAsia="zh-CN"/>
              </w:rPr>
            </w:pPr>
            <w:r>
              <w:rPr>
                <w:rFonts w:hint="default"/>
                <w:b/>
                <w:bCs/>
                <w:sz w:val="21"/>
                <w:szCs w:val="21"/>
                <w:lang w:val="en-US" w:eastAsia="zh-CN"/>
              </w:rPr>
              <w:t>表2-4主要原辅材料及产品理化特性、毒理毒性</w:t>
            </w:r>
          </w:p>
          <w:tbl>
            <w:tblPr>
              <w:tblStyle w:val="142"/>
              <w:tblW w:w="7878"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614"/>
              <w:gridCol w:w="805"/>
              <w:gridCol w:w="4396"/>
              <w:gridCol w:w="2063"/>
            </w:tblGrid>
            <w:tr w14:paraId="0E27578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PrEx>
              <w:trPr>
                <w:trHeight w:val="312" w:hRule="atLeast"/>
                <w:jc w:val="center"/>
              </w:trPr>
              <w:tc>
                <w:tcPr>
                  <w:tcW w:w="614" w:type="dxa"/>
                  <w:vAlign w:val="center"/>
                </w:tcPr>
                <w:p w14:paraId="1A65867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805" w:type="dxa"/>
                  <w:vAlign w:val="center"/>
                </w:tcPr>
                <w:p w14:paraId="48383A8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名称</w:t>
                  </w:r>
                </w:p>
              </w:tc>
              <w:tc>
                <w:tcPr>
                  <w:tcW w:w="4396" w:type="dxa"/>
                  <w:vAlign w:val="center"/>
                </w:tcPr>
                <w:p w14:paraId="66E3886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理化性质</w:t>
                  </w:r>
                </w:p>
              </w:tc>
              <w:tc>
                <w:tcPr>
                  <w:tcW w:w="2063" w:type="dxa"/>
                  <w:vAlign w:val="center"/>
                </w:tcPr>
                <w:p w14:paraId="3338BBC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毒性毒理</w:t>
                  </w:r>
                </w:p>
              </w:tc>
            </w:tr>
            <w:tr w14:paraId="07A1838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069" w:hRule="atLeast"/>
                <w:jc w:val="center"/>
              </w:trPr>
              <w:tc>
                <w:tcPr>
                  <w:tcW w:w="614" w:type="dxa"/>
                  <w:vAlign w:val="center"/>
                </w:tcPr>
                <w:p w14:paraId="5B8C9D28">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kern w:val="2"/>
                      <w:position w:val="0"/>
                      <w:sz w:val="21"/>
                      <w:szCs w:val="21"/>
                      <w:lang w:val="en-US" w:eastAsia="zh-CN" w:bidi="ar-SA"/>
                    </w:rPr>
                  </w:pPr>
                  <w:r>
                    <w:rPr>
                      <w:rFonts w:hint="eastAsia" w:ascii="Times New Roman" w:hAnsi="Times New Roman" w:eastAsia="宋体" w:cs="Times New Roman"/>
                      <w:color w:val="auto"/>
                      <w:spacing w:val="0"/>
                      <w:position w:val="0"/>
                      <w:sz w:val="21"/>
                      <w:szCs w:val="21"/>
                      <w:lang w:val="en-US" w:eastAsia="zh-CN"/>
                    </w:rPr>
                    <w:t>1</w:t>
                  </w:r>
                </w:p>
              </w:tc>
              <w:tc>
                <w:tcPr>
                  <w:tcW w:w="805" w:type="dxa"/>
                  <w:vAlign w:val="center"/>
                </w:tcPr>
                <w:p w14:paraId="7E6CB6A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kern w:val="2"/>
                      <w:position w:val="0"/>
                      <w:sz w:val="21"/>
                      <w:szCs w:val="21"/>
                      <w:lang w:val="en-US" w:eastAsia="en-US" w:bidi="ar-SA"/>
                    </w:rPr>
                  </w:pPr>
                  <w:r>
                    <w:rPr>
                      <w:rFonts w:hint="default" w:ascii="Times New Roman" w:hAnsi="Times New Roman" w:eastAsia="宋体" w:cs="Times New Roman"/>
                      <w:color w:val="auto"/>
                      <w:spacing w:val="0"/>
                      <w:position w:val="0"/>
                      <w:sz w:val="21"/>
                      <w:szCs w:val="21"/>
                    </w:rPr>
                    <w:t>酒精</w:t>
                  </w:r>
                </w:p>
              </w:tc>
              <w:tc>
                <w:tcPr>
                  <w:tcW w:w="4396" w:type="dxa"/>
                  <w:vAlign w:val="center"/>
                </w:tcPr>
                <w:p w14:paraId="7A66103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kern w:val="2"/>
                      <w:position w:val="0"/>
                      <w:sz w:val="21"/>
                      <w:szCs w:val="21"/>
                      <w:lang w:val="en-US" w:eastAsia="en-US" w:bidi="ar-SA"/>
                    </w:rPr>
                  </w:pPr>
                  <w:r>
                    <w:rPr>
                      <w:rFonts w:hint="default" w:ascii="Times New Roman" w:hAnsi="Times New Roman" w:eastAsia="宋体" w:cs="Times New Roman"/>
                      <w:color w:val="auto"/>
                      <w:spacing w:val="0"/>
                      <w:position w:val="0"/>
                      <w:sz w:val="21"/>
                      <w:szCs w:val="21"/>
                    </w:rPr>
                    <w:t>无色透明</w:t>
                  </w:r>
                  <w:r>
                    <w:rPr>
                      <w:rFonts w:hint="eastAsia" w:ascii="Times New Roman" w:hAnsi="Times New Roman" w:cs="Times New Roman"/>
                      <w:color w:val="auto"/>
                      <w:spacing w:val="0"/>
                      <w:position w:val="0"/>
                      <w:sz w:val="21"/>
                      <w:szCs w:val="21"/>
                      <w:lang w:eastAsia="zh-CN"/>
                    </w:rPr>
                    <w:t>液体</w:t>
                  </w:r>
                  <w:r>
                    <w:rPr>
                      <w:rFonts w:hint="default" w:ascii="Times New Roman" w:hAnsi="Times New Roman" w:eastAsia="宋体" w:cs="Times New Roman"/>
                      <w:color w:val="auto"/>
                      <w:spacing w:val="0"/>
                      <w:position w:val="0"/>
                      <w:sz w:val="21"/>
                      <w:szCs w:val="21"/>
                    </w:rPr>
                    <w:t>、易挥发，易燃烧，不导电</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有刺激的辛辣滋味，微甘。凝固点-117.3℃。沸点78.2℃。能与水、甲醇、乙醚和氯仿等以任何比例混溶。有吸湿性。与水能形成共沸混合物，共沸点 78.15℃。乙醇蒸气与空气混合能引起爆炸，爆炸极限浓度3.5-18.0%（W）。酒精在70%（V）时，对于细菌具有强烈的杀伤作用，也可以作防腐剂，溶剂等。处于临界状态（243℃、60kg/CM-CM）时的乙醇，有极强烈的溶解能力，可</w:t>
                  </w:r>
                  <w:r>
                    <w:rPr>
                      <w:rFonts w:hint="eastAsia" w:ascii="Times New Roman" w:hAnsi="Times New Roman" w:cs="Times New Roman"/>
                      <w:color w:val="auto"/>
                      <w:spacing w:val="0"/>
                      <w:position w:val="0"/>
                      <w:sz w:val="21"/>
                      <w:szCs w:val="21"/>
                      <w:lang w:eastAsia="zh-CN"/>
                    </w:rPr>
                    <w:t>实现超临界萃取</w:t>
                  </w:r>
                  <w:r>
                    <w:rPr>
                      <w:rFonts w:hint="default" w:ascii="Times New Roman" w:hAnsi="Times New Roman" w:eastAsia="宋体" w:cs="Times New Roman"/>
                      <w:color w:val="auto"/>
                      <w:spacing w:val="0"/>
                      <w:position w:val="0"/>
                      <w:sz w:val="21"/>
                      <w:szCs w:val="21"/>
                    </w:rPr>
                    <w:t>。</w:t>
                  </w:r>
                </w:p>
              </w:tc>
              <w:tc>
                <w:tcPr>
                  <w:tcW w:w="2063" w:type="dxa"/>
                  <w:vAlign w:val="center"/>
                </w:tcPr>
                <w:p w14:paraId="3188028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kern w:val="2"/>
                      <w:position w:val="0"/>
                      <w:sz w:val="21"/>
                      <w:szCs w:val="21"/>
                      <w:lang w:val="en-US" w:eastAsia="en-US" w:bidi="ar-SA"/>
                    </w:rPr>
                  </w:pPr>
                  <w:r>
                    <w:rPr>
                      <w:rFonts w:hint="default" w:ascii="Times New Roman" w:hAnsi="Times New Roman" w:eastAsia="宋体" w:cs="Times New Roman"/>
                      <w:color w:val="auto"/>
                      <w:spacing w:val="0"/>
                      <w:position w:val="0"/>
                      <w:sz w:val="21"/>
                      <w:szCs w:val="21"/>
                    </w:rPr>
                    <w:t>LD50：7060mg/kg（兔经口）；7430mg/kg（兔经皮）</w:t>
                  </w:r>
                  <w:r>
                    <w:rPr>
                      <w:rFonts w:hint="eastAsia" w:ascii="Times New Roman" w:hAnsi="Times New Roman" w:cs="Times New Roman"/>
                      <w:color w:val="auto"/>
                      <w:spacing w:val="0"/>
                      <w:position w:val="0"/>
                      <w:sz w:val="21"/>
                      <w:szCs w:val="21"/>
                      <w:lang w:eastAsia="zh-CN"/>
                    </w:rPr>
                    <w:t>；</w:t>
                  </w:r>
                  <w:r>
                    <w:rPr>
                      <w:rFonts w:hint="default" w:ascii="Times New Roman" w:hAnsi="Times New Roman" w:eastAsia="宋体" w:cs="Times New Roman"/>
                      <w:color w:val="auto"/>
                      <w:spacing w:val="0"/>
                      <w:position w:val="0"/>
                      <w:sz w:val="21"/>
                      <w:szCs w:val="21"/>
                    </w:rPr>
                    <w:t>LC50：37620mg/m</w:t>
                  </w:r>
                  <w:r>
                    <w:rPr>
                      <w:rFonts w:hint="default" w:ascii="Times New Roman" w:hAnsi="Times New Roman" w:eastAsia="宋体" w:cs="Times New Roman"/>
                      <w:color w:val="auto"/>
                      <w:spacing w:val="0"/>
                      <w:position w:val="0"/>
                      <w:sz w:val="21"/>
                      <w:szCs w:val="21"/>
                      <w:vertAlign w:val="superscript"/>
                    </w:rPr>
                    <w:t>3</w:t>
                  </w:r>
                  <w:r>
                    <w:rPr>
                      <w:rFonts w:hint="default" w:ascii="Times New Roman" w:hAnsi="Times New Roman" w:eastAsia="宋体" w:cs="Times New Roman"/>
                      <w:color w:val="auto"/>
                      <w:spacing w:val="0"/>
                      <w:position w:val="0"/>
                      <w:sz w:val="21"/>
                      <w:szCs w:val="21"/>
                    </w:rPr>
                    <w:t>，10小时（大鼠吸入）。</w:t>
                  </w:r>
                </w:p>
              </w:tc>
            </w:tr>
            <w:tr w14:paraId="251248A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150" w:hRule="atLeast"/>
                <w:jc w:val="center"/>
              </w:trPr>
              <w:tc>
                <w:tcPr>
                  <w:tcW w:w="614" w:type="dxa"/>
                  <w:vAlign w:val="center"/>
                </w:tcPr>
                <w:p w14:paraId="2E064AF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position w:val="0"/>
                      <w:sz w:val="21"/>
                      <w:szCs w:val="21"/>
                      <w:lang w:eastAsia="zh-CN"/>
                    </w:rPr>
                  </w:pPr>
                  <w:r>
                    <w:rPr>
                      <w:rFonts w:hint="eastAsia" w:ascii="Times New Roman" w:hAnsi="Times New Roman" w:cs="Times New Roman"/>
                      <w:color w:val="auto"/>
                      <w:spacing w:val="0"/>
                      <w:position w:val="0"/>
                      <w:sz w:val="21"/>
                      <w:szCs w:val="21"/>
                      <w:lang w:val="en-US" w:eastAsia="zh-CN"/>
                    </w:rPr>
                    <w:t>2</w:t>
                  </w:r>
                </w:p>
              </w:tc>
              <w:tc>
                <w:tcPr>
                  <w:tcW w:w="805" w:type="dxa"/>
                  <w:vAlign w:val="center"/>
                </w:tcPr>
                <w:p w14:paraId="59BC098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position w:val="0"/>
                      <w:sz w:val="21"/>
                      <w:szCs w:val="21"/>
                    </w:rPr>
                  </w:pPr>
                  <w:r>
                    <w:rPr>
                      <w:rFonts w:hint="eastAsia" w:ascii="Times New Roman" w:hAnsi="Times New Roman" w:cs="Times New Roman"/>
                      <w:color w:val="auto"/>
                      <w:spacing w:val="0"/>
                      <w:position w:val="0"/>
                      <w:sz w:val="21"/>
                      <w:szCs w:val="21"/>
                      <w:lang w:eastAsia="zh-CN"/>
                    </w:rPr>
                    <w:t>氧气</w:t>
                  </w:r>
                </w:p>
              </w:tc>
              <w:tc>
                <w:tcPr>
                  <w:tcW w:w="4396" w:type="dxa"/>
                  <w:vAlign w:val="center"/>
                </w:tcPr>
                <w:p w14:paraId="7817BED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default" w:ascii="Times New Roman" w:hAnsi="Times New Roman" w:eastAsia="宋体" w:cs="Times New Roman"/>
                      <w:color w:val="auto"/>
                      <w:spacing w:val="0"/>
                      <w:position w:val="0"/>
                      <w:sz w:val="21"/>
                      <w:szCs w:val="21"/>
                    </w:rPr>
                  </w:pPr>
                  <w:r>
                    <w:rPr>
                      <w:rFonts w:hint="default" w:ascii="Times New Roman" w:hAnsi="Times New Roman" w:eastAsia="宋体" w:cs="Times New Roman"/>
                      <w:b w:val="0"/>
                      <w:bCs/>
                      <w:color w:val="auto"/>
                      <w:sz w:val="21"/>
                      <w:szCs w:val="21"/>
                    </w:rPr>
                    <w:t>无色无味气体。熔点-218.4℃，沸点-183℃。不易溶于水，1L水中溶解约30mL氧气。在空气中氧气约占21%。液氧为天蓝色。固氧为蓝色晶体。常温下不很活泼，与许多物质都不易作用。</w:t>
                  </w:r>
                </w:p>
              </w:tc>
              <w:tc>
                <w:tcPr>
                  <w:tcW w:w="2063" w:type="dxa"/>
                  <w:vAlign w:val="center"/>
                </w:tcPr>
                <w:p w14:paraId="341D73EE">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auto"/>
                      <w:spacing w:val="0"/>
                      <w:position w:val="0"/>
                      <w:sz w:val="21"/>
                      <w:szCs w:val="21"/>
                    </w:rPr>
                  </w:pPr>
                  <w:r>
                    <w:rPr>
                      <w:rFonts w:hint="eastAsia"/>
                      <w:b w:val="0"/>
                      <w:bCs/>
                      <w:color w:val="auto"/>
                      <w:sz w:val="21"/>
                      <w:szCs w:val="21"/>
                      <w:lang w:val="en-US" w:eastAsia="zh-CN"/>
                    </w:rPr>
                    <w:t>/</w:t>
                  </w:r>
                </w:p>
              </w:tc>
            </w:tr>
            <w:tr w14:paraId="33D9AC8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614" w:type="dxa"/>
                  <w:vAlign w:val="center"/>
                </w:tcPr>
                <w:p w14:paraId="208F682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3</w:t>
                  </w:r>
                </w:p>
              </w:tc>
              <w:tc>
                <w:tcPr>
                  <w:tcW w:w="805" w:type="dxa"/>
                  <w:vAlign w:val="center"/>
                </w:tcPr>
                <w:p w14:paraId="5C4317DC">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pacing w:val="0"/>
                      <w:position w:val="0"/>
                      <w:sz w:val="21"/>
                      <w:szCs w:val="21"/>
                      <w:lang w:eastAsia="zh-CN"/>
                    </w:rPr>
                  </w:pPr>
                  <w:r>
                    <w:rPr>
                      <w:rFonts w:hint="eastAsia" w:ascii="Times New Roman" w:hAnsi="Times New Roman" w:cs="Times New Roman"/>
                      <w:b w:val="0"/>
                      <w:bCs/>
                      <w:color w:val="auto"/>
                      <w:spacing w:val="0"/>
                      <w:position w:val="0"/>
                      <w:sz w:val="21"/>
                      <w:szCs w:val="21"/>
                      <w:lang w:eastAsia="zh-CN"/>
                    </w:rPr>
                    <w:t>亚氯酸钠</w:t>
                  </w:r>
                </w:p>
              </w:tc>
              <w:tc>
                <w:tcPr>
                  <w:tcW w:w="4396" w:type="dxa"/>
                  <w:vAlign w:val="center"/>
                </w:tcPr>
                <w:p w14:paraId="330D2C3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白色结晶或结晶粉末。稍有吸湿性。熔点（ºC）：1805</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沸点（ºC，常压）：1906</w:t>
                  </w:r>
                  <w:r>
                    <w:rPr>
                      <w:rFonts w:hint="eastAsia" w:cs="Times New Roman"/>
                      <w:b w:val="0"/>
                      <w:bCs/>
                      <w:color w:val="auto"/>
                      <w:sz w:val="21"/>
                      <w:szCs w:val="21"/>
                      <w:lang w:eastAsia="zh-CN"/>
                    </w:rPr>
                    <w:t>，</w:t>
                  </w:r>
                  <w:r>
                    <w:rPr>
                      <w:rFonts w:hint="default" w:ascii="Times New Roman" w:hAnsi="Times New Roman" w:eastAsia="宋体" w:cs="Times New Roman"/>
                      <w:b w:val="0"/>
                      <w:bCs/>
                      <w:color w:val="auto"/>
                      <w:sz w:val="21"/>
                      <w:szCs w:val="21"/>
                    </w:rPr>
                    <w:t>易溶于水和醇</w:t>
                  </w:r>
                  <w:r>
                    <w:rPr>
                      <w:rFonts w:hint="eastAsia" w:cs="Times New Roman"/>
                      <w:b w:val="0"/>
                      <w:bCs/>
                      <w:color w:val="auto"/>
                      <w:sz w:val="21"/>
                      <w:szCs w:val="21"/>
                      <w:lang w:eastAsia="zh-CN"/>
                    </w:rPr>
                    <w:t>。</w:t>
                  </w:r>
                </w:p>
              </w:tc>
              <w:tc>
                <w:tcPr>
                  <w:tcW w:w="2063" w:type="dxa"/>
                  <w:vAlign w:val="center"/>
                </w:tcPr>
                <w:p w14:paraId="102F0593">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LD50：166mg/kg（大鼠经口）</w:t>
                  </w:r>
                </w:p>
              </w:tc>
            </w:tr>
            <w:tr w14:paraId="232C11C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614" w:type="dxa"/>
                  <w:vAlign w:val="center"/>
                </w:tcPr>
                <w:p w14:paraId="3228E0C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4</w:t>
                  </w:r>
                </w:p>
              </w:tc>
              <w:tc>
                <w:tcPr>
                  <w:tcW w:w="805" w:type="dxa"/>
                  <w:vAlign w:val="center"/>
                </w:tcPr>
                <w:p w14:paraId="1D7074CB">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pacing w:val="0"/>
                      <w:position w:val="0"/>
                      <w:sz w:val="21"/>
                      <w:szCs w:val="21"/>
                      <w:lang w:eastAsia="zh-CN"/>
                    </w:rPr>
                  </w:pPr>
                  <w:r>
                    <w:rPr>
                      <w:rFonts w:hint="eastAsia" w:ascii="Times New Roman" w:hAnsi="Times New Roman" w:cs="Times New Roman"/>
                      <w:b w:val="0"/>
                      <w:bCs/>
                      <w:color w:val="auto"/>
                      <w:spacing w:val="0"/>
                      <w:position w:val="0"/>
                      <w:sz w:val="21"/>
                      <w:szCs w:val="21"/>
                      <w:lang w:eastAsia="zh-CN"/>
                    </w:rPr>
                    <w:t>盐酸</w:t>
                  </w:r>
                </w:p>
              </w:tc>
              <w:tc>
                <w:tcPr>
                  <w:tcW w:w="4396" w:type="dxa"/>
                  <w:vAlign w:val="center"/>
                </w:tcPr>
                <w:p w14:paraId="342271A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分子式：HCl；分子量：36.46；熔点-114.8℃；相对密度（水=1）：1.2（空气=1）：1.26；无色或微黄色发烟液体，有刺鼻的酸味；与水混溶，工业级盐酸</w:t>
                  </w:r>
                  <w:r>
                    <w:rPr>
                      <w:rFonts w:hint="eastAsia" w:cs="Times New Roman"/>
                      <w:b w:val="0"/>
                      <w:bCs/>
                      <w:color w:val="auto"/>
                      <w:sz w:val="21"/>
                      <w:szCs w:val="21"/>
                      <w:lang w:eastAsia="zh-CN"/>
                    </w:rPr>
                    <w:t>为</w:t>
                  </w:r>
                  <w:r>
                    <w:rPr>
                      <w:rFonts w:hint="default" w:ascii="Times New Roman" w:hAnsi="Times New Roman" w:eastAsia="宋体" w:cs="Times New Roman"/>
                      <w:b w:val="0"/>
                      <w:bCs/>
                      <w:color w:val="auto"/>
                      <w:sz w:val="21"/>
                      <w:szCs w:val="21"/>
                    </w:rPr>
                    <w:t>31%～36%的氯化氢溶液</w:t>
                  </w:r>
                  <w:r>
                    <w:rPr>
                      <w:rFonts w:hint="eastAsia" w:cs="Times New Roman"/>
                      <w:b w:val="0"/>
                      <w:bCs/>
                      <w:color w:val="auto"/>
                      <w:sz w:val="21"/>
                      <w:szCs w:val="21"/>
                      <w:lang w:eastAsia="zh-CN"/>
                    </w:rPr>
                    <w:t>。</w:t>
                  </w:r>
                </w:p>
              </w:tc>
              <w:tc>
                <w:tcPr>
                  <w:tcW w:w="2063" w:type="dxa"/>
                  <w:vAlign w:val="center"/>
                </w:tcPr>
                <w:p w14:paraId="4028A23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LD50：900mg/kg</w:t>
                  </w:r>
                  <w:r>
                    <w:rPr>
                      <w:rFonts w:hint="default" w:ascii="Times New Roman" w:hAnsi="Times New Roman" w:eastAsia="宋体" w:cs="Times New Roman"/>
                      <w:b w:val="0"/>
                      <w:bCs/>
                      <w:color w:val="auto"/>
                      <w:spacing w:val="0"/>
                      <w:position w:val="0"/>
                      <w:sz w:val="21"/>
                      <w:szCs w:val="21"/>
                    </w:rPr>
                    <w:t>（兔经口）</w:t>
                  </w:r>
                  <w:r>
                    <w:rPr>
                      <w:rFonts w:hint="eastAsia"/>
                      <w:b w:val="0"/>
                      <w:bCs/>
                      <w:color w:val="auto"/>
                      <w:sz w:val="21"/>
                      <w:szCs w:val="21"/>
                      <w:lang w:val="en-US" w:eastAsia="zh-CN"/>
                    </w:rPr>
                    <w:t>；LC50：3124×10</w:t>
                  </w:r>
                  <w:r>
                    <w:rPr>
                      <w:rFonts w:hint="eastAsia"/>
                      <w:b w:val="0"/>
                      <w:bCs/>
                      <w:color w:val="auto"/>
                      <w:sz w:val="21"/>
                      <w:szCs w:val="21"/>
                      <w:vertAlign w:val="superscript"/>
                      <w:lang w:val="en-US" w:eastAsia="zh-CN"/>
                    </w:rPr>
                    <w:t>-6</w:t>
                  </w:r>
                  <w:r>
                    <w:rPr>
                      <w:rFonts w:hint="eastAsia"/>
                      <w:b w:val="0"/>
                      <w:bCs/>
                      <w:color w:val="auto"/>
                      <w:sz w:val="21"/>
                      <w:szCs w:val="21"/>
                      <w:lang w:val="en-US" w:eastAsia="zh-CN"/>
                    </w:rPr>
                    <w:t>mg/m</w:t>
                  </w:r>
                  <w:r>
                    <w:rPr>
                      <w:rFonts w:hint="eastAsia"/>
                      <w:b w:val="0"/>
                      <w:bCs/>
                      <w:color w:val="auto"/>
                      <w:sz w:val="21"/>
                      <w:szCs w:val="21"/>
                      <w:vertAlign w:val="superscript"/>
                      <w:lang w:val="en-US" w:eastAsia="zh-CN"/>
                    </w:rPr>
                    <w:t>3</w:t>
                  </w:r>
                  <w:r>
                    <w:rPr>
                      <w:rFonts w:hint="default" w:ascii="Times New Roman" w:hAnsi="Times New Roman" w:eastAsia="宋体" w:cs="Times New Roman"/>
                      <w:b w:val="0"/>
                      <w:bCs/>
                      <w:color w:val="auto"/>
                      <w:spacing w:val="0"/>
                      <w:position w:val="0"/>
                      <w:sz w:val="21"/>
                      <w:szCs w:val="21"/>
                    </w:rPr>
                    <w:t>（大鼠吸入）</w:t>
                  </w:r>
                </w:p>
              </w:tc>
            </w:tr>
            <w:tr w14:paraId="2A361D2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614" w:type="dxa"/>
                  <w:vAlign w:val="center"/>
                </w:tcPr>
                <w:p w14:paraId="7173FE8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5</w:t>
                  </w:r>
                </w:p>
              </w:tc>
              <w:tc>
                <w:tcPr>
                  <w:tcW w:w="805" w:type="dxa"/>
                  <w:vAlign w:val="center"/>
                </w:tcPr>
                <w:p w14:paraId="2C80BC6E">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pacing w:val="0"/>
                      <w:position w:val="0"/>
                      <w:sz w:val="21"/>
                      <w:szCs w:val="21"/>
                      <w:lang w:eastAsia="zh-CN"/>
                    </w:rPr>
                  </w:pPr>
                  <w:r>
                    <w:rPr>
                      <w:rFonts w:hint="eastAsia" w:ascii="Times New Roman" w:hAnsi="Times New Roman" w:cs="Times New Roman"/>
                      <w:b w:val="0"/>
                      <w:bCs/>
                      <w:color w:val="auto"/>
                      <w:spacing w:val="0"/>
                      <w:position w:val="0"/>
                      <w:sz w:val="21"/>
                      <w:szCs w:val="21"/>
                      <w:lang w:val="en-US" w:eastAsia="zh-CN"/>
                    </w:rPr>
                    <w:t>石灰</w:t>
                  </w:r>
                </w:p>
              </w:tc>
              <w:tc>
                <w:tcPr>
                  <w:tcW w:w="4396" w:type="dxa"/>
                  <w:vAlign w:val="center"/>
                </w:tcPr>
                <w:p w14:paraId="7E9BC6E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中文名：氧化钙；分子式：CaO；分子量：56.08；相对密度(水=1)3.35</w:t>
                  </w:r>
                  <w:r>
                    <w:rPr>
                      <w:rFonts w:hint="eastAsia" w:cs="Times New Roman"/>
                      <w:b w:val="0"/>
                      <w:bCs/>
                      <w:color w:val="auto"/>
                      <w:sz w:val="21"/>
                      <w:szCs w:val="21"/>
                      <w:lang w:eastAsia="zh-CN"/>
                    </w:rPr>
                    <w:t>。</w:t>
                  </w:r>
                </w:p>
              </w:tc>
              <w:tc>
                <w:tcPr>
                  <w:tcW w:w="2063" w:type="dxa"/>
                  <w:vAlign w:val="center"/>
                </w:tcPr>
                <w:p w14:paraId="16221C1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w:t>
                  </w:r>
                </w:p>
              </w:tc>
            </w:tr>
            <w:tr w14:paraId="3ADD9F1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614" w:type="dxa"/>
                  <w:vAlign w:val="center"/>
                </w:tcPr>
                <w:p w14:paraId="1BD5984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position w:val="0"/>
                      <w:sz w:val="21"/>
                      <w:szCs w:val="21"/>
                      <w:lang w:val="en-US" w:eastAsia="zh-CN"/>
                    </w:rPr>
                  </w:pPr>
                  <w:r>
                    <w:rPr>
                      <w:rFonts w:hint="eastAsia" w:ascii="Times New Roman" w:hAnsi="Times New Roman" w:cs="Times New Roman"/>
                      <w:color w:val="auto"/>
                      <w:spacing w:val="0"/>
                      <w:position w:val="0"/>
                      <w:sz w:val="21"/>
                      <w:szCs w:val="21"/>
                      <w:lang w:val="en-US" w:eastAsia="zh-CN"/>
                    </w:rPr>
                    <w:t>6</w:t>
                  </w:r>
                </w:p>
              </w:tc>
              <w:tc>
                <w:tcPr>
                  <w:tcW w:w="805" w:type="dxa"/>
                  <w:vAlign w:val="center"/>
                </w:tcPr>
                <w:p w14:paraId="47D14326">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bCs/>
                      <w:color w:val="auto"/>
                      <w:spacing w:val="0"/>
                      <w:position w:val="0"/>
                      <w:sz w:val="21"/>
                      <w:szCs w:val="21"/>
                      <w:lang w:val="en-US" w:eastAsia="zh-CN"/>
                    </w:rPr>
                  </w:pPr>
                  <w:r>
                    <w:rPr>
                      <w:rFonts w:hint="eastAsia" w:ascii="Times New Roman" w:hAnsi="Times New Roman" w:cs="Times New Roman"/>
                      <w:b w:val="0"/>
                      <w:bCs/>
                      <w:color w:val="auto"/>
                      <w:spacing w:val="0"/>
                      <w:position w:val="0"/>
                      <w:sz w:val="21"/>
                      <w:szCs w:val="21"/>
                      <w:lang w:val="en-US" w:eastAsia="zh-CN"/>
                    </w:rPr>
                    <w:t>柴油</w:t>
                  </w:r>
                </w:p>
              </w:tc>
              <w:tc>
                <w:tcPr>
                  <w:tcW w:w="4396" w:type="dxa"/>
                  <w:vAlign w:val="center"/>
                </w:tcPr>
                <w:p w14:paraId="4EC2751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柴油主要由复杂的烃类混合物组成，碳原子数约为10到22个。它的主要成分包括链烷、环烷和芳烃</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密度范围为0.82到0.87克每毫升</w:t>
                  </w:r>
                  <w:r>
                    <w:rPr>
                      <w:rFonts w:hint="eastAsia" w:cs="Times New Roman"/>
                      <w:b w:val="0"/>
                      <w:bCs/>
                      <w:color w:val="auto"/>
                      <w:sz w:val="21"/>
                      <w:szCs w:val="21"/>
                      <w:lang w:eastAsia="zh-CN"/>
                    </w:rPr>
                    <w:t>。</w:t>
                  </w:r>
                </w:p>
              </w:tc>
              <w:tc>
                <w:tcPr>
                  <w:tcW w:w="2063" w:type="dxa"/>
                  <w:vAlign w:val="center"/>
                </w:tcPr>
                <w:p w14:paraId="00CC0C23">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w:t>
                  </w:r>
                </w:p>
              </w:tc>
            </w:tr>
          </w:tbl>
          <w:p w14:paraId="2600B159">
            <w:pPr>
              <w:ind w:firstLine="482" w:firstLineChars="200"/>
              <w:jc w:val="both"/>
              <w:rPr>
                <w:rFonts w:hint="default" w:eastAsia="宋体" w:cs="Times New Roman"/>
                <w:b/>
                <w:bCs/>
                <w:color w:val="auto"/>
                <w:lang w:val="en-US" w:eastAsia="zh-CN"/>
              </w:rPr>
            </w:pPr>
            <w:r>
              <w:rPr>
                <w:rFonts w:hint="eastAsia" w:cs="Times New Roman"/>
                <w:b/>
                <w:bCs/>
                <w:color w:val="auto"/>
                <w:lang w:val="en-US" w:eastAsia="zh-CN"/>
              </w:rPr>
              <w:t>4、主要生产设备</w:t>
            </w:r>
          </w:p>
          <w:p w14:paraId="2E690602">
            <w:pPr>
              <w:bidi w:val="0"/>
              <w:spacing w:line="240" w:lineRule="auto"/>
              <w:jc w:val="center"/>
              <w:rPr>
                <w:rFonts w:hint="eastAsia"/>
                <w:b/>
                <w:bCs/>
                <w:sz w:val="21"/>
                <w:szCs w:val="21"/>
                <w:lang w:val="en-US" w:eastAsia="zh-CN"/>
              </w:rPr>
            </w:pPr>
            <w:r>
              <w:rPr>
                <w:rFonts w:hint="default"/>
                <w:b/>
                <w:bCs/>
                <w:sz w:val="21"/>
                <w:szCs w:val="21"/>
                <w:lang w:val="en-US" w:eastAsia="zh-CN"/>
              </w:rPr>
              <w:t>表2-5</w:t>
            </w:r>
            <w:r>
              <w:rPr>
                <w:rFonts w:hint="eastAsia"/>
                <w:b/>
                <w:bCs/>
                <w:sz w:val="21"/>
                <w:szCs w:val="21"/>
                <w:lang w:val="en-US" w:eastAsia="zh-CN"/>
              </w:rPr>
              <w:t>主要生产设备相关信息一览表</w:t>
            </w:r>
          </w:p>
          <w:tbl>
            <w:tblPr>
              <w:tblStyle w:val="28"/>
              <w:tblW w:w="78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8"/>
              <w:gridCol w:w="4245"/>
              <w:gridCol w:w="878"/>
              <w:gridCol w:w="1827"/>
            </w:tblGrid>
            <w:tr w14:paraId="0525F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2CB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A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设备名称</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F1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数量</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6F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所在科室</w:t>
                  </w:r>
                </w:p>
              </w:tc>
            </w:tr>
            <w:tr w14:paraId="18659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2A3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5B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欧普兰尿液分析仪</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60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B1D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检验科</w:t>
                  </w:r>
                </w:p>
              </w:tc>
            </w:tr>
            <w:tr w14:paraId="0B8F8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22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F25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博科全自动生化分析仪</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F2B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2D6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检验科</w:t>
                  </w:r>
                </w:p>
              </w:tc>
            </w:tr>
            <w:tr w14:paraId="29C7B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49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636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特康全自动血细胞分析仪</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87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7C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检验科</w:t>
                  </w:r>
                </w:p>
              </w:tc>
            </w:tr>
            <w:tr w14:paraId="22F04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C33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71E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DR数字X光探测器</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D4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00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DR室</w:t>
                  </w:r>
                </w:p>
              </w:tc>
            </w:tr>
            <w:tr w14:paraId="353DB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301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EF7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多功能麻醉机</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F1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5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手术室</w:t>
                  </w:r>
                </w:p>
              </w:tc>
            </w:tr>
            <w:tr w14:paraId="5910D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2B0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63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电动吸引器</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F02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74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手术室</w:t>
                  </w:r>
                </w:p>
              </w:tc>
            </w:tr>
            <w:tr w14:paraId="1033F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7C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842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脉动真空灭菌器</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1B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292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手术室</w:t>
                  </w:r>
                </w:p>
              </w:tc>
            </w:tr>
            <w:tr w14:paraId="683DE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8A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688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裂隙灯</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B22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r>
                    <w:rPr>
                      <w:rFonts w:hint="default" w:ascii="Times New Roman" w:hAnsi="Times New Roman" w:eastAsia="宋体" w:cs="Times New Roman"/>
                      <w:i w:val="0"/>
                      <w:iCs w:val="0"/>
                      <w:color w:val="auto"/>
                      <w:kern w:val="0"/>
                      <w:sz w:val="21"/>
                      <w:szCs w:val="21"/>
                      <w:u w:val="none"/>
                      <w:lang w:val="en-US" w:eastAsia="zh-CN" w:bidi="ar"/>
                    </w:rPr>
                    <w:t>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89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诊室</w:t>
                  </w:r>
                </w:p>
              </w:tc>
            </w:tr>
            <w:tr w14:paraId="0C0FD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11F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12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眼底</w:t>
                  </w:r>
                  <w:r>
                    <w:rPr>
                      <w:rFonts w:hint="eastAsia" w:cs="Times New Roman"/>
                      <w:i w:val="0"/>
                      <w:iCs w:val="0"/>
                      <w:color w:val="auto"/>
                      <w:kern w:val="0"/>
                      <w:sz w:val="21"/>
                      <w:szCs w:val="21"/>
                      <w:u w:val="none"/>
                      <w:lang w:val="en-US" w:eastAsia="zh-CN" w:bidi="ar"/>
                    </w:rPr>
                    <w:t>荧光</w:t>
                  </w:r>
                  <w:r>
                    <w:rPr>
                      <w:rFonts w:hint="default" w:ascii="Times New Roman" w:hAnsi="Times New Roman" w:eastAsia="宋体" w:cs="Times New Roman"/>
                      <w:i w:val="0"/>
                      <w:iCs w:val="0"/>
                      <w:color w:val="auto"/>
                      <w:kern w:val="0"/>
                      <w:sz w:val="21"/>
                      <w:szCs w:val="21"/>
                      <w:u w:val="none"/>
                      <w:lang w:val="en-US" w:eastAsia="zh-CN" w:bidi="ar"/>
                    </w:rPr>
                    <w:t>造影</w:t>
                  </w:r>
                  <w:r>
                    <w:rPr>
                      <w:rFonts w:hint="eastAsia" w:cs="Times New Roman"/>
                      <w:i w:val="0"/>
                      <w:iCs w:val="0"/>
                      <w:color w:val="auto"/>
                      <w:kern w:val="0"/>
                      <w:sz w:val="21"/>
                      <w:szCs w:val="21"/>
                      <w:u w:val="none"/>
                      <w:lang w:val="en-US" w:eastAsia="zh-CN" w:bidi="ar"/>
                    </w:rPr>
                    <w:t>（微清超广角）</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A9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01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特检室</w:t>
                  </w:r>
                </w:p>
              </w:tc>
            </w:tr>
            <w:tr w14:paraId="266A5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59A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70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血流</w:t>
                  </w:r>
                  <w:r>
                    <w:rPr>
                      <w:rFonts w:hint="default" w:ascii="Times New Roman" w:hAnsi="Times New Roman" w:eastAsia="宋体" w:cs="Times New Roman"/>
                      <w:i w:val="0"/>
                      <w:iCs w:val="0"/>
                      <w:color w:val="auto"/>
                      <w:kern w:val="0"/>
                      <w:sz w:val="21"/>
                      <w:szCs w:val="21"/>
                      <w:u w:val="none"/>
                      <w:lang w:val="en-US" w:eastAsia="zh-CN" w:bidi="ar"/>
                    </w:rPr>
                    <w:t>OCT（</w:t>
                  </w:r>
                  <w:r>
                    <w:rPr>
                      <w:rFonts w:hint="eastAsia" w:cs="Times New Roman"/>
                      <w:i w:val="0"/>
                      <w:iCs w:val="0"/>
                      <w:color w:val="auto"/>
                      <w:kern w:val="0"/>
                      <w:sz w:val="21"/>
                      <w:szCs w:val="21"/>
                      <w:u w:val="none"/>
                      <w:lang w:val="en-US" w:eastAsia="zh-CN" w:bidi="ar"/>
                    </w:rPr>
                    <w:t>赛伟</w:t>
                  </w:r>
                  <w:r>
                    <w:rPr>
                      <w:rFonts w:hint="default" w:ascii="Times New Roman" w:hAnsi="Times New Roman" w:eastAsia="宋体" w:cs="Times New Roman"/>
                      <w:i w:val="0"/>
                      <w:iCs w:val="0"/>
                      <w:color w:val="auto"/>
                      <w:kern w:val="0"/>
                      <w:sz w:val="21"/>
                      <w:szCs w:val="21"/>
                      <w:u w:val="none"/>
                      <w:lang w:val="en-US" w:eastAsia="zh-CN" w:bidi="ar"/>
                    </w:rPr>
                    <w:t>）</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078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18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特检室</w:t>
                  </w:r>
                </w:p>
              </w:tc>
            </w:tr>
            <w:tr w14:paraId="0DE2D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63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EC6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角膜内</w:t>
                  </w:r>
                  <w:r>
                    <w:rPr>
                      <w:rFonts w:hint="eastAsia" w:cs="Times New Roman"/>
                      <w:i w:val="0"/>
                      <w:iCs w:val="0"/>
                      <w:color w:val="auto"/>
                      <w:kern w:val="0"/>
                      <w:sz w:val="21"/>
                      <w:szCs w:val="21"/>
                      <w:u w:val="none"/>
                      <w:lang w:val="en-US" w:eastAsia="zh-CN" w:bidi="ar"/>
                    </w:rPr>
                    <w:t>皮镜</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 xml:space="preserve">日本 </w:t>
                  </w:r>
                  <w:r>
                    <w:rPr>
                      <w:rFonts w:hint="default" w:ascii="Times New Roman" w:hAnsi="Times New Roman" w:eastAsia="宋体" w:cs="Times New Roman"/>
                      <w:i w:val="0"/>
                      <w:iCs w:val="0"/>
                      <w:color w:val="auto"/>
                      <w:kern w:val="0"/>
                      <w:sz w:val="21"/>
                      <w:szCs w:val="21"/>
                      <w:u w:val="none"/>
                      <w:lang w:val="en-US" w:eastAsia="zh-CN" w:bidi="ar"/>
                    </w:rPr>
                    <w:t>拓普康）</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F68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771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角膜塑形区</w:t>
                  </w:r>
                </w:p>
              </w:tc>
            </w:tr>
            <w:tr w14:paraId="0A9DC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A3E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4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光学生物测量仪</w:t>
                  </w:r>
                  <w:r>
                    <w:rPr>
                      <w:rFonts w:hint="eastAsia" w:cs="Times New Roman"/>
                      <w:i w:val="0"/>
                      <w:iCs w:val="0"/>
                      <w:color w:val="auto"/>
                      <w:kern w:val="0"/>
                      <w:sz w:val="21"/>
                      <w:szCs w:val="21"/>
                      <w:u w:val="none"/>
                      <w:lang w:val="en-US" w:eastAsia="zh-CN" w:bidi="ar"/>
                    </w:rPr>
                    <w:t>（德国I0L</w:t>
                  </w:r>
                  <w:r>
                    <w:rPr>
                      <w:rFonts w:hint="default" w:ascii="Times New Roman" w:hAnsi="Times New Roman" w:eastAsia="宋体" w:cs="Times New Roman"/>
                      <w:i w:val="0"/>
                      <w:iCs w:val="0"/>
                      <w:color w:val="auto"/>
                      <w:kern w:val="0"/>
                      <w:sz w:val="21"/>
                      <w:szCs w:val="21"/>
                      <w:u w:val="none"/>
                      <w:lang w:val="en-US" w:eastAsia="zh-CN" w:bidi="ar"/>
                    </w:rPr>
                    <w:t>Master700）</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546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FDE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检查室</w:t>
                  </w:r>
                </w:p>
              </w:tc>
            </w:tr>
            <w:tr w14:paraId="29E91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DA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82B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超声生物显微镜（UBM</w:t>
                  </w:r>
                  <w:r>
                    <w:rPr>
                      <w:rFonts w:hint="eastAsia" w:cs="Times New Roman"/>
                      <w:i w:val="0"/>
                      <w:iCs w:val="0"/>
                      <w:color w:val="auto"/>
                      <w:kern w:val="0"/>
                      <w:sz w:val="21"/>
                      <w:szCs w:val="21"/>
                      <w:u w:val="none"/>
                      <w:lang w:val="en-US" w:eastAsia="zh-CN" w:bidi="ar"/>
                    </w:rPr>
                    <w:t>）</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B35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92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检查室</w:t>
                  </w:r>
                </w:p>
              </w:tc>
            </w:tr>
            <w:tr w14:paraId="7CA1C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682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979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532眼底激光</w:t>
                  </w:r>
                  <w:r>
                    <w:rPr>
                      <w:rFonts w:hint="eastAsia" w:cs="Times New Roman"/>
                      <w:i w:val="0"/>
                      <w:iCs w:val="0"/>
                      <w:color w:val="auto"/>
                      <w:kern w:val="0"/>
                      <w:sz w:val="21"/>
                      <w:szCs w:val="21"/>
                      <w:u w:val="none"/>
                      <w:lang w:val="en-US" w:eastAsia="zh-CN" w:bidi="ar"/>
                    </w:rPr>
                    <w:t>（台湾）</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FD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AA3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激光室</w:t>
                  </w:r>
                </w:p>
              </w:tc>
            </w:tr>
            <w:tr w14:paraId="76469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D2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4A1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YAG激光（澳大利亚 玻璃体消融）</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4FD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2A2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激光室</w:t>
                  </w:r>
                </w:p>
              </w:tc>
            </w:tr>
            <w:tr w14:paraId="17DA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89E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E3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后节手术显微镜</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 xml:space="preserve">日本 </w:t>
                  </w:r>
                  <w:r>
                    <w:rPr>
                      <w:rFonts w:hint="default" w:ascii="Times New Roman" w:hAnsi="Times New Roman" w:eastAsia="宋体" w:cs="Times New Roman"/>
                      <w:i w:val="0"/>
                      <w:iCs w:val="0"/>
                      <w:color w:val="auto"/>
                      <w:kern w:val="0"/>
                      <w:sz w:val="21"/>
                      <w:szCs w:val="21"/>
                      <w:u w:val="none"/>
                      <w:lang w:val="en-US" w:eastAsia="zh-CN" w:bidi="ar"/>
                    </w:rPr>
                    <w:t>拓普康）</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B8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19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手术室</w:t>
                  </w:r>
                </w:p>
              </w:tc>
            </w:tr>
            <w:tr w14:paraId="6E747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07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0DF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超声乳化玻璃体切割一体机（瑞士 傲帝）</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3C5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64D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手术室</w:t>
                  </w:r>
                </w:p>
              </w:tc>
            </w:tr>
            <w:tr w14:paraId="11067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53B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121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干眼强脉冲治疗机</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A22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90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特检室</w:t>
                  </w:r>
                </w:p>
              </w:tc>
            </w:tr>
            <w:tr w14:paraId="37A06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D5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21B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眼表综合分析仪</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ED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44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检查室</w:t>
                  </w:r>
                </w:p>
              </w:tc>
            </w:tr>
            <w:tr w14:paraId="62BD2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D0F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ED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屈光测量评估系统（日本 近视防控）</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966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325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检查室</w:t>
                  </w:r>
                </w:p>
              </w:tc>
            </w:tr>
            <w:tr w14:paraId="16626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3D1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21</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A2D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眼前节测量评估系统（德国 PentacamAXL）</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248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BA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检查室</w:t>
                  </w:r>
                </w:p>
              </w:tc>
            </w:tr>
            <w:tr w14:paraId="38B27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FF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725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全程视觉分析仪B4（德国 离焦曲线测量仪）</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3D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2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检查室</w:t>
                  </w:r>
                </w:p>
              </w:tc>
            </w:tr>
            <w:tr w14:paraId="76057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7BB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23</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711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准分子激光（美国）</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78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44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手术室</w:t>
                  </w:r>
                </w:p>
              </w:tc>
            </w:tr>
            <w:tr w14:paraId="231C4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EE9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5C8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飞秒激光（美国）</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4D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38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手术室</w:t>
                  </w:r>
                </w:p>
              </w:tc>
            </w:tr>
            <w:tr w14:paraId="6CDCF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EA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25</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3D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视野检查仪</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5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114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检查室</w:t>
                  </w:r>
                </w:p>
              </w:tc>
            </w:tr>
            <w:tr w14:paraId="6A4BB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536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26</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F0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眼科A/B超声仪</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A9A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B80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检查室</w:t>
                  </w:r>
                </w:p>
              </w:tc>
            </w:tr>
            <w:tr w14:paraId="7C2BD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CD2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27</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F0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病床</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C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60张</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A5D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病房</w:t>
                  </w:r>
                </w:p>
              </w:tc>
            </w:tr>
            <w:tr w14:paraId="254B8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25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28</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45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数字心电图机</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05A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DF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心电图室</w:t>
                  </w:r>
                </w:p>
              </w:tc>
            </w:tr>
            <w:tr w14:paraId="6DA30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C9C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29</w:t>
                  </w:r>
                </w:p>
              </w:tc>
              <w:tc>
                <w:tcPr>
                  <w:tcW w:w="4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875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全自动磨边机</w:t>
                  </w:r>
                </w:p>
              </w:tc>
              <w:tc>
                <w:tcPr>
                  <w:tcW w:w="8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AC4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1台</w:t>
                  </w:r>
                </w:p>
              </w:tc>
              <w:tc>
                <w:tcPr>
                  <w:tcW w:w="1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DD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pacing w:val="0"/>
                      <w:position w:val="0"/>
                      <w:sz w:val="21"/>
                      <w:szCs w:val="21"/>
                      <w:lang w:val="en-US" w:eastAsia="zh-CN"/>
                    </w:rPr>
                    <w:t>加工间</w:t>
                  </w:r>
                </w:p>
              </w:tc>
            </w:tr>
          </w:tbl>
          <w:p w14:paraId="23D2F5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auto"/>
              </w:rPr>
            </w:pPr>
            <w:r>
              <w:rPr>
                <w:rFonts w:hint="eastAsia" w:cs="Times New Roman"/>
                <w:b/>
                <w:bCs/>
                <w:color w:val="auto"/>
                <w:lang w:val="en-US" w:eastAsia="zh-CN"/>
              </w:rPr>
              <w:t>5</w:t>
            </w:r>
            <w:r>
              <w:rPr>
                <w:rFonts w:hint="eastAsia" w:cs="Times New Roman"/>
                <w:b/>
                <w:bCs/>
                <w:color w:val="auto"/>
              </w:rPr>
              <w:t>、劳动定员及工作制度</w:t>
            </w:r>
          </w:p>
          <w:p w14:paraId="777F4191">
            <w:pPr>
              <w:pStyle w:val="133"/>
              <w:keepNext w:val="0"/>
              <w:keepLines w:val="0"/>
              <w:pageBreakBefore w:val="0"/>
              <w:widowControl w:val="0"/>
              <w:shd w:val="clear" w:color="auto" w:fill="auto"/>
              <w:kinsoku/>
              <w:wordWrap/>
              <w:overflowPunct/>
              <w:topLinePunct w:val="0"/>
              <w:autoSpaceDE/>
              <w:autoSpaceDN/>
              <w:bidi w:val="0"/>
              <w:adjustRightInd/>
              <w:snapToGrid/>
              <w:spacing w:before="0" w:line="360" w:lineRule="auto"/>
              <w:ind w:left="0" w:right="0" w:firstLine="0"/>
              <w:jc w:val="both"/>
              <w:textAlignment w:val="auto"/>
              <w:rPr>
                <w:rFonts w:hint="default" w:ascii="Times New Roman" w:hAnsi="Times New Roman" w:cs="Times New Roman"/>
                <w:color w:val="auto"/>
                <w:sz w:val="24"/>
                <w:szCs w:val="24"/>
              </w:rPr>
            </w:pPr>
            <w:r>
              <w:rPr>
                <w:rFonts w:ascii="Times New Roman" w:hAnsi="Times New Roman"/>
                <w:bCs/>
                <w:color w:val="auto"/>
                <w:sz w:val="24"/>
                <w:szCs w:val="24"/>
              </w:rPr>
              <w:t>本项目劳动定员</w:t>
            </w:r>
            <w:r>
              <w:rPr>
                <w:rFonts w:hint="eastAsia" w:ascii="Times New Roman" w:hAnsi="Times New Roman" w:cs="Times New Roman"/>
                <w:color w:val="auto"/>
                <w:kern w:val="2"/>
                <w:sz w:val="24"/>
                <w:szCs w:val="24"/>
                <w:highlight w:val="none"/>
                <w:u w:val="none"/>
                <w:shd w:val="clear"/>
                <w:lang w:val="en-US" w:eastAsia="zh-CN" w:bidi="ar-SA"/>
              </w:rPr>
              <w:t>77</w:t>
            </w:r>
            <w:r>
              <w:rPr>
                <w:rFonts w:hint="default" w:ascii="Times New Roman" w:hAnsi="Times New Roman" w:eastAsia="宋体" w:cs="Times New Roman"/>
                <w:color w:val="auto"/>
                <w:kern w:val="2"/>
                <w:sz w:val="24"/>
                <w:szCs w:val="24"/>
                <w:highlight w:val="none"/>
                <w:u w:val="none"/>
                <w:shd w:val="clear"/>
                <w:lang w:val="en-US" w:eastAsia="zh-CN" w:bidi="ar-SA"/>
              </w:rPr>
              <w:t>名。</w:t>
            </w:r>
            <w:r>
              <w:rPr>
                <w:rFonts w:hint="eastAsia" w:ascii="Times New Roman" w:hAnsi="Times New Roman" w:cs="Times New Roman"/>
                <w:color w:val="auto"/>
                <w:kern w:val="2"/>
                <w:sz w:val="24"/>
                <w:szCs w:val="24"/>
                <w:highlight w:val="none"/>
                <w:u w:val="none"/>
                <w:shd w:val="clear"/>
                <w:lang w:val="en-US" w:eastAsia="zh-CN" w:bidi="ar-SA"/>
              </w:rPr>
              <w:t>其中</w:t>
            </w:r>
            <w:r>
              <w:rPr>
                <w:rFonts w:hint="default" w:ascii="Times New Roman" w:hAnsi="Times New Roman" w:eastAsia="宋体" w:cs="Times New Roman"/>
                <w:color w:val="auto"/>
                <w:kern w:val="2"/>
                <w:sz w:val="24"/>
                <w:szCs w:val="24"/>
                <w:highlight w:val="none"/>
                <w:u w:val="none"/>
                <w:shd w:val="clear"/>
                <w:lang w:val="en-US" w:eastAsia="zh-CN" w:bidi="ar-SA"/>
              </w:rPr>
              <w:t>医生</w:t>
            </w:r>
            <w:r>
              <w:rPr>
                <w:rFonts w:hint="eastAsia" w:ascii="Times New Roman" w:hAnsi="Times New Roman" w:cs="Times New Roman"/>
                <w:color w:val="auto"/>
                <w:kern w:val="2"/>
                <w:sz w:val="24"/>
                <w:szCs w:val="24"/>
                <w:highlight w:val="none"/>
                <w:u w:val="none"/>
                <w:shd w:val="clear"/>
                <w:lang w:val="en-US" w:eastAsia="zh-CN" w:bidi="ar-SA"/>
              </w:rPr>
              <w:t>20</w:t>
            </w:r>
            <w:r>
              <w:rPr>
                <w:rFonts w:hint="default" w:ascii="Times New Roman" w:hAnsi="Times New Roman" w:eastAsia="宋体" w:cs="Times New Roman"/>
                <w:color w:val="auto"/>
                <w:kern w:val="2"/>
                <w:sz w:val="24"/>
                <w:szCs w:val="24"/>
                <w:highlight w:val="none"/>
                <w:u w:val="none"/>
                <w:shd w:val="clear"/>
                <w:lang w:val="en-US" w:eastAsia="zh-CN" w:bidi="ar-SA"/>
              </w:rPr>
              <w:t>名</w:t>
            </w:r>
            <w:r>
              <w:rPr>
                <w:rFonts w:hint="eastAsia" w:ascii="Times New Roman" w:hAnsi="Times New Roman" w:cs="Times New Roman"/>
                <w:color w:val="auto"/>
                <w:kern w:val="2"/>
                <w:sz w:val="24"/>
                <w:szCs w:val="24"/>
                <w:highlight w:val="none"/>
                <w:u w:val="none"/>
                <w:shd w:val="clear"/>
                <w:lang w:val="en-US" w:eastAsia="zh-CN" w:bidi="ar-SA"/>
              </w:rPr>
              <w:t>，</w:t>
            </w:r>
            <w:r>
              <w:rPr>
                <w:rFonts w:hint="default" w:ascii="Times New Roman" w:hAnsi="Times New Roman" w:eastAsia="宋体" w:cs="Times New Roman"/>
                <w:color w:val="auto"/>
                <w:kern w:val="2"/>
                <w:sz w:val="24"/>
                <w:szCs w:val="24"/>
                <w:highlight w:val="none"/>
                <w:u w:val="none"/>
                <w:shd w:val="clear"/>
                <w:lang w:val="en-US" w:eastAsia="zh-CN" w:bidi="ar-SA"/>
              </w:rPr>
              <w:t>护士</w:t>
            </w:r>
            <w:r>
              <w:rPr>
                <w:rFonts w:hint="eastAsia" w:ascii="Times New Roman" w:hAnsi="Times New Roman" w:cs="Times New Roman"/>
                <w:color w:val="auto"/>
                <w:kern w:val="2"/>
                <w:sz w:val="24"/>
                <w:szCs w:val="24"/>
                <w:highlight w:val="none"/>
                <w:u w:val="none"/>
                <w:shd w:val="clear"/>
                <w:lang w:val="en-US" w:eastAsia="zh-CN" w:bidi="ar-SA"/>
              </w:rPr>
              <w:t>30</w:t>
            </w:r>
            <w:r>
              <w:rPr>
                <w:rFonts w:hint="default" w:ascii="Times New Roman" w:hAnsi="Times New Roman" w:eastAsia="宋体" w:cs="Times New Roman"/>
                <w:color w:val="auto"/>
                <w:kern w:val="2"/>
                <w:sz w:val="24"/>
                <w:szCs w:val="24"/>
                <w:highlight w:val="none"/>
                <w:u w:val="none"/>
                <w:shd w:val="clear"/>
                <w:lang w:val="en-US" w:eastAsia="zh-CN" w:bidi="ar-SA"/>
              </w:rPr>
              <w:t>名</w:t>
            </w:r>
            <w:r>
              <w:rPr>
                <w:rFonts w:hint="eastAsia" w:ascii="Times New Roman" w:hAnsi="Times New Roman" w:cs="Times New Roman"/>
                <w:color w:val="auto"/>
                <w:kern w:val="2"/>
                <w:sz w:val="24"/>
                <w:szCs w:val="24"/>
                <w:highlight w:val="none"/>
                <w:u w:val="none"/>
                <w:shd w:val="clear"/>
                <w:lang w:val="en-US" w:eastAsia="zh-CN" w:bidi="ar-SA"/>
              </w:rPr>
              <w:t>，</w:t>
            </w:r>
            <w:r>
              <w:rPr>
                <w:rFonts w:hint="default" w:ascii="Times New Roman" w:hAnsi="Times New Roman" w:eastAsia="宋体" w:cs="Times New Roman"/>
                <w:color w:val="auto"/>
                <w:kern w:val="2"/>
                <w:sz w:val="24"/>
                <w:szCs w:val="24"/>
                <w:highlight w:val="none"/>
                <w:u w:val="none"/>
                <w:shd w:val="clear"/>
                <w:lang w:val="en-US" w:eastAsia="zh-CN" w:bidi="ar-SA"/>
              </w:rPr>
              <w:t>后勤人员</w:t>
            </w:r>
            <w:r>
              <w:rPr>
                <w:rFonts w:hint="eastAsia" w:ascii="Times New Roman" w:hAnsi="Times New Roman" w:cs="Times New Roman"/>
                <w:color w:val="auto"/>
                <w:kern w:val="2"/>
                <w:sz w:val="24"/>
                <w:szCs w:val="24"/>
                <w:highlight w:val="none"/>
                <w:u w:val="none"/>
                <w:shd w:val="clear"/>
                <w:lang w:val="en-US" w:eastAsia="zh-CN" w:bidi="ar-SA"/>
              </w:rPr>
              <w:t>27</w:t>
            </w:r>
            <w:r>
              <w:rPr>
                <w:rFonts w:hint="default" w:ascii="Times New Roman" w:hAnsi="Times New Roman" w:eastAsia="宋体" w:cs="Times New Roman"/>
                <w:color w:val="auto"/>
                <w:kern w:val="2"/>
                <w:sz w:val="24"/>
                <w:szCs w:val="24"/>
                <w:highlight w:val="none"/>
                <w:u w:val="none"/>
                <w:shd w:val="clear"/>
                <w:lang w:val="en-US" w:eastAsia="zh-CN" w:bidi="ar-SA"/>
              </w:rPr>
              <w:t>名</w:t>
            </w:r>
            <w:r>
              <w:rPr>
                <w:rFonts w:hint="eastAsia" w:ascii="Times New Roman" w:hAnsi="Times New Roman" w:cs="Times New Roman"/>
                <w:color w:val="auto"/>
                <w:kern w:val="2"/>
                <w:sz w:val="24"/>
                <w:szCs w:val="24"/>
                <w:highlight w:val="none"/>
                <w:u w:val="none"/>
                <w:shd w:val="clear"/>
                <w:lang w:val="en-US" w:eastAsia="zh-CN" w:bidi="ar-SA"/>
              </w:rPr>
              <w:t>。</w:t>
            </w:r>
            <w:r>
              <w:rPr>
                <w:rFonts w:hint="default" w:ascii="Times New Roman" w:hAnsi="Times New Roman" w:eastAsia="宋体" w:cs="Times New Roman"/>
                <w:color w:val="auto"/>
                <w:kern w:val="2"/>
                <w:sz w:val="24"/>
                <w:szCs w:val="24"/>
                <w:highlight w:val="none"/>
                <w:u w:val="none"/>
                <w:shd w:val="clear"/>
                <w:lang w:val="en-US" w:eastAsia="zh-CN" w:bidi="ar-SA"/>
              </w:rPr>
              <w:t>每天24小时提供就医，年工作日365天</w:t>
            </w:r>
            <w:r>
              <w:rPr>
                <w:rFonts w:hint="eastAsia" w:ascii="Times New Roman" w:hAnsi="Times New Roman" w:cs="Times New Roman"/>
                <w:color w:val="auto"/>
                <w:kern w:val="2"/>
                <w:sz w:val="24"/>
                <w:szCs w:val="24"/>
                <w:highlight w:val="none"/>
                <w:u w:val="none"/>
                <w:shd w:val="clear"/>
                <w:lang w:val="en-US" w:eastAsia="zh-CN" w:bidi="ar-SA"/>
              </w:rPr>
              <w:t>。</w:t>
            </w:r>
            <w:r>
              <w:rPr>
                <w:rFonts w:hint="default" w:ascii="Times New Roman" w:hAnsi="Times New Roman" w:eastAsia="宋体" w:cs="Times New Roman"/>
                <w:color w:val="auto"/>
                <w:kern w:val="2"/>
                <w:sz w:val="24"/>
                <w:szCs w:val="24"/>
                <w:highlight w:val="none"/>
                <w:u w:val="none"/>
                <w:shd w:val="clear"/>
                <w:lang w:val="en-US" w:eastAsia="zh-CN" w:bidi="ar-SA"/>
              </w:rPr>
              <w:t>门诊白天服务8小时（上午8:00-12：00</w:t>
            </w:r>
            <w:r>
              <w:rPr>
                <w:rFonts w:hint="eastAsia" w:ascii="Times New Roman" w:hAnsi="Times New Roman" w:cs="Times New Roman"/>
                <w:color w:val="auto"/>
                <w:kern w:val="2"/>
                <w:sz w:val="24"/>
                <w:szCs w:val="24"/>
                <w:highlight w:val="none"/>
                <w:u w:val="none"/>
                <w:shd w:val="clear"/>
                <w:lang w:val="en-US" w:eastAsia="zh-CN" w:bidi="ar-SA"/>
              </w:rPr>
              <w:t>、</w:t>
            </w:r>
            <w:r>
              <w:rPr>
                <w:rFonts w:hint="default" w:ascii="Times New Roman" w:hAnsi="Times New Roman" w:eastAsia="宋体" w:cs="Times New Roman"/>
                <w:color w:val="auto"/>
                <w:kern w:val="2"/>
                <w:sz w:val="24"/>
                <w:szCs w:val="24"/>
                <w:highlight w:val="none"/>
                <w:u w:val="none"/>
                <w:shd w:val="clear"/>
                <w:lang w:val="en-US" w:eastAsia="zh-CN" w:bidi="ar-SA"/>
              </w:rPr>
              <w:t>下午14:00-18:00），急诊住院医疗为每天24小时连续服务</w:t>
            </w:r>
            <w:r>
              <w:rPr>
                <w:rFonts w:hint="eastAsia" w:ascii="Times New Roman" w:hAnsi="Times New Roman" w:cs="Times New Roman"/>
                <w:color w:val="auto"/>
                <w:kern w:val="2"/>
                <w:sz w:val="24"/>
                <w:szCs w:val="24"/>
                <w:highlight w:val="none"/>
                <w:u w:val="none"/>
                <w:shd w:val="clear"/>
                <w:lang w:val="en-US" w:eastAsia="zh-CN" w:bidi="ar-SA"/>
              </w:rPr>
              <w:t>。</w:t>
            </w:r>
            <w:r>
              <w:rPr>
                <w:rFonts w:hint="default" w:ascii="Times New Roman" w:hAnsi="Times New Roman" w:eastAsia="宋体" w:cs="Times New Roman"/>
                <w:color w:val="auto"/>
                <w:kern w:val="2"/>
                <w:sz w:val="24"/>
                <w:szCs w:val="24"/>
                <w:highlight w:val="none"/>
                <w:u w:val="none"/>
                <w:shd w:val="clear"/>
                <w:lang w:val="en-US" w:eastAsia="zh-CN" w:bidi="ar-SA"/>
              </w:rPr>
              <w:t>日门诊量约</w:t>
            </w:r>
            <w:r>
              <w:rPr>
                <w:rFonts w:hint="eastAsia" w:ascii="Times New Roman" w:hAnsi="Times New Roman" w:cs="Times New Roman"/>
                <w:color w:val="auto"/>
                <w:kern w:val="2"/>
                <w:sz w:val="24"/>
                <w:szCs w:val="24"/>
                <w:highlight w:val="none"/>
                <w:u w:val="none"/>
                <w:shd w:val="clear"/>
                <w:lang w:val="en-US" w:eastAsia="zh-CN" w:bidi="ar-SA"/>
              </w:rPr>
              <w:t>90</w:t>
            </w:r>
            <w:r>
              <w:rPr>
                <w:rFonts w:hint="default" w:ascii="Times New Roman" w:hAnsi="Times New Roman" w:eastAsia="宋体" w:cs="Times New Roman"/>
                <w:color w:val="auto"/>
                <w:kern w:val="2"/>
                <w:sz w:val="24"/>
                <w:szCs w:val="24"/>
                <w:highlight w:val="none"/>
                <w:u w:val="none"/>
                <w:shd w:val="clear"/>
                <w:lang w:val="en-US" w:eastAsia="zh-CN" w:bidi="ar-SA"/>
              </w:rPr>
              <w:t>人次</w:t>
            </w:r>
            <w:r>
              <w:rPr>
                <w:rFonts w:hint="default" w:ascii="Times New Roman" w:hAnsi="Times New Roman" w:cs="Times New Roman"/>
                <w:color w:val="auto"/>
                <w:spacing w:val="0"/>
                <w:w w:val="100"/>
                <w:position w:val="0"/>
                <w:sz w:val="24"/>
                <w:szCs w:val="24"/>
                <w:lang w:val="en-US" w:eastAsia="zh-CN"/>
              </w:rPr>
              <w:t>。</w:t>
            </w:r>
          </w:p>
          <w:p w14:paraId="075B667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color w:val="auto"/>
                <w:lang w:val="en-US" w:eastAsia="zh-CN"/>
              </w:rPr>
            </w:pPr>
            <w:r>
              <w:rPr>
                <w:rFonts w:hint="default" w:cs="Times New Roman"/>
                <w:b/>
                <w:bCs/>
                <w:color w:val="auto"/>
                <w:lang w:val="en-US" w:eastAsia="zh-CN"/>
              </w:rPr>
              <w:t>6、公用工程</w:t>
            </w:r>
          </w:p>
          <w:p w14:paraId="45ACA951">
            <w:pPr>
              <w:pStyle w:val="141"/>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①供电</w:t>
            </w:r>
          </w:p>
          <w:p w14:paraId="00CBC528">
            <w:pPr>
              <w:pStyle w:val="141"/>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项目供电由当地电网供给，</w:t>
            </w:r>
            <w:r>
              <w:rPr>
                <w:rFonts w:hint="eastAsia" w:ascii="Times New Roman" w:hAnsi="Times New Roman" w:cs="Times New Roman"/>
                <w:color w:val="auto"/>
                <w:spacing w:val="0"/>
                <w:position w:val="0"/>
                <w:sz w:val="24"/>
                <w:szCs w:val="24"/>
                <w:lang w:val="en-US" w:eastAsia="zh-CN"/>
              </w:rPr>
              <w:t>并配有300KW柴油发电机一台备用</w:t>
            </w:r>
            <w:r>
              <w:rPr>
                <w:rFonts w:hint="default" w:ascii="Times New Roman" w:hAnsi="Times New Roman" w:eastAsia="宋体" w:cs="Times New Roman"/>
                <w:color w:val="auto"/>
                <w:spacing w:val="0"/>
                <w:w w:val="100"/>
                <w:position w:val="0"/>
                <w:sz w:val="24"/>
                <w:szCs w:val="24"/>
              </w:rPr>
              <w:t>，可满足本项目用电需求。</w:t>
            </w:r>
          </w:p>
          <w:p w14:paraId="3C609838">
            <w:pPr>
              <w:pStyle w:val="141"/>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②给水</w:t>
            </w:r>
          </w:p>
          <w:p w14:paraId="3B08E04A">
            <w:pPr>
              <w:pStyle w:val="141"/>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color w:val="auto"/>
                <w:spacing w:val="0"/>
                <w:w w:val="100"/>
                <w:position w:val="0"/>
                <w:sz w:val="24"/>
                <w:szCs w:val="24"/>
                <w:lang w:val="en-US" w:eastAsia="zh-CN"/>
              </w:rPr>
            </w:pPr>
            <w:r>
              <w:rPr>
                <w:rFonts w:hint="default" w:ascii="Times New Roman" w:hAnsi="Times New Roman" w:eastAsia="宋体" w:cs="Times New Roman"/>
                <w:color w:val="auto"/>
                <w:spacing w:val="0"/>
                <w:w w:val="100"/>
                <w:position w:val="0"/>
                <w:sz w:val="24"/>
                <w:szCs w:val="24"/>
              </w:rPr>
              <w:t>项目营运期用水主要为医护人员用水、</w:t>
            </w:r>
            <w:r>
              <w:rPr>
                <w:rFonts w:hint="eastAsia" w:ascii="Times New Roman" w:hAnsi="Times New Roman" w:cs="Times New Roman"/>
                <w:color w:val="auto"/>
                <w:spacing w:val="0"/>
                <w:w w:val="100"/>
                <w:position w:val="0"/>
                <w:sz w:val="24"/>
                <w:szCs w:val="24"/>
                <w:lang w:eastAsia="zh-CN"/>
              </w:rPr>
              <w:t>医院后勤人员用水、</w:t>
            </w:r>
            <w:r>
              <w:rPr>
                <w:rFonts w:hint="default" w:ascii="Times New Roman" w:hAnsi="Times New Roman" w:eastAsia="宋体" w:cs="Times New Roman"/>
                <w:color w:val="auto"/>
                <w:spacing w:val="0"/>
                <w:w w:val="100"/>
                <w:position w:val="0"/>
                <w:sz w:val="24"/>
                <w:szCs w:val="24"/>
              </w:rPr>
              <w:t>门诊用水、病房用水、检验用水</w:t>
            </w:r>
            <w:r>
              <w:rPr>
                <w:rFonts w:hint="eastAsia" w:ascii="Times New Roman" w:hAnsi="Times New Roman" w:cs="Times New Roman"/>
                <w:color w:val="auto"/>
                <w:spacing w:val="0"/>
                <w:w w:val="100"/>
                <w:position w:val="0"/>
                <w:sz w:val="24"/>
                <w:szCs w:val="24"/>
                <w:lang w:eastAsia="zh-CN"/>
              </w:rPr>
              <w:t>、磨片用水、保洁用水、</w:t>
            </w:r>
            <w:r>
              <w:rPr>
                <w:rFonts w:hint="eastAsia" w:ascii="Times New Roman" w:hAnsi="Times New Roman" w:cs="Times New Roman"/>
                <w:color w:val="auto"/>
                <w:spacing w:val="0"/>
                <w:w w:val="100"/>
                <w:position w:val="0"/>
                <w:sz w:val="24"/>
                <w:szCs w:val="24"/>
                <w:lang w:val="en-US" w:eastAsia="zh-CN"/>
              </w:rPr>
              <w:t>食堂用水</w:t>
            </w:r>
            <w:r>
              <w:rPr>
                <w:rFonts w:hint="default" w:ascii="Times New Roman" w:hAnsi="Times New Roman" w:eastAsia="宋体" w:cs="Times New Roman"/>
                <w:color w:val="auto"/>
                <w:spacing w:val="0"/>
                <w:w w:val="100"/>
                <w:position w:val="0"/>
                <w:sz w:val="24"/>
                <w:szCs w:val="24"/>
              </w:rPr>
              <w:t>。</w:t>
            </w:r>
            <w:r>
              <w:rPr>
                <w:rFonts w:hint="eastAsia" w:ascii="Times New Roman" w:hAnsi="Times New Roman" w:cs="Times New Roman"/>
                <w:color w:val="auto"/>
                <w:spacing w:val="0"/>
                <w:w w:val="100"/>
                <w:position w:val="0"/>
                <w:sz w:val="24"/>
                <w:szCs w:val="24"/>
                <w:lang w:val="en-US" w:eastAsia="zh-CN"/>
              </w:rPr>
              <w:t>本项目不设置洗衣房。</w:t>
            </w:r>
          </w:p>
          <w:p w14:paraId="05D6CD2A">
            <w:pPr>
              <w:pStyle w:val="141"/>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医护人员用水：项目建成后医护人员</w:t>
            </w:r>
            <w:r>
              <w:rPr>
                <w:rFonts w:hint="default" w:ascii="Times New Roman" w:hAnsi="Times New Roman" w:eastAsia="宋体" w:cs="Times New Roman"/>
                <w:color w:val="auto"/>
                <w:spacing w:val="0"/>
                <w:w w:val="100"/>
                <w:position w:val="0"/>
                <w:sz w:val="24"/>
                <w:szCs w:val="24"/>
                <w:highlight w:val="none"/>
              </w:rPr>
              <w:t>共</w:t>
            </w:r>
            <w:r>
              <w:rPr>
                <w:rFonts w:hint="eastAsia" w:ascii="Times New Roman" w:hAnsi="Times New Roman" w:cs="Times New Roman"/>
                <w:color w:val="auto"/>
                <w:spacing w:val="0"/>
                <w:w w:val="100"/>
                <w:position w:val="0"/>
                <w:sz w:val="24"/>
                <w:szCs w:val="24"/>
                <w:highlight w:val="none"/>
                <w:lang w:val="en-US" w:eastAsia="zh-CN"/>
              </w:rPr>
              <w:t>50</w:t>
            </w:r>
            <w:r>
              <w:rPr>
                <w:rFonts w:hint="default" w:ascii="Times New Roman" w:hAnsi="Times New Roman" w:eastAsia="宋体" w:cs="Times New Roman"/>
                <w:color w:val="auto"/>
                <w:spacing w:val="0"/>
                <w:w w:val="100"/>
                <w:position w:val="0"/>
                <w:sz w:val="24"/>
                <w:szCs w:val="24"/>
                <w:highlight w:val="none"/>
              </w:rPr>
              <w:t>人</w:t>
            </w:r>
            <w:r>
              <w:rPr>
                <w:rFonts w:hint="default" w:ascii="Times New Roman" w:hAnsi="Times New Roman" w:eastAsia="宋体" w:cs="Times New Roman"/>
                <w:color w:val="auto"/>
                <w:spacing w:val="0"/>
                <w:w w:val="100"/>
                <w:position w:val="0"/>
                <w:sz w:val="24"/>
                <w:szCs w:val="24"/>
              </w:rPr>
              <w:t>，根据《综合医院建筑设计规范》（GB 51039-2014），用水量按1</w:t>
            </w:r>
            <w:r>
              <w:rPr>
                <w:rFonts w:hint="eastAsia" w:ascii="Times New Roman" w:hAnsi="Times New Roman" w:eastAsia="宋体" w:cs="Times New Roman"/>
                <w:color w:val="auto"/>
                <w:spacing w:val="0"/>
                <w:w w:val="100"/>
                <w:position w:val="0"/>
                <w:sz w:val="24"/>
                <w:szCs w:val="24"/>
                <w:lang w:val="en-US" w:eastAsia="zh-CN"/>
              </w:rPr>
              <w:t>5</w:t>
            </w:r>
            <w:r>
              <w:rPr>
                <w:rFonts w:hint="default" w:ascii="Times New Roman" w:hAnsi="Times New Roman" w:eastAsia="宋体" w:cs="Times New Roman"/>
                <w:color w:val="auto"/>
                <w:spacing w:val="0"/>
                <w:w w:val="100"/>
                <w:position w:val="0"/>
                <w:sz w:val="24"/>
                <w:szCs w:val="24"/>
              </w:rPr>
              <w:t>0-</w:t>
            </w:r>
            <w:r>
              <w:rPr>
                <w:rFonts w:hint="eastAsia" w:ascii="Times New Roman" w:hAnsi="Times New Roman" w:eastAsia="宋体" w:cs="Times New Roman"/>
                <w:color w:val="auto"/>
                <w:spacing w:val="0"/>
                <w:w w:val="100"/>
                <w:position w:val="0"/>
                <w:sz w:val="24"/>
                <w:szCs w:val="24"/>
                <w:lang w:val="en-US" w:eastAsia="zh-CN"/>
              </w:rPr>
              <w:t>250</w:t>
            </w:r>
            <w:r>
              <w:rPr>
                <w:rFonts w:hint="default" w:ascii="Times New Roman" w:hAnsi="Times New Roman" w:eastAsia="宋体" w:cs="Times New Roman"/>
                <w:color w:val="auto"/>
                <w:spacing w:val="0"/>
                <w:w w:val="100"/>
                <w:position w:val="0"/>
                <w:sz w:val="24"/>
                <w:szCs w:val="24"/>
              </w:rPr>
              <w:t>L/人</w:t>
            </w:r>
            <w:r>
              <w:rPr>
                <w:rFonts w:hint="eastAsia" w:ascii="Times New Roman" w:hAnsi="Times New Roman" w:cs="Times New Roman"/>
                <w:color w:val="auto"/>
                <w:spacing w:val="0"/>
                <w:w w:val="100"/>
                <w:position w:val="0"/>
                <w:sz w:val="24"/>
                <w:szCs w:val="24"/>
                <w:lang w:eastAsia="zh-CN"/>
              </w:rPr>
              <w:t>班</w:t>
            </w:r>
            <w:r>
              <w:rPr>
                <w:rFonts w:hint="default" w:ascii="Times New Roman" w:hAnsi="Times New Roman" w:eastAsia="宋体" w:cs="Times New Roman"/>
                <w:color w:val="auto"/>
                <w:spacing w:val="0"/>
                <w:w w:val="100"/>
                <w:position w:val="0"/>
                <w:sz w:val="24"/>
                <w:szCs w:val="24"/>
              </w:rPr>
              <w:t>计算</w:t>
            </w:r>
            <w:r>
              <w:rPr>
                <w:rFonts w:hint="eastAsia"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项目医护人员用水量按</w:t>
            </w:r>
            <w:r>
              <w:rPr>
                <w:rFonts w:hint="eastAsia" w:ascii="Times New Roman" w:hAnsi="Times New Roman" w:cs="Times New Roman"/>
                <w:color w:val="auto"/>
                <w:spacing w:val="0"/>
                <w:w w:val="100"/>
                <w:position w:val="0"/>
                <w:sz w:val="24"/>
                <w:szCs w:val="24"/>
                <w:lang w:val="en-US" w:eastAsia="zh-CN"/>
              </w:rPr>
              <w:t>200</w:t>
            </w:r>
            <w:r>
              <w:rPr>
                <w:rFonts w:hint="default" w:ascii="Times New Roman" w:hAnsi="Times New Roman" w:eastAsia="宋体" w:cs="Times New Roman"/>
                <w:color w:val="auto"/>
                <w:spacing w:val="0"/>
                <w:w w:val="100"/>
                <w:position w:val="0"/>
                <w:sz w:val="24"/>
                <w:szCs w:val="24"/>
              </w:rPr>
              <w:t>L/人</w:t>
            </w:r>
            <w:r>
              <w:rPr>
                <w:rFonts w:hint="eastAsia" w:ascii="Times New Roman" w:hAnsi="Times New Roman" w:cs="Times New Roman"/>
                <w:color w:val="auto"/>
                <w:spacing w:val="0"/>
                <w:w w:val="100"/>
                <w:position w:val="0"/>
                <w:sz w:val="24"/>
                <w:szCs w:val="24"/>
                <w:lang w:eastAsia="zh-CN"/>
              </w:rPr>
              <w:t>班</w:t>
            </w:r>
            <w:r>
              <w:rPr>
                <w:rFonts w:hint="default" w:ascii="Times New Roman" w:hAnsi="Times New Roman" w:eastAsia="宋体" w:cs="Times New Roman"/>
                <w:color w:val="auto"/>
                <w:spacing w:val="0"/>
                <w:w w:val="100"/>
                <w:position w:val="0"/>
                <w:sz w:val="24"/>
                <w:szCs w:val="24"/>
              </w:rPr>
              <w:t>计，经计算，本项目医护人员用水量为</w:t>
            </w:r>
            <w:r>
              <w:rPr>
                <w:rFonts w:hint="eastAsia" w:ascii="Times New Roman" w:hAnsi="Times New Roman" w:cs="Times New Roman"/>
                <w:color w:val="auto"/>
                <w:spacing w:val="0"/>
                <w:w w:val="100"/>
                <w:position w:val="0"/>
                <w:sz w:val="24"/>
                <w:szCs w:val="24"/>
                <w:lang w:val="en-US" w:eastAsia="zh-CN"/>
              </w:rPr>
              <w:t>10</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3650</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/a），排水系数取0.</w:t>
            </w:r>
            <w:r>
              <w:rPr>
                <w:rFonts w:hint="eastAsia" w:ascii="Times New Roman" w:hAnsi="Times New Roman" w:cs="Times New Roman"/>
                <w:color w:val="auto"/>
                <w:spacing w:val="0"/>
                <w:w w:val="100"/>
                <w:position w:val="0"/>
                <w:sz w:val="24"/>
                <w:szCs w:val="24"/>
                <w:lang w:val="en-US" w:eastAsia="zh-CN"/>
              </w:rPr>
              <w:t>85</w:t>
            </w:r>
            <w:r>
              <w:rPr>
                <w:rFonts w:hint="default" w:ascii="Times New Roman" w:hAnsi="Times New Roman" w:eastAsia="宋体" w:cs="Times New Roman"/>
                <w:color w:val="auto"/>
                <w:spacing w:val="0"/>
                <w:w w:val="100"/>
                <w:position w:val="0"/>
                <w:sz w:val="24"/>
                <w:szCs w:val="24"/>
              </w:rPr>
              <w:t>，则废水量为</w:t>
            </w:r>
            <w:r>
              <w:rPr>
                <w:rFonts w:hint="eastAsia" w:ascii="Times New Roman" w:hAnsi="Times New Roman" w:cs="Times New Roman"/>
                <w:color w:val="auto"/>
                <w:spacing w:val="0"/>
                <w:w w:val="100"/>
                <w:position w:val="0"/>
                <w:sz w:val="24"/>
                <w:szCs w:val="24"/>
                <w:lang w:val="en-US" w:eastAsia="zh-CN"/>
              </w:rPr>
              <w:t>8.5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3102.5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w:t>
            </w:r>
          </w:p>
          <w:p w14:paraId="54CC432B">
            <w:pPr>
              <w:pStyle w:val="141"/>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eastAsia" w:ascii="Times New Roman" w:hAnsi="Times New Roman" w:eastAsia="宋体" w:cs="Times New Roman"/>
                <w:color w:val="auto"/>
                <w:spacing w:val="0"/>
                <w:w w:val="100"/>
                <w:position w:val="0"/>
                <w:sz w:val="24"/>
                <w:szCs w:val="24"/>
                <w:lang w:eastAsia="zh-CN"/>
              </w:rPr>
            </w:pPr>
            <w:r>
              <w:rPr>
                <w:rFonts w:hint="eastAsia" w:ascii="Times New Roman" w:hAnsi="Times New Roman" w:cs="Times New Roman"/>
                <w:color w:val="auto"/>
                <w:spacing w:val="0"/>
                <w:w w:val="100"/>
                <w:position w:val="0"/>
                <w:sz w:val="24"/>
                <w:szCs w:val="24"/>
                <w:lang w:eastAsia="zh-CN"/>
              </w:rPr>
              <w:t>医院后勤人员用水：</w:t>
            </w:r>
            <w:r>
              <w:rPr>
                <w:rFonts w:hint="default" w:ascii="Times New Roman" w:hAnsi="Times New Roman" w:eastAsia="宋体" w:cs="Times New Roman"/>
                <w:color w:val="auto"/>
                <w:spacing w:val="0"/>
                <w:w w:val="100"/>
                <w:position w:val="0"/>
                <w:sz w:val="24"/>
                <w:szCs w:val="24"/>
              </w:rPr>
              <w:t>项目建成后</w:t>
            </w:r>
            <w:r>
              <w:rPr>
                <w:rFonts w:hint="eastAsia" w:ascii="Times New Roman" w:hAnsi="Times New Roman" w:cs="Times New Roman"/>
                <w:color w:val="auto"/>
                <w:spacing w:val="0"/>
                <w:w w:val="100"/>
                <w:position w:val="0"/>
                <w:sz w:val="24"/>
                <w:szCs w:val="24"/>
                <w:lang w:eastAsia="zh-CN"/>
              </w:rPr>
              <w:t>医院后勤人员</w:t>
            </w:r>
            <w:r>
              <w:rPr>
                <w:rFonts w:hint="default" w:ascii="Times New Roman" w:hAnsi="Times New Roman" w:eastAsia="宋体" w:cs="Times New Roman"/>
                <w:color w:val="auto"/>
                <w:spacing w:val="0"/>
                <w:w w:val="100"/>
                <w:position w:val="0"/>
                <w:sz w:val="24"/>
                <w:szCs w:val="24"/>
                <w:highlight w:val="none"/>
              </w:rPr>
              <w:t>共</w:t>
            </w:r>
            <w:r>
              <w:rPr>
                <w:rFonts w:hint="eastAsia" w:ascii="Times New Roman" w:hAnsi="Times New Roman" w:cs="Times New Roman"/>
                <w:color w:val="auto"/>
                <w:spacing w:val="0"/>
                <w:w w:val="100"/>
                <w:position w:val="0"/>
                <w:sz w:val="24"/>
                <w:szCs w:val="24"/>
                <w:highlight w:val="none"/>
                <w:lang w:val="en-US" w:eastAsia="zh-CN"/>
              </w:rPr>
              <w:t>27</w:t>
            </w:r>
            <w:r>
              <w:rPr>
                <w:rFonts w:hint="default" w:ascii="Times New Roman" w:hAnsi="Times New Roman" w:eastAsia="宋体" w:cs="Times New Roman"/>
                <w:color w:val="auto"/>
                <w:spacing w:val="0"/>
                <w:w w:val="100"/>
                <w:position w:val="0"/>
                <w:sz w:val="24"/>
                <w:szCs w:val="24"/>
                <w:highlight w:val="none"/>
              </w:rPr>
              <w:t>人</w:t>
            </w:r>
            <w:r>
              <w:rPr>
                <w:rFonts w:hint="default" w:ascii="Times New Roman" w:hAnsi="Times New Roman" w:eastAsia="宋体" w:cs="Times New Roman"/>
                <w:color w:val="auto"/>
                <w:spacing w:val="0"/>
                <w:w w:val="100"/>
                <w:position w:val="0"/>
                <w:sz w:val="24"/>
                <w:szCs w:val="24"/>
              </w:rPr>
              <w:t>，根据《综合医院建筑设计规范》（GB 51039-2014），用水量按</w:t>
            </w:r>
            <w:r>
              <w:rPr>
                <w:rFonts w:hint="eastAsia" w:ascii="Times New Roman" w:hAnsi="Times New Roman" w:cs="Times New Roman"/>
                <w:color w:val="auto"/>
                <w:spacing w:val="0"/>
                <w:w w:val="100"/>
                <w:position w:val="0"/>
                <w:sz w:val="24"/>
                <w:szCs w:val="24"/>
                <w:lang w:val="en-US" w:eastAsia="zh-CN"/>
              </w:rPr>
              <w:t>80</w:t>
            </w:r>
            <w:r>
              <w:rPr>
                <w:rFonts w:hint="default" w:ascii="Times New Roman" w:hAnsi="Times New Roman" w:eastAsia="宋体" w:cs="Times New Roman"/>
                <w:color w:val="auto"/>
                <w:spacing w:val="0"/>
                <w:w w:val="100"/>
                <w:position w:val="0"/>
                <w:sz w:val="24"/>
                <w:szCs w:val="24"/>
              </w:rPr>
              <w:t>-</w:t>
            </w:r>
            <w:r>
              <w:rPr>
                <w:rFonts w:hint="eastAsia" w:ascii="Times New Roman" w:hAnsi="Times New Roman" w:cs="Times New Roman"/>
                <w:color w:val="auto"/>
                <w:spacing w:val="0"/>
                <w:w w:val="100"/>
                <w:position w:val="0"/>
                <w:sz w:val="24"/>
                <w:szCs w:val="24"/>
                <w:lang w:val="en-US" w:eastAsia="zh-CN"/>
              </w:rPr>
              <w:t>10</w:t>
            </w:r>
            <w:r>
              <w:rPr>
                <w:rFonts w:hint="eastAsia" w:ascii="Times New Roman" w:hAnsi="Times New Roman" w:eastAsia="宋体" w:cs="Times New Roman"/>
                <w:color w:val="auto"/>
                <w:spacing w:val="0"/>
                <w:w w:val="100"/>
                <w:position w:val="0"/>
                <w:sz w:val="24"/>
                <w:szCs w:val="24"/>
                <w:lang w:val="en-US" w:eastAsia="zh-CN"/>
              </w:rPr>
              <w:t>0</w:t>
            </w:r>
            <w:r>
              <w:rPr>
                <w:rFonts w:hint="default" w:ascii="Times New Roman" w:hAnsi="Times New Roman" w:eastAsia="宋体" w:cs="Times New Roman"/>
                <w:color w:val="auto"/>
                <w:spacing w:val="0"/>
                <w:w w:val="100"/>
                <w:position w:val="0"/>
                <w:sz w:val="24"/>
                <w:szCs w:val="24"/>
              </w:rPr>
              <w:t>L/人</w:t>
            </w:r>
            <w:r>
              <w:rPr>
                <w:rFonts w:hint="eastAsia" w:ascii="Times New Roman" w:hAnsi="Times New Roman" w:cs="Times New Roman"/>
                <w:color w:val="auto"/>
                <w:spacing w:val="0"/>
                <w:w w:val="100"/>
                <w:position w:val="0"/>
                <w:sz w:val="24"/>
                <w:szCs w:val="24"/>
                <w:lang w:eastAsia="zh-CN"/>
              </w:rPr>
              <w:t>班</w:t>
            </w:r>
            <w:r>
              <w:rPr>
                <w:rFonts w:hint="default" w:ascii="Times New Roman" w:hAnsi="Times New Roman" w:eastAsia="宋体" w:cs="Times New Roman"/>
                <w:color w:val="auto"/>
                <w:spacing w:val="0"/>
                <w:w w:val="100"/>
                <w:position w:val="0"/>
                <w:sz w:val="24"/>
                <w:szCs w:val="24"/>
              </w:rPr>
              <w:t>计算</w:t>
            </w:r>
            <w:r>
              <w:rPr>
                <w:rFonts w:hint="eastAsia"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项目</w:t>
            </w:r>
            <w:r>
              <w:rPr>
                <w:rFonts w:hint="eastAsia" w:ascii="Times New Roman" w:hAnsi="Times New Roman" w:cs="Times New Roman"/>
                <w:color w:val="auto"/>
                <w:spacing w:val="0"/>
                <w:w w:val="100"/>
                <w:position w:val="0"/>
                <w:sz w:val="24"/>
                <w:szCs w:val="24"/>
                <w:lang w:eastAsia="zh-CN"/>
              </w:rPr>
              <w:t>医院后勤人员</w:t>
            </w:r>
            <w:r>
              <w:rPr>
                <w:rFonts w:hint="default" w:ascii="Times New Roman" w:hAnsi="Times New Roman" w:eastAsia="宋体" w:cs="Times New Roman"/>
                <w:color w:val="auto"/>
                <w:spacing w:val="0"/>
                <w:w w:val="100"/>
                <w:position w:val="0"/>
                <w:sz w:val="24"/>
                <w:szCs w:val="24"/>
              </w:rPr>
              <w:t>用水量按</w:t>
            </w:r>
            <w:r>
              <w:rPr>
                <w:rFonts w:hint="eastAsia" w:ascii="Times New Roman" w:hAnsi="Times New Roman" w:cs="Times New Roman"/>
                <w:color w:val="auto"/>
                <w:spacing w:val="0"/>
                <w:w w:val="100"/>
                <w:position w:val="0"/>
                <w:sz w:val="24"/>
                <w:szCs w:val="24"/>
                <w:lang w:val="en-US" w:eastAsia="zh-CN"/>
              </w:rPr>
              <w:t>90</w:t>
            </w:r>
            <w:r>
              <w:rPr>
                <w:rFonts w:hint="default" w:ascii="Times New Roman" w:hAnsi="Times New Roman" w:eastAsia="宋体" w:cs="Times New Roman"/>
                <w:color w:val="auto"/>
                <w:spacing w:val="0"/>
                <w:w w:val="100"/>
                <w:position w:val="0"/>
                <w:sz w:val="24"/>
                <w:szCs w:val="24"/>
              </w:rPr>
              <w:t>L/人</w:t>
            </w:r>
            <w:r>
              <w:rPr>
                <w:rFonts w:hint="eastAsia" w:ascii="Times New Roman" w:hAnsi="Times New Roman" w:cs="Times New Roman"/>
                <w:color w:val="auto"/>
                <w:spacing w:val="0"/>
                <w:w w:val="100"/>
                <w:position w:val="0"/>
                <w:sz w:val="24"/>
                <w:szCs w:val="24"/>
                <w:lang w:eastAsia="zh-CN"/>
              </w:rPr>
              <w:t>班</w:t>
            </w:r>
            <w:r>
              <w:rPr>
                <w:rFonts w:hint="default" w:ascii="Times New Roman" w:hAnsi="Times New Roman" w:eastAsia="宋体" w:cs="Times New Roman"/>
                <w:color w:val="auto"/>
                <w:spacing w:val="0"/>
                <w:w w:val="100"/>
                <w:position w:val="0"/>
                <w:sz w:val="24"/>
                <w:szCs w:val="24"/>
              </w:rPr>
              <w:t>计，经计算，本项目</w:t>
            </w:r>
            <w:r>
              <w:rPr>
                <w:rFonts w:hint="eastAsia" w:ascii="Times New Roman" w:hAnsi="Times New Roman" w:cs="Times New Roman"/>
                <w:color w:val="auto"/>
                <w:spacing w:val="0"/>
                <w:w w:val="100"/>
                <w:position w:val="0"/>
                <w:sz w:val="24"/>
                <w:szCs w:val="24"/>
                <w:lang w:eastAsia="zh-CN"/>
              </w:rPr>
              <w:t>医院后勤人员</w:t>
            </w:r>
            <w:r>
              <w:rPr>
                <w:rFonts w:hint="default" w:ascii="Times New Roman" w:hAnsi="Times New Roman" w:eastAsia="宋体" w:cs="Times New Roman"/>
                <w:color w:val="auto"/>
                <w:spacing w:val="0"/>
                <w:w w:val="100"/>
                <w:position w:val="0"/>
                <w:sz w:val="24"/>
                <w:szCs w:val="24"/>
              </w:rPr>
              <w:t>用水量为</w:t>
            </w:r>
            <w:r>
              <w:rPr>
                <w:rFonts w:hint="eastAsia" w:ascii="Times New Roman" w:hAnsi="Times New Roman" w:cs="Times New Roman"/>
                <w:color w:val="auto"/>
                <w:spacing w:val="0"/>
                <w:w w:val="100"/>
                <w:position w:val="0"/>
                <w:sz w:val="24"/>
                <w:szCs w:val="24"/>
                <w:lang w:val="en-US" w:eastAsia="zh-CN"/>
              </w:rPr>
              <w:t>2.43</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886.95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/a），排水系数取0.</w:t>
            </w:r>
            <w:r>
              <w:rPr>
                <w:rFonts w:hint="eastAsia" w:ascii="Times New Roman" w:hAnsi="Times New Roman" w:cs="Times New Roman"/>
                <w:color w:val="auto"/>
                <w:spacing w:val="0"/>
                <w:w w:val="100"/>
                <w:position w:val="0"/>
                <w:sz w:val="24"/>
                <w:szCs w:val="24"/>
                <w:lang w:val="en-US" w:eastAsia="zh-CN"/>
              </w:rPr>
              <w:t>85</w:t>
            </w:r>
            <w:r>
              <w:rPr>
                <w:rFonts w:hint="default" w:ascii="Times New Roman" w:hAnsi="Times New Roman" w:eastAsia="宋体" w:cs="Times New Roman"/>
                <w:color w:val="auto"/>
                <w:spacing w:val="0"/>
                <w:w w:val="100"/>
                <w:position w:val="0"/>
                <w:sz w:val="24"/>
                <w:szCs w:val="24"/>
              </w:rPr>
              <w:t>，则废水量为</w:t>
            </w:r>
            <w:r>
              <w:rPr>
                <w:rFonts w:hint="eastAsia" w:ascii="Times New Roman" w:hAnsi="Times New Roman" w:cs="Times New Roman"/>
                <w:color w:val="auto"/>
                <w:spacing w:val="0"/>
                <w:w w:val="100"/>
                <w:position w:val="0"/>
                <w:sz w:val="24"/>
                <w:szCs w:val="24"/>
                <w:lang w:val="en-US" w:eastAsia="zh-CN"/>
              </w:rPr>
              <w:t>2.066</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754.09</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w:t>
            </w:r>
          </w:p>
          <w:p w14:paraId="52CFE9CC">
            <w:pPr>
              <w:pStyle w:val="141"/>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门诊病人用水：门诊人数按每日</w:t>
            </w:r>
            <w:r>
              <w:rPr>
                <w:rFonts w:hint="eastAsia" w:ascii="Times New Roman" w:hAnsi="Times New Roman" w:cs="Times New Roman"/>
                <w:color w:val="auto"/>
                <w:spacing w:val="0"/>
                <w:w w:val="100"/>
                <w:position w:val="0"/>
                <w:sz w:val="24"/>
                <w:szCs w:val="24"/>
                <w:highlight w:val="none"/>
                <w:lang w:val="en-US" w:eastAsia="zh-CN"/>
              </w:rPr>
              <w:t>90</w:t>
            </w:r>
            <w:r>
              <w:rPr>
                <w:rFonts w:hint="default" w:ascii="Times New Roman" w:hAnsi="Times New Roman" w:eastAsia="宋体" w:cs="Times New Roman"/>
                <w:color w:val="auto"/>
                <w:spacing w:val="0"/>
                <w:w w:val="100"/>
                <w:position w:val="0"/>
                <w:sz w:val="24"/>
                <w:szCs w:val="24"/>
                <w:highlight w:val="none"/>
              </w:rPr>
              <w:t>人</w:t>
            </w:r>
            <w:r>
              <w:rPr>
                <w:rFonts w:hint="default" w:ascii="Times New Roman" w:hAnsi="Times New Roman" w:eastAsia="宋体" w:cs="Times New Roman"/>
                <w:color w:val="auto"/>
                <w:spacing w:val="0"/>
                <w:w w:val="100"/>
                <w:position w:val="0"/>
                <w:sz w:val="24"/>
                <w:szCs w:val="24"/>
              </w:rPr>
              <w:t>考虑，根据《医院给排水设计规范》，用水量按10-15L/人次计算，本项目取</w:t>
            </w:r>
            <w:r>
              <w:rPr>
                <w:rFonts w:hint="eastAsia" w:ascii="Times New Roman" w:hAnsi="Times New Roman" w:cs="Times New Roman"/>
                <w:color w:val="auto"/>
                <w:spacing w:val="0"/>
                <w:w w:val="100"/>
                <w:position w:val="0"/>
                <w:sz w:val="24"/>
                <w:szCs w:val="24"/>
                <w:lang w:val="en-US" w:eastAsia="zh-CN"/>
              </w:rPr>
              <w:t>12.5</w:t>
            </w:r>
            <w:r>
              <w:rPr>
                <w:rFonts w:hint="default" w:ascii="Times New Roman" w:hAnsi="Times New Roman" w:eastAsia="宋体" w:cs="Times New Roman"/>
                <w:color w:val="auto"/>
                <w:spacing w:val="0"/>
                <w:w w:val="100"/>
                <w:position w:val="0"/>
                <w:sz w:val="24"/>
                <w:szCs w:val="24"/>
              </w:rPr>
              <w:t>L/人·次，共计</w:t>
            </w:r>
            <w:r>
              <w:rPr>
                <w:rFonts w:hint="eastAsia" w:ascii="Times New Roman" w:hAnsi="Times New Roman" w:cs="Times New Roman"/>
                <w:color w:val="auto"/>
                <w:spacing w:val="0"/>
                <w:w w:val="100"/>
                <w:position w:val="0"/>
                <w:sz w:val="24"/>
                <w:szCs w:val="24"/>
                <w:lang w:val="en-US" w:eastAsia="zh-CN"/>
              </w:rPr>
              <w:t>1.125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410.625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/a），排水系数取0.</w:t>
            </w:r>
            <w:r>
              <w:rPr>
                <w:rFonts w:hint="eastAsia" w:ascii="Times New Roman" w:hAnsi="Times New Roman" w:cs="Times New Roman"/>
                <w:color w:val="auto"/>
                <w:spacing w:val="0"/>
                <w:w w:val="100"/>
                <w:position w:val="0"/>
                <w:sz w:val="24"/>
                <w:szCs w:val="24"/>
                <w:lang w:val="en-US" w:eastAsia="zh-CN"/>
              </w:rPr>
              <w:t>85</w:t>
            </w:r>
            <w:r>
              <w:rPr>
                <w:rFonts w:hint="default" w:ascii="Times New Roman" w:hAnsi="Times New Roman" w:eastAsia="宋体" w:cs="Times New Roman"/>
                <w:color w:val="auto"/>
                <w:spacing w:val="0"/>
                <w:w w:val="100"/>
                <w:position w:val="0"/>
                <w:sz w:val="24"/>
                <w:szCs w:val="24"/>
              </w:rPr>
              <w:t>，排水量为</w:t>
            </w:r>
            <w:r>
              <w:rPr>
                <w:rFonts w:hint="eastAsia" w:ascii="Times New Roman" w:hAnsi="Times New Roman" w:cs="Times New Roman"/>
                <w:color w:val="auto"/>
                <w:spacing w:val="0"/>
                <w:w w:val="100"/>
                <w:position w:val="0"/>
                <w:sz w:val="24"/>
                <w:szCs w:val="24"/>
                <w:lang w:val="en-US" w:eastAsia="zh-CN"/>
              </w:rPr>
              <w:t>0.956</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349.031</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w:t>
            </w:r>
          </w:p>
          <w:p w14:paraId="68A44F4D">
            <w:pPr>
              <w:pStyle w:val="141"/>
              <w:keepNext w:val="0"/>
              <w:keepLines w:val="0"/>
              <w:pageBreakBefore w:val="0"/>
              <w:widowControl w:val="0"/>
              <w:kinsoku/>
              <w:wordWrap/>
              <w:overflowPunct/>
              <w:topLinePunct w:val="0"/>
              <w:autoSpaceDE/>
              <w:autoSpaceDN/>
              <w:bidi w:val="0"/>
              <w:adjustRightInd/>
              <w:snapToGrid/>
              <w:spacing w:line="360" w:lineRule="auto"/>
              <w:ind w:left="0" w:right="0" w:firstLine="477"/>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病房用水：项目建成后病床</w:t>
            </w:r>
            <w:r>
              <w:rPr>
                <w:rFonts w:hint="eastAsia" w:ascii="Times New Roman" w:hAnsi="Times New Roman" w:cs="Times New Roman"/>
                <w:color w:val="auto"/>
                <w:spacing w:val="0"/>
                <w:w w:val="100"/>
                <w:position w:val="0"/>
                <w:sz w:val="24"/>
                <w:szCs w:val="24"/>
                <w:highlight w:val="none"/>
                <w:lang w:val="en-US" w:eastAsia="zh-CN"/>
              </w:rPr>
              <w:t>60</w:t>
            </w:r>
            <w:r>
              <w:rPr>
                <w:rFonts w:hint="default" w:ascii="Times New Roman" w:hAnsi="Times New Roman" w:eastAsia="宋体" w:cs="Times New Roman"/>
                <w:color w:val="auto"/>
                <w:spacing w:val="0"/>
                <w:w w:val="100"/>
                <w:position w:val="0"/>
                <w:sz w:val="24"/>
                <w:szCs w:val="24"/>
                <w:highlight w:val="none"/>
              </w:rPr>
              <w:t>张</w:t>
            </w:r>
            <w:r>
              <w:rPr>
                <w:rFonts w:hint="default" w:ascii="Times New Roman" w:hAnsi="Times New Roman" w:eastAsia="宋体" w:cs="Times New Roman"/>
                <w:color w:val="auto"/>
                <w:spacing w:val="0"/>
                <w:w w:val="100"/>
                <w:position w:val="0"/>
                <w:sz w:val="24"/>
                <w:szCs w:val="24"/>
              </w:rPr>
              <w:t>，根据《综合医院建筑设计规范》（GB 51039-2014）：</w:t>
            </w:r>
            <w:r>
              <w:rPr>
                <w:rFonts w:hint="eastAsia" w:ascii="Times New Roman" w:hAnsi="Times New Roman" w:cs="Times New Roman"/>
                <w:color w:val="auto"/>
                <w:spacing w:val="0"/>
                <w:w w:val="100"/>
                <w:position w:val="0"/>
                <w:sz w:val="24"/>
                <w:szCs w:val="24"/>
                <w:lang w:eastAsia="zh-CN"/>
              </w:rPr>
              <w:t>病房设卫生间的</w:t>
            </w:r>
            <w:r>
              <w:rPr>
                <w:rFonts w:hint="default" w:ascii="Times New Roman" w:hAnsi="Times New Roman" w:eastAsia="宋体" w:cs="Times New Roman"/>
                <w:color w:val="auto"/>
                <w:spacing w:val="0"/>
                <w:w w:val="100"/>
                <w:position w:val="0"/>
                <w:sz w:val="24"/>
                <w:szCs w:val="24"/>
              </w:rPr>
              <w:t>，</w:t>
            </w:r>
            <w:r>
              <w:rPr>
                <w:rFonts w:hint="eastAsia" w:ascii="Times New Roman" w:hAnsi="Times New Roman" w:cs="Times New Roman"/>
                <w:color w:val="auto"/>
                <w:spacing w:val="0"/>
                <w:w w:val="100"/>
                <w:position w:val="0"/>
                <w:sz w:val="24"/>
                <w:szCs w:val="24"/>
                <w:lang w:eastAsia="zh-CN"/>
              </w:rPr>
              <w:t>最高用水</w:t>
            </w:r>
            <w:r>
              <w:rPr>
                <w:rFonts w:hint="default" w:ascii="Times New Roman" w:hAnsi="Times New Roman" w:eastAsia="宋体" w:cs="Times New Roman"/>
                <w:color w:val="auto"/>
                <w:spacing w:val="0"/>
                <w:w w:val="100"/>
                <w:position w:val="0"/>
                <w:sz w:val="24"/>
                <w:szCs w:val="24"/>
              </w:rPr>
              <w:t>量</w:t>
            </w:r>
            <w:r>
              <w:rPr>
                <w:rFonts w:hint="eastAsia" w:ascii="Times New Roman" w:hAnsi="Times New Roman" w:cs="Times New Roman"/>
                <w:color w:val="auto"/>
                <w:spacing w:val="0"/>
                <w:w w:val="100"/>
                <w:position w:val="0"/>
                <w:sz w:val="24"/>
                <w:szCs w:val="24"/>
                <w:lang w:val="en-US" w:eastAsia="zh-CN"/>
              </w:rPr>
              <w:t>200</w:t>
            </w:r>
            <w:r>
              <w:rPr>
                <w:rFonts w:hint="default" w:ascii="Times New Roman" w:hAnsi="Times New Roman" w:eastAsia="宋体" w:cs="Times New Roman"/>
                <w:color w:val="auto"/>
                <w:spacing w:val="0"/>
                <w:w w:val="100"/>
                <w:position w:val="0"/>
                <w:sz w:val="24"/>
                <w:szCs w:val="24"/>
              </w:rPr>
              <w:t>～</w:t>
            </w:r>
            <w:r>
              <w:rPr>
                <w:rFonts w:hint="eastAsia" w:ascii="Times New Roman" w:hAnsi="Times New Roman" w:cs="Times New Roman"/>
                <w:color w:val="auto"/>
                <w:spacing w:val="0"/>
                <w:w w:val="100"/>
                <w:position w:val="0"/>
                <w:sz w:val="24"/>
                <w:szCs w:val="24"/>
                <w:lang w:val="en-US" w:eastAsia="zh-CN"/>
              </w:rPr>
              <w:t>250</w:t>
            </w:r>
            <w:r>
              <w:rPr>
                <w:rFonts w:hint="default" w:ascii="Times New Roman" w:hAnsi="Times New Roman" w:eastAsia="宋体" w:cs="Times New Roman"/>
                <w:color w:val="auto"/>
                <w:spacing w:val="0"/>
                <w:w w:val="100"/>
                <w:position w:val="0"/>
                <w:sz w:val="24"/>
                <w:szCs w:val="24"/>
              </w:rPr>
              <w:t>L/床·d，本项目单位病床用水量按</w:t>
            </w:r>
            <w:r>
              <w:rPr>
                <w:rFonts w:hint="eastAsia" w:ascii="Times New Roman" w:hAnsi="Times New Roman" w:cs="Times New Roman"/>
                <w:color w:val="auto"/>
                <w:spacing w:val="0"/>
                <w:w w:val="100"/>
                <w:position w:val="0"/>
                <w:sz w:val="24"/>
                <w:szCs w:val="24"/>
                <w:lang w:val="en-US" w:eastAsia="zh-CN"/>
              </w:rPr>
              <w:t>225</w:t>
            </w:r>
            <w:r>
              <w:rPr>
                <w:rFonts w:hint="default" w:ascii="Times New Roman" w:hAnsi="Times New Roman" w:eastAsia="宋体" w:cs="Times New Roman"/>
                <w:color w:val="auto"/>
                <w:spacing w:val="0"/>
                <w:w w:val="100"/>
                <w:position w:val="0"/>
                <w:sz w:val="24"/>
                <w:szCs w:val="24"/>
              </w:rPr>
              <w:t>L/人次计，经计算，项目住院病人用水量取最大入住人数计算，为</w:t>
            </w:r>
            <w:r>
              <w:rPr>
                <w:rFonts w:hint="eastAsia" w:ascii="Times New Roman" w:hAnsi="Times New Roman" w:cs="Times New Roman"/>
                <w:color w:val="auto"/>
                <w:spacing w:val="0"/>
                <w:w w:val="100"/>
                <w:position w:val="0"/>
                <w:sz w:val="24"/>
                <w:szCs w:val="24"/>
                <w:lang w:val="en-US" w:eastAsia="zh-CN"/>
              </w:rPr>
              <w:t>13.5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4927.5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/a），排水系数取0.</w:t>
            </w:r>
            <w:r>
              <w:rPr>
                <w:rFonts w:hint="eastAsia" w:ascii="Times New Roman" w:hAnsi="Times New Roman" w:cs="Times New Roman"/>
                <w:color w:val="auto"/>
                <w:spacing w:val="0"/>
                <w:w w:val="100"/>
                <w:position w:val="0"/>
                <w:sz w:val="24"/>
                <w:szCs w:val="24"/>
                <w:lang w:val="en-US" w:eastAsia="zh-CN"/>
              </w:rPr>
              <w:t>85</w:t>
            </w:r>
            <w:r>
              <w:rPr>
                <w:rFonts w:hint="default" w:ascii="Times New Roman" w:hAnsi="Times New Roman" w:eastAsia="宋体" w:cs="Times New Roman"/>
                <w:color w:val="auto"/>
                <w:spacing w:val="0"/>
                <w:w w:val="100"/>
                <w:position w:val="0"/>
                <w:sz w:val="24"/>
                <w:szCs w:val="24"/>
              </w:rPr>
              <w:t>，则住院病人产生的废水量为</w:t>
            </w:r>
            <w:r>
              <w:rPr>
                <w:rFonts w:hint="eastAsia" w:ascii="Times New Roman" w:hAnsi="Times New Roman" w:cs="Times New Roman"/>
                <w:color w:val="auto"/>
                <w:spacing w:val="0"/>
                <w:w w:val="100"/>
                <w:position w:val="0"/>
                <w:sz w:val="24"/>
                <w:szCs w:val="24"/>
                <w:lang w:val="en-US" w:eastAsia="zh-CN"/>
              </w:rPr>
              <w:t>11.475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4188.375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w:t>
            </w:r>
          </w:p>
          <w:p w14:paraId="5408BABA">
            <w:pPr>
              <w:pStyle w:val="141"/>
              <w:keepNext w:val="0"/>
              <w:keepLines w:val="0"/>
              <w:pageBreakBefore w:val="0"/>
              <w:widowControl w:val="0"/>
              <w:kinsoku/>
              <w:wordWrap/>
              <w:overflowPunct/>
              <w:topLinePunct w:val="0"/>
              <w:autoSpaceDE/>
              <w:autoSpaceDN/>
              <w:bidi w:val="0"/>
              <w:adjustRightInd/>
              <w:snapToGrid/>
              <w:spacing w:line="360" w:lineRule="auto"/>
              <w:ind w:left="0" w:right="0" w:firstLine="476"/>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检验用水：检验科采用先进的检验仪器以及先进的方法，使用直接购进成套的试剂盒，试剂盒内药品的主要成分包括生物酶、有机物和缓冲液等，不含氰化物，不使用含铬化学品；血样化验采用的溶血剂为无氰试剂，用水主要包括仪器设备、容器等清洗用水。外购纯水，</w:t>
            </w:r>
            <w:r>
              <w:rPr>
                <w:rFonts w:hint="eastAsia" w:ascii="Times New Roman" w:hAnsi="Times New Roman" w:cs="Times New Roman"/>
                <w:color w:val="auto"/>
                <w:spacing w:val="0"/>
                <w:w w:val="100"/>
                <w:position w:val="0"/>
                <w:sz w:val="24"/>
                <w:szCs w:val="24"/>
                <w:lang w:eastAsia="zh-CN"/>
              </w:rPr>
              <w:t>类比《</w:t>
            </w:r>
            <w:r>
              <w:rPr>
                <w:rFonts w:hint="default" w:ascii="Times New Roman" w:hAnsi="Times New Roman" w:eastAsia="宋体" w:cs="Times New Roman"/>
                <w:color w:val="auto"/>
                <w:spacing w:val="0"/>
                <w:w w:val="100"/>
                <w:position w:val="0"/>
                <w:sz w:val="24"/>
                <w:szCs w:val="24"/>
              </w:rPr>
              <w:t>德州爱尔眼科医院建设项目竣工环境保护验收监测报告表</w:t>
            </w:r>
            <w:r>
              <w:rPr>
                <w:rFonts w:hint="eastAsia" w:ascii="Times New Roman" w:hAnsi="Times New Roman" w:cs="Times New Roman"/>
                <w:color w:val="auto"/>
                <w:spacing w:val="0"/>
                <w:w w:val="100"/>
                <w:position w:val="0"/>
                <w:sz w:val="24"/>
                <w:szCs w:val="24"/>
                <w:lang w:eastAsia="zh-CN"/>
              </w:rPr>
              <w:t>》（设置床位</w:t>
            </w:r>
            <w:r>
              <w:rPr>
                <w:rFonts w:hint="eastAsia" w:ascii="Times New Roman" w:hAnsi="Times New Roman" w:cs="Times New Roman"/>
                <w:color w:val="auto"/>
                <w:spacing w:val="0"/>
                <w:w w:val="100"/>
                <w:position w:val="0"/>
                <w:sz w:val="24"/>
                <w:szCs w:val="24"/>
                <w:lang w:val="en-US" w:eastAsia="zh-CN"/>
              </w:rPr>
              <w:t>80张，年就诊人数5万人</w:t>
            </w:r>
            <w:r>
              <w:rPr>
                <w:rFonts w:hint="eastAsia" w:ascii="Times New Roman" w:hAnsi="Times New Roman" w:cs="Times New Roman"/>
                <w:color w:val="auto"/>
                <w:spacing w:val="0"/>
                <w:w w:val="100"/>
                <w:position w:val="0"/>
                <w:sz w:val="24"/>
                <w:szCs w:val="24"/>
                <w:lang w:eastAsia="zh-CN"/>
              </w:rPr>
              <w:t>，检验</w:t>
            </w:r>
            <w:r>
              <w:rPr>
                <w:rFonts w:hint="default" w:ascii="Times New Roman" w:hAnsi="Times New Roman" w:eastAsia="宋体" w:cs="Times New Roman"/>
                <w:color w:val="auto"/>
                <w:spacing w:val="0"/>
                <w:w w:val="100"/>
                <w:position w:val="0"/>
                <w:sz w:val="24"/>
                <w:szCs w:val="24"/>
              </w:rPr>
              <w:t>用水量约为</w:t>
            </w:r>
            <w:r>
              <w:rPr>
                <w:rFonts w:hint="eastAsia" w:ascii="Times New Roman" w:hAnsi="Times New Roman" w:cs="Times New Roman"/>
                <w:color w:val="auto"/>
                <w:spacing w:val="0"/>
                <w:w w:val="100"/>
                <w:position w:val="0"/>
                <w:sz w:val="24"/>
                <w:szCs w:val="24"/>
                <w:lang w:val="en-US" w:eastAsia="zh-CN"/>
              </w:rPr>
              <w:t>0.5m</w:t>
            </w:r>
            <w:r>
              <w:rPr>
                <w:rFonts w:hint="eastAsia" w:ascii="Times New Roman" w:hAnsi="Times New Roman" w:cs="Times New Roman"/>
                <w:color w:val="auto"/>
                <w:spacing w:val="0"/>
                <w:w w:val="100"/>
                <w:position w:val="0"/>
                <w:sz w:val="24"/>
                <w:szCs w:val="24"/>
                <w:vertAlign w:val="superscript"/>
                <w:lang w:val="en-US" w:eastAsia="zh-CN"/>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w:t>
            </w:r>
            <w:r>
              <w:rPr>
                <w:rFonts w:hint="eastAsia" w:ascii="Times New Roman" w:hAnsi="Times New Roman" w:cs="Times New Roman"/>
                <w:color w:val="auto"/>
                <w:spacing w:val="0"/>
                <w:w w:val="100"/>
                <w:position w:val="0"/>
                <w:sz w:val="24"/>
                <w:szCs w:val="24"/>
                <w:lang w:eastAsia="zh-CN"/>
              </w:rPr>
              <w:t>则本项目检验用水</w:t>
            </w:r>
            <w:r>
              <w:rPr>
                <w:rFonts w:hint="eastAsia" w:ascii="Times New Roman" w:hAnsi="Times New Roman" w:cs="Times New Roman"/>
                <w:color w:val="auto"/>
                <w:spacing w:val="0"/>
                <w:w w:val="100"/>
                <w:position w:val="0"/>
                <w:sz w:val="24"/>
                <w:szCs w:val="24"/>
                <w:lang w:val="en-US" w:eastAsia="zh-CN"/>
              </w:rPr>
              <w:t>0.329m</w:t>
            </w:r>
            <w:r>
              <w:rPr>
                <w:rFonts w:hint="eastAsia" w:ascii="Times New Roman" w:hAnsi="Times New Roman" w:cs="Times New Roman"/>
                <w:color w:val="auto"/>
                <w:spacing w:val="0"/>
                <w:w w:val="100"/>
                <w:position w:val="0"/>
                <w:sz w:val="24"/>
                <w:szCs w:val="24"/>
                <w:vertAlign w:val="superscript"/>
                <w:lang w:val="en-US" w:eastAsia="zh-CN"/>
              </w:rPr>
              <w:t>3</w:t>
            </w:r>
            <w:r>
              <w:rPr>
                <w:rFonts w:hint="eastAsia" w:ascii="Times New Roman" w:hAnsi="Times New Roman" w:cs="Times New Roman"/>
                <w:color w:val="auto"/>
                <w:spacing w:val="0"/>
                <w:w w:val="100"/>
                <w:position w:val="0"/>
                <w:sz w:val="24"/>
                <w:szCs w:val="24"/>
                <w:lang w:val="en-US" w:eastAsia="zh-CN"/>
              </w:rPr>
              <w:t>/d（120.085m</w:t>
            </w:r>
            <w:r>
              <w:rPr>
                <w:rFonts w:hint="eastAsia" w:ascii="Times New Roman" w:hAnsi="Times New Roman" w:cs="Times New Roman"/>
                <w:color w:val="auto"/>
                <w:spacing w:val="0"/>
                <w:w w:val="100"/>
                <w:position w:val="0"/>
                <w:sz w:val="24"/>
                <w:szCs w:val="24"/>
                <w:vertAlign w:val="superscript"/>
                <w:lang w:val="en-US" w:eastAsia="zh-CN"/>
              </w:rPr>
              <w:t>3</w:t>
            </w:r>
            <w:r>
              <w:rPr>
                <w:rFonts w:hint="eastAsia" w:ascii="Times New Roman" w:hAnsi="Times New Roman" w:cs="Times New Roman"/>
                <w:color w:val="auto"/>
                <w:spacing w:val="0"/>
                <w:w w:val="100"/>
                <w:position w:val="0"/>
                <w:sz w:val="24"/>
                <w:szCs w:val="24"/>
                <w:lang w:val="en-US" w:eastAsia="zh-CN"/>
              </w:rPr>
              <w:t>/a），</w:t>
            </w:r>
            <w:r>
              <w:rPr>
                <w:rFonts w:hint="default" w:ascii="Times New Roman" w:hAnsi="Times New Roman" w:eastAsia="宋体" w:cs="Times New Roman"/>
                <w:color w:val="auto"/>
                <w:spacing w:val="0"/>
                <w:w w:val="100"/>
                <w:position w:val="0"/>
                <w:sz w:val="24"/>
                <w:szCs w:val="24"/>
              </w:rPr>
              <w:t>排水系数取0.</w:t>
            </w:r>
            <w:r>
              <w:rPr>
                <w:rFonts w:hint="eastAsia" w:ascii="Times New Roman" w:hAnsi="Times New Roman" w:cs="Times New Roman"/>
                <w:color w:val="auto"/>
                <w:spacing w:val="0"/>
                <w:w w:val="100"/>
                <w:position w:val="0"/>
                <w:sz w:val="24"/>
                <w:szCs w:val="24"/>
                <w:lang w:val="en-US" w:eastAsia="zh-CN"/>
              </w:rPr>
              <w:t>85</w:t>
            </w:r>
            <w:r>
              <w:rPr>
                <w:rFonts w:hint="default" w:ascii="Times New Roman" w:hAnsi="Times New Roman" w:eastAsia="宋体" w:cs="Times New Roman"/>
                <w:color w:val="auto"/>
                <w:spacing w:val="0"/>
                <w:w w:val="100"/>
                <w:position w:val="0"/>
                <w:sz w:val="24"/>
                <w:szCs w:val="24"/>
              </w:rPr>
              <w:t>，则检验产生的废水量为</w:t>
            </w:r>
            <w:r>
              <w:rPr>
                <w:rFonts w:hint="eastAsia" w:ascii="Times New Roman" w:hAnsi="Times New Roman" w:cs="Times New Roman"/>
                <w:color w:val="auto"/>
                <w:spacing w:val="0"/>
                <w:w w:val="100"/>
                <w:position w:val="0"/>
                <w:sz w:val="24"/>
                <w:szCs w:val="24"/>
                <w:lang w:val="en-US" w:eastAsia="zh-CN"/>
              </w:rPr>
              <w:t>0.280m</w:t>
            </w:r>
            <w:r>
              <w:rPr>
                <w:rFonts w:hint="eastAsia" w:ascii="Times New Roman" w:hAnsi="Times New Roman" w:cs="Times New Roman"/>
                <w:color w:val="auto"/>
                <w:spacing w:val="0"/>
                <w:w w:val="100"/>
                <w:position w:val="0"/>
                <w:sz w:val="24"/>
                <w:szCs w:val="24"/>
                <w:vertAlign w:val="superscript"/>
                <w:lang w:val="en-US" w:eastAsia="zh-CN"/>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102.072</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w:t>
            </w:r>
          </w:p>
          <w:p w14:paraId="5838A150">
            <w:pPr>
              <w:pStyle w:val="141"/>
              <w:keepNext w:val="0"/>
              <w:keepLines w:val="0"/>
              <w:pageBreakBefore w:val="0"/>
              <w:widowControl w:val="0"/>
              <w:kinsoku/>
              <w:wordWrap/>
              <w:overflowPunct/>
              <w:topLinePunct w:val="0"/>
              <w:autoSpaceDE/>
              <w:autoSpaceDN/>
              <w:bidi w:val="0"/>
              <w:adjustRightInd/>
              <w:snapToGrid/>
              <w:spacing w:line="360" w:lineRule="auto"/>
              <w:ind w:left="0" w:right="0" w:firstLine="476"/>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磨片用水：项目为眼科专科医院，设置</w:t>
            </w:r>
            <w:r>
              <w:rPr>
                <w:rFonts w:hint="eastAsia" w:ascii="Times New Roman" w:hAnsi="Times New Roman" w:cs="Times New Roman"/>
                <w:color w:val="auto"/>
                <w:spacing w:val="0"/>
                <w:w w:val="100"/>
                <w:position w:val="0"/>
                <w:sz w:val="24"/>
                <w:szCs w:val="24"/>
                <w:lang w:val="en-US" w:eastAsia="zh-CN"/>
              </w:rPr>
              <w:t>加工间</w:t>
            </w:r>
            <w:r>
              <w:rPr>
                <w:rFonts w:hint="default" w:ascii="Times New Roman" w:hAnsi="Times New Roman" w:eastAsia="宋体" w:cs="Times New Roman"/>
                <w:color w:val="auto"/>
                <w:spacing w:val="0"/>
                <w:w w:val="100"/>
                <w:position w:val="0"/>
                <w:sz w:val="24"/>
                <w:szCs w:val="24"/>
              </w:rPr>
              <w:t>，制片打磨时需用水冷却润滑。</w:t>
            </w:r>
            <w:r>
              <w:rPr>
                <w:rFonts w:hint="eastAsia" w:ascii="Times New Roman" w:hAnsi="Times New Roman" w:cs="Times New Roman"/>
                <w:color w:val="auto"/>
                <w:spacing w:val="0"/>
                <w:w w:val="100"/>
                <w:position w:val="0"/>
                <w:sz w:val="24"/>
                <w:szCs w:val="24"/>
                <w:lang w:eastAsia="zh-CN"/>
              </w:rPr>
              <w:t>类比《陇西爱尔眼科医院项目竣工环境保护验收监测报告表》（设置床位</w:t>
            </w:r>
            <w:r>
              <w:rPr>
                <w:rFonts w:hint="eastAsia" w:ascii="Times New Roman" w:hAnsi="Times New Roman" w:cs="Times New Roman"/>
                <w:color w:val="auto"/>
                <w:spacing w:val="0"/>
                <w:w w:val="100"/>
                <w:position w:val="0"/>
                <w:sz w:val="24"/>
                <w:szCs w:val="24"/>
                <w:lang w:val="en-US" w:eastAsia="zh-CN"/>
              </w:rPr>
              <w:t>25张，年就诊人数3.65万人</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磨片用水量约为</w:t>
            </w:r>
            <w:r>
              <w:rPr>
                <w:rFonts w:hint="eastAsia" w:ascii="Times New Roman" w:hAnsi="Times New Roman" w:cs="Times New Roman"/>
                <w:color w:val="auto"/>
                <w:spacing w:val="0"/>
                <w:w w:val="100"/>
                <w:position w:val="0"/>
                <w:sz w:val="24"/>
                <w:szCs w:val="24"/>
                <w:lang w:val="en-US" w:eastAsia="zh-CN"/>
              </w:rPr>
              <w:t>0.02m</w:t>
            </w:r>
            <w:r>
              <w:rPr>
                <w:rFonts w:hint="eastAsia" w:ascii="Times New Roman" w:hAnsi="Times New Roman" w:cs="Times New Roman"/>
                <w:color w:val="auto"/>
                <w:spacing w:val="0"/>
                <w:w w:val="100"/>
                <w:position w:val="0"/>
                <w:sz w:val="24"/>
                <w:szCs w:val="24"/>
                <w:vertAlign w:val="superscript"/>
                <w:lang w:val="en-US" w:eastAsia="zh-CN"/>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w:t>
            </w:r>
            <w:r>
              <w:rPr>
                <w:rFonts w:hint="eastAsia" w:ascii="Times New Roman" w:hAnsi="Times New Roman" w:cs="Times New Roman"/>
                <w:color w:val="auto"/>
                <w:spacing w:val="0"/>
                <w:w w:val="100"/>
                <w:position w:val="0"/>
                <w:sz w:val="24"/>
                <w:szCs w:val="24"/>
                <w:lang w:val="en-US" w:eastAsia="zh-CN"/>
              </w:rPr>
              <w:t>则本</w:t>
            </w:r>
            <w:r>
              <w:rPr>
                <w:rFonts w:hint="default" w:ascii="Times New Roman" w:hAnsi="Times New Roman" w:eastAsia="宋体" w:cs="Times New Roman"/>
                <w:color w:val="auto"/>
                <w:spacing w:val="0"/>
                <w:w w:val="100"/>
                <w:position w:val="0"/>
                <w:sz w:val="24"/>
                <w:szCs w:val="24"/>
              </w:rPr>
              <w:t>项目磨片用水约0.0</w:t>
            </w:r>
            <w:r>
              <w:rPr>
                <w:rFonts w:hint="eastAsia" w:ascii="Times New Roman" w:hAnsi="Times New Roman" w:cs="Times New Roman"/>
                <w:color w:val="auto"/>
                <w:spacing w:val="0"/>
                <w:w w:val="100"/>
                <w:position w:val="0"/>
                <w:sz w:val="24"/>
                <w:szCs w:val="24"/>
                <w:lang w:val="en-US" w:eastAsia="zh-CN"/>
              </w:rPr>
              <w:t>18</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eastAsia="zh-CN"/>
              </w:rPr>
              <w:t>（</w:t>
            </w:r>
            <w:r>
              <w:rPr>
                <w:rFonts w:hint="eastAsia" w:ascii="Times New Roman" w:hAnsi="Times New Roman" w:cs="Times New Roman"/>
                <w:color w:val="auto"/>
                <w:spacing w:val="0"/>
                <w:w w:val="100"/>
                <w:position w:val="0"/>
                <w:sz w:val="24"/>
                <w:szCs w:val="24"/>
                <w:lang w:val="en-US" w:eastAsia="zh-CN"/>
              </w:rPr>
              <w:t>6.57</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，排水量按用水量的</w:t>
            </w:r>
            <w:r>
              <w:rPr>
                <w:rFonts w:hint="eastAsia" w:ascii="Times New Roman" w:hAnsi="Times New Roman" w:cs="Times New Roman"/>
                <w:color w:val="auto"/>
                <w:spacing w:val="0"/>
                <w:w w:val="100"/>
                <w:position w:val="0"/>
                <w:sz w:val="24"/>
                <w:szCs w:val="24"/>
                <w:lang w:val="en-US" w:eastAsia="zh-CN"/>
              </w:rPr>
              <w:t>8</w:t>
            </w:r>
            <w:r>
              <w:rPr>
                <w:rFonts w:hint="default" w:ascii="Times New Roman" w:hAnsi="Times New Roman" w:eastAsia="宋体" w:cs="Times New Roman"/>
                <w:color w:val="auto"/>
                <w:spacing w:val="0"/>
                <w:w w:val="100"/>
                <w:position w:val="0"/>
                <w:sz w:val="24"/>
                <w:szCs w:val="24"/>
              </w:rPr>
              <w:t>5%计，则项目磨片排水量为</w:t>
            </w:r>
            <w:r>
              <w:rPr>
                <w:rFonts w:hint="eastAsia" w:ascii="Times New Roman" w:hAnsi="Times New Roman" w:cs="Times New Roman"/>
                <w:color w:val="auto"/>
                <w:spacing w:val="0"/>
                <w:w w:val="100"/>
                <w:position w:val="0"/>
                <w:sz w:val="24"/>
                <w:szCs w:val="24"/>
                <w:lang w:val="en-US" w:eastAsia="zh-CN"/>
              </w:rPr>
              <w:t>0.015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eastAsia="zh-CN"/>
              </w:rPr>
              <w:t>（</w:t>
            </w:r>
            <w:r>
              <w:rPr>
                <w:rFonts w:hint="eastAsia" w:ascii="Times New Roman" w:hAnsi="Times New Roman" w:cs="Times New Roman"/>
                <w:color w:val="auto"/>
                <w:spacing w:val="0"/>
                <w:w w:val="100"/>
                <w:position w:val="0"/>
                <w:sz w:val="24"/>
                <w:szCs w:val="24"/>
                <w:lang w:val="en-US" w:eastAsia="zh-CN"/>
              </w:rPr>
              <w:t>5.585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w:t>
            </w:r>
          </w:p>
          <w:p w14:paraId="01B152CD">
            <w:pPr>
              <w:pStyle w:val="141"/>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保洁用水</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根据《建筑给水排水设计标准》（GB50015-2019），保洁用水指标取每平方米1L/</w:t>
            </w:r>
            <w:r>
              <w:rPr>
                <w:rFonts w:hint="eastAsia" w:ascii="Times New Roman" w:hAnsi="Times New Roman" w:cs="Times New Roman"/>
                <w:color w:val="auto"/>
                <w:spacing w:val="0"/>
                <w:w w:val="100"/>
                <w:position w:val="0"/>
                <w:sz w:val="24"/>
                <w:szCs w:val="24"/>
                <w:lang w:val="en-US" w:eastAsia="zh-CN"/>
              </w:rPr>
              <w:t>d</w:t>
            </w:r>
            <w:r>
              <w:rPr>
                <w:rFonts w:hint="default" w:ascii="Times New Roman" w:hAnsi="Times New Roman" w:eastAsia="宋体" w:cs="Times New Roman"/>
                <w:color w:val="auto"/>
                <w:spacing w:val="0"/>
                <w:w w:val="100"/>
                <w:position w:val="0"/>
                <w:sz w:val="24"/>
                <w:szCs w:val="24"/>
              </w:rPr>
              <w:t>，本项目楼建筑面积为</w:t>
            </w:r>
            <w:r>
              <w:rPr>
                <w:rFonts w:hint="eastAsia" w:ascii="Times New Roman" w:hAnsi="Times New Roman" w:cs="Times New Roman"/>
                <w:color w:val="auto"/>
                <w:spacing w:val="0"/>
                <w:w w:val="100"/>
                <w:position w:val="0"/>
                <w:sz w:val="24"/>
                <w:szCs w:val="24"/>
                <w:lang w:val="en-US" w:eastAsia="zh-CN"/>
              </w:rPr>
              <w:t>6799.76</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2</w:t>
            </w:r>
            <w:r>
              <w:rPr>
                <w:rFonts w:hint="default" w:ascii="Times New Roman" w:hAnsi="Times New Roman" w:eastAsia="宋体" w:cs="Times New Roman"/>
                <w:color w:val="auto"/>
                <w:spacing w:val="0"/>
                <w:w w:val="100"/>
                <w:position w:val="0"/>
                <w:sz w:val="24"/>
                <w:szCs w:val="24"/>
              </w:rPr>
              <w:t>，根据计算，用水量为</w:t>
            </w:r>
            <w:r>
              <w:rPr>
                <w:rFonts w:hint="eastAsia" w:ascii="Times New Roman" w:hAnsi="Times New Roman" w:cs="Times New Roman"/>
                <w:color w:val="auto"/>
                <w:spacing w:val="0"/>
                <w:w w:val="100"/>
                <w:position w:val="0"/>
                <w:sz w:val="24"/>
                <w:szCs w:val="24"/>
                <w:lang w:val="en-US" w:eastAsia="zh-CN"/>
              </w:rPr>
              <w:t>6.80m</w:t>
            </w:r>
            <w:r>
              <w:rPr>
                <w:rFonts w:hint="eastAsia" w:ascii="Times New Roman" w:hAnsi="Times New Roman" w:cs="Times New Roman"/>
                <w:color w:val="auto"/>
                <w:spacing w:val="0"/>
                <w:w w:val="100"/>
                <w:position w:val="0"/>
                <w:sz w:val="24"/>
                <w:szCs w:val="24"/>
                <w:vertAlign w:val="superscript"/>
                <w:lang w:val="en-US" w:eastAsia="zh-CN"/>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2482m</w:t>
            </w:r>
            <w:r>
              <w:rPr>
                <w:rFonts w:hint="eastAsia" w:ascii="Times New Roman" w:hAnsi="Times New Roman" w:cs="Times New Roman"/>
                <w:color w:val="auto"/>
                <w:spacing w:val="0"/>
                <w:w w:val="100"/>
                <w:position w:val="0"/>
                <w:sz w:val="24"/>
                <w:szCs w:val="24"/>
                <w:vertAlign w:val="superscript"/>
                <w:lang w:val="en-US" w:eastAsia="zh-CN"/>
              </w:rPr>
              <w:t>3</w:t>
            </w:r>
            <w:r>
              <w:rPr>
                <w:rFonts w:hint="default" w:ascii="Times New Roman" w:hAnsi="Times New Roman" w:eastAsia="宋体" w:cs="Times New Roman"/>
                <w:color w:val="auto"/>
                <w:spacing w:val="0"/>
                <w:w w:val="100"/>
                <w:position w:val="0"/>
                <w:sz w:val="24"/>
                <w:szCs w:val="24"/>
              </w:rPr>
              <w:t>/a），排水量按用水量的</w:t>
            </w:r>
            <w:r>
              <w:rPr>
                <w:rFonts w:hint="eastAsia" w:ascii="Times New Roman" w:hAnsi="Times New Roman" w:cs="Times New Roman"/>
                <w:color w:val="auto"/>
                <w:spacing w:val="0"/>
                <w:w w:val="100"/>
                <w:position w:val="0"/>
                <w:sz w:val="24"/>
                <w:szCs w:val="24"/>
                <w:lang w:val="en-US" w:eastAsia="zh-CN"/>
              </w:rPr>
              <w:t>8</w:t>
            </w:r>
            <w:r>
              <w:rPr>
                <w:rFonts w:hint="default" w:ascii="Times New Roman" w:hAnsi="Times New Roman" w:eastAsia="宋体" w:cs="Times New Roman"/>
                <w:color w:val="auto"/>
                <w:spacing w:val="0"/>
                <w:w w:val="100"/>
                <w:position w:val="0"/>
                <w:sz w:val="24"/>
                <w:szCs w:val="24"/>
              </w:rPr>
              <w:t>5%计，则项目</w:t>
            </w:r>
            <w:r>
              <w:rPr>
                <w:rFonts w:hint="eastAsia" w:ascii="Times New Roman" w:hAnsi="Times New Roman" w:cs="Times New Roman"/>
                <w:color w:val="auto"/>
                <w:spacing w:val="0"/>
                <w:w w:val="100"/>
                <w:position w:val="0"/>
                <w:sz w:val="24"/>
                <w:szCs w:val="24"/>
                <w:lang w:eastAsia="zh-CN"/>
              </w:rPr>
              <w:t>保洁废水量</w:t>
            </w:r>
            <w:r>
              <w:rPr>
                <w:rFonts w:hint="default" w:ascii="Times New Roman" w:hAnsi="Times New Roman" w:eastAsia="宋体" w:cs="Times New Roman"/>
                <w:color w:val="auto"/>
                <w:spacing w:val="0"/>
                <w:w w:val="100"/>
                <w:position w:val="0"/>
                <w:sz w:val="24"/>
                <w:szCs w:val="24"/>
              </w:rPr>
              <w:t>为</w:t>
            </w:r>
            <w:r>
              <w:rPr>
                <w:rFonts w:hint="eastAsia" w:ascii="Times New Roman" w:hAnsi="Times New Roman" w:cs="Times New Roman"/>
                <w:color w:val="auto"/>
                <w:spacing w:val="0"/>
                <w:w w:val="100"/>
                <w:position w:val="0"/>
                <w:sz w:val="24"/>
                <w:szCs w:val="24"/>
                <w:lang w:val="en-US" w:eastAsia="zh-CN"/>
              </w:rPr>
              <w:t>5.78</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eastAsia="zh-CN"/>
              </w:rPr>
              <w:t>（</w:t>
            </w:r>
            <w:r>
              <w:rPr>
                <w:rFonts w:hint="eastAsia" w:ascii="Times New Roman" w:hAnsi="Times New Roman" w:cs="Times New Roman"/>
                <w:color w:val="auto"/>
                <w:spacing w:val="0"/>
                <w:w w:val="100"/>
                <w:position w:val="0"/>
                <w:sz w:val="24"/>
                <w:szCs w:val="24"/>
                <w:lang w:val="en-US" w:eastAsia="zh-CN"/>
              </w:rPr>
              <w:t>2109.7</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w:t>
            </w:r>
          </w:p>
          <w:p w14:paraId="1C854B8C">
            <w:pPr>
              <w:pStyle w:val="141"/>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cs="Times New Roman"/>
                <w:color w:val="auto"/>
                <w:spacing w:val="0"/>
                <w:w w:val="100"/>
                <w:position w:val="0"/>
                <w:sz w:val="24"/>
                <w:szCs w:val="24"/>
                <w:lang w:val="en-US" w:eastAsia="zh-CN"/>
              </w:rPr>
            </w:pPr>
            <w:r>
              <w:rPr>
                <w:rFonts w:hint="eastAsia" w:ascii="Times New Roman" w:hAnsi="Times New Roman" w:cs="Times New Roman"/>
                <w:color w:val="auto"/>
                <w:spacing w:val="0"/>
                <w:w w:val="100"/>
                <w:position w:val="0"/>
                <w:sz w:val="24"/>
                <w:szCs w:val="24"/>
                <w:lang w:val="en-US" w:eastAsia="zh-CN"/>
              </w:rPr>
              <w:t>食堂用水：本项目食堂可接待30人/次，每日提供3餐，用水量按25L/人·次计，则项目食堂用水量为2.25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eastAsia="zh-CN"/>
              </w:rPr>
              <w:t>（</w:t>
            </w:r>
            <w:r>
              <w:rPr>
                <w:rFonts w:hint="eastAsia" w:ascii="Times New Roman" w:hAnsi="Times New Roman" w:cs="Times New Roman"/>
                <w:color w:val="auto"/>
                <w:spacing w:val="0"/>
                <w:w w:val="100"/>
                <w:position w:val="0"/>
                <w:sz w:val="24"/>
                <w:szCs w:val="24"/>
                <w:lang w:val="en-US" w:eastAsia="zh-CN"/>
              </w:rPr>
              <w:t>821.25</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w:t>
            </w:r>
            <w:r>
              <w:rPr>
                <w:rFonts w:hint="eastAsia" w:ascii="Times New Roman" w:hAnsi="Times New Roman" w:cs="Times New Roman"/>
                <w:color w:val="auto"/>
                <w:spacing w:val="0"/>
                <w:w w:val="100"/>
                <w:position w:val="0"/>
                <w:sz w:val="24"/>
                <w:szCs w:val="24"/>
                <w:lang w:eastAsia="zh-CN"/>
              </w:rPr>
              <w:t>），</w:t>
            </w:r>
            <w:r>
              <w:rPr>
                <w:rFonts w:hint="eastAsia" w:ascii="Times New Roman" w:hAnsi="Times New Roman" w:cs="Times New Roman"/>
                <w:color w:val="auto"/>
                <w:spacing w:val="0"/>
                <w:w w:val="100"/>
                <w:position w:val="0"/>
                <w:sz w:val="24"/>
                <w:szCs w:val="24"/>
                <w:lang w:val="en-US" w:eastAsia="zh-CN"/>
              </w:rPr>
              <w:t>排污系数取0.85，则食堂废水产生量为1.913</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eastAsia="zh-CN"/>
              </w:rPr>
              <w:t>（</w:t>
            </w:r>
            <w:r>
              <w:rPr>
                <w:rFonts w:hint="eastAsia" w:ascii="Times New Roman" w:hAnsi="Times New Roman" w:cs="Times New Roman"/>
                <w:color w:val="auto"/>
                <w:spacing w:val="0"/>
                <w:w w:val="100"/>
                <w:position w:val="0"/>
                <w:sz w:val="24"/>
                <w:szCs w:val="24"/>
                <w:lang w:val="en-US" w:eastAsia="zh-CN"/>
              </w:rPr>
              <w:t>698.063</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w:t>
            </w:r>
            <w:r>
              <w:rPr>
                <w:rFonts w:hint="eastAsia" w:ascii="Times New Roman" w:hAnsi="Times New Roman" w:cs="Times New Roman"/>
                <w:color w:val="auto"/>
                <w:spacing w:val="0"/>
                <w:w w:val="100"/>
                <w:position w:val="0"/>
                <w:sz w:val="24"/>
                <w:szCs w:val="24"/>
                <w:lang w:eastAsia="zh-CN"/>
              </w:rPr>
              <w:t>）。</w:t>
            </w:r>
          </w:p>
          <w:p w14:paraId="705E8D5B">
            <w:pPr>
              <w:pStyle w:val="141"/>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本项目给水由市政供水管网引入，用水量为</w:t>
            </w:r>
            <w:r>
              <w:rPr>
                <w:rFonts w:hint="eastAsia" w:ascii="Times New Roman" w:hAnsi="Times New Roman" w:cs="Times New Roman"/>
                <w:color w:val="auto"/>
                <w:spacing w:val="0"/>
                <w:w w:val="100"/>
                <w:position w:val="0"/>
                <w:sz w:val="24"/>
                <w:szCs w:val="24"/>
                <w:lang w:val="en-US" w:eastAsia="zh-CN"/>
              </w:rPr>
              <w:t>36.452</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13304.98</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/a），产生的废水量为</w:t>
            </w:r>
            <w:r>
              <w:rPr>
                <w:rFonts w:hint="eastAsia" w:ascii="Times New Roman" w:hAnsi="Times New Roman" w:cs="Times New Roman"/>
                <w:color w:val="auto"/>
                <w:spacing w:val="0"/>
                <w:w w:val="100"/>
                <w:position w:val="0"/>
                <w:sz w:val="24"/>
                <w:szCs w:val="24"/>
                <w:lang w:val="en-US" w:eastAsia="zh-CN"/>
              </w:rPr>
              <w:t>30.984</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/d（</w:t>
            </w:r>
            <w:r>
              <w:rPr>
                <w:rFonts w:hint="eastAsia" w:ascii="Times New Roman" w:hAnsi="Times New Roman" w:cs="Times New Roman"/>
                <w:color w:val="auto"/>
                <w:spacing w:val="0"/>
                <w:w w:val="100"/>
                <w:position w:val="0"/>
                <w:sz w:val="24"/>
                <w:szCs w:val="24"/>
                <w:lang w:val="en-US" w:eastAsia="zh-CN"/>
              </w:rPr>
              <w:t>11309.233</w:t>
            </w:r>
            <w:r>
              <w:rPr>
                <w:rFonts w:hint="default" w:ascii="Times New Roman" w:hAnsi="Times New Roman" w:eastAsia="宋体" w:cs="Times New Roman"/>
                <w:color w:val="auto"/>
                <w:spacing w:val="0"/>
                <w:w w:val="100"/>
                <w:position w:val="0"/>
                <w:sz w:val="24"/>
                <w:szCs w:val="24"/>
              </w:rPr>
              <w:t>m</w:t>
            </w:r>
            <w:r>
              <w:rPr>
                <w:rFonts w:hint="default" w:ascii="Times New Roman" w:hAnsi="Times New Roman" w:eastAsia="宋体" w:cs="Times New Roman"/>
                <w:color w:val="auto"/>
                <w:spacing w:val="0"/>
                <w:w w:val="100"/>
                <w:position w:val="0"/>
                <w:sz w:val="24"/>
                <w:szCs w:val="24"/>
                <w:vertAlign w:val="superscript"/>
              </w:rPr>
              <w:t>3</w:t>
            </w:r>
            <w:r>
              <w:rPr>
                <w:rFonts w:hint="default" w:ascii="Times New Roman" w:hAnsi="Times New Roman" w:eastAsia="宋体" w:cs="Times New Roman"/>
                <w:color w:val="auto"/>
                <w:spacing w:val="0"/>
                <w:w w:val="100"/>
                <w:position w:val="0"/>
                <w:sz w:val="24"/>
                <w:szCs w:val="24"/>
              </w:rPr>
              <w:t>/a）。</w:t>
            </w:r>
          </w:p>
          <w:p w14:paraId="365AFFB6">
            <w:pPr>
              <w:pStyle w:val="141"/>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③排水</w:t>
            </w:r>
          </w:p>
          <w:p w14:paraId="3BE82BA1">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本项目</w:t>
            </w:r>
            <w:r>
              <w:rPr>
                <w:rFonts w:hint="eastAsia" w:ascii="Times New Roman" w:hAnsi="Times New Roman" w:eastAsia="宋体" w:cs="Times New Roman"/>
                <w:b w:val="0"/>
                <w:bCs/>
                <w:color w:val="auto"/>
                <w:kern w:val="10"/>
                <w:sz w:val="24"/>
                <w:highlight w:val="none"/>
                <w:lang w:val="en-US" w:eastAsia="zh-CN"/>
              </w:rPr>
              <w:t>检验科利用全自动生化分析仪或检验试纸进行常规生化检验，不涉及含氰废水及含铬</w:t>
            </w:r>
            <w:r>
              <w:rPr>
                <w:rFonts w:hint="eastAsia" w:cs="Times New Roman"/>
                <w:b w:val="0"/>
                <w:bCs/>
                <w:color w:val="auto"/>
                <w:kern w:val="10"/>
                <w:sz w:val="24"/>
                <w:highlight w:val="none"/>
                <w:lang w:val="en-US" w:eastAsia="zh-CN"/>
              </w:rPr>
              <w:t>废水</w:t>
            </w:r>
            <w:r>
              <w:rPr>
                <w:rFonts w:hint="eastAsia" w:ascii="宋体" w:hAnsi="宋体" w:eastAsia="宋体" w:cs="宋体"/>
                <w:color w:val="auto"/>
                <w:kern w:val="0"/>
                <w:sz w:val="24"/>
                <w:szCs w:val="24"/>
                <w:lang w:val="en-US" w:eastAsia="zh-CN" w:bidi="ar"/>
              </w:rPr>
              <w:t>；本项目</w:t>
            </w:r>
            <w:r>
              <w:rPr>
                <w:rFonts w:hint="eastAsia" w:cs="Times New Roman"/>
                <w:b w:val="0"/>
                <w:bCs/>
                <w:color w:val="auto"/>
                <w:kern w:val="10"/>
                <w:sz w:val="24"/>
                <w:highlight w:val="none"/>
                <w:lang w:val="en-US" w:eastAsia="zh-CN"/>
              </w:rPr>
              <w:t>影印照片采用数码打印，无影印废水产生</w:t>
            </w:r>
            <w:r>
              <w:rPr>
                <w:rFonts w:hint="eastAsia" w:ascii="宋体" w:hAnsi="宋体" w:eastAsia="宋体" w:cs="宋体"/>
                <w:color w:val="auto"/>
                <w:kern w:val="0"/>
                <w:sz w:val="24"/>
                <w:szCs w:val="24"/>
                <w:lang w:val="en-US" w:eastAsia="zh-CN" w:bidi="ar"/>
              </w:rPr>
              <w:t>；化验室使用成品试剂盒，不产生特殊废水。</w:t>
            </w:r>
          </w:p>
          <w:p w14:paraId="590707A4">
            <w:pPr>
              <w:pStyle w:val="141"/>
              <w:keepNext w:val="0"/>
              <w:keepLines w:val="0"/>
              <w:pageBreakBefore w:val="0"/>
              <w:widowControl w:val="0"/>
              <w:kinsoku/>
              <w:wordWrap/>
              <w:overflowPunct/>
              <w:topLinePunct w:val="0"/>
              <w:autoSpaceDE/>
              <w:autoSpaceDN/>
              <w:bidi w:val="0"/>
              <w:adjustRightInd/>
              <w:snapToGrid/>
              <w:spacing w:line="360" w:lineRule="auto"/>
              <w:ind w:left="0" w:right="0" w:firstLine="477"/>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本项目采用雨、污分流的排水体制。雨水经厂区雨水管网收集后排入市政雨水管道；</w:t>
            </w:r>
            <w:r>
              <w:rPr>
                <w:color w:val="auto"/>
                <w:sz w:val="24"/>
                <w:szCs w:val="24"/>
              </w:rPr>
              <w:t>医</w:t>
            </w:r>
            <w:r>
              <w:rPr>
                <w:rFonts w:hint="eastAsia"/>
                <w:color w:val="auto"/>
                <w:sz w:val="24"/>
                <w:szCs w:val="24"/>
              </w:rPr>
              <w:t>院</w:t>
            </w:r>
            <w:r>
              <w:rPr>
                <w:color w:val="auto"/>
                <w:sz w:val="24"/>
                <w:szCs w:val="24"/>
              </w:rPr>
              <w:t>废水</w:t>
            </w:r>
            <w:r>
              <w:rPr>
                <w:rFonts w:hint="eastAsia"/>
                <w:color w:val="auto"/>
                <w:sz w:val="24"/>
                <w:szCs w:val="24"/>
                <w:lang w:val="en-US" w:eastAsia="zh-CN"/>
              </w:rPr>
              <w:t>和食堂废水</w:t>
            </w:r>
            <w:r>
              <w:rPr>
                <w:color w:val="auto"/>
                <w:sz w:val="24"/>
                <w:szCs w:val="24"/>
              </w:rPr>
              <w:t>经污水处理站处理</w:t>
            </w:r>
            <w:r>
              <w:rPr>
                <w:rFonts w:hint="default" w:ascii="Times New Roman" w:hAnsi="Times New Roman" w:eastAsia="宋体" w:cs="Times New Roman"/>
                <w:color w:val="auto"/>
                <w:spacing w:val="0"/>
                <w:w w:val="100"/>
                <w:position w:val="0"/>
                <w:sz w:val="24"/>
                <w:szCs w:val="24"/>
              </w:rPr>
              <w:t>达《医疗机构水污染物排放标准》 (GB18466-2005</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中表2预处理排放限值标准和污水处理厂接管标准后通过市政管网进入</w:t>
            </w:r>
            <w:r>
              <w:rPr>
                <w:rFonts w:hint="eastAsia" w:ascii="Times New Roman" w:hAnsi="Times New Roman" w:cs="Times New Roman"/>
                <w:color w:val="auto"/>
                <w:spacing w:val="0"/>
                <w:w w:val="100"/>
                <w:position w:val="0"/>
                <w:sz w:val="24"/>
                <w:szCs w:val="24"/>
                <w:lang w:val="en-US" w:eastAsia="zh-CN"/>
              </w:rPr>
              <w:t>泗</w:t>
            </w:r>
            <w:r>
              <w:rPr>
                <w:rFonts w:hint="default" w:ascii="Times New Roman" w:hAnsi="Times New Roman" w:eastAsia="宋体" w:cs="Times New Roman"/>
                <w:color w:val="auto"/>
                <w:spacing w:val="0"/>
                <w:w w:val="100"/>
                <w:position w:val="0"/>
                <w:sz w:val="24"/>
                <w:szCs w:val="24"/>
              </w:rPr>
              <w:t>县污水处理厂进行集中处理。</w:t>
            </w:r>
          </w:p>
          <w:p w14:paraId="1289E215">
            <w:pPr>
              <w:ind w:firstLine="480" w:firstLineChars="200"/>
              <w:rPr>
                <w:rFonts w:hint="eastAsia"/>
                <w:color w:val="auto"/>
                <w:lang w:val="en-US" w:eastAsia="zh-CN"/>
              </w:rPr>
            </w:pPr>
            <w:r>
              <w:rPr>
                <w:rFonts w:hint="default"/>
                <w:color w:val="auto"/>
                <w:lang w:val="en-US" w:eastAsia="zh-CN"/>
              </w:rPr>
              <w:t>项目水平衡情况见下表、下图</w:t>
            </w:r>
            <w:r>
              <w:rPr>
                <w:rFonts w:hint="eastAsia"/>
                <w:color w:val="auto"/>
                <w:lang w:val="en-US" w:eastAsia="zh-CN"/>
              </w:rPr>
              <w:t>。</w:t>
            </w:r>
          </w:p>
          <w:p w14:paraId="11A1CE82">
            <w:pPr>
              <w:bidi w:val="0"/>
              <w:spacing w:line="240" w:lineRule="auto"/>
              <w:jc w:val="center"/>
              <w:rPr>
                <w:rFonts w:hint="default"/>
                <w:b/>
                <w:bCs/>
                <w:sz w:val="21"/>
                <w:szCs w:val="21"/>
                <w:lang w:val="en-US" w:eastAsia="zh-CN"/>
              </w:rPr>
            </w:pPr>
            <w:r>
              <w:rPr>
                <w:rFonts w:hint="default"/>
                <w:b/>
                <w:bCs/>
                <w:sz w:val="21"/>
                <w:szCs w:val="21"/>
                <w:lang w:val="en-US" w:eastAsia="zh-CN"/>
              </w:rPr>
              <w:t>表2-6本项目用水、排水情况一览表</w:t>
            </w:r>
          </w:p>
          <w:tbl>
            <w:tblPr>
              <w:tblStyle w:val="28"/>
              <w:tblW w:w="7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985"/>
              <w:gridCol w:w="1061"/>
              <w:gridCol w:w="761"/>
              <w:gridCol w:w="1071"/>
              <w:gridCol w:w="1050"/>
              <w:gridCol w:w="1142"/>
            </w:tblGrid>
            <w:tr w14:paraId="2DF3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87" w:type="dxa"/>
                  <w:noWrap w:val="0"/>
                  <w:vAlign w:val="center"/>
                </w:tcPr>
                <w:p w14:paraId="1ED689A7">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b/>
                      <w:bCs/>
                      <w:color w:val="auto"/>
                      <w:sz w:val="21"/>
                      <w:szCs w:val="21"/>
                    </w:rPr>
                  </w:pPr>
                  <w:r>
                    <w:rPr>
                      <w:rFonts w:ascii="Times New Roman"/>
                      <w:b/>
                      <w:bCs/>
                      <w:color w:val="auto"/>
                      <w:sz w:val="21"/>
                      <w:szCs w:val="21"/>
                    </w:rPr>
                    <w:t>用水对象</w:t>
                  </w:r>
                </w:p>
              </w:tc>
              <w:tc>
                <w:tcPr>
                  <w:tcW w:w="985" w:type="dxa"/>
                  <w:noWrap w:val="0"/>
                  <w:vAlign w:val="center"/>
                </w:tcPr>
                <w:p w14:paraId="3B8FB801">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lang w:eastAsia="zh-CN"/>
                    </w:rPr>
                  </w:pPr>
                  <w:r>
                    <w:rPr>
                      <w:rFonts w:hint="eastAsia"/>
                      <w:b/>
                      <w:bCs/>
                      <w:color w:val="auto"/>
                      <w:sz w:val="21"/>
                      <w:szCs w:val="21"/>
                      <w:lang w:eastAsia="zh-CN"/>
                    </w:rPr>
                    <w:t>日</w:t>
                  </w:r>
                  <w:r>
                    <w:rPr>
                      <w:rFonts w:ascii="Times New Roman"/>
                      <w:b/>
                      <w:bCs/>
                      <w:color w:val="auto"/>
                      <w:sz w:val="21"/>
                      <w:szCs w:val="21"/>
                    </w:rPr>
                    <w:t>用水量</w:t>
                  </w:r>
                  <w:r>
                    <w:rPr>
                      <w:rFonts w:hint="eastAsia"/>
                      <w:b/>
                      <w:bCs/>
                      <w:color w:val="auto"/>
                      <w:sz w:val="21"/>
                      <w:szCs w:val="21"/>
                      <w:lang w:eastAsia="zh-CN"/>
                    </w:rPr>
                    <w:t>（</w:t>
                  </w:r>
                  <w:r>
                    <w:rPr>
                      <w:rFonts w:hint="eastAsia"/>
                      <w:b/>
                      <w:bCs/>
                      <w:color w:val="auto"/>
                      <w:sz w:val="21"/>
                      <w:szCs w:val="21"/>
                      <w:lang w:val="en-US" w:eastAsia="zh-CN"/>
                    </w:rPr>
                    <w:t>t/d</w:t>
                  </w:r>
                  <w:r>
                    <w:rPr>
                      <w:rFonts w:hint="eastAsia"/>
                      <w:b/>
                      <w:bCs/>
                      <w:color w:val="auto"/>
                      <w:sz w:val="21"/>
                      <w:szCs w:val="21"/>
                      <w:lang w:eastAsia="zh-CN"/>
                    </w:rPr>
                    <w:t>）</w:t>
                  </w:r>
                </w:p>
              </w:tc>
              <w:tc>
                <w:tcPr>
                  <w:tcW w:w="1061" w:type="dxa"/>
                  <w:noWrap w:val="0"/>
                  <w:vAlign w:val="center"/>
                </w:tcPr>
                <w:p w14:paraId="22C52667">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eastAsia="宋体"/>
                      <w:b/>
                      <w:bCs/>
                      <w:color w:val="auto"/>
                      <w:sz w:val="21"/>
                      <w:szCs w:val="21"/>
                      <w:lang w:eastAsia="zh-CN"/>
                    </w:rPr>
                  </w:pPr>
                  <w:r>
                    <w:rPr>
                      <w:rFonts w:hint="eastAsia"/>
                      <w:b/>
                      <w:bCs/>
                      <w:color w:val="auto"/>
                      <w:sz w:val="21"/>
                      <w:szCs w:val="21"/>
                      <w:lang w:eastAsia="zh-CN"/>
                    </w:rPr>
                    <w:t>年用水量（</w:t>
                  </w:r>
                  <w:r>
                    <w:rPr>
                      <w:rFonts w:hint="eastAsia"/>
                      <w:b/>
                      <w:bCs/>
                      <w:color w:val="auto"/>
                      <w:sz w:val="21"/>
                      <w:szCs w:val="21"/>
                      <w:lang w:val="en-US" w:eastAsia="zh-CN"/>
                    </w:rPr>
                    <w:t>t/a</w:t>
                  </w:r>
                  <w:r>
                    <w:rPr>
                      <w:rFonts w:hint="eastAsia"/>
                      <w:b/>
                      <w:bCs/>
                      <w:color w:val="auto"/>
                      <w:sz w:val="21"/>
                      <w:szCs w:val="21"/>
                      <w:lang w:eastAsia="zh-CN"/>
                    </w:rPr>
                    <w:t>）</w:t>
                  </w:r>
                </w:p>
              </w:tc>
              <w:tc>
                <w:tcPr>
                  <w:tcW w:w="761" w:type="dxa"/>
                  <w:noWrap w:val="0"/>
                  <w:vAlign w:val="center"/>
                </w:tcPr>
                <w:p w14:paraId="732A636E">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b/>
                      <w:bCs/>
                      <w:color w:val="auto"/>
                      <w:sz w:val="21"/>
                      <w:szCs w:val="21"/>
                    </w:rPr>
                  </w:pPr>
                  <w:r>
                    <w:rPr>
                      <w:rFonts w:ascii="Times New Roman"/>
                      <w:b/>
                      <w:bCs/>
                      <w:color w:val="auto"/>
                      <w:sz w:val="21"/>
                      <w:szCs w:val="21"/>
                    </w:rPr>
                    <w:t>排放系数</w:t>
                  </w:r>
                </w:p>
              </w:tc>
              <w:tc>
                <w:tcPr>
                  <w:tcW w:w="1071" w:type="dxa"/>
                  <w:noWrap w:val="0"/>
                  <w:vAlign w:val="center"/>
                </w:tcPr>
                <w:p w14:paraId="7C40DA80">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eastAsia="宋体"/>
                      <w:b/>
                      <w:bCs/>
                      <w:color w:val="auto"/>
                      <w:sz w:val="21"/>
                      <w:szCs w:val="21"/>
                      <w:lang w:eastAsia="zh-CN"/>
                    </w:rPr>
                  </w:pPr>
                  <w:r>
                    <w:rPr>
                      <w:rFonts w:hint="eastAsia" w:ascii="Times New Roman"/>
                      <w:b/>
                      <w:bCs/>
                      <w:color w:val="auto"/>
                      <w:sz w:val="21"/>
                      <w:szCs w:val="21"/>
                      <w:lang w:eastAsia="zh-CN"/>
                    </w:rPr>
                    <w:t>损耗量</w:t>
                  </w:r>
                  <w:r>
                    <w:rPr>
                      <w:rFonts w:hint="eastAsia"/>
                      <w:b/>
                      <w:bCs/>
                      <w:color w:val="auto"/>
                      <w:sz w:val="21"/>
                      <w:szCs w:val="21"/>
                      <w:lang w:eastAsia="zh-CN"/>
                    </w:rPr>
                    <w:t>（</w:t>
                  </w:r>
                  <w:r>
                    <w:rPr>
                      <w:rFonts w:hint="eastAsia"/>
                      <w:b/>
                      <w:bCs/>
                      <w:color w:val="auto"/>
                      <w:sz w:val="21"/>
                      <w:szCs w:val="21"/>
                      <w:lang w:val="en-US" w:eastAsia="zh-CN"/>
                    </w:rPr>
                    <w:t>t/d</w:t>
                  </w:r>
                  <w:r>
                    <w:rPr>
                      <w:rFonts w:hint="eastAsia"/>
                      <w:b/>
                      <w:bCs/>
                      <w:color w:val="auto"/>
                      <w:sz w:val="21"/>
                      <w:szCs w:val="21"/>
                      <w:lang w:eastAsia="zh-CN"/>
                    </w:rPr>
                    <w:t>）</w:t>
                  </w:r>
                </w:p>
              </w:tc>
              <w:tc>
                <w:tcPr>
                  <w:tcW w:w="1050" w:type="dxa"/>
                  <w:noWrap w:val="0"/>
                  <w:vAlign w:val="center"/>
                </w:tcPr>
                <w:p w14:paraId="09DF2F19">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lang w:eastAsia="zh-CN"/>
                    </w:rPr>
                  </w:pPr>
                  <w:r>
                    <w:rPr>
                      <w:rFonts w:ascii="Times New Roman"/>
                      <w:b/>
                      <w:bCs/>
                      <w:color w:val="auto"/>
                      <w:sz w:val="21"/>
                      <w:szCs w:val="21"/>
                    </w:rPr>
                    <w:t>日排</w:t>
                  </w:r>
                  <w:r>
                    <w:rPr>
                      <w:rFonts w:hint="eastAsia" w:ascii="Times New Roman"/>
                      <w:b/>
                      <w:bCs/>
                      <w:color w:val="auto"/>
                      <w:sz w:val="21"/>
                      <w:szCs w:val="21"/>
                      <w:lang w:eastAsia="zh-CN"/>
                    </w:rPr>
                    <w:t>水</w:t>
                  </w:r>
                  <w:r>
                    <w:rPr>
                      <w:rFonts w:ascii="Times New Roman"/>
                      <w:b/>
                      <w:bCs/>
                      <w:color w:val="auto"/>
                      <w:sz w:val="21"/>
                      <w:szCs w:val="21"/>
                    </w:rPr>
                    <w:t>量</w:t>
                  </w:r>
                  <w:r>
                    <w:rPr>
                      <w:rFonts w:hint="eastAsia"/>
                      <w:b/>
                      <w:bCs/>
                      <w:color w:val="auto"/>
                      <w:sz w:val="21"/>
                      <w:szCs w:val="21"/>
                      <w:lang w:eastAsia="zh-CN"/>
                    </w:rPr>
                    <w:t>（</w:t>
                  </w:r>
                  <w:r>
                    <w:rPr>
                      <w:rFonts w:ascii="Times New Roman" w:hAnsi="Times New Roman"/>
                      <w:color w:val="auto"/>
                      <w:sz w:val="21"/>
                      <w:szCs w:val="21"/>
                    </w:rPr>
                    <w:t>t/d</w:t>
                  </w:r>
                  <w:r>
                    <w:rPr>
                      <w:rFonts w:hint="eastAsia"/>
                      <w:b/>
                      <w:bCs/>
                      <w:color w:val="auto"/>
                      <w:sz w:val="21"/>
                      <w:szCs w:val="21"/>
                      <w:lang w:eastAsia="zh-CN"/>
                    </w:rPr>
                    <w:t>）</w:t>
                  </w:r>
                </w:p>
              </w:tc>
              <w:tc>
                <w:tcPr>
                  <w:tcW w:w="1142" w:type="dxa"/>
                  <w:noWrap w:val="0"/>
                  <w:vAlign w:val="center"/>
                </w:tcPr>
                <w:p w14:paraId="32C58134">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b/>
                      <w:bCs/>
                      <w:color w:val="auto"/>
                      <w:sz w:val="21"/>
                      <w:szCs w:val="21"/>
                    </w:rPr>
                  </w:pPr>
                  <w:r>
                    <w:rPr>
                      <w:rFonts w:hint="eastAsia"/>
                      <w:b/>
                      <w:bCs/>
                      <w:color w:val="auto"/>
                      <w:sz w:val="21"/>
                      <w:szCs w:val="21"/>
                      <w:lang w:eastAsia="zh-CN"/>
                    </w:rPr>
                    <w:t>年排水量（</w:t>
                  </w:r>
                  <w:r>
                    <w:rPr>
                      <w:rFonts w:hint="eastAsia"/>
                      <w:b/>
                      <w:bCs/>
                      <w:color w:val="auto"/>
                      <w:sz w:val="21"/>
                      <w:szCs w:val="21"/>
                      <w:lang w:val="en-US" w:eastAsia="zh-CN"/>
                    </w:rPr>
                    <w:t>t/a</w:t>
                  </w:r>
                  <w:r>
                    <w:rPr>
                      <w:rFonts w:hint="eastAsia"/>
                      <w:b/>
                      <w:bCs/>
                      <w:color w:val="auto"/>
                      <w:sz w:val="21"/>
                      <w:szCs w:val="21"/>
                      <w:lang w:eastAsia="zh-CN"/>
                    </w:rPr>
                    <w:t>）</w:t>
                  </w:r>
                </w:p>
              </w:tc>
            </w:tr>
            <w:tr w14:paraId="6DD5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787" w:type="dxa"/>
                  <w:noWrap w:val="0"/>
                  <w:vAlign w:val="center"/>
                </w:tcPr>
                <w:p w14:paraId="705CE950">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ascii="Times New Roman" w:hAnsi="Times New Roman"/>
                      <w:color w:val="auto"/>
                      <w:sz w:val="21"/>
                      <w:szCs w:val="21"/>
                    </w:rPr>
                  </w:pPr>
                  <w:r>
                    <w:rPr>
                      <w:rFonts w:hint="eastAsia"/>
                      <w:color w:val="auto"/>
                      <w:sz w:val="21"/>
                      <w:szCs w:val="21"/>
                      <w:lang w:eastAsia="zh-CN"/>
                    </w:rPr>
                    <w:t>医护人员</w:t>
                  </w:r>
                  <w:r>
                    <w:rPr>
                      <w:rFonts w:ascii="Times New Roman"/>
                      <w:color w:val="auto"/>
                      <w:sz w:val="21"/>
                      <w:szCs w:val="21"/>
                    </w:rPr>
                    <w:t>用水</w:t>
                  </w:r>
                </w:p>
              </w:tc>
              <w:tc>
                <w:tcPr>
                  <w:tcW w:w="985" w:type="dxa"/>
                  <w:noWrap w:val="0"/>
                  <w:vAlign w:val="center"/>
                </w:tcPr>
                <w:p w14:paraId="1EC06134">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10</w:t>
                  </w:r>
                </w:p>
              </w:tc>
              <w:tc>
                <w:tcPr>
                  <w:tcW w:w="1061" w:type="dxa"/>
                  <w:noWrap w:val="0"/>
                  <w:vAlign w:val="center"/>
                </w:tcPr>
                <w:p w14:paraId="2048F727">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3650</w:t>
                  </w:r>
                  <w:r>
                    <w:rPr>
                      <w:rFonts w:hint="default" w:ascii="Times New Roman" w:hAnsi="Times New Roman" w:eastAsia="宋体" w:cs="Times New Roman"/>
                      <w:i w:val="0"/>
                      <w:iCs w:val="0"/>
                      <w:color w:val="auto"/>
                      <w:kern w:val="0"/>
                      <w:sz w:val="21"/>
                      <w:szCs w:val="21"/>
                      <w:u w:val="none"/>
                      <w:lang w:val="en-US" w:eastAsia="zh-CN" w:bidi="ar"/>
                    </w:rPr>
                    <w:t>.00</w:t>
                  </w:r>
                </w:p>
              </w:tc>
              <w:tc>
                <w:tcPr>
                  <w:tcW w:w="761" w:type="dxa"/>
                  <w:noWrap w:val="0"/>
                  <w:vAlign w:val="center"/>
                </w:tcPr>
                <w:p w14:paraId="397D27F5">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0.85</w:t>
                  </w:r>
                </w:p>
              </w:tc>
              <w:tc>
                <w:tcPr>
                  <w:tcW w:w="1071" w:type="dxa"/>
                  <w:noWrap w:val="0"/>
                  <w:vAlign w:val="center"/>
                </w:tcPr>
                <w:p w14:paraId="0A5683C4">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1.5</w:t>
                  </w:r>
                </w:p>
              </w:tc>
              <w:tc>
                <w:tcPr>
                  <w:tcW w:w="1050" w:type="dxa"/>
                  <w:noWrap w:val="0"/>
                  <w:vAlign w:val="center"/>
                </w:tcPr>
                <w:p w14:paraId="45C26465">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8.5</w:t>
                  </w:r>
                </w:p>
              </w:tc>
              <w:tc>
                <w:tcPr>
                  <w:tcW w:w="1142" w:type="dxa"/>
                  <w:noWrap w:val="0"/>
                  <w:vAlign w:val="center"/>
                </w:tcPr>
                <w:p w14:paraId="39D1B261">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3102.5</w:t>
                  </w:r>
                </w:p>
              </w:tc>
            </w:tr>
            <w:tr w14:paraId="7751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787" w:type="dxa"/>
                  <w:noWrap w:val="0"/>
                  <w:vAlign w:val="center"/>
                </w:tcPr>
                <w:p w14:paraId="11FF3BD3">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color w:val="auto"/>
                      <w:sz w:val="21"/>
                      <w:szCs w:val="21"/>
                      <w:lang w:eastAsia="zh-CN"/>
                    </w:rPr>
                  </w:pPr>
                  <w:r>
                    <w:rPr>
                      <w:rFonts w:hint="eastAsia"/>
                      <w:color w:val="auto"/>
                      <w:sz w:val="21"/>
                      <w:szCs w:val="21"/>
                      <w:lang w:eastAsia="zh-CN"/>
                    </w:rPr>
                    <w:t>后勤人员用水</w:t>
                  </w:r>
                </w:p>
              </w:tc>
              <w:tc>
                <w:tcPr>
                  <w:tcW w:w="985" w:type="dxa"/>
                  <w:noWrap w:val="0"/>
                  <w:vAlign w:val="center"/>
                </w:tcPr>
                <w:p w14:paraId="2CA671A9">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2.43</w:t>
                  </w:r>
                </w:p>
              </w:tc>
              <w:tc>
                <w:tcPr>
                  <w:tcW w:w="1061" w:type="dxa"/>
                  <w:noWrap w:val="0"/>
                  <w:vAlign w:val="center"/>
                </w:tcPr>
                <w:p w14:paraId="220C9FC3">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886.95</w:t>
                  </w:r>
                </w:p>
              </w:tc>
              <w:tc>
                <w:tcPr>
                  <w:tcW w:w="761" w:type="dxa"/>
                  <w:noWrap w:val="0"/>
                  <w:vAlign w:val="center"/>
                </w:tcPr>
                <w:p w14:paraId="440B9CE7">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0.85</w:t>
                  </w:r>
                </w:p>
              </w:tc>
              <w:tc>
                <w:tcPr>
                  <w:tcW w:w="1071" w:type="dxa"/>
                  <w:noWrap w:val="0"/>
                  <w:vAlign w:val="center"/>
                </w:tcPr>
                <w:p w14:paraId="20354B10">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w:t>
                  </w:r>
                  <w:r>
                    <w:rPr>
                      <w:rFonts w:hint="eastAsia" w:cs="Times New Roman"/>
                      <w:i w:val="0"/>
                      <w:iCs w:val="0"/>
                      <w:color w:val="auto"/>
                      <w:kern w:val="0"/>
                      <w:sz w:val="21"/>
                      <w:szCs w:val="21"/>
                      <w:u w:val="none"/>
                      <w:lang w:val="en-US" w:eastAsia="zh-CN" w:bidi="ar"/>
                    </w:rPr>
                    <w:t>64</w:t>
                  </w:r>
                </w:p>
              </w:tc>
              <w:tc>
                <w:tcPr>
                  <w:tcW w:w="1050" w:type="dxa"/>
                  <w:noWrap w:val="0"/>
                  <w:vAlign w:val="center"/>
                </w:tcPr>
                <w:p w14:paraId="08F7749E">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2.066</w:t>
                  </w:r>
                </w:p>
              </w:tc>
              <w:tc>
                <w:tcPr>
                  <w:tcW w:w="1142" w:type="dxa"/>
                  <w:noWrap w:val="0"/>
                  <w:vAlign w:val="center"/>
                </w:tcPr>
                <w:p w14:paraId="14FC81A4">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754.09</w:t>
                  </w:r>
                </w:p>
              </w:tc>
            </w:tr>
            <w:tr w14:paraId="260D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787" w:type="dxa"/>
                  <w:noWrap w:val="0"/>
                  <w:vAlign w:val="center"/>
                </w:tcPr>
                <w:p w14:paraId="6918BEDD">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eastAsia="宋体"/>
                      <w:color w:val="auto"/>
                      <w:sz w:val="21"/>
                      <w:szCs w:val="21"/>
                      <w:lang w:eastAsia="zh-CN"/>
                    </w:rPr>
                  </w:pPr>
                  <w:r>
                    <w:rPr>
                      <w:rFonts w:hint="eastAsia"/>
                      <w:color w:val="auto"/>
                      <w:sz w:val="21"/>
                      <w:szCs w:val="21"/>
                      <w:lang w:eastAsia="zh-CN"/>
                    </w:rPr>
                    <w:t>门诊病人</w:t>
                  </w:r>
                  <w:r>
                    <w:rPr>
                      <w:rFonts w:hint="eastAsia" w:ascii="Times New Roman"/>
                      <w:color w:val="auto"/>
                      <w:sz w:val="21"/>
                      <w:szCs w:val="21"/>
                      <w:lang w:eastAsia="zh-CN"/>
                    </w:rPr>
                    <w:t>用水</w:t>
                  </w:r>
                </w:p>
              </w:tc>
              <w:tc>
                <w:tcPr>
                  <w:tcW w:w="985" w:type="dxa"/>
                  <w:noWrap w:val="0"/>
                  <w:vAlign w:val="center"/>
                </w:tcPr>
                <w:p w14:paraId="63ACE3E9">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1.125</w:t>
                  </w:r>
                </w:p>
              </w:tc>
              <w:tc>
                <w:tcPr>
                  <w:tcW w:w="1061" w:type="dxa"/>
                  <w:noWrap w:val="0"/>
                  <w:vAlign w:val="center"/>
                </w:tcPr>
                <w:p w14:paraId="34917B2F">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410.625</w:t>
                  </w:r>
                </w:p>
              </w:tc>
              <w:tc>
                <w:tcPr>
                  <w:tcW w:w="761" w:type="dxa"/>
                  <w:noWrap w:val="0"/>
                  <w:vAlign w:val="center"/>
                </w:tcPr>
                <w:p w14:paraId="314923BB">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0.85</w:t>
                  </w:r>
                </w:p>
              </w:tc>
              <w:tc>
                <w:tcPr>
                  <w:tcW w:w="1071" w:type="dxa"/>
                  <w:noWrap w:val="0"/>
                  <w:vAlign w:val="center"/>
                </w:tcPr>
                <w:p w14:paraId="1E5632CC">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0.169</w:t>
                  </w:r>
                </w:p>
              </w:tc>
              <w:tc>
                <w:tcPr>
                  <w:tcW w:w="1050" w:type="dxa"/>
                  <w:noWrap w:val="0"/>
                  <w:vAlign w:val="center"/>
                </w:tcPr>
                <w:p w14:paraId="785972DD">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0.956</w:t>
                  </w:r>
                </w:p>
              </w:tc>
              <w:tc>
                <w:tcPr>
                  <w:tcW w:w="1142" w:type="dxa"/>
                  <w:noWrap w:val="0"/>
                  <w:vAlign w:val="center"/>
                </w:tcPr>
                <w:p w14:paraId="09C8ABCE">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349.031</w:t>
                  </w:r>
                </w:p>
              </w:tc>
            </w:tr>
            <w:tr w14:paraId="12AC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787" w:type="dxa"/>
                  <w:noWrap w:val="0"/>
                  <w:vAlign w:val="center"/>
                </w:tcPr>
                <w:p w14:paraId="07998C67">
                  <w:pPr>
                    <w:keepNext w:val="0"/>
                    <w:keepLines w:val="0"/>
                    <w:pageBreakBefore w:val="0"/>
                    <w:widowControl w:val="0"/>
                    <w:kinsoku/>
                    <w:wordWrap/>
                    <w:overflowPunct/>
                    <w:topLinePunct w:val="0"/>
                    <w:autoSpaceDE w:val="0"/>
                    <w:autoSpaceDN/>
                    <w:bidi w:val="0"/>
                    <w:adjustRightInd/>
                    <w:snapToGrid/>
                    <w:spacing w:line="240" w:lineRule="auto"/>
                    <w:ind w:firstLine="0" w:firstLineChars="0"/>
                    <w:jc w:val="center"/>
                    <w:textAlignment w:val="auto"/>
                    <w:rPr>
                      <w:rFonts w:hint="eastAsia" w:ascii="Times New Roman" w:eastAsia="宋体"/>
                      <w:color w:val="auto"/>
                      <w:sz w:val="21"/>
                      <w:szCs w:val="21"/>
                      <w:lang w:eastAsia="zh-CN"/>
                    </w:rPr>
                  </w:pPr>
                  <w:r>
                    <w:rPr>
                      <w:rFonts w:hint="eastAsia" w:ascii="Times New Roman"/>
                      <w:color w:val="auto"/>
                      <w:sz w:val="21"/>
                      <w:szCs w:val="21"/>
                      <w:lang w:eastAsia="zh-CN"/>
                    </w:rPr>
                    <w:t>病房用水</w:t>
                  </w:r>
                </w:p>
              </w:tc>
              <w:tc>
                <w:tcPr>
                  <w:tcW w:w="985" w:type="dxa"/>
                  <w:noWrap w:val="0"/>
                  <w:vAlign w:val="center"/>
                </w:tcPr>
                <w:p w14:paraId="36BD7156">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13.5</w:t>
                  </w:r>
                </w:p>
              </w:tc>
              <w:tc>
                <w:tcPr>
                  <w:tcW w:w="1061" w:type="dxa"/>
                  <w:noWrap w:val="0"/>
                  <w:vAlign w:val="center"/>
                </w:tcPr>
                <w:p w14:paraId="35DC7EA4">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4927.5</w:t>
                  </w:r>
                </w:p>
              </w:tc>
              <w:tc>
                <w:tcPr>
                  <w:tcW w:w="761" w:type="dxa"/>
                  <w:noWrap w:val="0"/>
                  <w:vAlign w:val="center"/>
                </w:tcPr>
                <w:p w14:paraId="5818BF52">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0.85</w:t>
                  </w:r>
                </w:p>
              </w:tc>
              <w:tc>
                <w:tcPr>
                  <w:tcW w:w="1071" w:type="dxa"/>
                  <w:noWrap w:val="0"/>
                  <w:vAlign w:val="center"/>
                </w:tcPr>
                <w:p w14:paraId="5848241A">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2.025</w:t>
                  </w:r>
                </w:p>
              </w:tc>
              <w:tc>
                <w:tcPr>
                  <w:tcW w:w="1050" w:type="dxa"/>
                  <w:noWrap w:val="0"/>
                  <w:vAlign w:val="center"/>
                </w:tcPr>
                <w:p w14:paraId="07426A11">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11.475</w:t>
                  </w:r>
                </w:p>
              </w:tc>
              <w:tc>
                <w:tcPr>
                  <w:tcW w:w="1142" w:type="dxa"/>
                  <w:noWrap w:val="0"/>
                  <w:vAlign w:val="center"/>
                </w:tcPr>
                <w:p w14:paraId="0C01BAE7">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4188.375</w:t>
                  </w:r>
                </w:p>
              </w:tc>
            </w:tr>
            <w:tr w14:paraId="7908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787" w:type="dxa"/>
                  <w:noWrap w:val="0"/>
                  <w:vAlign w:val="center"/>
                </w:tcPr>
                <w:p w14:paraId="4482F6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color w:val="auto"/>
                      <w:sz w:val="21"/>
                      <w:szCs w:val="21"/>
                      <w:lang w:eastAsia="zh-CN"/>
                    </w:rPr>
                  </w:pPr>
                  <w:r>
                    <w:rPr>
                      <w:rFonts w:hint="eastAsia"/>
                      <w:color w:val="auto"/>
                      <w:sz w:val="21"/>
                      <w:szCs w:val="21"/>
                      <w:lang w:val="en-US" w:eastAsia="zh-CN"/>
                    </w:rPr>
                    <w:t>检验用水</w:t>
                  </w:r>
                </w:p>
              </w:tc>
              <w:tc>
                <w:tcPr>
                  <w:tcW w:w="985" w:type="dxa"/>
                  <w:noWrap w:val="0"/>
                  <w:vAlign w:val="center"/>
                </w:tcPr>
                <w:p w14:paraId="79DDE22C">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0.329</w:t>
                  </w:r>
                </w:p>
              </w:tc>
              <w:tc>
                <w:tcPr>
                  <w:tcW w:w="1061" w:type="dxa"/>
                  <w:noWrap w:val="0"/>
                  <w:vAlign w:val="center"/>
                </w:tcPr>
                <w:p w14:paraId="4B8D52A4">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120.085</w:t>
                  </w:r>
                </w:p>
              </w:tc>
              <w:tc>
                <w:tcPr>
                  <w:tcW w:w="761" w:type="dxa"/>
                  <w:noWrap w:val="0"/>
                  <w:vAlign w:val="center"/>
                </w:tcPr>
                <w:p w14:paraId="5016422A">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0.85</w:t>
                  </w:r>
                </w:p>
              </w:tc>
              <w:tc>
                <w:tcPr>
                  <w:tcW w:w="1071" w:type="dxa"/>
                  <w:noWrap w:val="0"/>
                  <w:vAlign w:val="center"/>
                </w:tcPr>
                <w:p w14:paraId="2DDF86AD">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0.049</w:t>
                  </w:r>
                </w:p>
              </w:tc>
              <w:tc>
                <w:tcPr>
                  <w:tcW w:w="1050" w:type="dxa"/>
                  <w:noWrap w:val="0"/>
                  <w:vAlign w:val="center"/>
                </w:tcPr>
                <w:p w14:paraId="0A54F089">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280</w:t>
                  </w:r>
                </w:p>
              </w:tc>
              <w:tc>
                <w:tcPr>
                  <w:tcW w:w="1142" w:type="dxa"/>
                  <w:noWrap w:val="0"/>
                  <w:vAlign w:val="center"/>
                </w:tcPr>
                <w:p w14:paraId="0A88582C">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102.072</w:t>
                  </w:r>
                </w:p>
              </w:tc>
            </w:tr>
            <w:tr w14:paraId="0BF3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87" w:type="dxa"/>
                  <w:noWrap w:val="0"/>
                  <w:vAlign w:val="center"/>
                </w:tcPr>
                <w:p w14:paraId="0FDE49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磨片用水</w:t>
                  </w:r>
                </w:p>
              </w:tc>
              <w:tc>
                <w:tcPr>
                  <w:tcW w:w="985" w:type="dxa"/>
                  <w:noWrap w:val="0"/>
                  <w:vAlign w:val="center"/>
                </w:tcPr>
                <w:p w14:paraId="75E17E3C">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w:t>
                  </w:r>
                  <w:r>
                    <w:rPr>
                      <w:rFonts w:hint="eastAsia" w:cs="Times New Roman"/>
                      <w:i w:val="0"/>
                      <w:iCs w:val="0"/>
                      <w:color w:val="auto"/>
                      <w:kern w:val="0"/>
                      <w:sz w:val="21"/>
                      <w:szCs w:val="21"/>
                      <w:u w:val="none"/>
                      <w:lang w:val="en-US" w:eastAsia="zh-CN" w:bidi="ar"/>
                    </w:rPr>
                    <w:t>8</w:t>
                  </w:r>
                </w:p>
              </w:tc>
              <w:tc>
                <w:tcPr>
                  <w:tcW w:w="1061" w:type="dxa"/>
                  <w:noWrap w:val="0"/>
                  <w:vAlign w:val="center"/>
                </w:tcPr>
                <w:p w14:paraId="4ADBFA41">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6.57</w:t>
                  </w:r>
                </w:p>
              </w:tc>
              <w:tc>
                <w:tcPr>
                  <w:tcW w:w="761" w:type="dxa"/>
                  <w:noWrap w:val="0"/>
                  <w:vAlign w:val="center"/>
                </w:tcPr>
                <w:p w14:paraId="3D8CCC13">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0.8</w:t>
                  </w:r>
                  <w:r>
                    <w:rPr>
                      <w:rFonts w:hint="eastAsia" w:ascii="Times New Roman" w:hAnsi="Times New Roman" w:cs="Times New Roman"/>
                      <w:i w:val="0"/>
                      <w:iCs w:val="0"/>
                      <w:color w:val="auto"/>
                      <w:kern w:val="0"/>
                      <w:sz w:val="21"/>
                      <w:szCs w:val="21"/>
                      <w:u w:val="none"/>
                      <w:lang w:val="en-US" w:eastAsia="zh-CN" w:bidi="ar"/>
                    </w:rPr>
                    <w:t>5</w:t>
                  </w:r>
                </w:p>
              </w:tc>
              <w:tc>
                <w:tcPr>
                  <w:tcW w:w="1071" w:type="dxa"/>
                  <w:noWrap w:val="0"/>
                  <w:vAlign w:val="center"/>
                </w:tcPr>
                <w:p w14:paraId="5B317B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3</w:t>
                  </w:r>
                </w:p>
              </w:tc>
              <w:tc>
                <w:tcPr>
                  <w:tcW w:w="1050" w:type="dxa"/>
                  <w:noWrap w:val="0"/>
                  <w:vAlign w:val="center"/>
                </w:tcPr>
                <w:p w14:paraId="3F4CC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0.015</w:t>
                  </w:r>
                </w:p>
              </w:tc>
              <w:tc>
                <w:tcPr>
                  <w:tcW w:w="1142" w:type="dxa"/>
                  <w:noWrap w:val="0"/>
                  <w:vAlign w:val="center"/>
                </w:tcPr>
                <w:p w14:paraId="12DEBC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5.585</w:t>
                  </w:r>
                </w:p>
              </w:tc>
            </w:tr>
            <w:tr w14:paraId="5864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87" w:type="dxa"/>
                  <w:noWrap w:val="0"/>
                  <w:vAlign w:val="center"/>
                </w:tcPr>
                <w:p w14:paraId="1A1938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保洁用水</w:t>
                  </w:r>
                </w:p>
              </w:tc>
              <w:tc>
                <w:tcPr>
                  <w:tcW w:w="985" w:type="dxa"/>
                  <w:noWrap w:val="0"/>
                  <w:vAlign w:val="center"/>
                </w:tcPr>
                <w:p w14:paraId="076CBDA8">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6.80</w:t>
                  </w:r>
                </w:p>
              </w:tc>
              <w:tc>
                <w:tcPr>
                  <w:tcW w:w="1061" w:type="dxa"/>
                  <w:noWrap w:val="0"/>
                  <w:vAlign w:val="center"/>
                </w:tcPr>
                <w:p w14:paraId="13B97BDB">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2482.00</w:t>
                  </w:r>
                </w:p>
              </w:tc>
              <w:tc>
                <w:tcPr>
                  <w:tcW w:w="761" w:type="dxa"/>
                  <w:noWrap w:val="0"/>
                  <w:vAlign w:val="center"/>
                </w:tcPr>
                <w:p w14:paraId="77C07A4A">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w:t>
                  </w:r>
                  <w:r>
                    <w:rPr>
                      <w:rFonts w:hint="eastAsia" w:ascii="Times New Roman" w:hAnsi="Times New Roman" w:cs="Times New Roman"/>
                      <w:i w:val="0"/>
                      <w:iCs w:val="0"/>
                      <w:color w:val="auto"/>
                      <w:kern w:val="0"/>
                      <w:sz w:val="21"/>
                      <w:szCs w:val="21"/>
                      <w:u w:val="none"/>
                      <w:lang w:val="en-US" w:eastAsia="zh-CN" w:bidi="ar"/>
                    </w:rPr>
                    <w:t>5</w:t>
                  </w:r>
                </w:p>
              </w:tc>
              <w:tc>
                <w:tcPr>
                  <w:tcW w:w="1071" w:type="dxa"/>
                  <w:noWrap w:val="0"/>
                  <w:vAlign w:val="center"/>
                </w:tcPr>
                <w:p w14:paraId="609BD9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1.02</w:t>
                  </w:r>
                </w:p>
              </w:tc>
              <w:tc>
                <w:tcPr>
                  <w:tcW w:w="1050" w:type="dxa"/>
                  <w:noWrap w:val="0"/>
                  <w:vAlign w:val="center"/>
                </w:tcPr>
                <w:p w14:paraId="41E88B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5.78</w:t>
                  </w:r>
                </w:p>
              </w:tc>
              <w:tc>
                <w:tcPr>
                  <w:tcW w:w="1142" w:type="dxa"/>
                  <w:noWrap w:val="0"/>
                  <w:vAlign w:val="center"/>
                </w:tcPr>
                <w:p w14:paraId="29EF0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2109.7</w:t>
                  </w:r>
                </w:p>
              </w:tc>
            </w:tr>
            <w:tr w14:paraId="7B4C2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87" w:type="dxa"/>
                  <w:noWrap w:val="0"/>
                  <w:vAlign w:val="center"/>
                </w:tcPr>
                <w:p w14:paraId="0BEC45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食堂用水</w:t>
                  </w:r>
                </w:p>
              </w:tc>
              <w:tc>
                <w:tcPr>
                  <w:tcW w:w="985" w:type="dxa"/>
                  <w:noWrap w:val="0"/>
                  <w:vAlign w:val="center"/>
                </w:tcPr>
                <w:p w14:paraId="4EF49B1B">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2.25</w:t>
                  </w:r>
                </w:p>
              </w:tc>
              <w:tc>
                <w:tcPr>
                  <w:tcW w:w="1061" w:type="dxa"/>
                  <w:noWrap w:val="0"/>
                  <w:vAlign w:val="center"/>
                </w:tcPr>
                <w:p w14:paraId="1D78553F">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821.25</w:t>
                  </w:r>
                </w:p>
              </w:tc>
              <w:tc>
                <w:tcPr>
                  <w:tcW w:w="761" w:type="dxa"/>
                  <w:noWrap w:val="0"/>
                  <w:vAlign w:val="center"/>
                </w:tcPr>
                <w:p w14:paraId="7A7CAE77">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0.85</w:t>
                  </w:r>
                </w:p>
              </w:tc>
              <w:tc>
                <w:tcPr>
                  <w:tcW w:w="1071" w:type="dxa"/>
                  <w:noWrap w:val="0"/>
                  <w:vAlign w:val="center"/>
                </w:tcPr>
                <w:p w14:paraId="14ACBB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0.337</w:t>
                  </w:r>
                </w:p>
              </w:tc>
              <w:tc>
                <w:tcPr>
                  <w:tcW w:w="1050" w:type="dxa"/>
                  <w:noWrap w:val="0"/>
                  <w:vAlign w:val="center"/>
                </w:tcPr>
                <w:p w14:paraId="75ACDB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1.913</w:t>
                  </w:r>
                </w:p>
              </w:tc>
              <w:tc>
                <w:tcPr>
                  <w:tcW w:w="1142" w:type="dxa"/>
                  <w:noWrap w:val="0"/>
                  <w:vAlign w:val="center"/>
                </w:tcPr>
                <w:p w14:paraId="1D5DCB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698.063</w:t>
                  </w:r>
                </w:p>
              </w:tc>
            </w:tr>
            <w:tr w14:paraId="196C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787" w:type="dxa"/>
                  <w:noWrap w:val="0"/>
                  <w:vAlign w:val="center"/>
                </w:tcPr>
                <w:p w14:paraId="286455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合计</w:t>
                  </w:r>
                </w:p>
              </w:tc>
              <w:tc>
                <w:tcPr>
                  <w:tcW w:w="985" w:type="dxa"/>
                  <w:noWrap w:val="0"/>
                  <w:vAlign w:val="center"/>
                </w:tcPr>
                <w:p w14:paraId="6BC7E263">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36.452</w:t>
                  </w:r>
                </w:p>
              </w:tc>
              <w:tc>
                <w:tcPr>
                  <w:tcW w:w="1061" w:type="dxa"/>
                  <w:noWrap w:val="0"/>
                  <w:vAlign w:val="center"/>
                </w:tcPr>
                <w:p w14:paraId="1C85CA8D">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13304.98</w:t>
                  </w:r>
                </w:p>
              </w:tc>
              <w:tc>
                <w:tcPr>
                  <w:tcW w:w="761" w:type="dxa"/>
                  <w:noWrap w:val="0"/>
                  <w:vAlign w:val="center"/>
                </w:tcPr>
                <w:p w14:paraId="3C11C793">
                  <w:pPr>
                    <w:keepNext w:val="0"/>
                    <w:keepLines w:val="0"/>
                    <w:pageBreakBefore w:val="0"/>
                    <w:widowControl/>
                    <w:suppressLineNumbers w:val="0"/>
                    <w:kinsoku/>
                    <w:wordWrap/>
                    <w:overflowPunct/>
                    <w:topLinePunct w:val="0"/>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071" w:type="dxa"/>
                  <w:noWrap w:val="0"/>
                  <w:vAlign w:val="center"/>
                </w:tcPr>
                <w:p w14:paraId="67B74B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5.468</w:t>
                  </w:r>
                </w:p>
              </w:tc>
              <w:tc>
                <w:tcPr>
                  <w:tcW w:w="1050" w:type="dxa"/>
                  <w:noWrap w:val="0"/>
                  <w:vAlign w:val="center"/>
                </w:tcPr>
                <w:p w14:paraId="0547F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30.984</w:t>
                  </w:r>
                </w:p>
              </w:tc>
              <w:tc>
                <w:tcPr>
                  <w:tcW w:w="1142" w:type="dxa"/>
                  <w:noWrap w:val="0"/>
                  <w:vAlign w:val="center"/>
                </w:tcPr>
                <w:p w14:paraId="6F79A4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lang w:val="en-US" w:eastAsia="zh-CN"/>
                    </w:rPr>
                  </w:pPr>
                  <w:r>
                    <w:rPr>
                      <w:rFonts w:hint="eastAsia" w:cs="Times New Roman"/>
                      <w:i w:val="0"/>
                      <w:iCs w:val="0"/>
                      <w:color w:val="auto"/>
                      <w:kern w:val="0"/>
                      <w:sz w:val="21"/>
                      <w:szCs w:val="21"/>
                      <w:u w:val="none"/>
                      <w:lang w:val="en-US" w:eastAsia="zh-CN" w:bidi="ar"/>
                    </w:rPr>
                    <w:t>11309.233</w:t>
                  </w:r>
                </w:p>
              </w:tc>
            </w:tr>
          </w:tbl>
          <w:p w14:paraId="7A8D365D">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eastAsia" w:ascii="Times New Roman" w:hAnsi="Times New Roman" w:eastAsia="宋体" w:cs="Times New Roman"/>
                <w:b/>
                <w:bCs/>
                <w:color w:val="auto"/>
                <w:sz w:val="21"/>
                <w:szCs w:val="21"/>
                <w:lang w:eastAsia="zh-CN"/>
              </w:rPr>
            </w:pPr>
          </w:p>
          <w:p w14:paraId="6CE9EB63">
            <w:pPr>
              <w:pStyle w:val="6"/>
              <w:jc w:val="both"/>
              <w:rPr>
                <w:rFonts w:hint="eastAsia" w:eastAsia="宋体" w:cs="Times New Roman"/>
                <w:b/>
                <w:bCs/>
                <w:color w:val="auto"/>
                <w:sz w:val="21"/>
                <w:szCs w:val="21"/>
                <w:highlight w:val="none"/>
                <w:lang w:eastAsia="zh-CN"/>
              </w:rPr>
            </w:pPr>
            <w:r>
              <w:rPr>
                <w:rFonts w:hint="eastAsia" w:eastAsia="宋体" w:cs="Times New Roman"/>
                <w:b/>
                <w:bCs/>
                <w:color w:val="auto"/>
                <w:sz w:val="21"/>
                <w:szCs w:val="21"/>
                <w:highlight w:val="none"/>
                <w:lang w:eastAsia="zh-CN"/>
              </w:rPr>
              <w:drawing>
                <wp:inline distT="0" distB="0" distL="114300" distR="114300">
                  <wp:extent cx="4949190" cy="4835525"/>
                  <wp:effectExtent l="0" t="0" r="3810" b="3175"/>
                  <wp:docPr id="3" name="F360BE8B-6686-4F3D-AEAF-501FE73E4058-1" descr="绘图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1" descr="绘图1(19)"/>
                          <pic:cNvPicPr>
                            <a:picLocks noChangeAspect="1"/>
                          </pic:cNvPicPr>
                        </pic:nvPicPr>
                        <pic:blipFill>
                          <a:blip r:embed="rId14"/>
                          <a:stretch>
                            <a:fillRect/>
                          </a:stretch>
                        </pic:blipFill>
                        <pic:spPr>
                          <a:xfrm>
                            <a:off x="0" y="0"/>
                            <a:ext cx="4949190" cy="4835525"/>
                          </a:xfrm>
                          <a:prstGeom prst="rect">
                            <a:avLst/>
                          </a:prstGeom>
                        </pic:spPr>
                      </pic:pic>
                    </a:graphicData>
                  </a:graphic>
                </wp:inline>
              </w:drawing>
            </w:r>
          </w:p>
          <w:p w14:paraId="176ADB31">
            <w:pPr>
              <w:pStyle w:val="6"/>
              <w:jc w:val="center"/>
              <w:rPr>
                <w:rFonts w:hint="eastAsia" w:cs="Times New Roman"/>
                <w:b/>
                <w:bCs/>
                <w:color w:val="auto"/>
                <w:sz w:val="21"/>
                <w:szCs w:val="21"/>
                <w:highlight w:val="none"/>
              </w:rPr>
            </w:pPr>
            <w:r>
              <w:rPr>
                <w:rFonts w:hint="eastAsia" w:cs="Times New Roman"/>
                <w:b/>
                <w:bCs/>
                <w:color w:val="auto"/>
                <w:sz w:val="21"/>
                <w:szCs w:val="21"/>
                <w:highlight w:val="none"/>
              </w:rPr>
              <w:t>图2-</w:t>
            </w:r>
            <w:r>
              <w:rPr>
                <w:rFonts w:hint="eastAsia" w:cs="Times New Roman"/>
                <w:b/>
                <w:bCs/>
                <w:color w:val="auto"/>
                <w:sz w:val="21"/>
                <w:szCs w:val="21"/>
                <w:highlight w:val="none"/>
                <w:lang w:val="en-US" w:eastAsia="zh-CN"/>
              </w:rPr>
              <w:t>1</w:t>
            </w:r>
            <w:r>
              <w:rPr>
                <w:rFonts w:hint="eastAsia" w:cs="Times New Roman"/>
                <w:b/>
                <w:bCs/>
                <w:color w:val="auto"/>
                <w:sz w:val="21"/>
                <w:szCs w:val="21"/>
                <w:highlight w:val="none"/>
              </w:rPr>
              <w:t xml:space="preserve"> 项目水平衡图（</w:t>
            </w:r>
            <w:r>
              <w:rPr>
                <w:rFonts w:hint="eastAsia" w:cs="Times New Roman"/>
                <w:b/>
                <w:bCs/>
                <w:color w:val="auto"/>
                <w:sz w:val="21"/>
                <w:szCs w:val="21"/>
                <w:highlight w:val="none"/>
                <w:lang w:val="en-US" w:eastAsia="zh-CN"/>
              </w:rPr>
              <w:t>t</w:t>
            </w:r>
            <w:r>
              <w:rPr>
                <w:rFonts w:hint="eastAsia" w:cs="Times New Roman"/>
                <w:b/>
                <w:bCs/>
                <w:color w:val="auto"/>
                <w:sz w:val="21"/>
                <w:szCs w:val="21"/>
                <w:highlight w:val="none"/>
              </w:rPr>
              <w:t>/</w:t>
            </w:r>
            <w:r>
              <w:rPr>
                <w:rFonts w:hint="eastAsia" w:cs="Times New Roman"/>
                <w:b/>
                <w:bCs/>
                <w:color w:val="auto"/>
                <w:sz w:val="21"/>
                <w:szCs w:val="21"/>
                <w:highlight w:val="none"/>
                <w:lang w:val="en-US" w:eastAsia="zh-CN"/>
              </w:rPr>
              <w:t>d</w:t>
            </w:r>
            <w:r>
              <w:rPr>
                <w:rFonts w:hint="eastAsia" w:cs="Times New Roman"/>
                <w:b/>
                <w:bCs/>
                <w:color w:val="auto"/>
                <w:sz w:val="21"/>
                <w:szCs w:val="21"/>
                <w:highlight w:val="none"/>
              </w:rPr>
              <w:t>）</w:t>
            </w:r>
          </w:p>
          <w:p w14:paraId="69E41268">
            <w:pPr>
              <w:ind w:firstLine="482" w:firstLineChars="200"/>
              <w:rPr>
                <w:rFonts w:hint="eastAsia"/>
                <w:b/>
                <w:bCs/>
                <w:color w:val="auto"/>
              </w:rPr>
            </w:pPr>
            <w:r>
              <w:rPr>
                <w:rFonts w:hint="eastAsia"/>
                <w:b/>
                <w:bCs/>
                <w:color w:val="auto"/>
                <w:lang w:val="en-US" w:eastAsia="zh-CN"/>
              </w:rPr>
              <w:t>7</w:t>
            </w:r>
            <w:r>
              <w:rPr>
                <w:rFonts w:hint="eastAsia"/>
                <w:b/>
                <w:bCs/>
                <w:color w:val="auto"/>
              </w:rPr>
              <w:t>、平面布置分析</w:t>
            </w:r>
          </w:p>
          <w:p w14:paraId="7FF1D029">
            <w:pPr>
              <w:keepNext w:val="0"/>
              <w:keepLines w:val="0"/>
              <w:widowControl/>
              <w:suppressLineNumbers w:val="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本项目大楼共6层，1F布置大厅、候诊区、药房、等候区、出入院窗口、挂号收费窗口、取药窗口、诊室、加工间、角膜塑形区、</w:t>
            </w:r>
            <w:r>
              <w:rPr>
                <w:rFonts w:hint="eastAsia" w:cs="Times New Roman"/>
                <w:color w:val="auto"/>
                <w:lang w:val="en-US" w:eastAsia="zh-CN"/>
              </w:rPr>
              <w:t>休闲</w:t>
            </w:r>
            <w:r>
              <w:rPr>
                <w:rFonts w:hint="default" w:ascii="Times New Roman" w:hAnsi="Times New Roman" w:cs="Times New Roman"/>
                <w:color w:val="auto"/>
                <w:lang w:val="en-US" w:eastAsia="zh-CN"/>
              </w:rPr>
              <w:t>沟通区、器材展示区、休息区、消防控制室；2F布置斜弱视康复训练室、VIP斜弱视康复训练室、抽血区、检验科、库房（加地漏）、设备间、D</w:t>
            </w:r>
            <w:r>
              <w:rPr>
                <w:rFonts w:hint="eastAsia" w:cs="Times New Roman"/>
                <w:color w:val="auto"/>
                <w:lang w:val="en-US" w:eastAsia="zh-CN"/>
              </w:rPr>
              <w:t>R</w:t>
            </w:r>
            <w:r>
              <w:rPr>
                <w:rFonts w:hint="default" w:ascii="Times New Roman" w:hAnsi="Times New Roman" w:cs="Times New Roman"/>
                <w:color w:val="auto"/>
                <w:lang w:val="en-US" w:eastAsia="zh-CN"/>
              </w:rPr>
              <w:t>室、候诊区、诊疗室、等候区、检查室/资料室、医生办公室、休息室、心电图室、特检室、检查室；3F、4F布置相同，布置医生办公室、主任办公室、医生值班室、护士长办公室、库房、护士站、工作间、更衣室、护士值班室、普通病房、VIP</w:t>
            </w:r>
            <w:r>
              <w:rPr>
                <w:rFonts w:hint="eastAsia" w:cs="Times New Roman"/>
                <w:color w:val="auto"/>
                <w:lang w:val="en-US" w:eastAsia="zh-CN"/>
              </w:rPr>
              <w:t>病房</w:t>
            </w:r>
            <w:r>
              <w:rPr>
                <w:rFonts w:hint="default" w:ascii="Times New Roman" w:hAnsi="Times New Roman" w:cs="Times New Roman"/>
                <w:color w:val="auto"/>
                <w:lang w:val="en-US" w:eastAsia="zh-CN"/>
              </w:rPr>
              <w:t>；5F闲置不使用；6F布置手术室、激光室、医生值班室、一次性无菌物品存放区、消毒区、打包区、清洗区、更衣室、预处理区、无菌暂存区、污物走廊、洁净走廊、谈话区、病人家属等待区。</w:t>
            </w:r>
            <w:r>
              <w:rPr>
                <w:rFonts w:hint="eastAsia" w:cs="Times New Roman"/>
                <w:color w:val="auto"/>
                <w:lang w:val="en-US" w:eastAsia="zh-CN"/>
              </w:rPr>
              <w:t>辅楼共2层，1F布置超市和食堂，2F布置宿舍。</w:t>
            </w:r>
            <w:r>
              <w:rPr>
                <w:rFonts w:hint="default" w:ascii="Times New Roman" w:hAnsi="Times New Roman" w:cs="Times New Roman"/>
                <w:color w:val="auto"/>
                <w:lang w:val="en-US" w:eastAsia="zh-CN"/>
              </w:rPr>
              <w:t>项目平面布置图见附图</w:t>
            </w:r>
            <w:r>
              <w:rPr>
                <w:rFonts w:hint="eastAsia" w:cs="Times New Roman"/>
                <w:color w:val="auto"/>
                <w:lang w:val="en-US" w:eastAsia="zh-CN"/>
              </w:rPr>
              <w:t>9-1至9-4</w:t>
            </w:r>
            <w:r>
              <w:rPr>
                <w:rFonts w:hint="default" w:ascii="Times New Roman" w:hAnsi="Times New Roman" w:cs="Times New Roman"/>
                <w:color w:val="auto"/>
                <w:lang w:val="en-US" w:eastAsia="zh-CN"/>
              </w:rPr>
              <w:t>。</w:t>
            </w:r>
          </w:p>
          <w:p w14:paraId="19DEEF9D">
            <w:pPr>
              <w:keepNext w:val="0"/>
              <w:keepLines w:val="0"/>
              <w:widowControl/>
              <w:suppressLineNumbers w:val="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本项目仅在原有建筑格局的基础上进行装修，不涉及土建工程。项目科室合理安排，区域分界明显，既能有效避免人员交叉混杂，又有序地把整个医院功能联系在一起；医院正门位于医院的</w:t>
            </w:r>
            <w:r>
              <w:rPr>
                <w:rFonts w:hint="eastAsia" w:cs="Times New Roman"/>
                <w:color w:val="auto"/>
                <w:lang w:val="en-US" w:eastAsia="zh-CN"/>
              </w:rPr>
              <w:t>北面</w:t>
            </w:r>
            <w:r>
              <w:rPr>
                <w:rFonts w:hint="default" w:ascii="Times New Roman" w:hAnsi="Times New Roman" w:cs="Times New Roman"/>
                <w:color w:val="auto"/>
                <w:lang w:val="en-US" w:eastAsia="zh-CN"/>
              </w:rPr>
              <w:t>，</w:t>
            </w:r>
            <w:r>
              <w:rPr>
                <w:rFonts w:hint="eastAsia" w:cs="Times New Roman"/>
                <w:color w:val="auto"/>
                <w:lang w:val="en-US" w:eastAsia="zh-CN"/>
              </w:rPr>
              <w:t>位于</w:t>
            </w:r>
            <w:r>
              <w:rPr>
                <w:rFonts w:hint="eastAsia" w:cs="宋体"/>
                <w:b w:val="0"/>
                <w:bCs w:val="0"/>
                <w:kern w:val="0"/>
                <w:sz w:val="24"/>
              </w:rPr>
              <w:t>泗县经济开发区</w:t>
            </w:r>
            <w:r>
              <w:rPr>
                <w:rFonts w:hint="eastAsia" w:cs="宋体"/>
                <w:b w:val="0"/>
                <w:bCs w:val="0"/>
                <w:kern w:val="0"/>
                <w:sz w:val="24"/>
                <w:lang w:val="en-US" w:eastAsia="zh-CN"/>
              </w:rPr>
              <w:t>朝阳路与汴河大道交叉口东侧</w:t>
            </w:r>
            <w:r>
              <w:rPr>
                <w:rFonts w:hint="default" w:ascii="Times New Roman" w:hAnsi="Times New Roman" w:cs="Times New Roman"/>
                <w:b w:val="0"/>
                <w:bCs w:val="0"/>
                <w:kern w:val="0"/>
                <w:sz w:val="24"/>
                <w:lang w:val="en-US" w:eastAsia="zh-CN"/>
              </w:rPr>
              <w:t>200m</w:t>
            </w:r>
            <w:r>
              <w:rPr>
                <w:rFonts w:hint="default" w:ascii="Times New Roman" w:hAnsi="Times New Roman" w:cs="Times New Roman"/>
                <w:color w:val="auto"/>
                <w:lang w:val="en-US" w:eastAsia="zh-CN"/>
              </w:rPr>
              <w:t>，</w:t>
            </w:r>
            <w:r>
              <w:rPr>
                <w:rFonts w:hint="eastAsia" w:cs="Times New Roman"/>
                <w:color w:val="auto"/>
                <w:lang w:val="en-US" w:eastAsia="zh-CN"/>
              </w:rPr>
              <w:t>停车场位于主楼南面，西侧有车辆进出通道，</w:t>
            </w:r>
            <w:r>
              <w:rPr>
                <w:rFonts w:hint="default" w:ascii="Times New Roman" w:hAnsi="Times New Roman" w:cs="Times New Roman"/>
                <w:color w:val="auto"/>
                <w:lang w:val="en-US" w:eastAsia="zh-CN"/>
              </w:rPr>
              <w:t>便于各类问诊病人出行活动</w:t>
            </w:r>
            <w:r>
              <w:rPr>
                <w:rFonts w:hint="eastAsia" w:cs="Times New Roman"/>
                <w:color w:val="auto"/>
                <w:lang w:val="en-US" w:eastAsia="zh-CN"/>
              </w:rPr>
              <w:t>；病房布置于向阳一侧，有良好的朝向。</w:t>
            </w:r>
          </w:p>
          <w:p w14:paraId="2E3C70C7">
            <w:pPr>
              <w:pStyle w:val="38"/>
              <w:jc w:val="both"/>
              <w:rPr>
                <w:rFonts w:hint="default"/>
                <w:color w:val="auto"/>
                <w:lang w:val="en-US" w:eastAsia="zh-CN"/>
              </w:rPr>
            </w:pPr>
            <w:r>
              <w:rPr>
                <w:rFonts w:hint="eastAsia"/>
                <w:color w:val="auto"/>
                <w:lang w:val="en-US" w:eastAsia="zh-CN"/>
              </w:rPr>
              <w:t>项目医疗废物暂存间</w:t>
            </w:r>
            <w:r>
              <w:rPr>
                <w:rFonts w:hint="default"/>
                <w:color w:val="auto"/>
                <w:lang w:val="en-US" w:eastAsia="zh-CN"/>
              </w:rPr>
              <w:t>位于</w:t>
            </w:r>
            <w:r>
              <w:rPr>
                <w:rFonts w:hint="eastAsia"/>
                <w:color w:val="auto"/>
                <w:lang w:val="en-US" w:eastAsia="zh-CN"/>
              </w:rPr>
              <w:t>主</w:t>
            </w:r>
            <w:r>
              <w:rPr>
                <w:rFonts w:hint="default"/>
                <w:color w:val="auto"/>
                <w:lang w:val="en-US" w:eastAsia="zh-CN"/>
              </w:rPr>
              <w:t>楼</w:t>
            </w:r>
            <w:r>
              <w:rPr>
                <w:rFonts w:hint="eastAsia"/>
                <w:color w:val="auto"/>
                <w:lang w:val="en-US" w:eastAsia="zh-CN"/>
              </w:rPr>
              <w:t>和辅楼之间</w:t>
            </w:r>
            <w:r>
              <w:rPr>
                <w:rFonts w:hint="default"/>
                <w:color w:val="auto"/>
                <w:lang w:val="en-US" w:eastAsia="zh-CN"/>
              </w:rPr>
              <w:t>，用于暂存全院未及时运出的医疗废物。</w:t>
            </w:r>
            <w:r>
              <w:rPr>
                <w:rFonts w:hint="eastAsia"/>
                <w:color w:val="auto"/>
                <w:lang w:val="en-US" w:eastAsia="zh-CN"/>
              </w:rPr>
              <w:t>医疗废物暂存间</w:t>
            </w:r>
            <w:r>
              <w:rPr>
                <w:rFonts w:hint="default"/>
                <w:color w:val="auto"/>
                <w:lang w:val="en-US" w:eastAsia="zh-CN"/>
              </w:rPr>
              <w:t>严格按照相关卫生、环保、消防的要求建设，满足医院至少</w:t>
            </w:r>
            <w:r>
              <w:rPr>
                <w:rFonts w:hint="default" w:ascii="Times New Roman" w:hAnsi="Times New Roman" w:cs="Times New Roman"/>
                <w:color w:val="auto"/>
                <w:lang w:val="en-US" w:eastAsia="zh-CN"/>
              </w:rPr>
              <w:t>2天</w:t>
            </w:r>
            <w:r>
              <w:rPr>
                <w:rFonts w:hint="default"/>
                <w:color w:val="auto"/>
                <w:lang w:val="en-US" w:eastAsia="zh-CN"/>
              </w:rPr>
              <w:t>的医疗废物暂存量。</w:t>
            </w:r>
            <w:r>
              <w:rPr>
                <w:rFonts w:hint="eastAsia"/>
                <w:color w:val="auto"/>
                <w:lang w:val="en-US" w:eastAsia="zh-CN"/>
              </w:rPr>
              <w:t>一般固废库位于医疗废物暂存间东侧，用于储存一般固废。</w:t>
            </w:r>
          </w:p>
          <w:p w14:paraId="7FEB19C5">
            <w:pPr>
              <w:pStyle w:val="3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污水处理站位于</w:t>
            </w:r>
            <w:r>
              <w:rPr>
                <w:rFonts w:hint="default"/>
                <w:color w:val="auto"/>
                <w:lang w:val="en-US" w:eastAsia="zh-CN"/>
              </w:rPr>
              <w:t>一楼</w:t>
            </w:r>
            <w:r>
              <w:rPr>
                <w:rFonts w:hint="eastAsia"/>
                <w:color w:val="auto"/>
                <w:lang w:val="en-US" w:eastAsia="zh-CN"/>
              </w:rPr>
              <w:t>南侧</w:t>
            </w:r>
            <w:r>
              <w:rPr>
                <w:rFonts w:hint="default" w:ascii="Times New Roman" w:hAnsi="Times New Roman" w:eastAsia="宋体" w:cs="Times New Roman"/>
                <w:color w:val="auto"/>
                <w:lang w:val="en-US" w:eastAsia="zh-CN"/>
              </w:rPr>
              <w:t>，污水处理站各构筑物均为地埋式，构筑物加盖封闭，喷洒生物制剂除臭处理后，无组织排放，污水处理站周边H</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S、NH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等满足《医疗机构水污染物排放标准》（GB18466-2005）表3“污水处理站周边大气污染物最高允许浓度”限值，对</w:t>
            </w:r>
            <w:r>
              <w:rPr>
                <w:rFonts w:hint="eastAsia" w:ascii="Times New Roman" w:hAnsi="Times New Roman" w:eastAsia="宋体" w:cs="Times New Roman"/>
                <w:color w:val="auto"/>
                <w:lang w:val="en-US" w:eastAsia="zh-CN"/>
              </w:rPr>
              <w:t>外</w:t>
            </w:r>
            <w:r>
              <w:rPr>
                <w:rFonts w:hint="default" w:ascii="Times New Roman" w:hAnsi="Times New Roman" w:eastAsia="宋体" w:cs="Times New Roman"/>
                <w:color w:val="auto"/>
                <w:lang w:val="en-US" w:eastAsia="zh-CN"/>
              </w:rPr>
              <w:t>环境影响很小。</w:t>
            </w:r>
          </w:p>
          <w:p w14:paraId="48BB4B32">
            <w:pPr>
              <w:pStyle w:val="38"/>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纵观院内平面布置，基本格局是以水平联系为主，各分区的布置规划整齐，既实现了洁污分流、人车分流，又方便车辆进出、消防通行，平面布置较合理。</w:t>
            </w:r>
          </w:p>
        </w:tc>
      </w:tr>
      <w:tr w14:paraId="28EB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726" w:type="dxa"/>
            <w:vAlign w:val="center"/>
          </w:tcPr>
          <w:p w14:paraId="0E8DFD48">
            <w:pPr>
              <w:spacing w:line="240" w:lineRule="auto"/>
              <w:ind w:firstLine="0" w:firstLineChars="0"/>
              <w:jc w:val="center"/>
              <w:rPr>
                <w:rFonts w:hint="eastAsia"/>
                <w:color w:val="auto"/>
                <w:vertAlign w:val="baseline"/>
              </w:rPr>
            </w:pPr>
            <w:r>
              <w:rPr>
                <w:rFonts w:hint="eastAsia" w:ascii="Times New Roman" w:hAnsi="Times New Roman" w:eastAsia="宋体" w:cs="宋体"/>
                <w:b/>
                <w:bCs/>
                <w:color w:val="auto"/>
                <w:kern w:val="2"/>
                <w:sz w:val="24"/>
                <w:szCs w:val="21"/>
                <w:lang w:val="en-US" w:eastAsia="zh-CN" w:bidi="ar-SA"/>
              </w:rPr>
              <w:t>工艺流程和产污环节</w:t>
            </w:r>
          </w:p>
        </w:tc>
        <w:tc>
          <w:tcPr>
            <w:tcW w:w="8013" w:type="dxa"/>
            <w:vAlign w:val="center"/>
          </w:tcPr>
          <w:p w14:paraId="336387A3">
            <w:pPr>
              <w:pStyle w:val="9"/>
              <w:numPr>
                <w:ilvl w:val="0"/>
                <w:numId w:val="0"/>
              </w:numPr>
              <w:ind w:left="0" w:leftChars="0" w:firstLine="482" w:firstLineChars="200"/>
              <w:rPr>
                <w:rFonts w:hint="eastAsia" w:eastAsia="宋体" w:cs="Times New Roman"/>
                <w:b/>
                <w:color w:val="auto"/>
                <w:sz w:val="24"/>
                <w:szCs w:val="24"/>
                <w:lang w:eastAsia="zh-CN"/>
              </w:rPr>
            </w:pPr>
            <w:r>
              <w:rPr>
                <w:rFonts w:hint="eastAsia" w:ascii="宋体" w:hAnsi="宋体" w:eastAsia="宋体" w:cs="Times New Roman"/>
                <w:b/>
                <w:bCs/>
                <w:color w:val="auto"/>
                <w:kern w:val="2"/>
                <w:sz w:val="24"/>
                <w:szCs w:val="24"/>
                <w:lang w:val="en-US" w:eastAsia="zh-CN" w:bidi="ar-SA"/>
              </w:rPr>
              <w:t>1、</w:t>
            </w:r>
            <w:r>
              <w:rPr>
                <w:rFonts w:hint="eastAsia"/>
                <w:b/>
                <w:bCs/>
                <w:color w:val="auto"/>
                <w:sz w:val="24"/>
                <w:szCs w:val="24"/>
              </w:rPr>
              <w:t>工艺流程及产排污分析节点图</w:t>
            </w:r>
          </w:p>
          <w:p w14:paraId="202014B9">
            <w:pPr>
              <w:pStyle w:val="35"/>
              <w:numPr>
                <w:ilvl w:val="0"/>
                <w:numId w:val="0"/>
              </w:numPr>
              <w:spacing w:line="360" w:lineRule="auto"/>
              <w:ind w:leftChars="0" w:firstLine="0" w:firstLineChars="0"/>
              <w:jc w:val="center"/>
              <w:rPr>
                <w:rFonts w:hint="eastAsia" w:eastAsia="宋体" w:cs="Times New Roman"/>
                <w:b/>
                <w:color w:val="auto"/>
                <w:sz w:val="21"/>
                <w:lang w:eastAsia="zh-CN"/>
              </w:rPr>
            </w:pPr>
            <w:r>
              <w:rPr>
                <w:rFonts w:hint="eastAsia" w:eastAsia="宋体" w:cs="Times New Roman"/>
                <w:b/>
                <w:color w:val="auto"/>
                <w:sz w:val="21"/>
                <w:lang w:eastAsia="zh-CN"/>
              </w:rPr>
              <w:drawing>
                <wp:inline distT="0" distB="0" distL="114300" distR="114300">
                  <wp:extent cx="4855210" cy="2438400"/>
                  <wp:effectExtent l="0" t="0" r="2540" b="0"/>
                  <wp:docPr id="10" name="F360BE8B-6686-4F3D-AEAF-501FE73E4058-2" descr="C:/Users/Administrator/AppData/Local/Temp/绘图1(55).png绘图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360BE8B-6686-4F3D-AEAF-501FE73E4058-2" descr="C:/Users/Administrator/AppData/Local/Temp/绘图1(55).png绘图1(55)"/>
                          <pic:cNvPicPr>
                            <a:picLocks noChangeAspect="1"/>
                          </pic:cNvPicPr>
                        </pic:nvPicPr>
                        <pic:blipFill>
                          <a:blip r:embed="rId15"/>
                          <a:stretch>
                            <a:fillRect/>
                          </a:stretch>
                        </pic:blipFill>
                        <pic:spPr>
                          <a:xfrm>
                            <a:off x="0" y="0"/>
                            <a:ext cx="4855210" cy="2438400"/>
                          </a:xfrm>
                          <a:prstGeom prst="rect">
                            <a:avLst/>
                          </a:prstGeom>
                        </pic:spPr>
                      </pic:pic>
                    </a:graphicData>
                  </a:graphic>
                </wp:inline>
              </w:drawing>
            </w:r>
          </w:p>
          <w:p w14:paraId="58AC390F">
            <w:pPr>
              <w:pStyle w:val="37"/>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cs="Times New Roman"/>
                <w:b/>
                <w:bCs w:val="0"/>
                <w:color w:val="auto"/>
                <w:sz w:val="21"/>
                <w:szCs w:val="21"/>
                <w:lang w:val="en-US" w:eastAsia="zh-CN"/>
              </w:rPr>
            </w:pPr>
            <w:r>
              <w:rPr>
                <w:rFonts w:cs="Times New Roman"/>
                <w:b/>
                <w:bCs w:val="0"/>
                <w:color w:val="auto"/>
                <w:sz w:val="21"/>
                <w:szCs w:val="21"/>
              </w:rPr>
              <w:t>图</w:t>
            </w:r>
            <w:r>
              <w:rPr>
                <w:rFonts w:hint="eastAsia" w:cs="Times New Roman"/>
                <w:b/>
                <w:bCs w:val="0"/>
                <w:color w:val="auto"/>
                <w:sz w:val="21"/>
                <w:szCs w:val="21"/>
              </w:rPr>
              <w:t>2</w:t>
            </w:r>
            <w:r>
              <w:rPr>
                <w:rFonts w:hint="eastAsia" w:cs="Times New Roman"/>
                <w:b/>
                <w:bCs w:val="0"/>
                <w:color w:val="auto"/>
                <w:sz w:val="21"/>
                <w:szCs w:val="21"/>
                <w:lang w:val="en-US" w:eastAsia="zh-CN"/>
              </w:rPr>
              <w:t>-2</w:t>
            </w:r>
            <w:r>
              <w:rPr>
                <w:rFonts w:cs="Times New Roman"/>
                <w:b/>
                <w:bCs w:val="0"/>
                <w:color w:val="auto"/>
                <w:sz w:val="21"/>
                <w:szCs w:val="21"/>
              </w:rPr>
              <w:t xml:space="preserve"> </w:t>
            </w:r>
            <w:r>
              <w:rPr>
                <w:rFonts w:hint="eastAsia" w:cs="Times New Roman"/>
                <w:b/>
                <w:bCs w:val="0"/>
                <w:color w:val="auto"/>
                <w:sz w:val="21"/>
                <w:szCs w:val="21"/>
                <w:lang w:val="en-US" w:eastAsia="zh-CN"/>
              </w:rPr>
              <w:t>就医流程及产污环节图</w:t>
            </w:r>
          </w:p>
          <w:p w14:paraId="33361EB7">
            <w:pPr>
              <w:pStyle w:val="37"/>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cs="Times New Roman"/>
                <w:b w:val="0"/>
                <w:bCs/>
                <w:color w:val="auto"/>
                <w:sz w:val="24"/>
                <w:szCs w:val="24"/>
                <w:lang w:val="en-US" w:eastAsia="zh-CN"/>
              </w:rPr>
            </w:pPr>
            <w:r>
              <w:rPr>
                <w:rFonts w:hint="eastAsia" w:cs="Times New Roman"/>
                <w:b w:val="0"/>
                <w:bCs/>
                <w:color w:val="auto"/>
                <w:sz w:val="24"/>
                <w:szCs w:val="24"/>
                <w:lang w:val="en-US" w:eastAsia="zh-CN"/>
              </w:rPr>
              <w:t>运营期工艺流程：病人来到医院通过挂号，检验诊断，需要治疗的就医人员在医院进行治疗、住院并进行护理，不需要进行住院的当日检查诊断后即可离开。住院人员进行护理后需要进行复检，复检康复后即可出院。</w:t>
            </w:r>
          </w:p>
          <w:p w14:paraId="693621E0">
            <w:pPr>
              <w:pStyle w:val="37"/>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color w:val="auto"/>
                <w:lang w:val="en-US" w:eastAsia="zh-CN"/>
              </w:rPr>
            </w:pPr>
            <w:r>
              <w:rPr>
                <w:rFonts w:hint="eastAsia" w:cs="Times New Roman"/>
                <w:b w:val="0"/>
                <w:bCs/>
                <w:color w:val="auto"/>
                <w:sz w:val="24"/>
                <w:szCs w:val="24"/>
                <w:lang w:val="en-US" w:eastAsia="zh-CN"/>
              </w:rPr>
              <w:t>注：项目检验为血常规、尿常规、血糖血脂、肝肾功能检验，为仪器和试剂盒检验，不涉及挥发性药剂，不产生检验废气</w:t>
            </w:r>
            <w:r>
              <w:rPr>
                <w:rFonts w:hint="eastAsia"/>
                <w:b w:val="0"/>
                <w:bCs/>
                <w:color w:val="auto"/>
                <w:sz w:val="24"/>
                <w:szCs w:val="24"/>
                <w:lang w:val="en-US" w:eastAsia="zh-CN"/>
              </w:rPr>
              <w:t>。</w:t>
            </w:r>
          </w:p>
          <w:p w14:paraId="735D96BE">
            <w:pPr>
              <w:pStyle w:val="124"/>
              <w:numPr>
                <w:ilvl w:val="0"/>
                <w:numId w:val="4"/>
              </w:numPr>
              <w:ind w:firstLine="482" w:firstLineChars="200"/>
              <w:rPr>
                <w:rFonts w:hint="eastAsia" w:cs="Times New Roman"/>
                <w:b/>
                <w:bCs/>
                <w:color w:val="auto"/>
                <w:szCs w:val="24"/>
                <w:lang w:eastAsia="zh-CN"/>
              </w:rPr>
            </w:pPr>
            <w:r>
              <w:rPr>
                <w:rFonts w:hint="eastAsia" w:cs="Times New Roman"/>
                <w:b/>
                <w:bCs/>
                <w:color w:val="auto"/>
                <w:szCs w:val="24"/>
                <w:lang w:eastAsia="zh-CN"/>
              </w:rPr>
              <w:t>环境影响因素识别分析</w:t>
            </w:r>
          </w:p>
          <w:p w14:paraId="2057BC35">
            <w:pPr>
              <w:bidi w:val="0"/>
              <w:spacing w:line="240" w:lineRule="auto"/>
              <w:jc w:val="center"/>
              <w:rPr>
                <w:rFonts w:hint="eastAsia" w:cs="Times New Roman"/>
                <w:b/>
                <w:bCs/>
                <w:color w:val="auto"/>
                <w:szCs w:val="24"/>
                <w:lang w:eastAsia="zh-CN"/>
              </w:rPr>
            </w:pPr>
            <w:r>
              <w:rPr>
                <w:rFonts w:hint="default"/>
                <w:b/>
                <w:bCs/>
                <w:sz w:val="21"/>
                <w:szCs w:val="21"/>
                <w:lang w:val="en-US" w:eastAsia="zh-CN"/>
              </w:rPr>
              <w:t>表2-7项目主要污染工序及污染因子汇总</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1"/>
              <w:gridCol w:w="804"/>
              <w:gridCol w:w="1903"/>
              <w:gridCol w:w="2243"/>
              <w:gridCol w:w="2216"/>
            </w:tblGrid>
            <w:tr w14:paraId="18E1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398" w:type="pct"/>
                  <w:noWrap w:val="0"/>
                  <w:vAlign w:val="center"/>
                </w:tcPr>
                <w:p w14:paraId="0D432F7D">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738" w:type="pct"/>
                  <w:gridSpan w:val="2"/>
                  <w:noWrap w:val="0"/>
                  <w:vAlign w:val="center"/>
                </w:tcPr>
                <w:p w14:paraId="2ED948CB">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污染源</w:t>
                  </w:r>
                </w:p>
              </w:tc>
              <w:tc>
                <w:tcPr>
                  <w:tcW w:w="1440" w:type="pct"/>
                  <w:noWrap w:val="0"/>
                  <w:vAlign w:val="center"/>
                </w:tcPr>
                <w:p w14:paraId="0D5DFB8D">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污染因子</w:t>
                  </w:r>
                </w:p>
              </w:tc>
              <w:tc>
                <w:tcPr>
                  <w:tcW w:w="1422" w:type="pct"/>
                  <w:noWrap w:val="0"/>
                  <w:vAlign w:val="center"/>
                </w:tcPr>
                <w:p w14:paraId="608F9E55">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处置措施</w:t>
                  </w:r>
                </w:p>
              </w:tc>
            </w:tr>
            <w:tr w14:paraId="353E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8" w:type="pct"/>
                  <w:vMerge w:val="restart"/>
                  <w:noWrap w:val="0"/>
                  <w:vAlign w:val="center"/>
                </w:tcPr>
                <w:p w14:paraId="5D901F08">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废气</w:t>
                  </w:r>
                </w:p>
              </w:tc>
              <w:tc>
                <w:tcPr>
                  <w:tcW w:w="1738" w:type="pct"/>
                  <w:gridSpan w:val="2"/>
                  <w:vMerge w:val="restart"/>
                  <w:noWrap w:val="0"/>
                  <w:vAlign w:val="center"/>
                </w:tcPr>
                <w:p w14:paraId="52ECDE77">
                  <w:pPr>
                    <w:numPr>
                      <w:ilvl w:val="0"/>
                      <w:numId w:val="0"/>
                    </w:num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污水站废气G</w:t>
                  </w:r>
                </w:p>
              </w:tc>
              <w:tc>
                <w:tcPr>
                  <w:tcW w:w="1440" w:type="pct"/>
                  <w:noWrap w:val="0"/>
                  <w:vAlign w:val="center"/>
                </w:tcPr>
                <w:p w14:paraId="0C5F5B71">
                  <w:pPr>
                    <w:numPr>
                      <w:ilvl w:val="0"/>
                      <w:numId w:val="0"/>
                    </w:numPr>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NH</w:t>
                  </w:r>
                  <w:r>
                    <w:rPr>
                      <w:rFonts w:hint="eastAsia" w:cs="Times New Roman"/>
                      <w:color w:val="auto"/>
                      <w:sz w:val="21"/>
                      <w:szCs w:val="21"/>
                      <w:vertAlign w:val="subscript"/>
                      <w:lang w:val="en-US" w:eastAsia="zh-CN"/>
                    </w:rPr>
                    <w:t>3</w:t>
                  </w:r>
                </w:p>
              </w:tc>
              <w:tc>
                <w:tcPr>
                  <w:tcW w:w="1422" w:type="pct"/>
                  <w:vMerge w:val="restart"/>
                  <w:noWrap w:val="0"/>
                  <w:vAlign w:val="center"/>
                </w:tcPr>
                <w:p w14:paraId="3D5A6B35">
                  <w:pPr>
                    <w:numPr>
                      <w:ilvl w:val="0"/>
                      <w:numId w:val="0"/>
                    </w:numPr>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pacing w:val="0"/>
                      <w:position w:val="0"/>
                      <w:sz w:val="21"/>
                      <w:szCs w:val="21"/>
                      <w:lang w:val="en-US" w:eastAsia="zh-CN"/>
                    </w:rPr>
                    <w:t>污水处理站为地埋式，构筑物</w:t>
                  </w:r>
                  <w:r>
                    <w:rPr>
                      <w:rFonts w:hint="default" w:ascii="Times New Roman" w:hAnsi="Times New Roman" w:eastAsia="宋体" w:cs="Times New Roman"/>
                      <w:color w:val="auto"/>
                      <w:spacing w:val="0"/>
                      <w:position w:val="0"/>
                      <w:sz w:val="21"/>
                      <w:szCs w:val="21"/>
                    </w:rPr>
                    <w:t>加盖封闭</w:t>
                  </w:r>
                  <w:r>
                    <w:rPr>
                      <w:rFonts w:hint="eastAsia" w:ascii="Times New Roman" w:hAnsi="Times New Roman" w:cs="Times New Roman"/>
                      <w:color w:val="auto"/>
                      <w:spacing w:val="0"/>
                      <w:position w:val="0"/>
                      <w:sz w:val="21"/>
                      <w:szCs w:val="21"/>
                      <w:lang w:eastAsia="zh-CN"/>
                    </w:rPr>
                    <w:t>，</w:t>
                  </w:r>
                  <w:r>
                    <w:rPr>
                      <w:rFonts w:hint="eastAsia" w:cs="Times New Roman"/>
                      <w:color w:val="auto"/>
                      <w:spacing w:val="0"/>
                      <w:position w:val="0"/>
                      <w:sz w:val="21"/>
                      <w:szCs w:val="21"/>
                      <w:lang w:val="en-US" w:eastAsia="zh-CN"/>
                    </w:rPr>
                    <w:t>喷洒生物制剂</w:t>
                  </w:r>
                  <w:r>
                    <w:rPr>
                      <w:rFonts w:hint="eastAsia" w:ascii="Times New Roman" w:hAnsi="Times New Roman" w:cs="Times New Roman"/>
                      <w:color w:val="auto"/>
                      <w:spacing w:val="0"/>
                      <w:position w:val="0"/>
                      <w:sz w:val="21"/>
                      <w:szCs w:val="21"/>
                      <w:lang w:eastAsia="zh-CN"/>
                    </w:rPr>
                    <w:t>除臭处理后，</w:t>
                  </w:r>
                  <w:r>
                    <w:rPr>
                      <w:rFonts w:hint="eastAsia" w:cs="Times New Roman"/>
                      <w:color w:val="auto"/>
                      <w:spacing w:val="0"/>
                      <w:position w:val="0"/>
                      <w:sz w:val="21"/>
                      <w:szCs w:val="21"/>
                      <w:lang w:val="en-US" w:eastAsia="zh-CN"/>
                    </w:rPr>
                    <w:t>无组织</w:t>
                  </w:r>
                  <w:r>
                    <w:rPr>
                      <w:rFonts w:hint="eastAsia" w:ascii="Times New Roman" w:hAnsi="Times New Roman" w:cs="Times New Roman"/>
                      <w:color w:val="auto"/>
                      <w:spacing w:val="0"/>
                      <w:position w:val="0"/>
                      <w:sz w:val="21"/>
                      <w:szCs w:val="21"/>
                      <w:lang w:eastAsia="zh-CN"/>
                    </w:rPr>
                    <w:t>排放</w:t>
                  </w:r>
                </w:p>
              </w:tc>
            </w:tr>
            <w:tr w14:paraId="1C60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8" w:type="pct"/>
                  <w:vMerge w:val="continue"/>
                  <w:noWrap w:val="0"/>
                  <w:vAlign w:val="center"/>
                </w:tcPr>
                <w:p w14:paraId="20EB0C28">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738" w:type="pct"/>
                  <w:gridSpan w:val="2"/>
                  <w:vMerge w:val="continue"/>
                  <w:noWrap w:val="0"/>
                  <w:vAlign w:val="center"/>
                </w:tcPr>
                <w:p w14:paraId="111810A4">
                  <w:pPr>
                    <w:numPr>
                      <w:ilvl w:val="0"/>
                      <w:numId w:val="0"/>
                    </w:numPr>
                    <w:spacing w:line="240" w:lineRule="auto"/>
                    <w:jc w:val="center"/>
                    <w:rPr>
                      <w:rFonts w:hint="eastAsia" w:cs="Times New Roman"/>
                      <w:color w:val="auto"/>
                      <w:sz w:val="21"/>
                      <w:szCs w:val="21"/>
                      <w:vertAlign w:val="baseline"/>
                      <w:lang w:val="en-US" w:eastAsia="zh-CN"/>
                    </w:rPr>
                  </w:pPr>
                </w:p>
              </w:tc>
              <w:tc>
                <w:tcPr>
                  <w:tcW w:w="1440" w:type="pct"/>
                  <w:noWrap w:val="0"/>
                  <w:vAlign w:val="center"/>
                </w:tcPr>
                <w:p w14:paraId="6B2067BC">
                  <w:pPr>
                    <w:numPr>
                      <w:ilvl w:val="0"/>
                      <w:numId w:val="0"/>
                    </w:numPr>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H</w:t>
                  </w:r>
                  <w:r>
                    <w:rPr>
                      <w:rFonts w:hint="eastAsia" w:cs="Times New Roman"/>
                      <w:color w:val="auto"/>
                      <w:sz w:val="21"/>
                      <w:szCs w:val="21"/>
                      <w:vertAlign w:val="subscript"/>
                      <w:lang w:val="en-US" w:eastAsia="zh-CN"/>
                    </w:rPr>
                    <w:t>2</w:t>
                  </w:r>
                  <w:r>
                    <w:rPr>
                      <w:rFonts w:hint="eastAsia" w:cs="Times New Roman"/>
                      <w:color w:val="auto"/>
                      <w:sz w:val="21"/>
                      <w:szCs w:val="21"/>
                      <w:vertAlign w:val="baseline"/>
                      <w:lang w:val="en-US" w:eastAsia="zh-CN"/>
                    </w:rPr>
                    <w:t>S</w:t>
                  </w:r>
                </w:p>
              </w:tc>
              <w:tc>
                <w:tcPr>
                  <w:tcW w:w="1422" w:type="pct"/>
                  <w:vMerge w:val="continue"/>
                  <w:noWrap w:val="0"/>
                  <w:vAlign w:val="center"/>
                </w:tcPr>
                <w:p w14:paraId="60ABFC06">
                  <w:pPr>
                    <w:numPr>
                      <w:ilvl w:val="0"/>
                      <w:numId w:val="0"/>
                    </w:numPr>
                    <w:spacing w:line="240" w:lineRule="auto"/>
                    <w:jc w:val="center"/>
                    <w:rPr>
                      <w:rFonts w:hint="eastAsia" w:cs="Times New Roman"/>
                      <w:color w:val="auto"/>
                      <w:sz w:val="21"/>
                      <w:szCs w:val="21"/>
                      <w:vertAlign w:val="baseline"/>
                      <w:lang w:val="en-US" w:eastAsia="zh-CN"/>
                    </w:rPr>
                  </w:pPr>
                </w:p>
              </w:tc>
            </w:tr>
            <w:tr w14:paraId="2B86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398" w:type="pct"/>
                  <w:vMerge w:val="continue"/>
                  <w:noWrap w:val="0"/>
                  <w:vAlign w:val="center"/>
                </w:tcPr>
                <w:p w14:paraId="62023CB8">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738" w:type="pct"/>
                  <w:gridSpan w:val="2"/>
                  <w:vMerge w:val="continue"/>
                  <w:noWrap w:val="0"/>
                  <w:vAlign w:val="center"/>
                </w:tcPr>
                <w:p w14:paraId="438020A5">
                  <w:pPr>
                    <w:numPr>
                      <w:ilvl w:val="0"/>
                      <w:numId w:val="0"/>
                    </w:numPr>
                    <w:spacing w:line="240" w:lineRule="auto"/>
                    <w:jc w:val="center"/>
                    <w:rPr>
                      <w:rFonts w:hint="eastAsia" w:cs="Times New Roman"/>
                      <w:color w:val="auto"/>
                      <w:sz w:val="21"/>
                      <w:szCs w:val="21"/>
                      <w:vertAlign w:val="baseline"/>
                      <w:lang w:val="en-US" w:eastAsia="zh-CN"/>
                    </w:rPr>
                  </w:pPr>
                </w:p>
              </w:tc>
              <w:tc>
                <w:tcPr>
                  <w:tcW w:w="1440" w:type="pct"/>
                  <w:noWrap w:val="0"/>
                  <w:vAlign w:val="center"/>
                </w:tcPr>
                <w:p w14:paraId="19EDC395">
                  <w:pPr>
                    <w:numPr>
                      <w:ilvl w:val="0"/>
                      <w:numId w:val="0"/>
                    </w:num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臭气浓度</w:t>
                  </w:r>
                </w:p>
              </w:tc>
              <w:tc>
                <w:tcPr>
                  <w:tcW w:w="1422" w:type="pct"/>
                  <w:vMerge w:val="continue"/>
                  <w:noWrap w:val="0"/>
                  <w:vAlign w:val="center"/>
                </w:tcPr>
                <w:p w14:paraId="662335A9">
                  <w:pPr>
                    <w:numPr>
                      <w:ilvl w:val="0"/>
                      <w:numId w:val="0"/>
                    </w:numPr>
                    <w:spacing w:line="240" w:lineRule="auto"/>
                    <w:jc w:val="center"/>
                    <w:rPr>
                      <w:rFonts w:hint="eastAsia" w:cs="Times New Roman"/>
                      <w:color w:val="auto"/>
                      <w:sz w:val="21"/>
                      <w:szCs w:val="21"/>
                      <w:vertAlign w:val="baseline"/>
                      <w:lang w:val="en-US" w:eastAsia="zh-CN"/>
                    </w:rPr>
                  </w:pPr>
                </w:p>
              </w:tc>
            </w:tr>
            <w:tr w14:paraId="7541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398" w:type="pct"/>
                  <w:vMerge w:val="restart"/>
                  <w:noWrap w:val="0"/>
                  <w:vAlign w:val="center"/>
                </w:tcPr>
                <w:p w14:paraId="0F0D3E24">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p>
              </w:tc>
              <w:tc>
                <w:tcPr>
                  <w:tcW w:w="516" w:type="pct"/>
                  <w:vMerge w:val="restart"/>
                  <w:noWrap w:val="0"/>
                  <w:vAlign w:val="center"/>
                </w:tcPr>
                <w:p w14:paraId="33BDF9FC">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医疗废水W1</w:t>
                  </w:r>
                </w:p>
              </w:tc>
              <w:tc>
                <w:tcPr>
                  <w:tcW w:w="1221" w:type="pct"/>
                  <w:noWrap w:val="0"/>
                  <w:vAlign w:val="center"/>
                </w:tcPr>
                <w:p w14:paraId="3A3C2B1C">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医护人员废水</w:t>
                  </w:r>
                </w:p>
              </w:tc>
              <w:tc>
                <w:tcPr>
                  <w:tcW w:w="1440" w:type="pct"/>
                  <w:vMerge w:val="restart"/>
                  <w:noWrap w:val="0"/>
                  <w:vAlign w:val="center"/>
                </w:tcPr>
                <w:p w14:paraId="58ECDFDC">
                  <w:pPr>
                    <w:numPr>
                      <w:ilvl w:val="0"/>
                      <w:numId w:val="0"/>
                    </w:num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pH、COD、BOD</w:t>
                  </w:r>
                  <w:r>
                    <w:rPr>
                      <w:rFonts w:hint="eastAsia" w:cs="Times New Roman"/>
                      <w:color w:val="auto"/>
                      <w:sz w:val="21"/>
                      <w:szCs w:val="21"/>
                      <w:vertAlign w:val="subscript"/>
                      <w:lang w:val="en-US" w:eastAsia="zh-CN"/>
                    </w:rPr>
                    <w:t>5</w:t>
                  </w:r>
                  <w:r>
                    <w:rPr>
                      <w:rFonts w:hint="eastAsia" w:cs="Times New Roman"/>
                      <w:color w:val="auto"/>
                      <w:sz w:val="21"/>
                      <w:szCs w:val="21"/>
                      <w:vertAlign w:val="baseline"/>
                      <w:lang w:val="en-US" w:eastAsia="zh-CN"/>
                    </w:rPr>
                    <w:t>、SS、</w:t>
                  </w:r>
                </w:p>
                <w:p w14:paraId="77E5DA0D">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氨氮、动植物油、粪大肠菌群数（MPN/L）、阴离子表面活性剂、总余氯</w:t>
                  </w:r>
                </w:p>
              </w:tc>
              <w:tc>
                <w:tcPr>
                  <w:tcW w:w="1422" w:type="pct"/>
                  <w:vMerge w:val="restart"/>
                  <w:noWrap w:val="0"/>
                  <w:vAlign w:val="center"/>
                </w:tcPr>
                <w:p w14:paraId="41D105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食堂废水经隔油池处理后同医疗废水一起经院区污水处理站处理后排入市政管网再进入泗县污水处理厂处理</w:t>
                  </w:r>
                </w:p>
              </w:tc>
            </w:tr>
            <w:tr w14:paraId="14B0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398" w:type="pct"/>
                  <w:vMerge w:val="continue"/>
                  <w:noWrap w:val="0"/>
                  <w:vAlign w:val="center"/>
                </w:tcPr>
                <w:p w14:paraId="0381B56D">
                  <w:pPr>
                    <w:numPr>
                      <w:ilvl w:val="0"/>
                      <w:numId w:val="0"/>
                    </w:numPr>
                    <w:spacing w:line="240" w:lineRule="auto"/>
                    <w:jc w:val="center"/>
                    <w:rPr>
                      <w:rFonts w:hint="eastAsia" w:cs="Times New Roman"/>
                      <w:color w:val="auto"/>
                      <w:sz w:val="21"/>
                      <w:szCs w:val="21"/>
                      <w:vertAlign w:val="baseline"/>
                      <w:lang w:val="en-US" w:eastAsia="zh-CN"/>
                    </w:rPr>
                  </w:pPr>
                </w:p>
              </w:tc>
              <w:tc>
                <w:tcPr>
                  <w:tcW w:w="516" w:type="pct"/>
                  <w:vMerge w:val="continue"/>
                  <w:noWrap w:val="0"/>
                  <w:vAlign w:val="center"/>
                </w:tcPr>
                <w:p w14:paraId="499AFA65">
                  <w:pPr>
                    <w:numPr>
                      <w:ilvl w:val="0"/>
                      <w:numId w:val="0"/>
                    </w:numPr>
                    <w:spacing w:line="240" w:lineRule="auto"/>
                    <w:jc w:val="center"/>
                    <w:rPr>
                      <w:rFonts w:hint="eastAsia" w:cs="Times New Roman"/>
                      <w:color w:val="auto"/>
                      <w:sz w:val="21"/>
                      <w:szCs w:val="21"/>
                      <w:vertAlign w:val="baseline"/>
                      <w:lang w:val="en-US" w:eastAsia="zh-CN"/>
                    </w:rPr>
                  </w:pPr>
                </w:p>
              </w:tc>
              <w:tc>
                <w:tcPr>
                  <w:tcW w:w="1221" w:type="pct"/>
                  <w:noWrap w:val="0"/>
                  <w:vAlign w:val="center"/>
                </w:tcPr>
                <w:p w14:paraId="16F65AB2">
                  <w:pPr>
                    <w:numPr>
                      <w:ilvl w:val="0"/>
                      <w:numId w:val="0"/>
                    </w:numPr>
                    <w:spacing w:line="240" w:lineRule="auto"/>
                    <w:ind w:left="0" w:leftChars="0" w:firstLine="0" w:firstLineChars="0"/>
                    <w:jc w:val="center"/>
                    <w:rPr>
                      <w:rFonts w:hint="eastAsia" w:ascii="Times New Roman" w:hAnsi="Times New Roman" w:cs="Times New Roman"/>
                      <w:color w:val="auto"/>
                      <w:spacing w:val="0"/>
                      <w:w w:val="100"/>
                      <w:position w:val="0"/>
                      <w:sz w:val="21"/>
                      <w:szCs w:val="21"/>
                      <w:lang w:eastAsia="zh-CN"/>
                    </w:rPr>
                  </w:pPr>
                  <w:r>
                    <w:rPr>
                      <w:rFonts w:hint="eastAsia" w:ascii="Times New Roman" w:hAnsi="Times New Roman" w:cs="Times New Roman"/>
                      <w:color w:val="auto"/>
                      <w:spacing w:val="0"/>
                      <w:w w:val="100"/>
                      <w:position w:val="0"/>
                      <w:sz w:val="21"/>
                      <w:szCs w:val="21"/>
                      <w:lang w:eastAsia="zh-CN"/>
                    </w:rPr>
                    <w:t>医院后勤人员用水</w:t>
                  </w:r>
                </w:p>
              </w:tc>
              <w:tc>
                <w:tcPr>
                  <w:tcW w:w="1440" w:type="pct"/>
                  <w:vMerge w:val="continue"/>
                  <w:noWrap w:val="0"/>
                  <w:vAlign w:val="center"/>
                </w:tcPr>
                <w:p w14:paraId="647481DA">
                  <w:pPr>
                    <w:numPr>
                      <w:ilvl w:val="0"/>
                      <w:numId w:val="0"/>
                    </w:numPr>
                    <w:spacing w:line="240" w:lineRule="auto"/>
                    <w:jc w:val="center"/>
                    <w:rPr>
                      <w:rFonts w:hint="eastAsia" w:cs="Times New Roman"/>
                      <w:color w:val="auto"/>
                      <w:sz w:val="21"/>
                      <w:szCs w:val="21"/>
                      <w:vertAlign w:val="baseline"/>
                      <w:lang w:val="en-US" w:eastAsia="zh-CN"/>
                    </w:rPr>
                  </w:pPr>
                </w:p>
              </w:tc>
              <w:tc>
                <w:tcPr>
                  <w:tcW w:w="1422" w:type="pct"/>
                  <w:vMerge w:val="continue"/>
                  <w:noWrap w:val="0"/>
                  <w:vAlign w:val="center"/>
                </w:tcPr>
                <w:p w14:paraId="0B54C3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p>
              </w:tc>
            </w:tr>
            <w:tr w14:paraId="48DC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398" w:type="pct"/>
                  <w:vMerge w:val="continue"/>
                  <w:noWrap w:val="0"/>
                  <w:vAlign w:val="center"/>
                </w:tcPr>
                <w:p w14:paraId="6759FCE8">
                  <w:pPr>
                    <w:numPr>
                      <w:ilvl w:val="0"/>
                      <w:numId w:val="0"/>
                    </w:numPr>
                    <w:spacing w:line="240" w:lineRule="auto"/>
                    <w:jc w:val="center"/>
                    <w:rPr>
                      <w:rFonts w:hint="eastAsia" w:cs="Times New Roman"/>
                      <w:color w:val="auto"/>
                      <w:sz w:val="21"/>
                      <w:szCs w:val="21"/>
                      <w:vertAlign w:val="baseline"/>
                      <w:lang w:val="en-US" w:eastAsia="zh-CN"/>
                    </w:rPr>
                  </w:pPr>
                </w:p>
              </w:tc>
              <w:tc>
                <w:tcPr>
                  <w:tcW w:w="516" w:type="pct"/>
                  <w:vMerge w:val="continue"/>
                  <w:noWrap w:val="0"/>
                  <w:vAlign w:val="center"/>
                </w:tcPr>
                <w:p w14:paraId="125702F6">
                  <w:pPr>
                    <w:numPr>
                      <w:ilvl w:val="0"/>
                      <w:numId w:val="0"/>
                    </w:numPr>
                    <w:spacing w:line="240" w:lineRule="auto"/>
                    <w:jc w:val="center"/>
                    <w:rPr>
                      <w:rFonts w:hint="eastAsia" w:cs="Times New Roman"/>
                      <w:color w:val="auto"/>
                      <w:sz w:val="21"/>
                      <w:szCs w:val="21"/>
                      <w:vertAlign w:val="baseline"/>
                      <w:lang w:val="en-US" w:eastAsia="zh-CN"/>
                    </w:rPr>
                  </w:pPr>
                </w:p>
              </w:tc>
              <w:tc>
                <w:tcPr>
                  <w:tcW w:w="1221" w:type="pct"/>
                  <w:noWrap w:val="0"/>
                  <w:vAlign w:val="center"/>
                </w:tcPr>
                <w:p w14:paraId="79FC7D1B">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门诊病人废水</w:t>
                  </w:r>
                </w:p>
              </w:tc>
              <w:tc>
                <w:tcPr>
                  <w:tcW w:w="1440" w:type="pct"/>
                  <w:vMerge w:val="continue"/>
                  <w:noWrap w:val="0"/>
                  <w:vAlign w:val="center"/>
                </w:tcPr>
                <w:p w14:paraId="6C533704">
                  <w:pPr>
                    <w:numPr>
                      <w:ilvl w:val="0"/>
                      <w:numId w:val="0"/>
                    </w:numPr>
                    <w:spacing w:line="240" w:lineRule="auto"/>
                    <w:jc w:val="center"/>
                    <w:rPr>
                      <w:rFonts w:hint="eastAsia" w:cs="Times New Roman"/>
                      <w:color w:val="auto"/>
                      <w:sz w:val="21"/>
                      <w:szCs w:val="21"/>
                      <w:vertAlign w:val="baseline"/>
                      <w:lang w:val="en-US" w:eastAsia="zh-CN"/>
                    </w:rPr>
                  </w:pPr>
                </w:p>
              </w:tc>
              <w:tc>
                <w:tcPr>
                  <w:tcW w:w="1422" w:type="pct"/>
                  <w:vMerge w:val="continue"/>
                  <w:noWrap w:val="0"/>
                  <w:vAlign w:val="center"/>
                </w:tcPr>
                <w:p w14:paraId="1EDE20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p>
              </w:tc>
            </w:tr>
            <w:tr w14:paraId="7AA6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398" w:type="pct"/>
                  <w:vMerge w:val="continue"/>
                  <w:noWrap w:val="0"/>
                  <w:vAlign w:val="center"/>
                </w:tcPr>
                <w:p w14:paraId="64835207">
                  <w:pPr>
                    <w:numPr>
                      <w:ilvl w:val="0"/>
                      <w:numId w:val="0"/>
                    </w:numPr>
                    <w:spacing w:line="240" w:lineRule="auto"/>
                    <w:jc w:val="center"/>
                    <w:rPr>
                      <w:rFonts w:hint="eastAsia" w:cs="Times New Roman"/>
                      <w:color w:val="auto"/>
                      <w:sz w:val="21"/>
                      <w:szCs w:val="21"/>
                      <w:vertAlign w:val="baseline"/>
                      <w:lang w:val="en-US" w:eastAsia="zh-CN"/>
                    </w:rPr>
                  </w:pPr>
                </w:p>
              </w:tc>
              <w:tc>
                <w:tcPr>
                  <w:tcW w:w="516" w:type="pct"/>
                  <w:vMerge w:val="continue"/>
                  <w:noWrap w:val="0"/>
                  <w:vAlign w:val="center"/>
                </w:tcPr>
                <w:p w14:paraId="19440659">
                  <w:pPr>
                    <w:numPr>
                      <w:ilvl w:val="0"/>
                      <w:numId w:val="0"/>
                    </w:numPr>
                    <w:spacing w:line="240" w:lineRule="auto"/>
                    <w:jc w:val="center"/>
                    <w:rPr>
                      <w:rFonts w:hint="eastAsia" w:cs="Times New Roman"/>
                      <w:color w:val="auto"/>
                      <w:sz w:val="21"/>
                      <w:szCs w:val="21"/>
                      <w:vertAlign w:val="baseline"/>
                      <w:lang w:val="en-US" w:eastAsia="zh-CN"/>
                    </w:rPr>
                  </w:pPr>
                </w:p>
              </w:tc>
              <w:tc>
                <w:tcPr>
                  <w:tcW w:w="1221" w:type="pct"/>
                  <w:noWrap w:val="0"/>
                  <w:vAlign w:val="center"/>
                </w:tcPr>
                <w:p w14:paraId="01EBF998">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病房废水</w:t>
                  </w:r>
                </w:p>
              </w:tc>
              <w:tc>
                <w:tcPr>
                  <w:tcW w:w="1440" w:type="pct"/>
                  <w:vMerge w:val="continue"/>
                  <w:noWrap w:val="0"/>
                  <w:vAlign w:val="center"/>
                </w:tcPr>
                <w:p w14:paraId="0DE41540">
                  <w:pPr>
                    <w:numPr>
                      <w:ilvl w:val="0"/>
                      <w:numId w:val="0"/>
                    </w:numPr>
                    <w:spacing w:line="240" w:lineRule="auto"/>
                    <w:jc w:val="center"/>
                    <w:rPr>
                      <w:rFonts w:hint="eastAsia" w:cs="Times New Roman"/>
                      <w:color w:val="auto"/>
                      <w:sz w:val="21"/>
                      <w:szCs w:val="21"/>
                      <w:vertAlign w:val="baseline"/>
                      <w:lang w:val="en-US" w:eastAsia="zh-CN"/>
                    </w:rPr>
                  </w:pPr>
                </w:p>
              </w:tc>
              <w:tc>
                <w:tcPr>
                  <w:tcW w:w="1422" w:type="pct"/>
                  <w:vMerge w:val="continue"/>
                  <w:noWrap w:val="0"/>
                  <w:vAlign w:val="center"/>
                </w:tcPr>
                <w:p w14:paraId="717E31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p>
              </w:tc>
            </w:tr>
            <w:tr w14:paraId="4765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398" w:type="pct"/>
                  <w:vMerge w:val="continue"/>
                  <w:noWrap w:val="0"/>
                  <w:vAlign w:val="center"/>
                </w:tcPr>
                <w:p w14:paraId="627C8A54">
                  <w:pPr>
                    <w:numPr>
                      <w:ilvl w:val="0"/>
                      <w:numId w:val="0"/>
                    </w:numPr>
                    <w:spacing w:line="240" w:lineRule="auto"/>
                    <w:jc w:val="center"/>
                    <w:rPr>
                      <w:rFonts w:hint="eastAsia" w:cs="Times New Roman"/>
                      <w:color w:val="auto"/>
                      <w:sz w:val="21"/>
                      <w:szCs w:val="21"/>
                      <w:vertAlign w:val="baseline"/>
                      <w:lang w:val="en-US" w:eastAsia="zh-CN"/>
                    </w:rPr>
                  </w:pPr>
                </w:p>
              </w:tc>
              <w:tc>
                <w:tcPr>
                  <w:tcW w:w="516" w:type="pct"/>
                  <w:vMerge w:val="continue"/>
                  <w:noWrap w:val="0"/>
                  <w:vAlign w:val="center"/>
                </w:tcPr>
                <w:p w14:paraId="4FD3BF4F">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p>
              </w:tc>
              <w:tc>
                <w:tcPr>
                  <w:tcW w:w="1221" w:type="pct"/>
                  <w:noWrap w:val="0"/>
                  <w:vAlign w:val="center"/>
                </w:tcPr>
                <w:p w14:paraId="4E70C0F7">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检验废水</w:t>
                  </w:r>
                </w:p>
              </w:tc>
              <w:tc>
                <w:tcPr>
                  <w:tcW w:w="1440" w:type="pct"/>
                  <w:vMerge w:val="continue"/>
                  <w:noWrap w:val="0"/>
                  <w:vAlign w:val="center"/>
                </w:tcPr>
                <w:p w14:paraId="2A22D549">
                  <w:pPr>
                    <w:numPr>
                      <w:ilvl w:val="0"/>
                      <w:numId w:val="0"/>
                    </w:numPr>
                    <w:spacing w:line="240" w:lineRule="auto"/>
                    <w:jc w:val="center"/>
                    <w:rPr>
                      <w:rFonts w:hint="eastAsia" w:cs="Times New Roman"/>
                      <w:color w:val="auto"/>
                      <w:sz w:val="21"/>
                      <w:szCs w:val="21"/>
                      <w:vertAlign w:val="baseline"/>
                      <w:lang w:val="en-US" w:eastAsia="zh-CN"/>
                    </w:rPr>
                  </w:pPr>
                </w:p>
              </w:tc>
              <w:tc>
                <w:tcPr>
                  <w:tcW w:w="1422" w:type="pct"/>
                  <w:vMerge w:val="continue"/>
                  <w:noWrap w:val="0"/>
                  <w:vAlign w:val="center"/>
                </w:tcPr>
                <w:p w14:paraId="379CE6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p>
              </w:tc>
            </w:tr>
            <w:tr w14:paraId="6B74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398" w:type="pct"/>
                  <w:vMerge w:val="continue"/>
                  <w:noWrap w:val="0"/>
                  <w:vAlign w:val="center"/>
                </w:tcPr>
                <w:p w14:paraId="377893FC">
                  <w:pPr>
                    <w:numPr>
                      <w:ilvl w:val="0"/>
                      <w:numId w:val="0"/>
                    </w:numPr>
                    <w:spacing w:line="240" w:lineRule="auto"/>
                    <w:jc w:val="center"/>
                    <w:rPr>
                      <w:rFonts w:hint="eastAsia" w:cs="Times New Roman"/>
                      <w:color w:val="auto"/>
                      <w:sz w:val="21"/>
                      <w:szCs w:val="21"/>
                      <w:vertAlign w:val="baseline"/>
                      <w:lang w:val="en-US" w:eastAsia="zh-CN"/>
                    </w:rPr>
                  </w:pPr>
                </w:p>
              </w:tc>
              <w:tc>
                <w:tcPr>
                  <w:tcW w:w="516" w:type="pct"/>
                  <w:vMerge w:val="continue"/>
                  <w:noWrap w:val="0"/>
                  <w:vAlign w:val="center"/>
                </w:tcPr>
                <w:p w14:paraId="71FCF80B">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p>
              </w:tc>
              <w:tc>
                <w:tcPr>
                  <w:tcW w:w="1221" w:type="pct"/>
                  <w:noWrap w:val="0"/>
                  <w:vAlign w:val="center"/>
                </w:tcPr>
                <w:p w14:paraId="7C0E9AA9">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磨片废水</w:t>
                  </w:r>
                </w:p>
              </w:tc>
              <w:tc>
                <w:tcPr>
                  <w:tcW w:w="1440" w:type="pct"/>
                  <w:vMerge w:val="continue"/>
                  <w:noWrap w:val="0"/>
                  <w:vAlign w:val="center"/>
                </w:tcPr>
                <w:p w14:paraId="03654622">
                  <w:pPr>
                    <w:numPr>
                      <w:ilvl w:val="0"/>
                      <w:numId w:val="0"/>
                    </w:numPr>
                    <w:spacing w:line="240" w:lineRule="auto"/>
                    <w:jc w:val="center"/>
                    <w:rPr>
                      <w:rFonts w:hint="eastAsia" w:cs="Times New Roman"/>
                      <w:color w:val="auto"/>
                      <w:sz w:val="21"/>
                      <w:szCs w:val="21"/>
                      <w:vertAlign w:val="baseline"/>
                      <w:lang w:val="en-US" w:eastAsia="zh-CN"/>
                    </w:rPr>
                  </w:pPr>
                </w:p>
              </w:tc>
              <w:tc>
                <w:tcPr>
                  <w:tcW w:w="1422" w:type="pct"/>
                  <w:vMerge w:val="continue"/>
                  <w:noWrap w:val="0"/>
                  <w:vAlign w:val="center"/>
                </w:tcPr>
                <w:p w14:paraId="24E8D2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p>
              </w:tc>
            </w:tr>
            <w:tr w14:paraId="70CA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398" w:type="pct"/>
                  <w:vMerge w:val="continue"/>
                  <w:noWrap w:val="0"/>
                  <w:vAlign w:val="center"/>
                </w:tcPr>
                <w:p w14:paraId="23D41455">
                  <w:pPr>
                    <w:numPr>
                      <w:ilvl w:val="0"/>
                      <w:numId w:val="0"/>
                    </w:numPr>
                    <w:spacing w:line="240" w:lineRule="auto"/>
                    <w:jc w:val="center"/>
                    <w:rPr>
                      <w:rFonts w:hint="eastAsia" w:cs="Times New Roman"/>
                      <w:color w:val="auto"/>
                      <w:sz w:val="21"/>
                      <w:szCs w:val="21"/>
                      <w:vertAlign w:val="baseline"/>
                      <w:lang w:val="en-US" w:eastAsia="zh-CN"/>
                    </w:rPr>
                  </w:pPr>
                </w:p>
              </w:tc>
              <w:tc>
                <w:tcPr>
                  <w:tcW w:w="516" w:type="pct"/>
                  <w:vMerge w:val="continue"/>
                  <w:noWrap w:val="0"/>
                  <w:vAlign w:val="center"/>
                </w:tcPr>
                <w:p w14:paraId="1B749D4C">
                  <w:pPr>
                    <w:numPr>
                      <w:ilvl w:val="0"/>
                      <w:numId w:val="0"/>
                    </w:numPr>
                    <w:spacing w:line="240" w:lineRule="auto"/>
                    <w:jc w:val="center"/>
                    <w:rPr>
                      <w:rFonts w:hint="default" w:cs="Times New Roman"/>
                      <w:color w:val="auto"/>
                      <w:sz w:val="21"/>
                      <w:szCs w:val="21"/>
                      <w:vertAlign w:val="baseline"/>
                      <w:lang w:val="en-US" w:eastAsia="zh-CN"/>
                    </w:rPr>
                  </w:pPr>
                </w:p>
              </w:tc>
              <w:tc>
                <w:tcPr>
                  <w:tcW w:w="1221" w:type="pct"/>
                  <w:noWrap w:val="0"/>
                  <w:vAlign w:val="center"/>
                </w:tcPr>
                <w:p w14:paraId="1C295D78">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保洁废水</w:t>
                  </w:r>
                </w:p>
              </w:tc>
              <w:tc>
                <w:tcPr>
                  <w:tcW w:w="1440" w:type="pct"/>
                  <w:vMerge w:val="continue"/>
                  <w:noWrap w:val="0"/>
                  <w:vAlign w:val="center"/>
                </w:tcPr>
                <w:p w14:paraId="5CC13D9E">
                  <w:pPr>
                    <w:numPr>
                      <w:ilvl w:val="0"/>
                      <w:numId w:val="0"/>
                    </w:numPr>
                    <w:spacing w:line="240" w:lineRule="auto"/>
                    <w:jc w:val="center"/>
                    <w:rPr>
                      <w:rFonts w:hint="eastAsia" w:cs="Times New Roman"/>
                      <w:color w:val="auto"/>
                      <w:sz w:val="21"/>
                      <w:szCs w:val="21"/>
                      <w:vertAlign w:val="baseline"/>
                      <w:lang w:val="en-US" w:eastAsia="zh-CN"/>
                    </w:rPr>
                  </w:pPr>
                </w:p>
              </w:tc>
              <w:tc>
                <w:tcPr>
                  <w:tcW w:w="1422" w:type="pct"/>
                  <w:vMerge w:val="continue"/>
                  <w:noWrap w:val="0"/>
                  <w:vAlign w:val="center"/>
                </w:tcPr>
                <w:p w14:paraId="122261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p>
              </w:tc>
            </w:tr>
            <w:tr w14:paraId="7F5A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398" w:type="pct"/>
                  <w:vMerge w:val="continue"/>
                  <w:noWrap w:val="0"/>
                  <w:vAlign w:val="center"/>
                </w:tcPr>
                <w:p w14:paraId="205ECC04">
                  <w:pPr>
                    <w:numPr>
                      <w:ilvl w:val="0"/>
                      <w:numId w:val="0"/>
                    </w:numPr>
                    <w:spacing w:line="240" w:lineRule="auto"/>
                    <w:jc w:val="center"/>
                    <w:rPr>
                      <w:rFonts w:hint="eastAsia" w:cs="Times New Roman"/>
                      <w:color w:val="auto"/>
                      <w:sz w:val="21"/>
                      <w:szCs w:val="21"/>
                      <w:vertAlign w:val="baseline"/>
                      <w:lang w:val="en-US" w:eastAsia="zh-CN"/>
                    </w:rPr>
                  </w:pPr>
                </w:p>
              </w:tc>
              <w:tc>
                <w:tcPr>
                  <w:tcW w:w="1738" w:type="pct"/>
                  <w:gridSpan w:val="2"/>
                  <w:noWrap w:val="0"/>
                  <w:vAlign w:val="center"/>
                </w:tcPr>
                <w:p w14:paraId="1D9ADBD7">
                  <w:pPr>
                    <w:numPr>
                      <w:ilvl w:val="0"/>
                      <w:numId w:val="0"/>
                    </w:num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食堂废水</w:t>
                  </w:r>
                </w:p>
              </w:tc>
              <w:tc>
                <w:tcPr>
                  <w:tcW w:w="1440" w:type="pct"/>
                  <w:noWrap w:val="0"/>
                  <w:vAlign w:val="center"/>
                </w:tcPr>
                <w:p w14:paraId="1AFA0F7A">
                  <w:pPr>
                    <w:spacing w:line="320" w:lineRule="exact"/>
                    <w:ind w:left="0" w:leftChars="0" w:firstLine="0" w:firstLineChars="0"/>
                    <w:jc w:val="both"/>
                    <w:rPr>
                      <w:rFonts w:hint="eastAsia" w:cs="Times New Roman"/>
                      <w:color w:val="auto"/>
                      <w:sz w:val="21"/>
                      <w:szCs w:val="21"/>
                      <w:vertAlign w:val="baseline"/>
                      <w:lang w:val="en-US" w:eastAsia="zh-CN"/>
                    </w:rPr>
                  </w:pPr>
                  <w:r>
                    <w:rPr>
                      <w:rFonts w:hint="eastAsia"/>
                      <w:sz w:val="21"/>
                      <w:szCs w:val="21"/>
                    </w:rPr>
                    <w:t>COD</w:t>
                  </w:r>
                  <w:r>
                    <w:rPr>
                      <w:rFonts w:hint="eastAsia"/>
                      <w:sz w:val="21"/>
                      <w:szCs w:val="21"/>
                      <w:lang w:eastAsia="zh-CN"/>
                    </w:rPr>
                    <w:t>、</w:t>
                  </w:r>
                  <w:r>
                    <w:rPr>
                      <w:rFonts w:hint="eastAsia"/>
                      <w:sz w:val="21"/>
                      <w:szCs w:val="21"/>
                    </w:rPr>
                    <w:t>BOD</w:t>
                  </w:r>
                  <w:r>
                    <w:rPr>
                      <w:rFonts w:hint="eastAsia"/>
                      <w:sz w:val="21"/>
                      <w:szCs w:val="21"/>
                      <w:vertAlign w:val="subscript"/>
                    </w:rPr>
                    <w:t>5</w:t>
                  </w:r>
                  <w:r>
                    <w:rPr>
                      <w:rFonts w:hint="eastAsia"/>
                      <w:sz w:val="21"/>
                      <w:szCs w:val="21"/>
                      <w:vertAlign w:val="baseline"/>
                      <w:lang w:eastAsia="zh-CN"/>
                    </w:rPr>
                    <w:t>、</w:t>
                  </w:r>
                  <w:r>
                    <w:rPr>
                      <w:rFonts w:hint="eastAsia"/>
                      <w:sz w:val="21"/>
                      <w:szCs w:val="21"/>
                    </w:rPr>
                    <w:t>SS</w:t>
                  </w:r>
                  <w:r>
                    <w:rPr>
                      <w:rFonts w:hint="eastAsia"/>
                      <w:sz w:val="21"/>
                      <w:szCs w:val="21"/>
                      <w:lang w:eastAsia="zh-CN"/>
                    </w:rPr>
                    <w:t>、</w:t>
                  </w:r>
                  <w:r>
                    <w:rPr>
                      <w:rFonts w:hint="eastAsia"/>
                      <w:sz w:val="21"/>
                      <w:szCs w:val="21"/>
                    </w:rPr>
                    <w:t>氨氮</w:t>
                  </w:r>
                  <w:r>
                    <w:rPr>
                      <w:rFonts w:hint="eastAsia"/>
                      <w:sz w:val="21"/>
                      <w:szCs w:val="21"/>
                      <w:lang w:eastAsia="zh-CN"/>
                    </w:rPr>
                    <w:t>、</w:t>
                  </w:r>
                  <w:r>
                    <w:rPr>
                      <w:rFonts w:hint="eastAsia"/>
                      <w:kern w:val="0"/>
                      <w:sz w:val="21"/>
                      <w:szCs w:val="21"/>
                    </w:rPr>
                    <w:t>动植物油</w:t>
                  </w:r>
                </w:p>
              </w:tc>
              <w:tc>
                <w:tcPr>
                  <w:tcW w:w="1422" w:type="pct"/>
                  <w:vMerge w:val="continue"/>
                  <w:noWrap w:val="0"/>
                  <w:vAlign w:val="center"/>
                </w:tcPr>
                <w:p w14:paraId="34A584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p>
              </w:tc>
            </w:tr>
            <w:tr w14:paraId="0A49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398" w:type="pct"/>
                  <w:vMerge w:val="restart"/>
                  <w:noWrap w:val="0"/>
                  <w:vAlign w:val="center"/>
                </w:tcPr>
                <w:p w14:paraId="0CF1261D">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固废</w:t>
                  </w:r>
                </w:p>
              </w:tc>
              <w:tc>
                <w:tcPr>
                  <w:tcW w:w="1738" w:type="pct"/>
                  <w:gridSpan w:val="2"/>
                  <w:vMerge w:val="restart"/>
                  <w:noWrap w:val="0"/>
                  <w:vAlign w:val="center"/>
                </w:tcPr>
                <w:p w14:paraId="1EF59E5A">
                  <w:pPr>
                    <w:numPr>
                      <w:ilvl w:val="0"/>
                      <w:numId w:val="0"/>
                    </w:num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医疗活动S1</w:t>
                  </w:r>
                </w:p>
              </w:tc>
              <w:tc>
                <w:tcPr>
                  <w:tcW w:w="1440" w:type="pct"/>
                  <w:noWrap w:val="0"/>
                  <w:vAlign w:val="center"/>
                </w:tcPr>
                <w:p w14:paraId="1D34EF96">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医疗废物</w:t>
                  </w:r>
                </w:p>
              </w:tc>
              <w:tc>
                <w:tcPr>
                  <w:tcW w:w="1422" w:type="pct"/>
                  <w:noWrap w:val="0"/>
                  <w:vAlign w:val="center"/>
                </w:tcPr>
                <w:p w14:paraId="6BD9CD3F">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委托有资质的单位处置</w:t>
                  </w:r>
                </w:p>
              </w:tc>
            </w:tr>
            <w:tr w14:paraId="66BD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398" w:type="pct"/>
                  <w:vMerge w:val="continue"/>
                  <w:noWrap w:val="0"/>
                  <w:vAlign w:val="center"/>
                </w:tcPr>
                <w:p w14:paraId="62FAB448">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738" w:type="pct"/>
                  <w:gridSpan w:val="2"/>
                  <w:vMerge w:val="continue"/>
                  <w:noWrap w:val="0"/>
                  <w:vAlign w:val="center"/>
                </w:tcPr>
                <w:p w14:paraId="1FA4ECAA">
                  <w:pPr>
                    <w:numPr>
                      <w:ilvl w:val="0"/>
                      <w:numId w:val="0"/>
                    </w:numPr>
                    <w:spacing w:line="240" w:lineRule="auto"/>
                    <w:jc w:val="center"/>
                    <w:rPr>
                      <w:rFonts w:hint="eastAsia" w:cs="Times New Roman"/>
                      <w:color w:val="auto"/>
                      <w:sz w:val="21"/>
                      <w:szCs w:val="21"/>
                      <w:vertAlign w:val="baseline"/>
                      <w:lang w:val="en-US" w:eastAsia="zh-CN"/>
                    </w:rPr>
                  </w:pPr>
                </w:p>
              </w:tc>
              <w:tc>
                <w:tcPr>
                  <w:tcW w:w="1440" w:type="pct"/>
                  <w:noWrap w:val="0"/>
                  <w:vAlign w:val="center"/>
                </w:tcPr>
                <w:p w14:paraId="6AD7E37E">
                  <w:pPr>
                    <w:numPr>
                      <w:ilvl w:val="0"/>
                      <w:numId w:val="0"/>
                    </w:num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未污染的一次性输液袋（瓶）、一次性医用外包装物</w:t>
                  </w:r>
                </w:p>
              </w:tc>
              <w:tc>
                <w:tcPr>
                  <w:tcW w:w="1422" w:type="pct"/>
                  <w:noWrap w:val="0"/>
                  <w:vAlign w:val="center"/>
                </w:tcPr>
                <w:p w14:paraId="37BEAE7A">
                  <w:pPr>
                    <w:numPr>
                      <w:ilvl w:val="0"/>
                      <w:numId w:val="0"/>
                    </w:numPr>
                    <w:spacing w:line="240" w:lineRule="auto"/>
                    <w:jc w:val="center"/>
                    <w:rPr>
                      <w:rFonts w:hint="eastAsia" w:eastAsia="宋体"/>
                      <w:color w:val="auto"/>
                      <w:sz w:val="21"/>
                      <w:szCs w:val="21"/>
                      <w:lang w:eastAsia="zh-CN"/>
                    </w:rPr>
                  </w:pPr>
                  <w:r>
                    <w:rPr>
                      <w:rFonts w:hint="eastAsia" w:eastAsia="宋体"/>
                      <w:color w:val="auto"/>
                      <w:sz w:val="21"/>
                      <w:szCs w:val="21"/>
                      <w:lang w:eastAsia="zh-CN"/>
                    </w:rPr>
                    <w:t>由专业单位回收利用或处置</w:t>
                  </w:r>
                </w:p>
              </w:tc>
            </w:tr>
            <w:tr w14:paraId="46F5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398" w:type="pct"/>
                  <w:vMerge w:val="continue"/>
                  <w:noWrap w:val="0"/>
                  <w:vAlign w:val="center"/>
                </w:tcPr>
                <w:p w14:paraId="7D164EE4">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738" w:type="pct"/>
                  <w:gridSpan w:val="2"/>
                  <w:noWrap w:val="0"/>
                  <w:vAlign w:val="center"/>
                </w:tcPr>
                <w:p w14:paraId="0BAB5ACB">
                  <w:pPr>
                    <w:numPr>
                      <w:ilvl w:val="0"/>
                      <w:numId w:val="0"/>
                    </w:num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污水处理站S2</w:t>
                  </w:r>
                </w:p>
              </w:tc>
              <w:tc>
                <w:tcPr>
                  <w:tcW w:w="1440" w:type="pct"/>
                  <w:noWrap w:val="0"/>
                  <w:vAlign w:val="center"/>
                </w:tcPr>
                <w:p w14:paraId="19DA9CB9">
                  <w:pPr>
                    <w:numPr>
                      <w:ilvl w:val="0"/>
                      <w:numId w:val="0"/>
                    </w:numPr>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污水处理站污泥与栅渣</w:t>
                  </w:r>
                </w:p>
              </w:tc>
              <w:tc>
                <w:tcPr>
                  <w:tcW w:w="1422" w:type="pct"/>
                  <w:noWrap w:val="0"/>
                  <w:vAlign w:val="center"/>
                </w:tcPr>
                <w:p w14:paraId="4989B317">
                  <w:pPr>
                    <w:numPr>
                      <w:ilvl w:val="0"/>
                      <w:numId w:val="0"/>
                    </w:numPr>
                    <w:spacing w:line="240" w:lineRule="auto"/>
                    <w:jc w:val="center"/>
                    <w:rPr>
                      <w:rFonts w:hint="eastAsia"/>
                      <w:color w:val="auto"/>
                      <w:sz w:val="21"/>
                      <w:szCs w:val="21"/>
                    </w:rPr>
                  </w:pPr>
                  <w:r>
                    <w:rPr>
                      <w:rFonts w:hint="eastAsia"/>
                      <w:color w:val="auto"/>
                      <w:sz w:val="21"/>
                      <w:szCs w:val="21"/>
                      <w:lang w:eastAsia="zh-CN"/>
                    </w:rPr>
                    <w:t>定期清掏，</w:t>
                  </w:r>
                  <w:r>
                    <w:rPr>
                      <w:rFonts w:hint="eastAsia"/>
                      <w:color w:val="auto"/>
                      <w:sz w:val="21"/>
                      <w:szCs w:val="21"/>
                      <w:highlight w:val="none"/>
                      <w:lang w:eastAsia="zh-CN"/>
                    </w:rPr>
                    <w:t>消毒处理作为交由有资质单位处理</w:t>
                  </w:r>
                </w:p>
              </w:tc>
            </w:tr>
            <w:tr w14:paraId="369D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398" w:type="pct"/>
                  <w:vMerge w:val="continue"/>
                  <w:noWrap w:val="0"/>
                  <w:vAlign w:val="center"/>
                </w:tcPr>
                <w:p w14:paraId="4133EB90">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738" w:type="pct"/>
                  <w:gridSpan w:val="2"/>
                  <w:noWrap w:val="0"/>
                  <w:vAlign w:val="center"/>
                </w:tcPr>
                <w:p w14:paraId="4C6F1785">
                  <w:pPr>
                    <w:numPr>
                      <w:ilvl w:val="0"/>
                      <w:numId w:val="0"/>
                    </w:num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制镜室</w:t>
                  </w:r>
                </w:p>
              </w:tc>
              <w:tc>
                <w:tcPr>
                  <w:tcW w:w="1440" w:type="pct"/>
                  <w:noWrap w:val="0"/>
                  <w:vAlign w:val="center"/>
                </w:tcPr>
                <w:p w14:paraId="5BD3C2F0">
                  <w:pPr>
                    <w:numPr>
                      <w:ilvl w:val="0"/>
                      <w:numId w:val="0"/>
                    </w:num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制片边角料</w:t>
                  </w:r>
                </w:p>
              </w:tc>
              <w:tc>
                <w:tcPr>
                  <w:tcW w:w="1422" w:type="pct"/>
                  <w:noWrap w:val="0"/>
                  <w:vAlign w:val="center"/>
                </w:tcPr>
                <w:p w14:paraId="62D2803D">
                  <w:pPr>
                    <w:numPr>
                      <w:ilvl w:val="0"/>
                      <w:numId w:val="0"/>
                    </w:numPr>
                    <w:spacing w:line="240" w:lineRule="auto"/>
                    <w:jc w:val="center"/>
                    <w:rPr>
                      <w:rFonts w:hint="eastAsia"/>
                      <w:color w:val="auto"/>
                      <w:sz w:val="21"/>
                      <w:szCs w:val="21"/>
                    </w:rPr>
                  </w:pPr>
                  <w:r>
                    <w:rPr>
                      <w:rFonts w:hint="default" w:ascii="Times New Roman" w:hAnsi="Times New Roman" w:eastAsia="宋体" w:cs="Times New Roman"/>
                      <w:color w:val="auto"/>
                      <w:sz w:val="21"/>
                      <w:szCs w:val="21"/>
                      <w:vertAlign w:val="baseline"/>
                      <w:lang w:val="en-US" w:eastAsia="zh-CN"/>
                    </w:rPr>
                    <w:t>环卫部门定期清运</w:t>
                  </w:r>
                </w:p>
              </w:tc>
            </w:tr>
            <w:tr w14:paraId="0310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398" w:type="pct"/>
                  <w:vMerge w:val="continue"/>
                  <w:noWrap w:val="0"/>
                  <w:vAlign w:val="center"/>
                </w:tcPr>
                <w:p w14:paraId="523CFA2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1738" w:type="pct"/>
                  <w:gridSpan w:val="2"/>
                  <w:noWrap w:val="0"/>
                  <w:vAlign w:val="center"/>
                </w:tcPr>
                <w:p w14:paraId="4A4E64C6">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员工</w:t>
                  </w:r>
                  <w:r>
                    <w:rPr>
                      <w:rFonts w:hint="eastAsia" w:cs="Times New Roman"/>
                      <w:color w:val="auto"/>
                      <w:sz w:val="21"/>
                      <w:szCs w:val="21"/>
                      <w:vertAlign w:val="baseline"/>
                      <w:lang w:val="en-US" w:eastAsia="zh-CN"/>
                    </w:rPr>
                    <w:t>办公、医疗活动</w:t>
                  </w:r>
                </w:p>
              </w:tc>
              <w:tc>
                <w:tcPr>
                  <w:tcW w:w="1440" w:type="pct"/>
                  <w:noWrap w:val="0"/>
                  <w:vAlign w:val="center"/>
                </w:tcPr>
                <w:p w14:paraId="60507424">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生活垃圾</w:t>
                  </w:r>
                </w:p>
              </w:tc>
              <w:tc>
                <w:tcPr>
                  <w:tcW w:w="1422" w:type="pct"/>
                  <w:noWrap w:val="0"/>
                  <w:vAlign w:val="center"/>
                </w:tcPr>
                <w:p w14:paraId="166476F2">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环卫部门定期清运</w:t>
                  </w:r>
                </w:p>
              </w:tc>
            </w:tr>
            <w:tr w14:paraId="6E18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398" w:type="pct"/>
                  <w:noWrap w:val="0"/>
                  <w:vAlign w:val="center"/>
                </w:tcPr>
                <w:p w14:paraId="08F95EDA">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1738" w:type="pct"/>
                  <w:gridSpan w:val="2"/>
                  <w:noWrap w:val="0"/>
                  <w:vAlign w:val="center"/>
                </w:tcPr>
                <w:p w14:paraId="711B074A">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污水处理站、柴油发电机、空调外机</w:t>
                  </w:r>
                </w:p>
              </w:tc>
              <w:tc>
                <w:tcPr>
                  <w:tcW w:w="1440" w:type="pct"/>
                  <w:noWrap w:val="0"/>
                  <w:vAlign w:val="center"/>
                </w:tcPr>
                <w:p w14:paraId="1A7E5852">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Leq（A）</w:t>
                  </w:r>
                </w:p>
              </w:tc>
              <w:tc>
                <w:tcPr>
                  <w:tcW w:w="1422" w:type="pct"/>
                  <w:noWrap w:val="0"/>
                  <w:vAlign w:val="center"/>
                </w:tcPr>
                <w:p w14:paraId="13A06FD5">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减振</w:t>
                  </w:r>
                  <w:r>
                    <w:rPr>
                      <w:rFonts w:hint="eastAsia" w:cs="Times New Roman"/>
                      <w:color w:val="auto"/>
                      <w:sz w:val="21"/>
                      <w:szCs w:val="21"/>
                      <w:vertAlign w:val="baseline"/>
                      <w:lang w:val="en-US" w:eastAsia="zh-CN"/>
                    </w:rPr>
                    <w:t>基座</w:t>
                  </w:r>
                </w:p>
              </w:tc>
            </w:tr>
          </w:tbl>
          <w:p w14:paraId="1912C86C">
            <w:pPr>
              <w:spacing w:line="240" w:lineRule="auto"/>
              <w:jc w:val="center"/>
              <w:rPr>
                <w:rFonts w:hint="eastAsia"/>
                <w:color w:val="auto"/>
                <w:vertAlign w:val="baseline"/>
              </w:rPr>
            </w:pPr>
          </w:p>
        </w:tc>
      </w:tr>
      <w:tr w14:paraId="702FB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6" w:hRule="atLeast"/>
          <w:jc w:val="center"/>
        </w:trPr>
        <w:tc>
          <w:tcPr>
            <w:tcW w:w="726" w:type="dxa"/>
            <w:vAlign w:val="center"/>
          </w:tcPr>
          <w:p w14:paraId="482DB359">
            <w:pPr>
              <w:spacing w:line="240" w:lineRule="auto"/>
              <w:ind w:firstLine="0" w:firstLineChars="0"/>
              <w:jc w:val="center"/>
              <w:rPr>
                <w:rFonts w:hint="eastAsia" w:ascii="Times New Roman" w:hAnsi="Times New Roman" w:eastAsia="宋体" w:cs="宋体"/>
                <w:b w:val="0"/>
                <w:bCs w:val="0"/>
                <w:color w:val="auto"/>
                <w:kern w:val="2"/>
                <w:sz w:val="24"/>
                <w:szCs w:val="21"/>
                <w:lang w:val="en-US" w:eastAsia="zh-CN" w:bidi="ar-SA"/>
              </w:rPr>
            </w:pPr>
            <w:r>
              <w:rPr>
                <w:rFonts w:hint="eastAsia" w:ascii="Times New Roman" w:hAnsi="Times New Roman" w:eastAsia="宋体" w:cs="宋体"/>
                <w:b w:val="0"/>
                <w:bCs w:val="0"/>
                <w:color w:val="auto"/>
                <w:kern w:val="2"/>
                <w:sz w:val="24"/>
                <w:szCs w:val="21"/>
                <w:lang w:val="en-US" w:eastAsia="zh-CN" w:bidi="ar-SA"/>
              </w:rPr>
              <w:t>与项目有关的原有环境污染问题</w:t>
            </w:r>
          </w:p>
        </w:tc>
        <w:tc>
          <w:tcPr>
            <w:tcW w:w="8013" w:type="dxa"/>
            <w:vAlign w:val="center"/>
          </w:tcPr>
          <w:p w14:paraId="7665B1DA">
            <w:pPr>
              <w:pStyle w:val="9"/>
              <w:ind w:left="0" w:leftChars="0" w:firstLine="482" w:firstLineChars="200"/>
              <w:jc w:val="both"/>
              <w:rPr>
                <w:rFonts w:hint="default"/>
                <w:b/>
                <w:bCs w:val="0"/>
                <w:color w:val="auto"/>
                <w:sz w:val="24"/>
                <w:szCs w:val="24"/>
                <w:lang w:val="en-US" w:eastAsia="zh-CN"/>
              </w:rPr>
            </w:pPr>
            <w:r>
              <w:rPr>
                <w:rFonts w:hint="eastAsia"/>
                <w:b/>
                <w:bCs w:val="0"/>
                <w:color w:val="auto"/>
                <w:sz w:val="24"/>
                <w:szCs w:val="24"/>
                <w:lang w:val="en-US" w:eastAsia="zh-CN"/>
              </w:rPr>
              <w:t>与项目有关的原有环境污染问题：</w:t>
            </w:r>
          </w:p>
          <w:p w14:paraId="2505CF8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该项目为新建项目，租赁</w:t>
            </w:r>
            <w:r>
              <w:rPr>
                <w:rFonts w:hint="eastAsia"/>
                <w:b w:val="0"/>
                <w:bCs/>
                <w:sz w:val="24"/>
                <w:szCs w:val="36"/>
              </w:rPr>
              <w:t>泗县</w:t>
            </w:r>
            <w:r>
              <w:rPr>
                <w:rFonts w:hint="eastAsia"/>
                <w:b w:val="0"/>
                <w:bCs/>
                <w:sz w:val="24"/>
                <w:szCs w:val="36"/>
                <w:lang w:val="en-US" w:eastAsia="zh-CN"/>
              </w:rPr>
              <w:t>益民</w:t>
            </w:r>
            <w:r>
              <w:rPr>
                <w:rFonts w:hint="eastAsia"/>
                <w:b w:val="0"/>
                <w:bCs/>
                <w:sz w:val="24"/>
                <w:szCs w:val="36"/>
              </w:rPr>
              <w:t>公交</w:t>
            </w:r>
            <w:r>
              <w:rPr>
                <w:rFonts w:hint="eastAsia"/>
                <w:b w:val="0"/>
                <w:bCs/>
                <w:sz w:val="24"/>
                <w:szCs w:val="36"/>
                <w:lang w:val="en-US" w:eastAsia="zh-CN"/>
              </w:rPr>
              <w:t>运输有限责任</w:t>
            </w:r>
            <w:r>
              <w:rPr>
                <w:rFonts w:hint="eastAsia"/>
                <w:b w:val="0"/>
                <w:bCs/>
                <w:sz w:val="24"/>
                <w:szCs w:val="36"/>
              </w:rPr>
              <w:t>公司</w:t>
            </w:r>
            <w:r>
              <w:rPr>
                <w:rFonts w:hint="eastAsia" w:hAnsi="宋体"/>
                <w:bCs/>
                <w:sz w:val="24"/>
              </w:rPr>
              <w:t>大楼1~6层，辅楼</w:t>
            </w:r>
            <w:r>
              <w:rPr>
                <w:rFonts w:hint="eastAsia" w:hAnsi="宋体"/>
                <w:bCs/>
                <w:sz w:val="24"/>
                <w:lang w:val="en-US" w:eastAsia="zh-CN"/>
              </w:rPr>
              <w:t>1</w:t>
            </w:r>
            <w:r>
              <w:rPr>
                <w:rFonts w:hint="eastAsia" w:hAnsi="宋体"/>
                <w:bCs/>
                <w:sz w:val="24"/>
              </w:rPr>
              <w:t>~2层</w:t>
            </w:r>
            <w:r>
              <w:rPr>
                <w:rFonts w:hint="eastAsia"/>
                <w:color w:val="auto"/>
                <w:sz w:val="24"/>
                <w:szCs w:val="24"/>
                <w:lang w:val="en-US" w:eastAsia="zh-CN"/>
              </w:rPr>
              <w:t>，现场为空置房，</w:t>
            </w:r>
            <w:r>
              <w:rPr>
                <w:rFonts w:hint="eastAsia"/>
                <w:b w:val="0"/>
                <w:bCs/>
                <w:color w:val="auto"/>
                <w:sz w:val="24"/>
                <w:szCs w:val="24"/>
                <w:lang w:val="en-US" w:eastAsia="zh-CN"/>
              </w:rPr>
              <w:t>原租赁单位为</w:t>
            </w:r>
            <w:r>
              <w:rPr>
                <w:rFonts w:hint="eastAsia" w:ascii="宋体" w:hAnsi="宋体"/>
                <w:kern w:val="0"/>
                <w:sz w:val="24"/>
              </w:rPr>
              <w:t>泗县新城中西医结合医院</w:t>
            </w:r>
            <w:r>
              <w:rPr>
                <w:rFonts w:hint="eastAsia"/>
                <w:color w:val="auto"/>
                <w:sz w:val="24"/>
                <w:szCs w:val="24"/>
                <w:lang w:val="en-US" w:eastAsia="zh-CN"/>
              </w:rPr>
              <w:t>。</w:t>
            </w:r>
          </w:p>
          <w:p w14:paraId="2EB6FE7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sz w:val="24"/>
                <w:szCs w:val="24"/>
                <w:lang w:val="en-US" w:eastAsia="zh-CN"/>
              </w:rPr>
            </w:pPr>
            <w:r>
              <w:rPr>
                <w:rFonts w:hint="eastAsia" w:ascii="宋体" w:hAnsi="宋体"/>
                <w:kern w:val="0"/>
                <w:sz w:val="24"/>
              </w:rPr>
              <w:t>泗县新城中西医结合医院</w:t>
            </w:r>
            <w:r>
              <w:rPr>
                <w:rFonts w:hint="eastAsia"/>
                <w:color w:val="auto"/>
                <w:sz w:val="24"/>
                <w:szCs w:val="24"/>
                <w:lang w:val="en-US" w:eastAsia="zh-CN"/>
              </w:rPr>
              <w:t>设床位100张，为二级中西医结合医院，主要设</w:t>
            </w:r>
            <w:r>
              <w:rPr>
                <w:rFonts w:hint="eastAsia" w:hAnsi="宋体"/>
                <w:bCs/>
                <w:sz w:val="24"/>
              </w:rPr>
              <w:t>内科、外科、妇产科、儿科、口腔科、眼科、耳鼻喉科、康复医学科、急诊科、中医科、麻醉科、医学检验科、医学影像科、药剂科</w:t>
            </w:r>
            <w:r>
              <w:rPr>
                <w:rFonts w:hint="eastAsia"/>
                <w:color w:val="auto"/>
                <w:sz w:val="24"/>
                <w:szCs w:val="24"/>
                <w:lang w:val="en-US" w:eastAsia="zh-CN"/>
              </w:rPr>
              <w:t>。配套建设医疗废物暂存点、污水处理设施等附属设施。</w:t>
            </w:r>
          </w:p>
          <w:p w14:paraId="0760D920">
            <w:pPr>
              <w:widowControl/>
              <w:spacing w:line="360" w:lineRule="auto"/>
              <w:ind w:firstLine="480" w:firstLineChars="200"/>
              <w:jc w:val="left"/>
              <w:rPr>
                <w:rFonts w:hint="eastAsia"/>
                <w:color w:val="auto"/>
                <w:sz w:val="24"/>
                <w:szCs w:val="24"/>
                <w:lang w:val="en-US" w:eastAsia="zh-CN"/>
              </w:rPr>
            </w:pPr>
            <w:r>
              <w:rPr>
                <w:rFonts w:hint="eastAsia"/>
                <w:color w:val="auto"/>
                <w:sz w:val="24"/>
                <w:szCs w:val="24"/>
                <w:lang w:val="en-US" w:eastAsia="zh-CN"/>
              </w:rPr>
              <w:t>2015年6月30日，泗县环境保护局（泗环建[2015]14号）对</w:t>
            </w:r>
            <w:r>
              <w:rPr>
                <w:rFonts w:hint="eastAsia" w:ascii="宋体" w:hAnsi="宋体"/>
                <w:kern w:val="0"/>
                <w:sz w:val="24"/>
              </w:rPr>
              <w:t>泗县新城中西医结合医院项目</w:t>
            </w:r>
            <w:r>
              <w:rPr>
                <w:rFonts w:hint="eastAsia"/>
                <w:color w:val="auto"/>
                <w:sz w:val="24"/>
                <w:szCs w:val="24"/>
                <w:lang w:val="en-US" w:eastAsia="zh-CN"/>
              </w:rPr>
              <w:t>环境影响报告书进行批复。2016年1月12日，泗县环境保护局组织有关人员形成验收组，对泗县新城中西结合医院项目进行环保竣工验收。2016年1月14日，泗县环境保护局决定予以通过验收。</w:t>
            </w:r>
          </w:p>
          <w:p w14:paraId="26ED59CE">
            <w:pPr>
              <w:widowControl/>
              <w:spacing w:line="360" w:lineRule="auto"/>
              <w:ind w:firstLine="482" w:firstLineChars="200"/>
              <w:jc w:val="left"/>
              <w:rPr>
                <w:rFonts w:hint="default"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环境问题：</w:t>
            </w:r>
            <w:r>
              <w:rPr>
                <w:rFonts w:hint="eastAsia" w:ascii="宋体" w:hAnsi="宋体" w:eastAsia="宋体" w:cs="宋体"/>
                <w:color w:val="auto"/>
                <w:sz w:val="24"/>
                <w:szCs w:val="24"/>
                <w:lang w:val="en-US" w:eastAsia="zh-CN"/>
              </w:rPr>
              <w:t>根据现场踏勘可知，该楼房原租赁单位为</w:t>
            </w:r>
            <w:r>
              <w:rPr>
                <w:rFonts w:hint="eastAsia" w:ascii="宋体" w:hAnsi="宋体"/>
                <w:kern w:val="0"/>
                <w:sz w:val="24"/>
              </w:rPr>
              <w:t>泗县新城中西医结合医院</w:t>
            </w:r>
            <w:r>
              <w:rPr>
                <w:rFonts w:hint="eastAsia" w:ascii="宋体" w:hAnsi="宋体" w:eastAsia="宋体" w:cs="宋体"/>
                <w:color w:val="auto"/>
                <w:sz w:val="24"/>
                <w:szCs w:val="24"/>
                <w:lang w:val="en-US" w:eastAsia="zh-CN"/>
              </w:rPr>
              <w:t>。目前该医院已停业多时且楼房内医疗设备均已搬走，目前为空置楼房，现场无废水、固废等环境遗留问题，无污水、固废乱排现象，</w:t>
            </w:r>
            <w:r>
              <w:rPr>
                <w:rFonts w:hint="eastAsia"/>
                <w:b w:val="0"/>
                <w:bCs/>
                <w:color w:val="auto"/>
                <w:sz w:val="24"/>
                <w:szCs w:val="24"/>
                <w:lang w:val="en-US" w:eastAsia="zh-CN"/>
              </w:rPr>
              <w:t>运营期间无投诉情况</w:t>
            </w:r>
            <w:r>
              <w:rPr>
                <w:rFonts w:hint="eastAsia" w:ascii="宋体" w:hAnsi="宋体" w:eastAsia="宋体" w:cs="宋体"/>
                <w:color w:val="auto"/>
                <w:sz w:val="24"/>
                <w:szCs w:val="24"/>
                <w:lang w:val="en-US" w:eastAsia="zh-CN"/>
              </w:rPr>
              <w:t>。周边大气环境良好，</w:t>
            </w:r>
            <w:r>
              <w:rPr>
                <w:rFonts w:hint="eastAsia" w:ascii="宋体" w:hAnsi="宋体" w:cs="宋体"/>
                <w:b w:val="0"/>
                <w:bCs w:val="0"/>
                <w:color w:val="auto"/>
                <w:sz w:val="24"/>
                <w:szCs w:val="24"/>
                <w:lang w:val="en-US" w:eastAsia="zh-CN"/>
              </w:rPr>
              <w:t>无遗留环境问题</w:t>
            </w:r>
            <w:r>
              <w:rPr>
                <w:rFonts w:hint="eastAsia" w:ascii="宋体" w:hAnsi="宋体" w:eastAsia="宋体" w:cs="宋体"/>
                <w:color w:val="auto"/>
                <w:sz w:val="24"/>
                <w:szCs w:val="24"/>
                <w:lang w:val="en-US" w:eastAsia="zh-CN"/>
              </w:rPr>
              <w:t>。</w:t>
            </w:r>
          </w:p>
        </w:tc>
      </w:tr>
    </w:tbl>
    <w:p w14:paraId="7EFB5BFC">
      <w:pPr>
        <w:pStyle w:val="3"/>
        <w:keepNext w:val="0"/>
        <w:keepLines w:val="0"/>
        <w:pageBreakBefore w:val="0"/>
        <w:widowControl w:val="0"/>
        <w:numPr>
          <w:ilvl w:val="-1"/>
          <w:numId w:val="0"/>
        </w:numPr>
        <w:kinsoku/>
        <w:wordWrap/>
        <w:overflowPunct/>
        <w:topLinePunct w:val="0"/>
        <w:autoSpaceDE/>
        <w:autoSpaceDN/>
        <w:bidi w:val="0"/>
        <w:adjustRightInd w:val="0"/>
        <w:snapToGrid/>
        <w:spacing w:before="0" w:beforeLines="0" w:after="0" w:afterLines="0"/>
        <w:ind w:firstLine="0"/>
        <w:jc w:val="center"/>
        <w:textAlignment w:val="auto"/>
        <w:rPr>
          <w:rFonts w:hint="eastAsia"/>
          <w:color w:val="auto"/>
          <w:lang w:eastAsia="zh-CN"/>
        </w:rPr>
        <w:sectPr>
          <w:pgSz w:w="11905" w:h="16838"/>
          <w:pgMar w:top="1440" w:right="1800" w:bottom="1440" w:left="1800" w:header="851" w:footer="850" w:gutter="0"/>
          <w:pgBorders>
            <w:top w:val="none" w:sz="0" w:space="0"/>
            <w:left w:val="none" w:sz="0" w:space="0"/>
            <w:bottom w:val="none" w:sz="0" w:space="0"/>
            <w:right w:val="none" w:sz="0" w:space="0"/>
          </w:pgBorders>
          <w:pgNumType w:fmt="decimal"/>
          <w:cols w:space="720" w:num="1"/>
          <w:docGrid w:linePitch="312" w:charSpace="0"/>
        </w:sectPr>
      </w:pPr>
    </w:p>
    <w:p w14:paraId="7F2456A4">
      <w:pPr>
        <w:pStyle w:val="3"/>
        <w:keepNext w:val="0"/>
        <w:keepLines w:val="0"/>
        <w:pageBreakBefore w:val="0"/>
        <w:widowControl w:val="0"/>
        <w:numPr>
          <w:ilvl w:val="-1"/>
          <w:numId w:val="0"/>
        </w:numPr>
        <w:kinsoku/>
        <w:wordWrap/>
        <w:overflowPunct/>
        <w:topLinePunct w:val="0"/>
        <w:autoSpaceDE/>
        <w:autoSpaceDN/>
        <w:bidi w:val="0"/>
        <w:adjustRightInd w:val="0"/>
        <w:snapToGrid/>
        <w:spacing w:before="0" w:beforeLines="0" w:after="0" w:afterLines="0"/>
        <w:ind w:firstLine="0"/>
        <w:jc w:val="center"/>
        <w:textAlignment w:val="auto"/>
        <w:rPr>
          <w:rFonts w:hint="eastAsia"/>
          <w:color w:val="auto"/>
          <w:lang w:eastAsia="zh-CN"/>
        </w:rPr>
      </w:pPr>
      <w:r>
        <w:rPr>
          <w:rFonts w:hint="eastAsia"/>
          <w:color w:val="auto"/>
          <w:lang w:eastAsia="zh-CN"/>
        </w:rPr>
        <w:t>三、区域环境质量现状、环境保护目标及评价标准</w:t>
      </w:r>
    </w:p>
    <w:tbl>
      <w:tblPr>
        <w:tblStyle w:val="28"/>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8078"/>
      </w:tblGrid>
      <w:tr w14:paraId="0D34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dxa"/>
            <w:noWrap w:val="0"/>
            <w:vAlign w:val="center"/>
          </w:tcPr>
          <w:p w14:paraId="5839DBE8">
            <w:pPr>
              <w:adjustRightInd w:val="0"/>
              <w:snapToGrid w:val="0"/>
              <w:ind w:left="0" w:leftChars="0" w:firstLine="0" w:firstLineChars="0"/>
              <w:jc w:val="both"/>
              <w:rPr>
                <w:rFonts w:cs="Times New Roman"/>
                <w:color w:val="auto"/>
                <w:kern w:val="0"/>
              </w:rPr>
            </w:pPr>
            <w:r>
              <w:rPr>
                <w:rFonts w:cs="Times New Roman"/>
                <w:b/>
                <w:bCs/>
                <w:color w:val="auto"/>
                <w:kern w:val="0"/>
                <w:szCs w:val="24"/>
              </w:rPr>
              <w:t>区域环境质量现状</w:t>
            </w:r>
          </w:p>
        </w:tc>
        <w:tc>
          <w:tcPr>
            <w:tcW w:w="8078" w:type="dxa"/>
            <w:noWrap w:val="0"/>
            <w:vAlign w:val="center"/>
          </w:tcPr>
          <w:p w14:paraId="70A36699">
            <w:pPr>
              <w:wordWrap w:val="0"/>
              <w:topLinePunct/>
              <w:ind w:firstLine="482" w:firstLineChars="200"/>
              <w:contextualSpacing/>
              <w:textAlignment w:val="center"/>
              <w:rPr>
                <w:rFonts w:cs="Times New Roman"/>
                <w:b/>
                <w:color w:val="auto"/>
              </w:rPr>
            </w:pPr>
            <w:r>
              <w:rPr>
                <w:rFonts w:cs="Times New Roman"/>
                <w:b/>
                <w:color w:val="auto"/>
              </w:rPr>
              <w:t>1</w:t>
            </w:r>
            <w:r>
              <w:rPr>
                <w:rFonts w:hint="eastAsia" w:cs="Times New Roman"/>
                <w:b/>
                <w:color w:val="auto"/>
                <w:lang w:eastAsia="zh-CN"/>
              </w:rPr>
              <w:t>、</w:t>
            </w:r>
            <w:r>
              <w:rPr>
                <w:rFonts w:cs="Times New Roman"/>
                <w:b/>
                <w:color w:val="auto"/>
              </w:rPr>
              <w:t>环境空气质量现状</w:t>
            </w:r>
          </w:p>
          <w:p w14:paraId="4E29358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根据《环境影响评价技术导则大气环境》（HJ2.2-2018）要求，拟建项目所在区域环境空气达标情况评价指标为SO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、NO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24"/>
                <w:szCs w:val="24"/>
                <w:vertAlign w:val="subscript"/>
                <w:lang w:val="en-US" w:eastAsia="zh-CN" w:bidi="ar"/>
              </w:rPr>
              <w:t>10</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24"/>
                <w:szCs w:val="24"/>
                <w:vertAlign w:val="subscript"/>
                <w:lang w:val="en-US" w:eastAsia="zh-CN" w:bidi="ar"/>
              </w:rPr>
              <w:t>2.5</w:t>
            </w:r>
            <w:r>
              <w:rPr>
                <w:rFonts w:hint="default" w:ascii="Times New Roman" w:hAnsi="Times New Roman" w:eastAsia="宋体" w:cs="Times New Roman"/>
                <w:color w:val="auto"/>
                <w:kern w:val="0"/>
                <w:sz w:val="24"/>
                <w:szCs w:val="24"/>
                <w:lang w:val="en-US" w:eastAsia="zh-CN" w:bidi="ar"/>
              </w:rPr>
              <w:t>、CO 和O</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六项基本污染物全部达标即为城市环境空气质量达标。基本污染物环境质量现状数据优先采用国家或地方生态环境主管部门发布的评价基准年环境质量公告或环境质量报告中的数据或结论。</w:t>
            </w:r>
          </w:p>
          <w:p w14:paraId="7AD99B77">
            <w:pPr>
              <w:pStyle w:val="105"/>
              <w:ind w:firstLine="480"/>
              <w:rPr>
                <w:color w:val="auto"/>
                <w:szCs w:val="24"/>
              </w:rPr>
            </w:pPr>
            <w:r>
              <w:rPr>
                <w:rFonts w:hint="eastAsia"/>
                <w:color w:val="auto"/>
              </w:rPr>
              <w:t>根据“基于互联网的环境影响评价技术服务平台”发布的信息以及《宿州市</w:t>
            </w:r>
            <w:r>
              <w:rPr>
                <w:color w:val="auto"/>
              </w:rPr>
              <w:t>202</w:t>
            </w:r>
            <w:r>
              <w:rPr>
                <w:rFonts w:hint="eastAsia"/>
                <w:color w:val="auto"/>
                <w:lang w:val="en-US" w:eastAsia="zh-CN"/>
              </w:rPr>
              <w:t>3</w:t>
            </w:r>
            <w:r>
              <w:rPr>
                <w:rFonts w:hint="eastAsia"/>
                <w:color w:val="auto"/>
              </w:rPr>
              <w:t>年环境质量状况报告》发布的信息，宿州市</w:t>
            </w:r>
            <w:r>
              <w:rPr>
                <w:color w:val="auto"/>
              </w:rPr>
              <w:t>202</w:t>
            </w:r>
            <w:r>
              <w:rPr>
                <w:rFonts w:hint="eastAsia"/>
                <w:color w:val="auto"/>
                <w:lang w:val="en-US" w:eastAsia="zh-CN"/>
              </w:rPr>
              <w:t>3</w:t>
            </w:r>
            <w:r>
              <w:rPr>
                <w:rFonts w:hint="eastAsia"/>
                <w:color w:val="auto"/>
              </w:rPr>
              <w:t>年环境空气质量基础污染</w:t>
            </w:r>
            <w:r>
              <w:rPr>
                <w:rFonts w:hint="eastAsia"/>
                <w:color w:val="auto"/>
                <w:szCs w:val="24"/>
              </w:rPr>
              <w:t>物监测浓度见表3</w:t>
            </w:r>
            <w:r>
              <w:rPr>
                <w:color w:val="auto"/>
                <w:szCs w:val="24"/>
              </w:rPr>
              <w:t>-1</w:t>
            </w:r>
            <w:r>
              <w:rPr>
                <w:rFonts w:hint="eastAsia"/>
                <w:color w:val="auto"/>
                <w:szCs w:val="24"/>
              </w:rPr>
              <w:t>。</w:t>
            </w:r>
          </w:p>
          <w:p w14:paraId="2CE07A31">
            <w:pPr>
              <w:bidi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表3-1  宿州市空气质量现状评价表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102"/>
              <w:gridCol w:w="1290"/>
              <w:gridCol w:w="1411"/>
              <w:gridCol w:w="969"/>
              <w:gridCol w:w="1128"/>
            </w:tblGrid>
            <w:tr w14:paraId="2B10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06" w:type="pct"/>
                  <w:noWrap/>
                  <w:vAlign w:val="center"/>
                </w:tcPr>
                <w:p w14:paraId="3E11DD7D">
                  <w:pPr>
                    <w:spacing w:line="240" w:lineRule="auto"/>
                    <w:ind w:firstLine="0" w:firstLineChars="0"/>
                    <w:jc w:val="center"/>
                    <w:rPr>
                      <w:rFonts w:hint="default" w:ascii="Times New Roman" w:hAnsi="Times New Roman" w:cs="Times New Roman"/>
                      <w:b/>
                      <w:bCs w:val="0"/>
                      <w:color w:val="auto"/>
                      <w:sz w:val="21"/>
                      <w:lang w:val="en-US" w:eastAsia="zh-CN"/>
                    </w:rPr>
                  </w:pPr>
                  <w:r>
                    <w:rPr>
                      <w:rFonts w:hint="default" w:ascii="Times New Roman" w:hAnsi="Times New Roman" w:cs="Times New Roman"/>
                      <w:b/>
                      <w:bCs w:val="0"/>
                      <w:color w:val="auto"/>
                      <w:sz w:val="21"/>
                      <w:lang w:val="en-US" w:eastAsia="zh-CN"/>
                    </w:rPr>
                    <w:t>污染物</w:t>
                  </w:r>
                </w:p>
              </w:tc>
              <w:tc>
                <w:tcPr>
                  <w:tcW w:w="1338" w:type="pct"/>
                  <w:noWrap/>
                  <w:vAlign w:val="center"/>
                </w:tcPr>
                <w:p w14:paraId="0D95E90D">
                  <w:pPr>
                    <w:spacing w:line="240" w:lineRule="auto"/>
                    <w:ind w:firstLine="0" w:firstLineChars="0"/>
                    <w:jc w:val="center"/>
                    <w:rPr>
                      <w:rFonts w:hint="default" w:ascii="Times New Roman" w:hAnsi="Times New Roman" w:cs="Times New Roman"/>
                      <w:b/>
                      <w:bCs w:val="0"/>
                      <w:color w:val="auto"/>
                      <w:sz w:val="21"/>
                      <w:lang w:val="en-US" w:eastAsia="zh-CN"/>
                    </w:rPr>
                  </w:pPr>
                  <w:r>
                    <w:rPr>
                      <w:rFonts w:hint="default" w:ascii="Times New Roman" w:hAnsi="Times New Roman" w:cs="Times New Roman"/>
                      <w:b/>
                      <w:bCs w:val="0"/>
                      <w:color w:val="auto"/>
                      <w:sz w:val="21"/>
                      <w:lang w:val="en-US" w:eastAsia="zh-CN"/>
                    </w:rPr>
                    <w:t>年评价指标</w:t>
                  </w:r>
                </w:p>
              </w:tc>
              <w:tc>
                <w:tcPr>
                  <w:tcW w:w="821" w:type="pct"/>
                  <w:noWrap/>
                  <w:vAlign w:val="center"/>
                </w:tcPr>
                <w:p w14:paraId="568C888C">
                  <w:pPr>
                    <w:spacing w:line="240" w:lineRule="auto"/>
                    <w:ind w:firstLine="0" w:firstLineChars="0"/>
                    <w:jc w:val="center"/>
                    <w:rPr>
                      <w:rFonts w:hint="default" w:ascii="Times New Roman" w:hAnsi="Times New Roman" w:cs="Times New Roman"/>
                      <w:b/>
                      <w:bCs w:val="0"/>
                      <w:color w:val="auto"/>
                      <w:sz w:val="21"/>
                      <w:lang w:val="en-US" w:eastAsia="zh-CN"/>
                    </w:rPr>
                  </w:pPr>
                  <w:r>
                    <w:rPr>
                      <w:rFonts w:hint="default" w:ascii="Times New Roman" w:hAnsi="Times New Roman" w:cs="Times New Roman"/>
                      <w:b/>
                      <w:bCs w:val="0"/>
                      <w:color w:val="auto"/>
                      <w:sz w:val="21"/>
                      <w:lang w:val="en-US" w:eastAsia="zh-CN"/>
                    </w:rPr>
                    <w:t>现状浓度（ug/m³）</w:t>
                  </w:r>
                </w:p>
              </w:tc>
              <w:tc>
                <w:tcPr>
                  <w:tcW w:w="898" w:type="pct"/>
                  <w:noWrap/>
                  <w:vAlign w:val="center"/>
                </w:tcPr>
                <w:p w14:paraId="0807A594">
                  <w:pPr>
                    <w:spacing w:line="240" w:lineRule="auto"/>
                    <w:ind w:firstLine="0" w:firstLineChars="0"/>
                    <w:jc w:val="center"/>
                    <w:rPr>
                      <w:rFonts w:hint="default" w:ascii="Times New Roman" w:hAnsi="Times New Roman" w:cs="Times New Roman"/>
                      <w:b/>
                      <w:bCs w:val="0"/>
                      <w:color w:val="auto"/>
                      <w:sz w:val="21"/>
                      <w:lang w:val="en-US" w:eastAsia="zh-CN"/>
                    </w:rPr>
                  </w:pPr>
                  <w:r>
                    <w:rPr>
                      <w:rFonts w:hint="default" w:ascii="Times New Roman" w:hAnsi="Times New Roman" w:cs="Times New Roman"/>
                      <w:b/>
                      <w:bCs w:val="0"/>
                      <w:color w:val="auto"/>
                      <w:sz w:val="21"/>
                      <w:lang w:val="en-US" w:eastAsia="zh-CN"/>
                    </w:rPr>
                    <w:t>标准值（ug/m³）</w:t>
                  </w:r>
                </w:p>
              </w:tc>
              <w:tc>
                <w:tcPr>
                  <w:tcW w:w="617" w:type="pct"/>
                  <w:noWrap/>
                  <w:vAlign w:val="center"/>
                </w:tcPr>
                <w:p w14:paraId="7CDE0DCB">
                  <w:pPr>
                    <w:spacing w:line="240" w:lineRule="auto"/>
                    <w:ind w:firstLine="0" w:firstLineChars="0"/>
                    <w:jc w:val="center"/>
                    <w:rPr>
                      <w:rFonts w:hint="default" w:ascii="Times New Roman" w:hAnsi="Times New Roman" w:cs="Times New Roman"/>
                      <w:b/>
                      <w:bCs w:val="0"/>
                      <w:color w:val="auto"/>
                      <w:sz w:val="21"/>
                      <w:lang w:val="en-US" w:eastAsia="zh-CN"/>
                    </w:rPr>
                  </w:pPr>
                  <w:r>
                    <w:rPr>
                      <w:rFonts w:hint="default" w:ascii="Times New Roman" w:hAnsi="Times New Roman" w:cs="Times New Roman"/>
                      <w:b/>
                      <w:bCs w:val="0"/>
                      <w:color w:val="auto"/>
                      <w:sz w:val="21"/>
                      <w:lang w:val="en-US" w:eastAsia="zh-CN"/>
                    </w:rPr>
                    <w:t>占标率%</w:t>
                  </w:r>
                </w:p>
              </w:tc>
              <w:tc>
                <w:tcPr>
                  <w:tcW w:w="718" w:type="pct"/>
                  <w:noWrap/>
                  <w:vAlign w:val="center"/>
                </w:tcPr>
                <w:p w14:paraId="4952EE38">
                  <w:pPr>
                    <w:spacing w:line="240" w:lineRule="auto"/>
                    <w:ind w:firstLine="0" w:firstLineChars="0"/>
                    <w:jc w:val="center"/>
                    <w:rPr>
                      <w:rFonts w:hint="default" w:ascii="Times New Roman" w:hAnsi="Times New Roman" w:cs="Times New Roman"/>
                      <w:b/>
                      <w:bCs w:val="0"/>
                      <w:color w:val="auto"/>
                      <w:sz w:val="21"/>
                      <w:lang w:val="en-US" w:eastAsia="zh-CN"/>
                    </w:rPr>
                  </w:pPr>
                  <w:r>
                    <w:rPr>
                      <w:rFonts w:hint="default" w:ascii="Times New Roman" w:hAnsi="Times New Roman" w:cs="Times New Roman"/>
                      <w:b/>
                      <w:bCs w:val="0"/>
                      <w:color w:val="auto"/>
                      <w:sz w:val="21"/>
                      <w:lang w:val="en-US" w:eastAsia="zh-CN"/>
                    </w:rPr>
                    <w:t>达标情况</w:t>
                  </w:r>
                </w:p>
              </w:tc>
            </w:tr>
            <w:tr w14:paraId="3D67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06" w:type="pct"/>
                  <w:noWrap/>
                  <w:vAlign w:val="center"/>
                </w:tcPr>
                <w:p w14:paraId="1C4143A7">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PM</w:t>
                  </w:r>
                  <w:r>
                    <w:rPr>
                      <w:rFonts w:hint="default" w:ascii="Times New Roman" w:hAnsi="Times New Roman" w:cs="Times New Roman"/>
                      <w:b w:val="0"/>
                      <w:bCs/>
                      <w:color w:val="auto"/>
                      <w:sz w:val="21"/>
                      <w:vertAlign w:val="subscript"/>
                      <w:lang w:val="en-US" w:eastAsia="zh-CN"/>
                    </w:rPr>
                    <w:t>2.5</w:t>
                  </w:r>
                </w:p>
              </w:tc>
              <w:tc>
                <w:tcPr>
                  <w:tcW w:w="1338" w:type="pct"/>
                  <w:vMerge w:val="restart"/>
                  <w:noWrap/>
                  <w:vAlign w:val="center"/>
                </w:tcPr>
                <w:p w14:paraId="564750FE">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年平均质量浓度</w:t>
                  </w:r>
                </w:p>
              </w:tc>
              <w:tc>
                <w:tcPr>
                  <w:tcW w:w="821" w:type="pct"/>
                  <w:noWrap/>
                  <w:vAlign w:val="center"/>
                </w:tcPr>
                <w:p w14:paraId="023D7CE2">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rPr>
                    <w:t>7</w:t>
                  </w:r>
                  <w:r>
                    <w:rPr>
                      <w:rFonts w:hint="default" w:ascii="Times New Roman" w:hAnsi="Times New Roman" w:cs="Times New Roman"/>
                      <w:b w:val="0"/>
                      <w:bCs/>
                      <w:color w:val="auto"/>
                      <w:sz w:val="21"/>
                      <w:lang w:val="en-US" w:eastAsia="zh-CN"/>
                    </w:rPr>
                    <w:t>5</w:t>
                  </w:r>
                </w:p>
              </w:tc>
              <w:tc>
                <w:tcPr>
                  <w:tcW w:w="898" w:type="pct"/>
                  <w:noWrap/>
                  <w:vAlign w:val="center"/>
                </w:tcPr>
                <w:p w14:paraId="135767AA">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rPr>
                    <w:t>70</w:t>
                  </w:r>
                </w:p>
              </w:tc>
              <w:tc>
                <w:tcPr>
                  <w:tcW w:w="617" w:type="pct"/>
                  <w:noWrap/>
                  <w:vAlign w:val="center"/>
                </w:tcPr>
                <w:p w14:paraId="18D7C7BF">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107.1</w:t>
                  </w:r>
                </w:p>
              </w:tc>
              <w:tc>
                <w:tcPr>
                  <w:tcW w:w="718" w:type="pct"/>
                  <w:noWrap/>
                  <w:vAlign w:val="center"/>
                </w:tcPr>
                <w:p w14:paraId="41DD612F">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不</w:t>
                  </w:r>
                  <w:r>
                    <w:rPr>
                      <w:rFonts w:hint="default" w:ascii="Times New Roman" w:hAnsi="Times New Roman" w:cs="Times New Roman"/>
                      <w:b w:val="0"/>
                      <w:bCs/>
                      <w:color w:val="auto"/>
                      <w:sz w:val="21"/>
                    </w:rPr>
                    <w:t>达标</w:t>
                  </w:r>
                </w:p>
              </w:tc>
            </w:tr>
            <w:tr w14:paraId="2828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06" w:type="pct"/>
                  <w:noWrap/>
                  <w:vAlign w:val="center"/>
                </w:tcPr>
                <w:p w14:paraId="28542BFC">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PM</w:t>
                  </w:r>
                  <w:r>
                    <w:rPr>
                      <w:rFonts w:hint="default" w:ascii="Times New Roman" w:hAnsi="Times New Roman" w:cs="Times New Roman"/>
                      <w:b w:val="0"/>
                      <w:bCs/>
                      <w:color w:val="auto"/>
                      <w:sz w:val="21"/>
                      <w:vertAlign w:val="subscript"/>
                      <w:lang w:val="en-US" w:eastAsia="zh-CN"/>
                    </w:rPr>
                    <w:t>10</w:t>
                  </w:r>
                </w:p>
              </w:tc>
              <w:tc>
                <w:tcPr>
                  <w:tcW w:w="1338" w:type="pct"/>
                  <w:vMerge w:val="continue"/>
                  <w:noWrap/>
                  <w:vAlign w:val="center"/>
                </w:tcPr>
                <w:p w14:paraId="5EC8A5FF">
                  <w:pPr>
                    <w:spacing w:line="240" w:lineRule="auto"/>
                    <w:ind w:firstLine="0" w:firstLineChars="0"/>
                    <w:jc w:val="center"/>
                    <w:rPr>
                      <w:rFonts w:hint="default" w:ascii="Times New Roman" w:hAnsi="Times New Roman" w:cs="Times New Roman"/>
                      <w:b w:val="0"/>
                      <w:bCs/>
                      <w:color w:val="auto"/>
                      <w:sz w:val="21"/>
                      <w:lang w:val="en-US" w:eastAsia="zh-CN"/>
                    </w:rPr>
                  </w:pPr>
                </w:p>
              </w:tc>
              <w:tc>
                <w:tcPr>
                  <w:tcW w:w="821" w:type="pct"/>
                  <w:noWrap/>
                  <w:vAlign w:val="center"/>
                </w:tcPr>
                <w:p w14:paraId="0E6CBA4D">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41</w:t>
                  </w:r>
                </w:p>
              </w:tc>
              <w:tc>
                <w:tcPr>
                  <w:tcW w:w="898" w:type="pct"/>
                  <w:noWrap/>
                  <w:vAlign w:val="center"/>
                </w:tcPr>
                <w:p w14:paraId="7F213D66">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rPr>
                    <w:t>35</w:t>
                  </w:r>
                </w:p>
              </w:tc>
              <w:tc>
                <w:tcPr>
                  <w:tcW w:w="617" w:type="pct"/>
                  <w:noWrap/>
                  <w:vAlign w:val="center"/>
                </w:tcPr>
                <w:p w14:paraId="76917A80">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117.1</w:t>
                  </w:r>
                </w:p>
              </w:tc>
              <w:tc>
                <w:tcPr>
                  <w:tcW w:w="718" w:type="pct"/>
                  <w:noWrap/>
                  <w:vAlign w:val="center"/>
                </w:tcPr>
                <w:p w14:paraId="5B0C2FAC">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rPr>
                    <w:t>不达标</w:t>
                  </w:r>
                </w:p>
              </w:tc>
            </w:tr>
            <w:tr w14:paraId="0D54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06" w:type="pct"/>
                  <w:noWrap/>
                  <w:vAlign w:val="center"/>
                </w:tcPr>
                <w:p w14:paraId="313EFF03">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SO</w:t>
                  </w:r>
                  <w:r>
                    <w:rPr>
                      <w:rFonts w:hint="default" w:ascii="Times New Roman" w:hAnsi="Times New Roman" w:cs="Times New Roman"/>
                      <w:b w:val="0"/>
                      <w:bCs/>
                      <w:color w:val="auto"/>
                      <w:sz w:val="21"/>
                      <w:vertAlign w:val="subscript"/>
                      <w:lang w:val="en-US" w:eastAsia="zh-CN"/>
                    </w:rPr>
                    <w:t>2</w:t>
                  </w:r>
                </w:p>
              </w:tc>
              <w:tc>
                <w:tcPr>
                  <w:tcW w:w="1338" w:type="pct"/>
                  <w:vMerge w:val="continue"/>
                  <w:noWrap/>
                  <w:vAlign w:val="center"/>
                </w:tcPr>
                <w:p w14:paraId="4D666FFA">
                  <w:pPr>
                    <w:spacing w:line="240" w:lineRule="auto"/>
                    <w:ind w:firstLine="0" w:firstLineChars="0"/>
                    <w:jc w:val="center"/>
                    <w:rPr>
                      <w:rFonts w:hint="default" w:ascii="Times New Roman" w:hAnsi="Times New Roman" w:cs="Times New Roman"/>
                      <w:b w:val="0"/>
                      <w:bCs/>
                      <w:color w:val="auto"/>
                      <w:sz w:val="21"/>
                      <w:lang w:val="en-US" w:eastAsia="zh-CN"/>
                    </w:rPr>
                  </w:pPr>
                </w:p>
              </w:tc>
              <w:tc>
                <w:tcPr>
                  <w:tcW w:w="821" w:type="pct"/>
                  <w:noWrap/>
                  <w:vAlign w:val="center"/>
                </w:tcPr>
                <w:p w14:paraId="504D8138">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6</w:t>
                  </w:r>
                </w:p>
              </w:tc>
              <w:tc>
                <w:tcPr>
                  <w:tcW w:w="898" w:type="pct"/>
                  <w:noWrap/>
                  <w:vAlign w:val="center"/>
                </w:tcPr>
                <w:p w14:paraId="6A5BCD57">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rPr>
                    <w:t>60</w:t>
                  </w:r>
                </w:p>
              </w:tc>
              <w:tc>
                <w:tcPr>
                  <w:tcW w:w="617" w:type="pct"/>
                  <w:noWrap/>
                  <w:vAlign w:val="center"/>
                </w:tcPr>
                <w:p w14:paraId="4B3DDE18">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10.0</w:t>
                  </w:r>
                </w:p>
              </w:tc>
              <w:tc>
                <w:tcPr>
                  <w:tcW w:w="718" w:type="pct"/>
                  <w:noWrap/>
                  <w:vAlign w:val="center"/>
                </w:tcPr>
                <w:p w14:paraId="08AF5C34">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不</w:t>
                  </w:r>
                  <w:r>
                    <w:rPr>
                      <w:rFonts w:hint="default" w:ascii="Times New Roman" w:hAnsi="Times New Roman" w:cs="Times New Roman"/>
                      <w:b w:val="0"/>
                      <w:bCs/>
                      <w:color w:val="auto"/>
                      <w:sz w:val="21"/>
                    </w:rPr>
                    <w:t>达标</w:t>
                  </w:r>
                </w:p>
              </w:tc>
            </w:tr>
            <w:tr w14:paraId="1468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06" w:type="pct"/>
                  <w:noWrap/>
                  <w:vAlign w:val="center"/>
                </w:tcPr>
                <w:p w14:paraId="2B7457ED">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NO</w:t>
                  </w:r>
                  <w:r>
                    <w:rPr>
                      <w:rFonts w:hint="default" w:ascii="Times New Roman" w:hAnsi="Times New Roman" w:cs="Times New Roman"/>
                      <w:b w:val="0"/>
                      <w:bCs/>
                      <w:color w:val="auto"/>
                      <w:sz w:val="21"/>
                      <w:vertAlign w:val="subscript"/>
                      <w:lang w:val="en-US" w:eastAsia="zh-CN"/>
                    </w:rPr>
                    <w:t>2</w:t>
                  </w:r>
                </w:p>
              </w:tc>
              <w:tc>
                <w:tcPr>
                  <w:tcW w:w="1338" w:type="pct"/>
                  <w:vMerge w:val="continue"/>
                  <w:noWrap/>
                  <w:vAlign w:val="center"/>
                </w:tcPr>
                <w:p w14:paraId="133DD712">
                  <w:pPr>
                    <w:spacing w:line="240" w:lineRule="auto"/>
                    <w:ind w:firstLine="0" w:firstLineChars="0"/>
                    <w:jc w:val="center"/>
                    <w:rPr>
                      <w:rFonts w:hint="default" w:ascii="Times New Roman" w:hAnsi="Times New Roman" w:cs="Times New Roman"/>
                      <w:b w:val="0"/>
                      <w:bCs/>
                      <w:color w:val="auto"/>
                      <w:sz w:val="21"/>
                      <w:lang w:val="en-US" w:eastAsia="zh-CN"/>
                    </w:rPr>
                  </w:pPr>
                </w:p>
              </w:tc>
              <w:tc>
                <w:tcPr>
                  <w:tcW w:w="821" w:type="pct"/>
                  <w:noWrap/>
                  <w:vAlign w:val="center"/>
                </w:tcPr>
                <w:p w14:paraId="5A3D5B20">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28</w:t>
                  </w:r>
                </w:p>
              </w:tc>
              <w:tc>
                <w:tcPr>
                  <w:tcW w:w="898" w:type="pct"/>
                  <w:noWrap/>
                  <w:vAlign w:val="center"/>
                </w:tcPr>
                <w:p w14:paraId="6529EA8C">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rPr>
                    <w:t>40</w:t>
                  </w:r>
                </w:p>
              </w:tc>
              <w:tc>
                <w:tcPr>
                  <w:tcW w:w="617" w:type="pct"/>
                  <w:noWrap/>
                  <w:vAlign w:val="center"/>
                </w:tcPr>
                <w:p w14:paraId="73508964">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70.0</w:t>
                  </w:r>
                </w:p>
              </w:tc>
              <w:tc>
                <w:tcPr>
                  <w:tcW w:w="718" w:type="pct"/>
                  <w:noWrap/>
                  <w:vAlign w:val="center"/>
                </w:tcPr>
                <w:p w14:paraId="40A5D7F9">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rPr>
                    <w:t>不达标</w:t>
                  </w:r>
                </w:p>
              </w:tc>
            </w:tr>
            <w:tr w14:paraId="4765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606" w:type="pct"/>
                  <w:noWrap/>
                  <w:vAlign w:val="center"/>
                </w:tcPr>
                <w:p w14:paraId="77E4A910">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CO</w:t>
                  </w:r>
                </w:p>
              </w:tc>
              <w:tc>
                <w:tcPr>
                  <w:tcW w:w="1338" w:type="pct"/>
                  <w:noWrap/>
                  <w:vAlign w:val="center"/>
                </w:tcPr>
                <w:p w14:paraId="4207EF10">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第95百分位数日平均质量浓度</w:t>
                  </w:r>
                </w:p>
              </w:tc>
              <w:tc>
                <w:tcPr>
                  <w:tcW w:w="821" w:type="pct"/>
                  <w:noWrap/>
                  <w:vAlign w:val="center"/>
                </w:tcPr>
                <w:p w14:paraId="7BF54A9B">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1100</w:t>
                  </w:r>
                </w:p>
              </w:tc>
              <w:tc>
                <w:tcPr>
                  <w:tcW w:w="898" w:type="pct"/>
                  <w:noWrap/>
                  <w:vAlign w:val="center"/>
                </w:tcPr>
                <w:p w14:paraId="0015C122">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rPr>
                    <w:t>4000</w:t>
                  </w:r>
                </w:p>
              </w:tc>
              <w:tc>
                <w:tcPr>
                  <w:tcW w:w="617" w:type="pct"/>
                  <w:noWrap/>
                  <w:vAlign w:val="center"/>
                </w:tcPr>
                <w:p w14:paraId="6A062A0E">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27.5</w:t>
                  </w:r>
                </w:p>
              </w:tc>
              <w:tc>
                <w:tcPr>
                  <w:tcW w:w="718" w:type="pct"/>
                  <w:noWrap/>
                  <w:vAlign w:val="center"/>
                </w:tcPr>
                <w:p w14:paraId="76EF1BEB">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不</w:t>
                  </w:r>
                  <w:r>
                    <w:rPr>
                      <w:rFonts w:hint="default" w:ascii="Times New Roman" w:hAnsi="Times New Roman" w:cs="Times New Roman"/>
                      <w:b w:val="0"/>
                      <w:bCs/>
                      <w:color w:val="auto"/>
                      <w:sz w:val="21"/>
                    </w:rPr>
                    <w:t>达标</w:t>
                  </w:r>
                </w:p>
              </w:tc>
            </w:tr>
            <w:tr w14:paraId="2E8F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06" w:type="pct"/>
                  <w:noWrap/>
                  <w:vAlign w:val="center"/>
                </w:tcPr>
                <w:p w14:paraId="74E4DBA4">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O</w:t>
                  </w:r>
                  <w:r>
                    <w:rPr>
                      <w:rFonts w:hint="default" w:ascii="Times New Roman" w:hAnsi="Times New Roman" w:cs="Times New Roman"/>
                      <w:b w:val="0"/>
                      <w:bCs/>
                      <w:color w:val="auto"/>
                      <w:sz w:val="21"/>
                      <w:vertAlign w:val="subscript"/>
                      <w:lang w:val="en-US" w:eastAsia="zh-CN"/>
                    </w:rPr>
                    <w:t>3</w:t>
                  </w:r>
                </w:p>
              </w:tc>
              <w:tc>
                <w:tcPr>
                  <w:tcW w:w="1338" w:type="pct"/>
                  <w:noWrap/>
                  <w:vAlign w:val="center"/>
                </w:tcPr>
                <w:p w14:paraId="6DF8FEC5">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第90百分位8h平均质量浓度</w:t>
                  </w:r>
                </w:p>
              </w:tc>
              <w:tc>
                <w:tcPr>
                  <w:tcW w:w="821" w:type="pct"/>
                  <w:noWrap/>
                  <w:vAlign w:val="center"/>
                </w:tcPr>
                <w:p w14:paraId="2A78CF30">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rPr>
                    <w:t>16</w:t>
                  </w:r>
                  <w:r>
                    <w:rPr>
                      <w:rFonts w:hint="default" w:ascii="Times New Roman" w:hAnsi="Times New Roman" w:cs="Times New Roman"/>
                      <w:b w:val="0"/>
                      <w:bCs/>
                      <w:color w:val="auto"/>
                      <w:sz w:val="21"/>
                      <w:lang w:val="en-US" w:eastAsia="zh-CN"/>
                    </w:rPr>
                    <w:t>5</w:t>
                  </w:r>
                </w:p>
              </w:tc>
              <w:tc>
                <w:tcPr>
                  <w:tcW w:w="898" w:type="pct"/>
                  <w:noWrap/>
                  <w:vAlign w:val="center"/>
                </w:tcPr>
                <w:p w14:paraId="6E01E3AE">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rPr>
                    <w:t>160</w:t>
                  </w:r>
                </w:p>
              </w:tc>
              <w:tc>
                <w:tcPr>
                  <w:tcW w:w="617" w:type="pct"/>
                  <w:noWrap/>
                  <w:vAlign w:val="center"/>
                </w:tcPr>
                <w:p w14:paraId="6ABB8680">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lang w:val="en-US" w:eastAsia="zh-CN"/>
                    </w:rPr>
                    <w:t>103.1</w:t>
                  </w:r>
                </w:p>
              </w:tc>
              <w:tc>
                <w:tcPr>
                  <w:tcW w:w="718" w:type="pct"/>
                  <w:noWrap/>
                  <w:vAlign w:val="center"/>
                </w:tcPr>
                <w:p w14:paraId="4DA50138">
                  <w:pPr>
                    <w:spacing w:line="240" w:lineRule="auto"/>
                    <w:ind w:firstLine="0" w:firstLineChars="0"/>
                    <w:jc w:val="center"/>
                    <w:rPr>
                      <w:rFonts w:hint="default" w:ascii="Times New Roman" w:hAnsi="Times New Roman" w:cs="Times New Roman"/>
                      <w:b w:val="0"/>
                      <w:bCs/>
                      <w:color w:val="auto"/>
                      <w:sz w:val="21"/>
                      <w:lang w:val="en-US" w:eastAsia="zh-CN"/>
                    </w:rPr>
                  </w:pPr>
                  <w:r>
                    <w:rPr>
                      <w:rFonts w:hint="default" w:ascii="Times New Roman" w:hAnsi="Times New Roman" w:cs="Times New Roman"/>
                      <w:b w:val="0"/>
                      <w:bCs/>
                      <w:color w:val="auto"/>
                      <w:sz w:val="21"/>
                    </w:rPr>
                    <w:t>不达标</w:t>
                  </w:r>
                </w:p>
              </w:tc>
            </w:tr>
          </w:tbl>
          <w:p w14:paraId="7A906B6A">
            <w:pPr>
              <w:pStyle w:val="105"/>
              <w:ind w:firstLine="480"/>
              <w:rPr>
                <w:color w:val="auto"/>
              </w:rPr>
            </w:pPr>
            <w:r>
              <w:rPr>
                <w:rFonts w:hint="eastAsia"/>
                <w:color w:val="auto"/>
              </w:rPr>
              <w:t>由表3</w:t>
            </w:r>
            <w:r>
              <w:rPr>
                <w:color w:val="auto"/>
              </w:rPr>
              <w:t>-1</w:t>
            </w:r>
            <w:r>
              <w:rPr>
                <w:rFonts w:hint="eastAsia"/>
                <w:color w:val="auto"/>
              </w:rPr>
              <w:t>可知，现状区域环境空气质量现状超标因子为</w:t>
            </w:r>
            <w:r>
              <w:rPr>
                <w:color w:val="auto"/>
              </w:rPr>
              <w:t>PM</w:t>
            </w:r>
            <w:r>
              <w:rPr>
                <w:color w:val="auto"/>
                <w:sz w:val="16"/>
                <w:szCs w:val="16"/>
              </w:rPr>
              <w:t>2.5</w:t>
            </w:r>
            <w:r>
              <w:rPr>
                <w:rFonts w:hint="eastAsia" w:ascii="Times New Roman" w:hAnsi="Times New Roman" w:eastAsia="宋体" w:cs="Times New Roman"/>
                <w:bCs/>
                <w:color w:val="auto"/>
                <w:lang w:eastAsia="zh-CN"/>
              </w:rPr>
              <w:t>、</w:t>
            </w:r>
            <w:r>
              <w:rPr>
                <w:rFonts w:hint="eastAsia" w:ascii="Times New Roman" w:hAnsi="Times New Roman" w:eastAsia="宋体" w:cs="Times New Roman"/>
                <w:bCs/>
                <w:color w:val="auto"/>
                <w:lang w:val="en-US" w:eastAsia="zh-CN"/>
              </w:rPr>
              <w:t>PM</w:t>
            </w:r>
            <w:r>
              <w:rPr>
                <w:rFonts w:hint="eastAsia" w:ascii="Times New Roman" w:hAnsi="Times New Roman" w:eastAsia="宋体" w:cs="Times New Roman"/>
                <w:bCs/>
                <w:color w:val="auto"/>
                <w:vertAlign w:val="subscript"/>
                <w:lang w:val="en-US" w:eastAsia="zh-CN"/>
              </w:rPr>
              <w:t>10</w:t>
            </w:r>
            <w:r>
              <w:rPr>
                <w:color w:val="auto"/>
              </w:rPr>
              <w:t>和</w:t>
            </w:r>
            <w:r>
              <w:rPr>
                <w:rFonts w:hint="eastAsia"/>
                <w:color w:val="auto"/>
              </w:rPr>
              <w:t>O</w:t>
            </w:r>
            <w:r>
              <w:rPr>
                <w:rFonts w:hint="eastAsia"/>
                <w:color w:val="auto"/>
                <w:vertAlign w:val="subscript"/>
              </w:rPr>
              <w:t>3</w:t>
            </w:r>
            <w:r>
              <w:rPr>
                <w:rFonts w:hint="eastAsia"/>
                <w:color w:val="auto"/>
              </w:rPr>
              <w:t>，其余指标均能满足《环境空气质量标准》（</w:t>
            </w:r>
            <w:r>
              <w:rPr>
                <w:color w:val="auto"/>
              </w:rPr>
              <w:t>GB3095-2012</w:t>
            </w:r>
            <w:r>
              <w:rPr>
                <w:rFonts w:hint="eastAsia"/>
                <w:color w:val="auto"/>
              </w:rPr>
              <w:t>）二级标准限值，属于大气环境质量不达标区。</w:t>
            </w:r>
          </w:p>
          <w:p w14:paraId="2CC9BC5A">
            <w:pPr>
              <w:pStyle w:val="24"/>
              <w:spacing w:after="0" w:line="360" w:lineRule="auto"/>
              <w:ind w:firstLine="482" w:firstLineChars="200"/>
              <w:rPr>
                <w:rFonts w:hint="eastAsia" w:eastAsia="宋体" w:cs="Times New Roman"/>
                <w:b/>
                <w:bCs/>
                <w:color w:val="auto"/>
                <w:lang w:val="en-US" w:eastAsia="zh-CN"/>
              </w:rPr>
            </w:pPr>
            <w:r>
              <w:rPr>
                <w:rFonts w:hint="eastAsia" w:cs="Times New Roman"/>
                <w:b/>
                <w:bCs/>
                <w:color w:val="auto"/>
                <w:lang w:val="en-US" w:eastAsia="zh-CN"/>
              </w:rPr>
              <w:t>2</w:t>
            </w:r>
            <w:r>
              <w:rPr>
                <w:rFonts w:cs="Times New Roman"/>
                <w:b/>
                <w:bCs/>
                <w:color w:val="auto"/>
              </w:rPr>
              <w:t>、</w:t>
            </w:r>
            <w:r>
              <w:rPr>
                <w:rFonts w:hint="eastAsia" w:cs="Times New Roman"/>
                <w:b/>
                <w:bCs/>
                <w:color w:val="auto"/>
                <w:lang w:val="en-US" w:eastAsia="zh-CN"/>
              </w:rPr>
              <w:t>地表</w:t>
            </w:r>
            <w:r>
              <w:rPr>
                <w:rFonts w:cs="Times New Roman"/>
                <w:b/>
                <w:bCs/>
                <w:color w:val="auto"/>
              </w:rPr>
              <w:t>水环境质量</w:t>
            </w:r>
            <w:r>
              <w:rPr>
                <w:rFonts w:hint="eastAsia" w:cs="Times New Roman"/>
                <w:b/>
                <w:bCs/>
                <w:color w:val="auto"/>
                <w:lang w:val="en-US" w:eastAsia="zh-CN"/>
              </w:rPr>
              <w:t>现状</w:t>
            </w:r>
          </w:p>
          <w:p w14:paraId="1817D5CC">
            <w:pPr>
              <w:pStyle w:val="105"/>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rPr>
              <w:t>根据《宿州市202</w:t>
            </w:r>
            <w:r>
              <w:rPr>
                <w:rFonts w:hint="default" w:ascii="Times New Roman" w:hAnsi="Times New Roman" w:eastAsia="宋体" w:cs="Times New Roman"/>
                <w:bCs/>
                <w:color w:val="auto"/>
                <w:lang w:val="en-US" w:eastAsia="zh-CN"/>
              </w:rPr>
              <w:t>3</w:t>
            </w:r>
            <w:r>
              <w:rPr>
                <w:rFonts w:hint="default" w:ascii="Times New Roman" w:hAnsi="Times New Roman" w:eastAsia="宋体" w:cs="Times New Roman"/>
                <w:bCs/>
                <w:color w:val="auto"/>
              </w:rPr>
              <w:t>年环境质量状况报告》，202</w:t>
            </w:r>
            <w:r>
              <w:rPr>
                <w:rFonts w:hint="default" w:ascii="Times New Roman" w:hAnsi="Times New Roman" w:eastAsia="宋体" w:cs="Times New Roman"/>
                <w:bCs/>
                <w:color w:val="auto"/>
                <w:lang w:val="en-US" w:eastAsia="zh-CN"/>
              </w:rPr>
              <w:t>3</w:t>
            </w:r>
            <w:r>
              <w:rPr>
                <w:rFonts w:hint="default" w:ascii="Times New Roman" w:hAnsi="Times New Roman" w:eastAsia="宋体" w:cs="Times New Roman"/>
                <w:bCs/>
                <w:color w:val="auto"/>
              </w:rPr>
              <w:t>年宿州市13个地表水国家考核断面中9个水质为Ⅲ类，水质优良比例为69.2%，10个地表水省考核断面中，4个断面水质为Ⅲ类，水质优良比例为40%，9个县级及以上集中式饮用水水源地，水质达标率为100%。</w:t>
            </w:r>
          </w:p>
          <w:p w14:paraId="7397008D">
            <w:pPr>
              <w:keepNext w:val="0"/>
              <w:keepLines w:val="0"/>
              <w:widowControl/>
              <w:suppressLineNumbers w:val="0"/>
              <w:ind w:firstLine="482" w:firstLineChars="200"/>
              <w:jc w:val="left"/>
              <w:rPr>
                <w:rFonts w:hint="default" w:eastAsia="宋体" w:cs="Times New Roman"/>
                <w:b/>
                <w:color w:val="auto"/>
                <w:lang w:val="en-US" w:eastAsia="zh-CN"/>
              </w:rPr>
            </w:pPr>
            <w:r>
              <w:rPr>
                <w:rFonts w:cs="Times New Roman"/>
                <w:b/>
                <w:color w:val="auto"/>
              </w:rPr>
              <w:t>3、声环境质量</w:t>
            </w:r>
            <w:r>
              <w:rPr>
                <w:rFonts w:hint="eastAsia" w:cs="Times New Roman"/>
                <w:b/>
                <w:color w:val="auto"/>
                <w:lang w:val="en-US" w:eastAsia="zh-CN"/>
              </w:rPr>
              <w:t>现状</w:t>
            </w:r>
          </w:p>
          <w:p w14:paraId="7A836730">
            <w:pPr>
              <w:pStyle w:val="105"/>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rPr>
              <w:t>根据《宿州市202</w:t>
            </w:r>
            <w:r>
              <w:rPr>
                <w:rFonts w:hint="eastAsia" w:ascii="Times New Roman" w:hAnsi="Times New Roman" w:eastAsia="宋体" w:cs="Times New Roman"/>
                <w:bCs/>
                <w:color w:val="auto"/>
                <w:lang w:val="en-US" w:eastAsia="zh-CN"/>
              </w:rPr>
              <w:t>3</w:t>
            </w:r>
            <w:r>
              <w:rPr>
                <w:rFonts w:hint="default" w:ascii="Times New Roman" w:hAnsi="Times New Roman" w:eastAsia="宋体" w:cs="Times New Roman"/>
                <w:bCs/>
                <w:color w:val="auto"/>
              </w:rPr>
              <w:t>年环境质量状况报告》，2023年宿州市区域声环境共设110个点位，昼间平均等效声级为55.3分贝</w:t>
            </w:r>
            <w:r>
              <w:rPr>
                <w:rFonts w:hint="eastAsia" w:cs="Times New Roman"/>
                <w:bCs/>
                <w:color w:val="auto"/>
                <w:lang w:eastAsia="zh-CN"/>
              </w:rPr>
              <w:t>，</w:t>
            </w:r>
            <w:r>
              <w:rPr>
                <w:rFonts w:hint="default" w:ascii="Times New Roman" w:hAnsi="Times New Roman" w:eastAsia="宋体" w:cs="Times New Roman"/>
                <w:bCs/>
                <w:color w:val="auto"/>
              </w:rPr>
              <w:t>质量等级为三级；道路交通声环境共设68个点位，昼间平均等效声级为65.6分贝，质量等级为一级，与去年持平；功能区噪声共设7个监测点，监测结果均符合相应功能区标准要求。</w:t>
            </w:r>
          </w:p>
          <w:p w14:paraId="3A2BBC16">
            <w:pPr>
              <w:ind w:firstLine="482" w:firstLineChars="200"/>
              <w:rPr>
                <w:rFonts w:hint="eastAsia"/>
                <w:b/>
                <w:bCs/>
                <w:color w:val="auto"/>
              </w:rPr>
            </w:pPr>
            <w:r>
              <w:rPr>
                <w:rFonts w:hint="eastAsia"/>
                <w:b/>
                <w:bCs/>
                <w:color w:val="auto"/>
              </w:rPr>
              <w:t>4、生态环境</w:t>
            </w:r>
          </w:p>
          <w:p w14:paraId="71EA1C4F">
            <w:pPr>
              <w:rPr>
                <w:color w:val="auto"/>
              </w:rPr>
            </w:pPr>
            <w:r>
              <w:rPr>
                <w:rFonts w:hint="eastAsia"/>
                <w:color w:val="auto"/>
              </w:rPr>
              <w:t>本</w:t>
            </w:r>
            <w:r>
              <w:rPr>
                <w:color w:val="auto"/>
              </w:rPr>
              <w:t>项目用地范围</w:t>
            </w:r>
            <w:r>
              <w:rPr>
                <w:rFonts w:hint="eastAsia"/>
                <w:color w:val="auto"/>
              </w:rPr>
              <w:t>周边不</w:t>
            </w:r>
            <w:r>
              <w:rPr>
                <w:color w:val="auto"/>
              </w:rPr>
              <w:t>含生态环境保护目标，</w:t>
            </w:r>
            <w:r>
              <w:rPr>
                <w:rFonts w:hint="eastAsia"/>
                <w:color w:val="auto"/>
              </w:rPr>
              <w:t>不需要</w:t>
            </w:r>
            <w:r>
              <w:rPr>
                <w:color w:val="auto"/>
              </w:rPr>
              <w:t>进行生态现状调查。</w:t>
            </w:r>
          </w:p>
          <w:p w14:paraId="24ADB117">
            <w:pPr>
              <w:ind w:left="480" w:leftChars="200" w:firstLine="0" w:firstLineChars="0"/>
              <w:rPr>
                <w:rFonts w:hint="eastAsia"/>
                <w:b/>
                <w:bCs/>
                <w:color w:val="auto"/>
              </w:rPr>
            </w:pPr>
            <w:r>
              <w:rPr>
                <w:rFonts w:hint="eastAsia"/>
                <w:b/>
                <w:bCs/>
                <w:color w:val="auto"/>
                <w:lang w:val="en-US" w:eastAsia="zh-CN"/>
              </w:rPr>
              <w:t>5、</w:t>
            </w:r>
            <w:r>
              <w:rPr>
                <w:rFonts w:hint="eastAsia"/>
                <w:b/>
                <w:bCs/>
                <w:color w:val="auto"/>
              </w:rPr>
              <w:t>电磁辐射</w:t>
            </w:r>
          </w:p>
          <w:p w14:paraId="56893521">
            <w:pPr>
              <w:ind w:firstLine="480" w:firstLineChars="200"/>
              <w:rPr>
                <w:rFonts w:hint="eastAsia"/>
                <w:color w:val="auto"/>
              </w:rPr>
            </w:pPr>
            <w:r>
              <w:rPr>
                <w:rFonts w:hint="eastAsia"/>
                <w:color w:val="auto"/>
              </w:rPr>
              <w:t>本项目不涉及广播电台，差转台、电视塔台、卫星地球上行站、雷达等电磁辐射项目，可不开展电磁辐射现状开展监测与评价。</w:t>
            </w:r>
          </w:p>
          <w:p w14:paraId="4CDE0FBD">
            <w:pPr>
              <w:ind w:firstLine="482" w:firstLineChars="200"/>
              <w:rPr>
                <w:rFonts w:hint="eastAsia"/>
                <w:b/>
                <w:bCs/>
                <w:color w:val="auto"/>
              </w:rPr>
            </w:pPr>
            <w:r>
              <w:rPr>
                <w:rFonts w:hint="eastAsia"/>
                <w:b/>
                <w:bCs/>
                <w:color w:val="auto"/>
              </w:rPr>
              <w:t>6、地下水、土壤环境</w:t>
            </w:r>
          </w:p>
          <w:p w14:paraId="20594C69">
            <w:pPr>
              <w:adjustRightInd w:val="0"/>
              <w:snapToGrid w:val="0"/>
              <w:ind w:firstLine="480" w:firstLineChars="200"/>
              <w:rPr>
                <w:rFonts w:hint="eastAsia" w:ascii="Times New Roman" w:hAnsi="Times New Roman" w:eastAsia="宋体" w:cs="宋体"/>
                <w:color w:val="auto"/>
                <w:kern w:val="2"/>
                <w:sz w:val="24"/>
                <w:szCs w:val="21"/>
                <w:lang w:val="en-US" w:eastAsia="zh-CN" w:bidi="ar-SA"/>
              </w:rPr>
            </w:pPr>
            <w:r>
              <w:rPr>
                <w:rFonts w:hint="eastAsia" w:ascii="Times New Roman" w:hAnsi="Times New Roman" w:eastAsia="宋体" w:cs="宋体"/>
                <w:color w:val="auto"/>
                <w:kern w:val="2"/>
                <w:sz w:val="24"/>
                <w:szCs w:val="21"/>
                <w:lang w:val="en-US" w:eastAsia="zh-CN" w:bidi="ar-SA"/>
              </w:rPr>
              <w:t>本项目不存在土壤、地下水环境污染途径，无需开展现状调查。</w:t>
            </w:r>
          </w:p>
        </w:tc>
      </w:tr>
      <w:tr w14:paraId="3BF6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dxa"/>
            <w:noWrap w:val="0"/>
            <w:vAlign w:val="center"/>
          </w:tcPr>
          <w:p w14:paraId="3F60F768">
            <w:pPr>
              <w:adjustRightInd w:val="0"/>
              <w:snapToGrid w:val="0"/>
              <w:ind w:left="0" w:leftChars="0" w:firstLine="0" w:firstLineChars="0"/>
              <w:jc w:val="both"/>
              <w:rPr>
                <w:rFonts w:cs="Times New Roman"/>
                <w:color w:val="auto"/>
                <w:kern w:val="0"/>
              </w:rPr>
            </w:pPr>
            <w:r>
              <w:rPr>
                <w:rFonts w:cs="Times New Roman"/>
                <w:b/>
                <w:bCs/>
                <w:color w:val="auto"/>
                <w:kern w:val="0"/>
                <w:szCs w:val="24"/>
              </w:rPr>
              <w:t>环境保护目标</w:t>
            </w:r>
          </w:p>
        </w:tc>
        <w:tc>
          <w:tcPr>
            <w:tcW w:w="8078" w:type="dxa"/>
            <w:noWrap w:val="0"/>
            <w:vAlign w:val="center"/>
          </w:tcPr>
          <w:p w14:paraId="565D2FE3">
            <w:pPr>
              <w:ind w:firstLine="480" w:firstLineChars="200"/>
              <w:rPr>
                <w:rFonts w:hint="eastAsia"/>
                <w:b w:val="0"/>
                <w:bCs w:val="0"/>
                <w:color w:val="auto"/>
              </w:rPr>
            </w:pPr>
            <w:r>
              <w:rPr>
                <w:rFonts w:hint="eastAsia"/>
                <w:b w:val="0"/>
                <w:bCs w:val="0"/>
                <w:color w:val="auto"/>
              </w:rPr>
              <w:t>本项目评价范围内无自然保护区、风景旅游点和文物古迹等需要特殊保护的环境敏感对象。总体上不因本项目的实施而改变区域环境现有功能，具体环境保护目标如下。</w:t>
            </w:r>
          </w:p>
          <w:p w14:paraId="16E42212">
            <w:pPr>
              <w:ind w:firstLine="482" w:firstLineChars="200"/>
              <w:rPr>
                <w:rFonts w:hint="eastAsia"/>
                <w:b/>
                <w:bCs/>
                <w:color w:val="auto"/>
              </w:rPr>
            </w:pPr>
            <w:r>
              <w:rPr>
                <w:rFonts w:hint="eastAsia"/>
                <w:b/>
                <w:bCs/>
                <w:color w:val="auto"/>
              </w:rPr>
              <w:t>1、大气环境</w:t>
            </w:r>
          </w:p>
          <w:p w14:paraId="3BC8D57F">
            <w:pPr>
              <w:ind w:firstLine="480" w:firstLineChars="200"/>
              <w:jc w:val="left"/>
              <w:rPr>
                <w:rFonts w:hint="eastAsia"/>
                <w:color w:val="auto"/>
              </w:rPr>
            </w:pPr>
            <w:r>
              <w:rPr>
                <w:rFonts w:hint="eastAsia"/>
                <w:color w:val="auto"/>
              </w:rPr>
              <w:t>根据</w:t>
            </w:r>
            <w:r>
              <w:rPr>
                <w:rFonts w:hint="eastAsia"/>
                <w:color w:val="auto"/>
                <w:lang w:eastAsia="zh-CN"/>
              </w:rPr>
              <w:t>现场勘查</w:t>
            </w:r>
            <w:r>
              <w:rPr>
                <w:rFonts w:hint="eastAsia"/>
                <w:color w:val="auto"/>
              </w:rPr>
              <w:t>，本项目周边500m范围</w:t>
            </w:r>
            <w:r>
              <w:rPr>
                <w:rFonts w:hint="eastAsia"/>
                <w:color w:val="auto"/>
                <w:lang w:val="en-US" w:eastAsia="zh-CN"/>
              </w:rPr>
              <w:t>环境保护目标主要为办公场所和居民区</w:t>
            </w:r>
            <w:r>
              <w:rPr>
                <w:rFonts w:hint="eastAsia"/>
                <w:color w:val="auto"/>
              </w:rPr>
              <w:t>。</w:t>
            </w:r>
          </w:p>
          <w:p w14:paraId="179EB774">
            <w:pPr>
              <w:bidi w:val="0"/>
              <w:spacing w:line="240" w:lineRule="auto"/>
              <w:jc w:val="center"/>
              <w:rPr>
                <w:rFonts w:hint="eastAsia"/>
                <w:b/>
                <w:bCs/>
                <w:sz w:val="21"/>
                <w:szCs w:val="21"/>
              </w:rPr>
            </w:pPr>
            <w:r>
              <w:rPr>
                <w:rFonts w:hint="eastAsia"/>
                <w:b/>
                <w:bCs/>
                <w:sz w:val="21"/>
                <w:szCs w:val="21"/>
              </w:rPr>
              <w:t>表3-</w:t>
            </w:r>
            <w:r>
              <w:rPr>
                <w:rFonts w:hint="eastAsia"/>
                <w:b/>
                <w:bCs/>
                <w:sz w:val="21"/>
                <w:szCs w:val="21"/>
                <w:lang w:val="en-US" w:eastAsia="zh-CN"/>
              </w:rPr>
              <w:t>2</w:t>
            </w:r>
            <w:r>
              <w:rPr>
                <w:rFonts w:hint="eastAsia"/>
                <w:b/>
                <w:bCs/>
                <w:sz w:val="21"/>
                <w:szCs w:val="21"/>
              </w:rPr>
              <w:t xml:space="preserve"> 环境保护目标一览表</w:t>
            </w:r>
          </w:p>
          <w:tbl>
            <w:tblPr>
              <w:tblStyle w:val="29"/>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9" w:type="dxa"/>
                <w:bottom w:w="0" w:type="dxa"/>
                <w:right w:w="79" w:type="dxa"/>
              </w:tblCellMar>
            </w:tblPr>
            <w:tblGrid>
              <w:gridCol w:w="1481"/>
              <w:gridCol w:w="686"/>
              <w:gridCol w:w="706"/>
              <w:gridCol w:w="727"/>
              <w:gridCol w:w="1069"/>
              <w:gridCol w:w="1241"/>
              <w:gridCol w:w="812"/>
              <w:gridCol w:w="1114"/>
            </w:tblGrid>
            <w:tr w14:paraId="6211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84" w:hRule="atLeast"/>
              </w:trPr>
              <w:tc>
                <w:tcPr>
                  <w:tcW w:w="944" w:type="pct"/>
                  <w:vMerge w:val="restart"/>
                  <w:tcBorders>
                    <w:tl2br w:val="nil"/>
                    <w:tr2bl w:val="nil"/>
                  </w:tcBorders>
                  <w:vAlign w:val="center"/>
                </w:tcPr>
                <w:p w14:paraId="08464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sz w:val="21"/>
                      <w:szCs w:val="21"/>
                    </w:rPr>
                  </w:pPr>
                  <w:r>
                    <w:rPr>
                      <w:rFonts w:hint="eastAsia" w:cs="Times New Roman"/>
                      <w:b/>
                      <w:bCs/>
                      <w:color w:val="auto"/>
                      <w:sz w:val="21"/>
                      <w:szCs w:val="21"/>
                    </w:rPr>
                    <w:t>名称</w:t>
                  </w:r>
                </w:p>
              </w:tc>
              <w:tc>
                <w:tcPr>
                  <w:tcW w:w="888" w:type="pct"/>
                  <w:gridSpan w:val="2"/>
                  <w:tcBorders>
                    <w:tl2br w:val="nil"/>
                    <w:tr2bl w:val="nil"/>
                  </w:tcBorders>
                  <w:vAlign w:val="center"/>
                </w:tcPr>
                <w:p w14:paraId="7166A5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sz w:val="21"/>
                      <w:szCs w:val="21"/>
                    </w:rPr>
                  </w:pPr>
                  <w:r>
                    <w:rPr>
                      <w:rFonts w:hint="eastAsia" w:cs="Times New Roman"/>
                      <w:b/>
                      <w:bCs/>
                      <w:color w:val="auto"/>
                      <w:sz w:val="21"/>
                      <w:szCs w:val="21"/>
                    </w:rPr>
                    <w:t>坐标/m</w:t>
                  </w:r>
                </w:p>
              </w:tc>
              <w:tc>
                <w:tcPr>
                  <w:tcW w:w="463" w:type="pct"/>
                  <w:vMerge w:val="restart"/>
                  <w:tcBorders>
                    <w:tl2br w:val="nil"/>
                    <w:tr2bl w:val="nil"/>
                  </w:tcBorders>
                  <w:vAlign w:val="center"/>
                </w:tcPr>
                <w:p w14:paraId="47B1C9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rPr>
                  </w:pPr>
                  <w:r>
                    <w:rPr>
                      <w:rFonts w:hint="eastAsia" w:cs="Times New Roman"/>
                      <w:b/>
                      <w:bCs/>
                      <w:color w:val="auto"/>
                      <w:sz w:val="21"/>
                      <w:szCs w:val="21"/>
                    </w:rPr>
                    <w:t>保护</w:t>
                  </w:r>
                </w:p>
                <w:p w14:paraId="068479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sz w:val="21"/>
                      <w:szCs w:val="21"/>
                    </w:rPr>
                  </w:pPr>
                  <w:r>
                    <w:rPr>
                      <w:rFonts w:hint="eastAsia" w:cs="Times New Roman"/>
                      <w:b/>
                      <w:bCs/>
                      <w:color w:val="auto"/>
                      <w:sz w:val="21"/>
                      <w:szCs w:val="21"/>
                    </w:rPr>
                    <w:t>对象</w:t>
                  </w:r>
                </w:p>
              </w:tc>
              <w:tc>
                <w:tcPr>
                  <w:tcW w:w="682" w:type="pct"/>
                  <w:vMerge w:val="restart"/>
                  <w:tcBorders>
                    <w:tl2br w:val="nil"/>
                    <w:tr2bl w:val="nil"/>
                  </w:tcBorders>
                  <w:vAlign w:val="center"/>
                </w:tcPr>
                <w:p w14:paraId="317DBC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sz w:val="21"/>
                      <w:szCs w:val="21"/>
                    </w:rPr>
                  </w:pPr>
                  <w:r>
                    <w:rPr>
                      <w:rFonts w:hint="eastAsia" w:cs="Times New Roman"/>
                      <w:b/>
                      <w:bCs/>
                      <w:color w:val="auto"/>
                      <w:sz w:val="21"/>
                      <w:szCs w:val="21"/>
                    </w:rPr>
                    <w:t>保护内容</w:t>
                  </w:r>
                </w:p>
              </w:tc>
              <w:tc>
                <w:tcPr>
                  <w:tcW w:w="791" w:type="pct"/>
                  <w:vMerge w:val="restart"/>
                  <w:tcBorders>
                    <w:tl2br w:val="nil"/>
                    <w:tr2bl w:val="nil"/>
                  </w:tcBorders>
                  <w:vAlign w:val="center"/>
                </w:tcPr>
                <w:p w14:paraId="1D032F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sz w:val="21"/>
                      <w:szCs w:val="21"/>
                    </w:rPr>
                  </w:pPr>
                  <w:r>
                    <w:rPr>
                      <w:rFonts w:hint="eastAsia" w:cs="Times New Roman"/>
                      <w:b/>
                      <w:bCs/>
                      <w:color w:val="auto"/>
                      <w:sz w:val="21"/>
                      <w:szCs w:val="21"/>
                    </w:rPr>
                    <w:t>环境功能区</w:t>
                  </w:r>
                </w:p>
              </w:tc>
              <w:tc>
                <w:tcPr>
                  <w:tcW w:w="518" w:type="pct"/>
                  <w:vMerge w:val="restart"/>
                  <w:tcBorders>
                    <w:tl2br w:val="nil"/>
                    <w:tr2bl w:val="nil"/>
                  </w:tcBorders>
                  <w:vAlign w:val="center"/>
                </w:tcPr>
                <w:p w14:paraId="6D905A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sz w:val="21"/>
                      <w:szCs w:val="21"/>
                    </w:rPr>
                  </w:pPr>
                  <w:r>
                    <w:rPr>
                      <w:rFonts w:hint="eastAsia" w:cs="Times New Roman"/>
                      <w:b/>
                      <w:bCs/>
                      <w:color w:val="auto"/>
                      <w:sz w:val="21"/>
                      <w:szCs w:val="21"/>
                    </w:rPr>
                    <w:t>相对厂址方位</w:t>
                  </w:r>
                </w:p>
              </w:tc>
              <w:tc>
                <w:tcPr>
                  <w:tcW w:w="710" w:type="pct"/>
                  <w:vMerge w:val="restart"/>
                  <w:tcBorders>
                    <w:tl2br w:val="nil"/>
                    <w:tr2bl w:val="nil"/>
                  </w:tcBorders>
                  <w:vAlign w:val="center"/>
                </w:tcPr>
                <w:p w14:paraId="79471B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sz w:val="21"/>
                      <w:szCs w:val="21"/>
                    </w:rPr>
                  </w:pPr>
                  <w:r>
                    <w:rPr>
                      <w:rFonts w:hint="eastAsia" w:cs="Times New Roman"/>
                      <w:b/>
                      <w:bCs/>
                      <w:color w:val="auto"/>
                      <w:sz w:val="21"/>
                      <w:szCs w:val="21"/>
                    </w:rPr>
                    <w:t>相对厂界距离（m）</w:t>
                  </w:r>
                </w:p>
              </w:tc>
            </w:tr>
            <w:tr w14:paraId="12F0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27" w:hRule="atLeast"/>
              </w:trPr>
              <w:tc>
                <w:tcPr>
                  <w:tcW w:w="944" w:type="pct"/>
                  <w:vMerge w:val="continue"/>
                  <w:tcBorders>
                    <w:tl2br w:val="nil"/>
                    <w:tr2bl w:val="nil"/>
                  </w:tcBorders>
                  <w:vAlign w:val="center"/>
                </w:tcPr>
                <w:p w14:paraId="541954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p>
              </w:tc>
              <w:tc>
                <w:tcPr>
                  <w:tcW w:w="437" w:type="pct"/>
                  <w:tcBorders>
                    <w:tl2br w:val="nil"/>
                    <w:tr2bl w:val="nil"/>
                  </w:tcBorders>
                  <w:vAlign w:val="center"/>
                </w:tcPr>
                <w:p w14:paraId="361BF5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sz w:val="21"/>
                      <w:szCs w:val="21"/>
                    </w:rPr>
                  </w:pPr>
                  <w:r>
                    <w:rPr>
                      <w:rFonts w:hint="eastAsia" w:cs="Times New Roman"/>
                      <w:b/>
                      <w:bCs/>
                      <w:color w:val="auto"/>
                      <w:sz w:val="21"/>
                      <w:szCs w:val="21"/>
                    </w:rPr>
                    <w:t>X</w:t>
                  </w:r>
                </w:p>
              </w:tc>
              <w:tc>
                <w:tcPr>
                  <w:tcW w:w="450" w:type="pct"/>
                  <w:tcBorders>
                    <w:tl2br w:val="nil"/>
                    <w:tr2bl w:val="nil"/>
                  </w:tcBorders>
                  <w:vAlign w:val="center"/>
                </w:tcPr>
                <w:p w14:paraId="241920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b/>
                      <w:bCs/>
                      <w:color w:val="auto"/>
                      <w:sz w:val="21"/>
                      <w:szCs w:val="21"/>
                    </w:rPr>
                  </w:pPr>
                  <w:r>
                    <w:rPr>
                      <w:rFonts w:hint="eastAsia" w:cs="Times New Roman"/>
                      <w:b/>
                      <w:bCs/>
                      <w:color w:val="auto"/>
                      <w:sz w:val="21"/>
                      <w:szCs w:val="21"/>
                    </w:rPr>
                    <w:t>Y</w:t>
                  </w:r>
                </w:p>
              </w:tc>
              <w:tc>
                <w:tcPr>
                  <w:tcW w:w="463" w:type="pct"/>
                  <w:vMerge w:val="continue"/>
                  <w:tcBorders>
                    <w:tl2br w:val="nil"/>
                    <w:tr2bl w:val="nil"/>
                  </w:tcBorders>
                  <w:vAlign w:val="center"/>
                </w:tcPr>
                <w:p w14:paraId="698E5E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p>
              </w:tc>
              <w:tc>
                <w:tcPr>
                  <w:tcW w:w="682" w:type="pct"/>
                  <w:vMerge w:val="continue"/>
                  <w:tcBorders>
                    <w:tl2br w:val="nil"/>
                    <w:tr2bl w:val="nil"/>
                  </w:tcBorders>
                  <w:vAlign w:val="center"/>
                </w:tcPr>
                <w:p w14:paraId="35CB7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p>
              </w:tc>
              <w:tc>
                <w:tcPr>
                  <w:tcW w:w="791" w:type="pct"/>
                  <w:vMerge w:val="continue"/>
                  <w:tcBorders>
                    <w:tl2br w:val="nil"/>
                    <w:tr2bl w:val="nil"/>
                  </w:tcBorders>
                  <w:vAlign w:val="center"/>
                </w:tcPr>
                <w:p w14:paraId="1EC753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p>
              </w:tc>
              <w:tc>
                <w:tcPr>
                  <w:tcW w:w="518" w:type="pct"/>
                  <w:vMerge w:val="continue"/>
                  <w:tcBorders>
                    <w:tl2br w:val="nil"/>
                    <w:tr2bl w:val="nil"/>
                  </w:tcBorders>
                  <w:vAlign w:val="center"/>
                </w:tcPr>
                <w:p w14:paraId="185F88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p>
              </w:tc>
              <w:tc>
                <w:tcPr>
                  <w:tcW w:w="710" w:type="pct"/>
                  <w:vMerge w:val="continue"/>
                  <w:tcBorders>
                    <w:tl2br w:val="nil"/>
                    <w:tr2bl w:val="nil"/>
                  </w:tcBorders>
                  <w:vAlign w:val="center"/>
                </w:tcPr>
                <w:p w14:paraId="459BA4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p>
              </w:tc>
            </w:tr>
            <w:tr w14:paraId="3872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62" w:hRule="atLeast"/>
              </w:trPr>
              <w:tc>
                <w:tcPr>
                  <w:tcW w:w="944" w:type="pct"/>
                  <w:tcBorders>
                    <w:tl2br w:val="nil"/>
                    <w:tr2bl w:val="nil"/>
                  </w:tcBorders>
                  <w:vAlign w:val="center"/>
                </w:tcPr>
                <w:p w14:paraId="4E655B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汴光新村</w:t>
                  </w:r>
                </w:p>
              </w:tc>
              <w:tc>
                <w:tcPr>
                  <w:tcW w:w="437" w:type="pct"/>
                  <w:tcBorders>
                    <w:tl2br w:val="nil"/>
                    <w:tr2bl w:val="nil"/>
                  </w:tcBorders>
                  <w:vAlign w:val="center"/>
                </w:tcPr>
                <w:p w14:paraId="2BC466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-32</w:t>
                  </w:r>
                </w:p>
              </w:tc>
              <w:tc>
                <w:tcPr>
                  <w:tcW w:w="450" w:type="pct"/>
                  <w:tcBorders>
                    <w:tl2br w:val="nil"/>
                    <w:tr2bl w:val="nil"/>
                  </w:tcBorders>
                  <w:vAlign w:val="center"/>
                </w:tcPr>
                <w:p w14:paraId="0DC16A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359</w:t>
                  </w:r>
                </w:p>
              </w:tc>
              <w:tc>
                <w:tcPr>
                  <w:tcW w:w="463" w:type="pct"/>
                  <w:tcBorders>
                    <w:tl2br w:val="nil"/>
                    <w:tr2bl w:val="nil"/>
                  </w:tcBorders>
                  <w:vAlign w:val="center"/>
                </w:tcPr>
                <w:p w14:paraId="36E1AE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hint="eastAsia" w:cs="Times New Roman"/>
                      <w:color w:val="auto"/>
                      <w:sz w:val="21"/>
                      <w:szCs w:val="21"/>
                    </w:rPr>
                    <w:t>居民</w:t>
                  </w:r>
                </w:p>
              </w:tc>
              <w:tc>
                <w:tcPr>
                  <w:tcW w:w="682" w:type="pct"/>
                  <w:tcBorders>
                    <w:tl2br w:val="nil"/>
                    <w:tr2bl w:val="nil"/>
                  </w:tcBorders>
                  <w:vAlign w:val="center"/>
                </w:tcPr>
                <w:p w14:paraId="66BF351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约3144人</w:t>
                  </w:r>
                </w:p>
              </w:tc>
              <w:tc>
                <w:tcPr>
                  <w:tcW w:w="791" w:type="pct"/>
                  <w:vMerge w:val="restart"/>
                  <w:tcBorders>
                    <w:tl2br w:val="nil"/>
                    <w:tr2bl w:val="nil"/>
                  </w:tcBorders>
                  <w:vAlign w:val="center"/>
                </w:tcPr>
                <w:p w14:paraId="4239CE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lang w:eastAsia="zh-CN"/>
                    </w:rPr>
                  </w:pPr>
                  <w:r>
                    <w:rPr>
                      <w:rFonts w:hint="eastAsia" w:ascii="Times New Roman" w:hAnsi="Times New Roman" w:cs="Times New Roman"/>
                      <w:color w:val="auto"/>
                      <w:spacing w:val="0"/>
                      <w:w w:val="100"/>
                      <w:sz w:val="21"/>
                      <w:szCs w:val="21"/>
                      <w:lang w:eastAsia="zh-CN"/>
                    </w:rPr>
                    <w:t>《环境空气质量标准》（GB3095-2012）二类区</w:t>
                  </w:r>
                </w:p>
              </w:tc>
              <w:tc>
                <w:tcPr>
                  <w:tcW w:w="518" w:type="pct"/>
                  <w:tcBorders>
                    <w:tl2br w:val="nil"/>
                    <w:tr2bl w:val="nil"/>
                  </w:tcBorders>
                  <w:vAlign w:val="center"/>
                </w:tcPr>
                <w:p w14:paraId="46DF673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W</w:t>
                  </w:r>
                </w:p>
              </w:tc>
              <w:tc>
                <w:tcPr>
                  <w:tcW w:w="710" w:type="pct"/>
                  <w:tcBorders>
                    <w:tl2br w:val="nil"/>
                    <w:tr2bl w:val="nil"/>
                  </w:tcBorders>
                  <w:vAlign w:val="center"/>
                </w:tcPr>
                <w:p w14:paraId="7898D7F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90</w:t>
                  </w:r>
                </w:p>
              </w:tc>
            </w:tr>
            <w:tr w14:paraId="4978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85" w:hRule="atLeast"/>
              </w:trPr>
              <w:tc>
                <w:tcPr>
                  <w:tcW w:w="944" w:type="pct"/>
                  <w:tcBorders>
                    <w:tl2br w:val="nil"/>
                    <w:tr2bl w:val="nil"/>
                  </w:tcBorders>
                  <w:vAlign w:val="center"/>
                </w:tcPr>
                <w:p w14:paraId="74E177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放心幼儿园</w:t>
                  </w:r>
                </w:p>
              </w:tc>
              <w:tc>
                <w:tcPr>
                  <w:tcW w:w="437" w:type="pct"/>
                  <w:tcBorders>
                    <w:tl2br w:val="nil"/>
                    <w:tr2bl w:val="nil"/>
                  </w:tcBorders>
                  <w:vAlign w:val="center"/>
                </w:tcPr>
                <w:p w14:paraId="5B9B7E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-222</w:t>
                  </w:r>
                </w:p>
              </w:tc>
              <w:tc>
                <w:tcPr>
                  <w:tcW w:w="450" w:type="pct"/>
                  <w:tcBorders>
                    <w:tl2br w:val="nil"/>
                    <w:tr2bl w:val="nil"/>
                  </w:tcBorders>
                  <w:vAlign w:val="center"/>
                </w:tcPr>
                <w:p w14:paraId="031E2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235</w:t>
                  </w:r>
                </w:p>
              </w:tc>
              <w:tc>
                <w:tcPr>
                  <w:tcW w:w="463" w:type="pct"/>
                  <w:tcBorders>
                    <w:tl2br w:val="nil"/>
                    <w:tr2bl w:val="nil"/>
                  </w:tcBorders>
                  <w:vAlign w:val="center"/>
                </w:tcPr>
                <w:p w14:paraId="5CB2CD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lang w:eastAsia="zh-CN"/>
                    </w:rPr>
                  </w:pPr>
                  <w:r>
                    <w:rPr>
                      <w:rFonts w:hint="eastAsia" w:cs="Times New Roman"/>
                      <w:color w:val="auto"/>
                      <w:sz w:val="21"/>
                      <w:szCs w:val="21"/>
                      <w:lang w:val="en-US" w:eastAsia="zh-CN"/>
                    </w:rPr>
                    <w:t>学校</w:t>
                  </w:r>
                </w:p>
              </w:tc>
              <w:tc>
                <w:tcPr>
                  <w:tcW w:w="682" w:type="pct"/>
                  <w:tcBorders>
                    <w:tl2br w:val="nil"/>
                    <w:tr2bl w:val="nil"/>
                  </w:tcBorders>
                  <w:vAlign w:val="center"/>
                </w:tcPr>
                <w:p w14:paraId="0762EE0F">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约300人</w:t>
                  </w:r>
                </w:p>
              </w:tc>
              <w:tc>
                <w:tcPr>
                  <w:tcW w:w="791" w:type="pct"/>
                  <w:vMerge w:val="continue"/>
                  <w:tcBorders>
                    <w:tl2br w:val="nil"/>
                    <w:tr2bl w:val="nil"/>
                  </w:tcBorders>
                  <w:vAlign w:val="center"/>
                </w:tcPr>
                <w:p w14:paraId="56C41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0E810E7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NW</w:t>
                  </w:r>
                </w:p>
              </w:tc>
              <w:tc>
                <w:tcPr>
                  <w:tcW w:w="710" w:type="pct"/>
                  <w:tcBorders>
                    <w:tl2br w:val="nil"/>
                    <w:tr2bl w:val="nil"/>
                  </w:tcBorders>
                  <w:vAlign w:val="center"/>
                </w:tcPr>
                <w:p w14:paraId="78D76D27">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312</w:t>
                  </w:r>
                </w:p>
              </w:tc>
            </w:tr>
            <w:tr w14:paraId="3EED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85" w:hRule="atLeast"/>
              </w:trPr>
              <w:tc>
                <w:tcPr>
                  <w:tcW w:w="944" w:type="pct"/>
                  <w:tcBorders>
                    <w:tl2br w:val="nil"/>
                    <w:tr2bl w:val="nil"/>
                  </w:tcBorders>
                  <w:vAlign w:val="center"/>
                </w:tcPr>
                <w:p w14:paraId="3E70B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泗县人民政府</w:t>
                  </w:r>
                </w:p>
              </w:tc>
              <w:tc>
                <w:tcPr>
                  <w:tcW w:w="437" w:type="pct"/>
                  <w:tcBorders>
                    <w:tl2br w:val="nil"/>
                    <w:tr2bl w:val="nil"/>
                  </w:tcBorders>
                  <w:vAlign w:val="center"/>
                </w:tcPr>
                <w:p w14:paraId="50CAB6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-392</w:t>
                  </w:r>
                </w:p>
              </w:tc>
              <w:tc>
                <w:tcPr>
                  <w:tcW w:w="450" w:type="pct"/>
                  <w:tcBorders>
                    <w:tl2br w:val="nil"/>
                    <w:tr2bl w:val="nil"/>
                  </w:tcBorders>
                  <w:vAlign w:val="center"/>
                </w:tcPr>
                <w:p w14:paraId="3B817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131</w:t>
                  </w:r>
                </w:p>
              </w:tc>
              <w:tc>
                <w:tcPr>
                  <w:tcW w:w="463" w:type="pct"/>
                  <w:tcBorders>
                    <w:tl2br w:val="nil"/>
                    <w:tr2bl w:val="nil"/>
                  </w:tcBorders>
                  <w:vAlign w:val="center"/>
                </w:tcPr>
                <w:p w14:paraId="4C71BB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color w:val="auto"/>
                      <w:sz w:val="21"/>
                      <w:szCs w:val="21"/>
                      <w:lang w:val="en-US" w:eastAsia="zh-CN"/>
                    </w:rPr>
                    <w:t>人群</w:t>
                  </w:r>
                </w:p>
              </w:tc>
              <w:tc>
                <w:tcPr>
                  <w:tcW w:w="682" w:type="pct"/>
                  <w:tcBorders>
                    <w:tl2br w:val="nil"/>
                    <w:tr2bl w:val="nil"/>
                  </w:tcBorders>
                  <w:vAlign w:val="center"/>
                </w:tcPr>
                <w:p w14:paraId="73E0D197">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约200人</w:t>
                  </w:r>
                </w:p>
              </w:tc>
              <w:tc>
                <w:tcPr>
                  <w:tcW w:w="791" w:type="pct"/>
                  <w:vMerge w:val="continue"/>
                  <w:tcBorders>
                    <w:tl2br w:val="nil"/>
                    <w:tr2bl w:val="nil"/>
                  </w:tcBorders>
                  <w:vAlign w:val="center"/>
                </w:tcPr>
                <w:p w14:paraId="56387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178F7D5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NE</w:t>
                  </w:r>
                </w:p>
              </w:tc>
              <w:tc>
                <w:tcPr>
                  <w:tcW w:w="710" w:type="pct"/>
                  <w:tcBorders>
                    <w:tl2br w:val="nil"/>
                    <w:tr2bl w:val="nil"/>
                  </w:tcBorders>
                  <w:vAlign w:val="center"/>
                </w:tcPr>
                <w:p w14:paraId="36D4DB1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371</w:t>
                  </w:r>
                </w:p>
              </w:tc>
            </w:tr>
            <w:tr w14:paraId="67A6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8" w:hRule="atLeast"/>
              </w:trPr>
              <w:tc>
                <w:tcPr>
                  <w:tcW w:w="944" w:type="pct"/>
                  <w:tcBorders>
                    <w:tl2br w:val="nil"/>
                    <w:tr2bl w:val="nil"/>
                  </w:tcBorders>
                  <w:vAlign w:val="center"/>
                </w:tcPr>
                <w:p w14:paraId="250CE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泗县民政局</w:t>
                  </w:r>
                </w:p>
              </w:tc>
              <w:tc>
                <w:tcPr>
                  <w:tcW w:w="437" w:type="pct"/>
                  <w:tcBorders>
                    <w:tl2br w:val="nil"/>
                    <w:tr2bl w:val="nil"/>
                  </w:tcBorders>
                  <w:vAlign w:val="center"/>
                </w:tcPr>
                <w:p w14:paraId="08EEA5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78</w:t>
                  </w:r>
                </w:p>
              </w:tc>
              <w:tc>
                <w:tcPr>
                  <w:tcW w:w="450" w:type="pct"/>
                  <w:tcBorders>
                    <w:tl2br w:val="nil"/>
                    <w:tr2bl w:val="nil"/>
                  </w:tcBorders>
                  <w:vAlign w:val="center"/>
                </w:tcPr>
                <w:p w14:paraId="19DC40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120</w:t>
                  </w:r>
                </w:p>
              </w:tc>
              <w:tc>
                <w:tcPr>
                  <w:tcW w:w="463" w:type="pct"/>
                  <w:tcBorders>
                    <w:tl2br w:val="nil"/>
                    <w:tr2bl w:val="nil"/>
                  </w:tcBorders>
                  <w:vAlign w:val="center"/>
                </w:tcPr>
                <w:p w14:paraId="149F98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Times New Roman"/>
                      <w:color w:val="auto"/>
                      <w:sz w:val="21"/>
                      <w:szCs w:val="21"/>
                    </w:rPr>
                  </w:pPr>
                  <w:r>
                    <w:rPr>
                      <w:rFonts w:hint="eastAsia" w:cs="Times New Roman"/>
                      <w:color w:val="auto"/>
                      <w:sz w:val="21"/>
                      <w:szCs w:val="21"/>
                      <w:lang w:val="en-US" w:eastAsia="zh-CN"/>
                    </w:rPr>
                    <w:t>人群</w:t>
                  </w:r>
                </w:p>
              </w:tc>
              <w:tc>
                <w:tcPr>
                  <w:tcW w:w="682" w:type="pct"/>
                  <w:tcBorders>
                    <w:tl2br w:val="nil"/>
                    <w:tr2bl w:val="nil"/>
                  </w:tcBorders>
                  <w:vAlign w:val="center"/>
                </w:tcPr>
                <w:p w14:paraId="31C2AAB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约67人</w:t>
                  </w:r>
                </w:p>
              </w:tc>
              <w:tc>
                <w:tcPr>
                  <w:tcW w:w="791" w:type="pct"/>
                  <w:vMerge w:val="continue"/>
                  <w:tcBorders>
                    <w:tl2br w:val="nil"/>
                    <w:tr2bl w:val="nil"/>
                  </w:tcBorders>
                  <w:vAlign w:val="center"/>
                </w:tcPr>
                <w:p w14:paraId="743360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4F28018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NE</w:t>
                  </w:r>
                </w:p>
              </w:tc>
              <w:tc>
                <w:tcPr>
                  <w:tcW w:w="710" w:type="pct"/>
                  <w:tcBorders>
                    <w:tl2br w:val="nil"/>
                    <w:tr2bl w:val="nil"/>
                  </w:tcBorders>
                  <w:vAlign w:val="center"/>
                </w:tcPr>
                <w:p w14:paraId="1930100F">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8</w:t>
                  </w:r>
                  <w:r>
                    <w:rPr>
                      <w:rFonts w:hint="eastAsia" w:cs="Times New Roman"/>
                      <w:b w:val="0"/>
                      <w:bCs/>
                      <w:color w:val="auto"/>
                      <w:sz w:val="21"/>
                      <w:szCs w:val="21"/>
                      <w:lang w:val="en-US" w:eastAsia="zh-CN"/>
                    </w:rPr>
                    <w:t>0</w:t>
                  </w:r>
                </w:p>
              </w:tc>
            </w:tr>
            <w:tr w14:paraId="7C27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410" w:hRule="atLeast"/>
              </w:trPr>
              <w:tc>
                <w:tcPr>
                  <w:tcW w:w="944" w:type="pct"/>
                  <w:tcBorders>
                    <w:tl2br w:val="nil"/>
                    <w:tr2bl w:val="nil"/>
                  </w:tcBorders>
                  <w:vAlign w:val="center"/>
                </w:tcPr>
                <w:p w14:paraId="14F2D8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泗县人民法院执行局</w:t>
                  </w:r>
                </w:p>
              </w:tc>
              <w:tc>
                <w:tcPr>
                  <w:tcW w:w="437" w:type="pct"/>
                  <w:tcBorders>
                    <w:tl2br w:val="nil"/>
                    <w:tr2bl w:val="nil"/>
                  </w:tcBorders>
                  <w:vAlign w:val="center"/>
                </w:tcPr>
                <w:p w14:paraId="137D01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450" w:type="pct"/>
                  <w:tcBorders>
                    <w:tl2br w:val="nil"/>
                    <w:tr2bl w:val="nil"/>
                  </w:tcBorders>
                  <w:vAlign w:val="center"/>
                </w:tcPr>
                <w:p w14:paraId="2DD2A7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w:t>
                  </w:r>
                </w:p>
              </w:tc>
              <w:tc>
                <w:tcPr>
                  <w:tcW w:w="463" w:type="pct"/>
                  <w:tcBorders>
                    <w:tl2br w:val="nil"/>
                    <w:tr2bl w:val="nil"/>
                  </w:tcBorders>
                  <w:vAlign w:val="center"/>
                </w:tcPr>
                <w:p w14:paraId="6F58B4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lang w:eastAsia="zh-CN"/>
                    </w:rPr>
                  </w:pPr>
                  <w:r>
                    <w:rPr>
                      <w:rFonts w:hint="eastAsia" w:cs="Times New Roman"/>
                      <w:color w:val="auto"/>
                      <w:sz w:val="21"/>
                      <w:szCs w:val="21"/>
                      <w:lang w:val="en-US" w:eastAsia="zh-CN"/>
                    </w:rPr>
                    <w:t>人群</w:t>
                  </w:r>
                </w:p>
              </w:tc>
              <w:tc>
                <w:tcPr>
                  <w:tcW w:w="682" w:type="pct"/>
                  <w:tcBorders>
                    <w:tl2br w:val="nil"/>
                    <w:tr2bl w:val="nil"/>
                  </w:tcBorders>
                  <w:vAlign w:val="center"/>
                </w:tcPr>
                <w:p w14:paraId="57813DE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约102人</w:t>
                  </w:r>
                </w:p>
              </w:tc>
              <w:tc>
                <w:tcPr>
                  <w:tcW w:w="791" w:type="pct"/>
                  <w:vMerge w:val="continue"/>
                  <w:tcBorders>
                    <w:tl2br w:val="nil"/>
                    <w:tr2bl w:val="nil"/>
                  </w:tcBorders>
                  <w:vAlign w:val="center"/>
                </w:tcPr>
                <w:p w14:paraId="779E5E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76FB46B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N</w:t>
                  </w:r>
                </w:p>
              </w:tc>
              <w:tc>
                <w:tcPr>
                  <w:tcW w:w="710" w:type="pct"/>
                  <w:tcBorders>
                    <w:tl2br w:val="nil"/>
                    <w:tr2bl w:val="nil"/>
                  </w:tcBorders>
                  <w:vAlign w:val="center"/>
                </w:tcPr>
                <w:p w14:paraId="277C3BF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76</w:t>
                  </w:r>
                </w:p>
              </w:tc>
            </w:tr>
            <w:tr w14:paraId="28D0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91" w:hRule="atLeast"/>
              </w:trPr>
              <w:tc>
                <w:tcPr>
                  <w:tcW w:w="944" w:type="pct"/>
                  <w:tcBorders>
                    <w:tl2br w:val="nil"/>
                    <w:tr2bl w:val="nil"/>
                  </w:tcBorders>
                  <w:vAlign w:val="center"/>
                </w:tcPr>
                <w:p w14:paraId="14FAD2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泗县市场监督管理局</w:t>
                  </w:r>
                </w:p>
              </w:tc>
              <w:tc>
                <w:tcPr>
                  <w:tcW w:w="437" w:type="pct"/>
                  <w:tcBorders>
                    <w:tl2br w:val="nil"/>
                    <w:tr2bl w:val="nil"/>
                  </w:tcBorders>
                  <w:vAlign w:val="center"/>
                </w:tcPr>
                <w:p w14:paraId="6613D1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-77</w:t>
                  </w:r>
                </w:p>
              </w:tc>
              <w:tc>
                <w:tcPr>
                  <w:tcW w:w="450" w:type="pct"/>
                  <w:tcBorders>
                    <w:tl2br w:val="nil"/>
                    <w:tr2bl w:val="nil"/>
                  </w:tcBorders>
                  <w:vAlign w:val="center"/>
                </w:tcPr>
                <w:p w14:paraId="1F871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74</w:t>
                  </w:r>
                </w:p>
              </w:tc>
              <w:tc>
                <w:tcPr>
                  <w:tcW w:w="463" w:type="pct"/>
                  <w:tcBorders>
                    <w:tl2br w:val="nil"/>
                    <w:tr2bl w:val="nil"/>
                  </w:tcBorders>
                  <w:vAlign w:val="center"/>
                </w:tcPr>
                <w:p w14:paraId="152F38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lang w:eastAsia="zh-CN"/>
                    </w:rPr>
                  </w:pPr>
                  <w:r>
                    <w:rPr>
                      <w:rFonts w:hint="eastAsia" w:cs="Times New Roman"/>
                      <w:color w:val="auto"/>
                      <w:sz w:val="21"/>
                      <w:szCs w:val="21"/>
                      <w:lang w:val="en-US" w:eastAsia="zh-CN"/>
                    </w:rPr>
                    <w:t>人群</w:t>
                  </w:r>
                </w:p>
              </w:tc>
              <w:tc>
                <w:tcPr>
                  <w:tcW w:w="682" w:type="pct"/>
                  <w:tcBorders>
                    <w:tl2br w:val="nil"/>
                    <w:tr2bl w:val="nil"/>
                  </w:tcBorders>
                  <w:vAlign w:val="center"/>
                </w:tcPr>
                <w:p w14:paraId="4D12933E">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约142人</w:t>
                  </w:r>
                </w:p>
              </w:tc>
              <w:tc>
                <w:tcPr>
                  <w:tcW w:w="791" w:type="pct"/>
                  <w:vMerge w:val="continue"/>
                  <w:tcBorders>
                    <w:tl2br w:val="nil"/>
                    <w:tr2bl w:val="nil"/>
                  </w:tcBorders>
                  <w:vAlign w:val="center"/>
                </w:tcPr>
                <w:p w14:paraId="411F57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037FD1C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N</w:t>
                  </w:r>
                  <w:r>
                    <w:rPr>
                      <w:rFonts w:hint="eastAsia" w:ascii="Times New Roman" w:hAnsi="Times New Roman" w:eastAsia="宋体" w:cs="Times New Roman"/>
                      <w:b w:val="0"/>
                      <w:bCs/>
                      <w:color w:val="auto"/>
                      <w:sz w:val="21"/>
                      <w:szCs w:val="21"/>
                      <w:lang w:val="en-US" w:eastAsia="zh-CN"/>
                    </w:rPr>
                    <w:t>W</w:t>
                  </w:r>
                </w:p>
              </w:tc>
              <w:tc>
                <w:tcPr>
                  <w:tcW w:w="710" w:type="pct"/>
                  <w:tcBorders>
                    <w:tl2br w:val="nil"/>
                    <w:tr2bl w:val="nil"/>
                  </w:tcBorders>
                  <w:vAlign w:val="center"/>
                </w:tcPr>
                <w:p w14:paraId="433876E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94</w:t>
                  </w:r>
                </w:p>
              </w:tc>
            </w:tr>
            <w:tr w14:paraId="44C2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91" w:hRule="atLeast"/>
              </w:trPr>
              <w:tc>
                <w:tcPr>
                  <w:tcW w:w="944" w:type="pct"/>
                  <w:tcBorders>
                    <w:tl2br w:val="nil"/>
                    <w:tr2bl w:val="nil"/>
                  </w:tcBorders>
                  <w:vAlign w:val="center"/>
                </w:tcPr>
                <w:p w14:paraId="31D513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泗县城市规划馆</w:t>
                  </w:r>
                </w:p>
              </w:tc>
              <w:tc>
                <w:tcPr>
                  <w:tcW w:w="437" w:type="pct"/>
                  <w:tcBorders>
                    <w:tl2br w:val="nil"/>
                    <w:tr2bl w:val="nil"/>
                  </w:tcBorders>
                  <w:vAlign w:val="center"/>
                </w:tcPr>
                <w:p w14:paraId="4F3BD1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-340</w:t>
                  </w:r>
                </w:p>
              </w:tc>
              <w:tc>
                <w:tcPr>
                  <w:tcW w:w="450" w:type="pct"/>
                  <w:tcBorders>
                    <w:tl2br w:val="nil"/>
                    <w:tr2bl w:val="nil"/>
                  </w:tcBorders>
                  <w:vAlign w:val="center"/>
                </w:tcPr>
                <w:p w14:paraId="6A969A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-223</w:t>
                  </w:r>
                </w:p>
              </w:tc>
              <w:tc>
                <w:tcPr>
                  <w:tcW w:w="463" w:type="pct"/>
                  <w:tcBorders>
                    <w:tl2br w:val="nil"/>
                    <w:tr2bl w:val="nil"/>
                  </w:tcBorders>
                  <w:vAlign w:val="center"/>
                </w:tcPr>
                <w:p w14:paraId="711DC3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人群</w:t>
                  </w:r>
                </w:p>
              </w:tc>
              <w:tc>
                <w:tcPr>
                  <w:tcW w:w="682" w:type="pct"/>
                  <w:tcBorders>
                    <w:tl2br w:val="nil"/>
                    <w:tr2bl w:val="nil"/>
                  </w:tcBorders>
                  <w:vAlign w:val="center"/>
                </w:tcPr>
                <w:p w14:paraId="02B19FC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约60人</w:t>
                  </w:r>
                </w:p>
              </w:tc>
              <w:tc>
                <w:tcPr>
                  <w:tcW w:w="791" w:type="pct"/>
                  <w:vMerge w:val="continue"/>
                  <w:tcBorders>
                    <w:tl2br w:val="nil"/>
                    <w:tr2bl w:val="nil"/>
                  </w:tcBorders>
                  <w:vAlign w:val="center"/>
                </w:tcPr>
                <w:p w14:paraId="509B67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0482CAA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SW</w:t>
                  </w:r>
                </w:p>
              </w:tc>
              <w:tc>
                <w:tcPr>
                  <w:tcW w:w="710" w:type="pct"/>
                  <w:tcBorders>
                    <w:tl2br w:val="nil"/>
                    <w:tr2bl w:val="nil"/>
                  </w:tcBorders>
                  <w:vAlign w:val="center"/>
                </w:tcPr>
                <w:p w14:paraId="42CC94F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262</w:t>
                  </w:r>
                </w:p>
              </w:tc>
            </w:tr>
            <w:tr w14:paraId="2267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7A4D41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泗县住建局</w:t>
                  </w:r>
                </w:p>
              </w:tc>
              <w:tc>
                <w:tcPr>
                  <w:tcW w:w="437" w:type="pct"/>
                  <w:tcBorders>
                    <w:tl2br w:val="nil"/>
                    <w:tr2bl w:val="nil"/>
                  </w:tcBorders>
                  <w:vAlign w:val="center"/>
                </w:tcPr>
                <w:p w14:paraId="4B1FD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-68</w:t>
                  </w:r>
                </w:p>
              </w:tc>
              <w:tc>
                <w:tcPr>
                  <w:tcW w:w="450" w:type="pct"/>
                  <w:tcBorders>
                    <w:tl2br w:val="nil"/>
                    <w:tr2bl w:val="nil"/>
                  </w:tcBorders>
                  <w:vAlign w:val="center"/>
                </w:tcPr>
                <w:p w14:paraId="24D54B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-243</w:t>
                  </w:r>
                </w:p>
              </w:tc>
              <w:tc>
                <w:tcPr>
                  <w:tcW w:w="463" w:type="pct"/>
                  <w:tcBorders>
                    <w:tl2br w:val="nil"/>
                    <w:tr2bl w:val="nil"/>
                  </w:tcBorders>
                  <w:vAlign w:val="center"/>
                </w:tcPr>
                <w:p w14:paraId="2401FE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lang w:eastAsia="zh-CN"/>
                    </w:rPr>
                  </w:pPr>
                  <w:r>
                    <w:rPr>
                      <w:rFonts w:hint="eastAsia" w:cs="Times New Roman"/>
                      <w:color w:val="auto"/>
                      <w:sz w:val="21"/>
                      <w:szCs w:val="21"/>
                      <w:lang w:val="en-US" w:eastAsia="zh-CN"/>
                    </w:rPr>
                    <w:t>人群</w:t>
                  </w:r>
                </w:p>
              </w:tc>
              <w:tc>
                <w:tcPr>
                  <w:tcW w:w="682" w:type="pct"/>
                  <w:tcBorders>
                    <w:tl2br w:val="nil"/>
                    <w:tr2bl w:val="nil"/>
                  </w:tcBorders>
                  <w:vAlign w:val="center"/>
                </w:tcPr>
                <w:p w14:paraId="5E389B8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约25人</w:t>
                  </w:r>
                </w:p>
              </w:tc>
              <w:tc>
                <w:tcPr>
                  <w:tcW w:w="791" w:type="pct"/>
                  <w:vMerge w:val="continue"/>
                  <w:tcBorders>
                    <w:tl2br w:val="nil"/>
                    <w:tr2bl w:val="nil"/>
                  </w:tcBorders>
                  <w:vAlign w:val="center"/>
                </w:tcPr>
                <w:p w14:paraId="4D7C11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7EAEDAB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sz w:val="21"/>
                      <w:szCs w:val="21"/>
                      <w:lang w:val="en-US" w:eastAsia="zh-CN"/>
                    </w:rPr>
                    <w:t>SW</w:t>
                  </w:r>
                </w:p>
              </w:tc>
              <w:tc>
                <w:tcPr>
                  <w:tcW w:w="710" w:type="pct"/>
                  <w:tcBorders>
                    <w:tl2br w:val="nil"/>
                    <w:tr2bl w:val="nil"/>
                  </w:tcBorders>
                  <w:vAlign w:val="center"/>
                </w:tcPr>
                <w:p w14:paraId="0F2B8148">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187</w:t>
                  </w:r>
                </w:p>
              </w:tc>
            </w:tr>
            <w:tr w14:paraId="614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35163E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泗县财政局</w:t>
                  </w:r>
                </w:p>
              </w:tc>
              <w:tc>
                <w:tcPr>
                  <w:tcW w:w="437" w:type="pct"/>
                  <w:tcBorders>
                    <w:tl2br w:val="nil"/>
                    <w:tr2bl w:val="nil"/>
                  </w:tcBorders>
                  <w:vAlign w:val="center"/>
                </w:tcPr>
                <w:p w14:paraId="203AA0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-63</w:t>
                  </w:r>
                </w:p>
              </w:tc>
              <w:tc>
                <w:tcPr>
                  <w:tcW w:w="450" w:type="pct"/>
                  <w:tcBorders>
                    <w:tl2br w:val="nil"/>
                    <w:tr2bl w:val="nil"/>
                  </w:tcBorders>
                  <w:vAlign w:val="center"/>
                </w:tcPr>
                <w:p w14:paraId="652504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-402</w:t>
                  </w:r>
                </w:p>
              </w:tc>
              <w:tc>
                <w:tcPr>
                  <w:tcW w:w="463" w:type="pct"/>
                  <w:tcBorders>
                    <w:tl2br w:val="nil"/>
                    <w:tr2bl w:val="nil"/>
                  </w:tcBorders>
                  <w:vAlign w:val="center"/>
                </w:tcPr>
                <w:p w14:paraId="1B560C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color w:val="auto"/>
                      <w:sz w:val="21"/>
                      <w:szCs w:val="21"/>
                      <w:lang w:val="en-US" w:eastAsia="zh-CN"/>
                    </w:rPr>
                    <w:t>人群</w:t>
                  </w:r>
                </w:p>
              </w:tc>
              <w:tc>
                <w:tcPr>
                  <w:tcW w:w="682" w:type="pct"/>
                  <w:tcBorders>
                    <w:tl2br w:val="nil"/>
                    <w:tr2bl w:val="nil"/>
                  </w:tcBorders>
                  <w:vAlign w:val="center"/>
                </w:tcPr>
                <w:p w14:paraId="057D306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约30人</w:t>
                  </w:r>
                </w:p>
              </w:tc>
              <w:tc>
                <w:tcPr>
                  <w:tcW w:w="791" w:type="pct"/>
                  <w:vMerge w:val="continue"/>
                  <w:tcBorders>
                    <w:tl2br w:val="nil"/>
                    <w:tr2bl w:val="nil"/>
                  </w:tcBorders>
                  <w:vAlign w:val="center"/>
                </w:tcPr>
                <w:p w14:paraId="4D408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7305E2F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SW</w:t>
                  </w:r>
                </w:p>
              </w:tc>
              <w:tc>
                <w:tcPr>
                  <w:tcW w:w="710" w:type="pct"/>
                  <w:tcBorders>
                    <w:tl2br w:val="nil"/>
                    <w:tr2bl w:val="nil"/>
                  </w:tcBorders>
                  <w:vAlign w:val="center"/>
                </w:tcPr>
                <w:p w14:paraId="7FEF83A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351</w:t>
                  </w:r>
                </w:p>
              </w:tc>
            </w:tr>
            <w:tr w14:paraId="45FB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55F8AF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泗县医疗保障局</w:t>
                  </w:r>
                </w:p>
              </w:tc>
              <w:tc>
                <w:tcPr>
                  <w:tcW w:w="437" w:type="pct"/>
                  <w:tcBorders>
                    <w:tl2br w:val="nil"/>
                    <w:tr2bl w:val="nil"/>
                  </w:tcBorders>
                  <w:vAlign w:val="center"/>
                </w:tcPr>
                <w:p w14:paraId="7CEA7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w:t>
                  </w:r>
                </w:p>
              </w:tc>
              <w:tc>
                <w:tcPr>
                  <w:tcW w:w="450" w:type="pct"/>
                  <w:tcBorders>
                    <w:tl2br w:val="nil"/>
                    <w:tr2bl w:val="nil"/>
                  </w:tcBorders>
                  <w:vAlign w:val="center"/>
                </w:tcPr>
                <w:p w14:paraId="214D2D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-507</w:t>
                  </w:r>
                </w:p>
              </w:tc>
              <w:tc>
                <w:tcPr>
                  <w:tcW w:w="463" w:type="pct"/>
                  <w:tcBorders>
                    <w:tl2br w:val="nil"/>
                    <w:tr2bl w:val="nil"/>
                  </w:tcBorders>
                  <w:vAlign w:val="center"/>
                </w:tcPr>
                <w:p w14:paraId="7CD905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val="en-US" w:eastAsia="zh-CN"/>
                    </w:rPr>
                    <w:t>人群</w:t>
                  </w:r>
                </w:p>
              </w:tc>
              <w:tc>
                <w:tcPr>
                  <w:tcW w:w="682" w:type="pct"/>
                  <w:tcBorders>
                    <w:tl2br w:val="nil"/>
                    <w:tr2bl w:val="nil"/>
                  </w:tcBorders>
                  <w:vAlign w:val="center"/>
                </w:tcPr>
                <w:p w14:paraId="494FEC4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约50人</w:t>
                  </w:r>
                </w:p>
              </w:tc>
              <w:tc>
                <w:tcPr>
                  <w:tcW w:w="791" w:type="pct"/>
                  <w:vMerge w:val="continue"/>
                  <w:tcBorders>
                    <w:tl2br w:val="nil"/>
                    <w:tr2bl w:val="nil"/>
                  </w:tcBorders>
                  <w:vAlign w:val="center"/>
                </w:tcPr>
                <w:p w14:paraId="54276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0B53F12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SW</w:t>
                  </w:r>
                </w:p>
              </w:tc>
              <w:tc>
                <w:tcPr>
                  <w:tcW w:w="710" w:type="pct"/>
                  <w:tcBorders>
                    <w:tl2br w:val="nil"/>
                    <w:tr2bl w:val="nil"/>
                  </w:tcBorders>
                  <w:vAlign w:val="center"/>
                </w:tcPr>
                <w:p w14:paraId="77492E3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445</w:t>
                  </w:r>
                </w:p>
              </w:tc>
            </w:tr>
            <w:tr w14:paraId="566E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7A23C0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泗县文化广电新闻出版局</w:t>
                  </w:r>
                </w:p>
              </w:tc>
              <w:tc>
                <w:tcPr>
                  <w:tcW w:w="437" w:type="pct"/>
                  <w:tcBorders>
                    <w:tl2br w:val="nil"/>
                    <w:tr2bl w:val="nil"/>
                  </w:tcBorders>
                  <w:vAlign w:val="center"/>
                </w:tcPr>
                <w:p w14:paraId="544E1E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206</w:t>
                  </w:r>
                </w:p>
              </w:tc>
              <w:tc>
                <w:tcPr>
                  <w:tcW w:w="450" w:type="pct"/>
                  <w:tcBorders>
                    <w:tl2br w:val="nil"/>
                    <w:tr2bl w:val="nil"/>
                  </w:tcBorders>
                  <w:vAlign w:val="center"/>
                </w:tcPr>
                <w:p w14:paraId="40230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130</w:t>
                  </w:r>
                </w:p>
              </w:tc>
              <w:tc>
                <w:tcPr>
                  <w:tcW w:w="463" w:type="pct"/>
                  <w:tcBorders>
                    <w:tl2br w:val="nil"/>
                    <w:tr2bl w:val="nil"/>
                  </w:tcBorders>
                  <w:vAlign w:val="center"/>
                </w:tcPr>
                <w:p w14:paraId="14579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val="en-US" w:eastAsia="zh-CN"/>
                    </w:rPr>
                    <w:t>人群</w:t>
                  </w:r>
                </w:p>
              </w:tc>
              <w:tc>
                <w:tcPr>
                  <w:tcW w:w="682" w:type="pct"/>
                  <w:tcBorders>
                    <w:tl2br w:val="nil"/>
                    <w:tr2bl w:val="nil"/>
                  </w:tcBorders>
                  <w:vAlign w:val="center"/>
                </w:tcPr>
                <w:p w14:paraId="64CC67E3">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约30人</w:t>
                  </w:r>
                </w:p>
              </w:tc>
              <w:tc>
                <w:tcPr>
                  <w:tcW w:w="791" w:type="pct"/>
                  <w:vMerge w:val="continue"/>
                  <w:tcBorders>
                    <w:tl2br w:val="nil"/>
                    <w:tr2bl w:val="nil"/>
                  </w:tcBorders>
                  <w:vAlign w:val="center"/>
                </w:tcPr>
                <w:p w14:paraId="68EC8A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52333AFF">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NE</w:t>
                  </w:r>
                </w:p>
              </w:tc>
              <w:tc>
                <w:tcPr>
                  <w:tcW w:w="710" w:type="pct"/>
                  <w:tcBorders>
                    <w:tl2br w:val="nil"/>
                    <w:tr2bl w:val="nil"/>
                  </w:tcBorders>
                  <w:vAlign w:val="center"/>
                </w:tcPr>
                <w:p w14:paraId="308854C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187</w:t>
                  </w:r>
                </w:p>
              </w:tc>
            </w:tr>
            <w:tr w14:paraId="2267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0E3198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泗县公安局</w:t>
                  </w:r>
                </w:p>
              </w:tc>
              <w:tc>
                <w:tcPr>
                  <w:tcW w:w="437" w:type="pct"/>
                  <w:tcBorders>
                    <w:tl2br w:val="nil"/>
                    <w:tr2bl w:val="nil"/>
                  </w:tcBorders>
                  <w:vAlign w:val="center"/>
                </w:tcPr>
                <w:p w14:paraId="6FA048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370</w:t>
                  </w:r>
                </w:p>
              </w:tc>
              <w:tc>
                <w:tcPr>
                  <w:tcW w:w="450" w:type="pct"/>
                  <w:tcBorders>
                    <w:tl2br w:val="nil"/>
                    <w:tr2bl w:val="nil"/>
                  </w:tcBorders>
                  <w:vAlign w:val="center"/>
                </w:tcPr>
                <w:p w14:paraId="1DB2D6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w:t>
                  </w:r>
                </w:p>
              </w:tc>
              <w:tc>
                <w:tcPr>
                  <w:tcW w:w="463" w:type="pct"/>
                  <w:tcBorders>
                    <w:tl2br w:val="nil"/>
                    <w:tr2bl w:val="nil"/>
                  </w:tcBorders>
                  <w:vAlign w:val="center"/>
                </w:tcPr>
                <w:p w14:paraId="177D43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val="en-US" w:eastAsia="zh-CN"/>
                    </w:rPr>
                    <w:t>人群</w:t>
                  </w:r>
                </w:p>
              </w:tc>
              <w:tc>
                <w:tcPr>
                  <w:tcW w:w="682" w:type="pct"/>
                  <w:tcBorders>
                    <w:tl2br w:val="nil"/>
                    <w:tr2bl w:val="nil"/>
                  </w:tcBorders>
                  <w:vAlign w:val="center"/>
                </w:tcPr>
                <w:p w14:paraId="51E8C67F">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约270人</w:t>
                  </w:r>
                </w:p>
              </w:tc>
              <w:tc>
                <w:tcPr>
                  <w:tcW w:w="791" w:type="pct"/>
                  <w:vMerge w:val="continue"/>
                  <w:tcBorders>
                    <w:tl2br w:val="nil"/>
                    <w:tr2bl w:val="nil"/>
                  </w:tcBorders>
                  <w:vAlign w:val="center"/>
                </w:tcPr>
                <w:p w14:paraId="109ABF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7392D1C7">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NE</w:t>
                  </w:r>
                </w:p>
              </w:tc>
              <w:tc>
                <w:tcPr>
                  <w:tcW w:w="710" w:type="pct"/>
                  <w:tcBorders>
                    <w:tl2br w:val="nil"/>
                    <w:tr2bl w:val="nil"/>
                  </w:tcBorders>
                  <w:vAlign w:val="center"/>
                </w:tcPr>
                <w:p w14:paraId="1D695DA6">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335</w:t>
                  </w:r>
                </w:p>
              </w:tc>
            </w:tr>
            <w:tr w14:paraId="1E08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48E3FE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国家税务总局泗县税务局</w:t>
                  </w:r>
                </w:p>
              </w:tc>
              <w:tc>
                <w:tcPr>
                  <w:tcW w:w="437" w:type="pct"/>
                  <w:tcBorders>
                    <w:tl2br w:val="nil"/>
                    <w:tr2bl w:val="nil"/>
                  </w:tcBorders>
                  <w:vAlign w:val="center"/>
                </w:tcPr>
                <w:p w14:paraId="0C8E13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-112</w:t>
                  </w:r>
                </w:p>
              </w:tc>
              <w:tc>
                <w:tcPr>
                  <w:tcW w:w="450" w:type="pct"/>
                  <w:tcBorders>
                    <w:tl2br w:val="nil"/>
                    <w:tr2bl w:val="nil"/>
                  </w:tcBorders>
                  <w:vAlign w:val="center"/>
                </w:tcPr>
                <w:p w14:paraId="368859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-119</w:t>
                  </w:r>
                </w:p>
              </w:tc>
              <w:tc>
                <w:tcPr>
                  <w:tcW w:w="463" w:type="pct"/>
                  <w:tcBorders>
                    <w:tl2br w:val="nil"/>
                    <w:tr2bl w:val="nil"/>
                  </w:tcBorders>
                  <w:vAlign w:val="center"/>
                </w:tcPr>
                <w:p w14:paraId="3A839E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val="en-US" w:eastAsia="zh-CN"/>
                    </w:rPr>
                    <w:t>人群</w:t>
                  </w:r>
                </w:p>
              </w:tc>
              <w:tc>
                <w:tcPr>
                  <w:tcW w:w="682" w:type="pct"/>
                  <w:tcBorders>
                    <w:tl2br w:val="nil"/>
                    <w:tr2bl w:val="nil"/>
                  </w:tcBorders>
                  <w:vAlign w:val="center"/>
                </w:tcPr>
                <w:p w14:paraId="20D8D1A2">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约30人</w:t>
                  </w:r>
                </w:p>
              </w:tc>
              <w:tc>
                <w:tcPr>
                  <w:tcW w:w="791" w:type="pct"/>
                  <w:vMerge w:val="continue"/>
                  <w:tcBorders>
                    <w:tl2br w:val="nil"/>
                    <w:tr2bl w:val="nil"/>
                  </w:tcBorders>
                  <w:vAlign w:val="center"/>
                </w:tcPr>
                <w:p w14:paraId="7DE85E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47105B9C">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SW</w:t>
                  </w:r>
                </w:p>
              </w:tc>
              <w:tc>
                <w:tcPr>
                  <w:tcW w:w="710" w:type="pct"/>
                  <w:tcBorders>
                    <w:tl2br w:val="nil"/>
                    <w:tr2bl w:val="nil"/>
                  </w:tcBorders>
                  <w:vAlign w:val="center"/>
                </w:tcPr>
                <w:p w14:paraId="3DA0681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121</w:t>
                  </w:r>
                </w:p>
              </w:tc>
            </w:tr>
            <w:tr w14:paraId="23B5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792986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国家税务总局泗县税务局泗城税务分局</w:t>
                  </w:r>
                </w:p>
              </w:tc>
              <w:tc>
                <w:tcPr>
                  <w:tcW w:w="437" w:type="pct"/>
                  <w:tcBorders>
                    <w:tl2br w:val="nil"/>
                    <w:tr2bl w:val="nil"/>
                  </w:tcBorders>
                  <w:vAlign w:val="center"/>
                </w:tcPr>
                <w:p w14:paraId="079C6E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-141</w:t>
                  </w:r>
                </w:p>
              </w:tc>
              <w:tc>
                <w:tcPr>
                  <w:tcW w:w="450" w:type="pct"/>
                  <w:tcBorders>
                    <w:tl2br w:val="nil"/>
                    <w:tr2bl w:val="nil"/>
                  </w:tcBorders>
                  <w:vAlign w:val="center"/>
                </w:tcPr>
                <w:p w14:paraId="7812F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w:t>
                  </w:r>
                </w:p>
              </w:tc>
              <w:tc>
                <w:tcPr>
                  <w:tcW w:w="463" w:type="pct"/>
                  <w:tcBorders>
                    <w:tl2br w:val="nil"/>
                    <w:tr2bl w:val="nil"/>
                  </w:tcBorders>
                  <w:vAlign w:val="center"/>
                </w:tcPr>
                <w:p w14:paraId="6B010F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color w:val="auto"/>
                      <w:sz w:val="21"/>
                      <w:szCs w:val="21"/>
                      <w:lang w:val="en-US" w:eastAsia="zh-CN"/>
                    </w:rPr>
                    <w:t>人群</w:t>
                  </w:r>
                </w:p>
              </w:tc>
              <w:tc>
                <w:tcPr>
                  <w:tcW w:w="682" w:type="pct"/>
                  <w:tcBorders>
                    <w:tl2br w:val="nil"/>
                    <w:tr2bl w:val="nil"/>
                  </w:tcBorders>
                  <w:vAlign w:val="center"/>
                </w:tcPr>
                <w:p w14:paraId="1D655A15">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约20人</w:t>
                  </w:r>
                </w:p>
              </w:tc>
              <w:tc>
                <w:tcPr>
                  <w:tcW w:w="791" w:type="pct"/>
                  <w:vMerge w:val="continue"/>
                  <w:tcBorders>
                    <w:tl2br w:val="nil"/>
                    <w:tr2bl w:val="nil"/>
                  </w:tcBorders>
                  <w:vAlign w:val="center"/>
                </w:tcPr>
                <w:p w14:paraId="6FCB29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14228C6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W</w:t>
                  </w:r>
                </w:p>
              </w:tc>
              <w:tc>
                <w:tcPr>
                  <w:tcW w:w="710" w:type="pct"/>
                  <w:tcBorders>
                    <w:tl2br w:val="nil"/>
                    <w:tr2bl w:val="nil"/>
                  </w:tcBorders>
                  <w:vAlign w:val="center"/>
                </w:tcPr>
                <w:p w14:paraId="08DC3FB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118</w:t>
                  </w:r>
                </w:p>
              </w:tc>
            </w:tr>
            <w:tr w14:paraId="5559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2F6DEE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泗州枫景</w:t>
                  </w:r>
                </w:p>
              </w:tc>
              <w:tc>
                <w:tcPr>
                  <w:tcW w:w="437" w:type="pct"/>
                  <w:tcBorders>
                    <w:tl2br w:val="nil"/>
                    <w:tr2bl w:val="nil"/>
                  </w:tcBorders>
                  <w:vAlign w:val="center"/>
                </w:tcPr>
                <w:p w14:paraId="149678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106</w:t>
                  </w:r>
                </w:p>
              </w:tc>
              <w:tc>
                <w:tcPr>
                  <w:tcW w:w="450" w:type="pct"/>
                  <w:tcBorders>
                    <w:tl2br w:val="nil"/>
                    <w:tr2bl w:val="nil"/>
                  </w:tcBorders>
                  <w:vAlign w:val="center"/>
                </w:tcPr>
                <w:p w14:paraId="1ABB8D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-195</w:t>
                  </w:r>
                </w:p>
              </w:tc>
              <w:tc>
                <w:tcPr>
                  <w:tcW w:w="463" w:type="pct"/>
                  <w:tcBorders>
                    <w:tl2br w:val="nil"/>
                    <w:tr2bl w:val="nil"/>
                  </w:tcBorders>
                  <w:vAlign w:val="center"/>
                </w:tcPr>
                <w:p w14:paraId="58936D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居民</w:t>
                  </w:r>
                </w:p>
              </w:tc>
              <w:tc>
                <w:tcPr>
                  <w:tcW w:w="682" w:type="pct"/>
                  <w:tcBorders>
                    <w:tl2br w:val="nil"/>
                    <w:tr2bl w:val="nil"/>
                  </w:tcBorders>
                  <w:vAlign w:val="center"/>
                </w:tcPr>
                <w:p w14:paraId="18CDE91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约2820人</w:t>
                  </w:r>
                </w:p>
              </w:tc>
              <w:tc>
                <w:tcPr>
                  <w:tcW w:w="791" w:type="pct"/>
                  <w:vMerge w:val="continue"/>
                  <w:tcBorders>
                    <w:tl2br w:val="nil"/>
                    <w:tr2bl w:val="nil"/>
                  </w:tcBorders>
                  <w:vAlign w:val="center"/>
                </w:tcPr>
                <w:p w14:paraId="50A9B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47798D0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S</w:t>
                  </w:r>
                </w:p>
              </w:tc>
              <w:tc>
                <w:tcPr>
                  <w:tcW w:w="710" w:type="pct"/>
                  <w:tcBorders>
                    <w:tl2br w:val="nil"/>
                    <w:tr2bl w:val="nil"/>
                  </w:tcBorders>
                  <w:vAlign w:val="center"/>
                </w:tcPr>
                <w:p w14:paraId="30C2E52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138</w:t>
                  </w:r>
                </w:p>
              </w:tc>
            </w:tr>
            <w:tr w14:paraId="13AA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7CB6D9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登达·东城美郡</w:t>
                  </w:r>
                </w:p>
              </w:tc>
              <w:tc>
                <w:tcPr>
                  <w:tcW w:w="437" w:type="pct"/>
                  <w:tcBorders>
                    <w:tl2br w:val="nil"/>
                    <w:tr2bl w:val="nil"/>
                  </w:tcBorders>
                  <w:vAlign w:val="center"/>
                </w:tcPr>
                <w:p w14:paraId="3CD4E4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-185</w:t>
                  </w:r>
                </w:p>
              </w:tc>
              <w:tc>
                <w:tcPr>
                  <w:tcW w:w="450" w:type="pct"/>
                  <w:tcBorders>
                    <w:tl2br w:val="nil"/>
                    <w:tr2bl w:val="nil"/>
                  </w:tcBorders>
                  <w:vAlign w:val="center"/>
                </w:tcPr>
                <w:p w14:paraId="739117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-293</w:t>
                  </w:r>
                </w:p>
              </w:tc>
              <w:tc>
                <w:tcPr>
                  <w:tcW w:w="463" w:type="pct"/>
                  <w:tcBorders>
                    <w:tl2br w:val="nil"/>
                    <w:tr2bl w:val="nil"/>
                  </w:tcBorders>
                  <w:vAlign w:val="center"/>
                </w:tcPr>
                <w:p w14:paraId="68C59E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居民</w:t>
                  </w:r>
                </w:p>
              </w:tc>
              <w:tc>
                <w:tcPr>
                  <w:tcW w:w="682" w:type="pct"/>
                  <w:tcBorders>
                    <w:tl2br w:val="nil"/>
                    <w:tr2bl w:val="nil"/>
                  </w:tcBorders>
                  <w:vAlign w:val="center"/>
                </w:tcPr>
                <w:p w14:paraId="659B38B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约3240人</w:t>
                  </w:r>
                </w:p>
              </w:tc>
              <w:tc>
                <w:tcPr>
                  <w:tcW w:w="791" w:type="pct"/>
                  <w:vMerge w:val="continue"/>
                  <w:tcBorders>
                    <w:tl2br w:val="nil"/>
                    <w:tr2bl w:val="nil"/>
                  </w:tcBorders>
                  <w:vAlign w:val="center"/>
                </w:tcPr>
                <w:p w14:paraId="6F44D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41B45C2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SW</w:t>
                  </w:r>
                </w:p>
              </w:tc>
              <w:tc>
                <w:tcPr>
                  <w:tcW w:w="710" w:type="pct"/>
                  <w:tcBorders>
                    <w:tl2br w:val="nil"/>
                    <w:tr2bl w:val="nil"/>
                  </w:tcBorders>
                  <w:vAlign w:val="center"/>
                </w:tcPr>
                <w:p w14:paraId="1D11E52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308</w:t>
                  </w:r>
                </w:p>
              </w:tc>
            </w:tr>
            <w:tr w14:paraId="203B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66CBA1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泗县大数据中心</w:t>
                  </w:r>
                </w:p>
              </w:tc>
              <w:tc>
                <w:tcPr>
                  <w:tcW w:w="437" w:type="pct"/>
                  <w:tcBorders>
                    <w:tl2br w:val="nil"/>
                    <w:tr2bl w:val="nil"/>
                  </w:tcBorders>
                  <w:vAlign w:val="center"/>
                </w:tcPr>
                <w:p w14:paraId="4E82C4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-297</w:t>
                  </w:r>
                </w:p>
              </w:tc>
              <w:tc>
                <w:tcPr>
                  <w:tcW w:w="450" w:type="pct"/>
                  <w:tcBorders>
                    <w:tl2br w:val="nil"/>
                    <w:tr2bl w:val="nil"/>
                  </w:tcBorders>
                  <w:vAlign w:val="center"/>
                </w:tcPr>
                <w:p w14:paraId="332700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262</w:t>
                  </w:r>
                </w:p>
              </w:tc>
              <w:tc>
                <w:tcPr>
                  <w:tcW w:w="463" w:type="pct"/>
                  <w:tcBorders>
                    <w:tl2br w:val="nil"/>
                    <w:tr2bl w:val="nil"/>
                  </w:tcBorders>
                  <w:vAlign w:val="center"/>
                </w:tcPr>
                <w:p w14:paraId="515F97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人群</w:t>
                  </w:r>
                </w:p>
              </w:tc>
              <w:tc>
                <w:tcPr>
                  <w:tcW w:w="682" w:type="pct"/>
                  <w:tcBorders>
                    <w:tl2br w:val="nil"/>
                    <w:tr2bl w:val="nil"/>
                  </w:tcBorders>
                  <w:vAlign w:val="center"/>
                </w:tcPr>
                <w:p w14:paraId="231EA51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约30人</w:t>
                  </w:r>
                </w:p>
              </w:tc>
              <w:tc>
                <w:tcPr>
                  <w:tcW w:w="791" w:type="pct"/>
                  <w:vMerge w:val="continue"/>
                  <w:tcBorders>
                    <w:tl2br w:val="nil"/>
                    <w:tr2bl w:val="nil"/>
                  </w:tcBorders>
                  <w:vAlign w:val="center"/>
                </w:tcPr>
                <w:p w14:paraId="60E452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59B5EDB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NW</w:t>
                  </w:r>
                </w:p>
              </w:tc>
              <w:tc>
                <w:tcPr>
                  <w:tcW w:w="710" w:type="pct"/>
                  <w:tcBorders>
                    <w:tl2br w:val="nil"/>
                    <w:tr2bl w:val="nil"/>
                  </w:tcBorders>
                  <w:vAlign w:val="center"/>
                </w:tcPr>
                <w:p w14:paraId="4157CCF3">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440</w:t>
                  </w:r>
                </w:p>
              </w:tc>
            </w:tr>
            <w:tr w14:paraId="7DBB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2AE79A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金地国际花园</w:t>
                  </w:r>
                </w:p>
              </w:tc>
              <w:tc>
                <w:tcPr>
                  <w:tcW w:w="437" w:type="pct"/>
                  <w:tcBorders>
                    <w:tl2br w:val="nil"/>
                    <w:tr2bl w:val="nil"/>
                  </w:tcBorders>
                  <w:vAlign w:val="center"/>
                </w:tcPr>
                <w:p w14:paraId="2ED01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394</w:t>
                  </w:r>
                </w:p>
              </w:tc>
              <w:tc>
                <w:tcPr>
                  <w:tcW w:w="450" w:type="pct"/>
                  <w:tcBorders>
                    <w:tl2br w:val="nil"/>
                    <w:tr2bl w:val="nil"/>
                  </w:tcBorders>
                  <w:vAlign w:val="center"/>
                </w:tcPr>
                <w:p w14:paraId="743B0B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-155</w:t>
                  </w:r>
                </w:p>
              </w:tc>
              <w:tc>
                <w:tcPr>
                  <w:tcW w:w="463" w:type="pct"/>
                  <w:tcBorders>
                    <w:tl2br w:val="nil"/>
                    <w:tr2bl w:val="nil"/>
                  </w:tcBorders>
                  <w:vAlign w:val="center"/>
                </w:tcPr>
                <w:p w14:paraId="794F24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居民</w:t>
                  </w:r>
                </w:p>
              </w:tc>
              <w:tc>
                <w:tcPr>
                  <w:tcW w:w="682" w:type="pct"/>
                  <w:tcBorders>
                    <w:tl2br w:val="nil"/>
                    <w:tr2bl w:val="nil"/>
                  </w:tcBorders>
                  <w:vAlign w:val="center"/>
                </w:tcPr>
                <w:p w14:paraId="2B31396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约4161人</w:t>
                  </w:r>
                </w:p>
              </w:tc>
              <w:tc>
                <w:tcPr>
                  <w:tcW w:w="791" w:type="pct"/>
                  <w:vMerge w:val="continue"/>
                  <w:tcBorders>
                    <w:tl2br w:val="nil"/>
                    <w:tr2bl w:val="nil"/>
                  </w:tcBorders>
                  <w:vAlign w:val="center"/>
                </w:tcPr>
                <w:p w14:paraId="726A65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0F2F543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SE</w:t>
                  </w:r>
                </w:p>
              </w:tc>
              <w:tc>
                <w:tcPr>
                  <w:tcW w:w="710" w:type="pct"/>
                  <w:tcBorders>
                    <w:tl2br w:val="nil"/>
                    <w:tr2bl w:val="nil"/>
                  </w:tcBorders>
                  <w:vAlign w:val="center"/>
                </w:tcPr>
                <w:p w14:paraId="1964369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336</w:t>
                  </w:r>
                </w:p>
              </w:tc>
            </w:tr>
            <w:tr w14:paraId="6D08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1A88D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无名小区</w:t>
                  </w:r>
                </w:p>
              </w:tc>
              <w:tc>
                <w:tcPr>
                  <w:tcW w:w="437" w:type="pct"/>
                  <w:tcBorders>
                    <w:tl2br w:val="nil"/>
                    <w:tr2bl w:val="nil"/>
                  </w:tcBorders>
                  <w:vAlign w:val="center"/>
                </w:tcPr>
                <w:p w14:paraId="2EBA75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292</w:t>
                  </w:r>
                </w:p>
              </w:tc>
              <w:tc>
                <w:tcPr>
                  <w:tcW w:w="450" w:type="pct"/>
                  <w:tcBorders>
                    <w:tl2br w:val="nil"/>
                    <w:tr2bl w:val="nil"/>
                  </w:tcBorders>
                  <w:vAlign w:val="center"/>
                </w:tcPr>
                <w:p w14:paraId="511C05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420</w:t>
                  </w:r>
                </w:p>
              </w:tc>
              <w:tc>
                <w:tcPr>
                  <w:tcW w:w="463" w:type="pct"/>
                  <w:tcBorders>
                    <w:tl2br w:val="nil"/>
                    <w:tr2bl w:val="nil"/>
                  </w:tcBorders>
                  <w:vAlign w:val="center"/>
                </w:tcPr>
                <w:p w14:paraId="0AB35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居民</w:t>
                  </w:r>
                </w:p>
              </w:tc>
              <w:tc>
                <w:tcPr>
                  <w:tcW w:w="682" w:type="pct"/>
                  <w:tcBorders>
                    <w:tl2br w:val="nil"/>
                    <w:tr2bl w:val="nil"/>
                  </w:tcBorders>
                  <w:vAlign w:val="center"/>
                </w:tcPr>
                <w:p w14:paraId="002D6CC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约972人</w:t>
                  </w:r>
                </w:p>
              </w:tc>
              <w:tc>
                <w:tcPr>
                  <w:tcW w:w="791" w:type="pct"/>
                  <w:vMerge w:val="continue"/>
                  <w:tcBorders>
                    <w:tl2br w:val="nil"/>
                    <w:tr2bl w:val="nil"/>
                  </w:tcBorders>
                  <w:vAlign w:val="center"/>
                </w:tcPr>
                <w:p w14:paraId="36FA4D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7353DBE3">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NE</w:t>
                  </w:r>
                </w:p>
              </w:tc>
              <w:tc>
                <w:tcPr>
                  <w:tcW w:w="710" w:type="pct"/>
                  <w:tcBorders>
                    <w:tl2br w:val="nil"/>
                    <w:tr2bl w:val="nil"/>
                  </w:tcBorders>
                  <w:vAlign w:val="center"/>
                </w:tcPr>
                <w:p w14:paraId="22C54F31">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450</w:t>
                  </w:r>
                </w:p>
              </w:tc>
            </w:tr>
            <w:tr w14:paraId="05DE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288833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泗县政务服务中心</w:t>
                  </w:r>
                </w:p>
              </w:tc>
              <w:tc>
                <w:tcPr>
                  <w:tcW w:w="437" w:type="pct"/>
                  <w:tcBorders>
                    <w:tl2br w:val="nil"/>
                    <w:tr2bl w:val="nil"/>
                  </w:tcBorders>
                  <w:vAlign w:val="center"/>
                </w:tcPr>
                <w:p w14:paraId="3791A3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450" w:type="pct"/>
                  <w:tcBorders>
                    <w:tl2br w:val="nil"/>
                    <w:tr2bl w:val="nil"/>
                  </w:tcBorders>
                  <w:vAlign w:val="center"/>
                </w:tcPr>
                <w:p w14:paraId="49F1D4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-407</w:t>
                  </w:r>
                </w:p>
              </w:tc>
              <w:tc>
                <w:tcPr>
                  <w:tcW w:w="463" w:type="pct"/>
                  <w:tcBorders>
                    <w:tl2br w:val="nil"/>
                    <w:tr2bl w:val="nil"/>
                  </w:tcBorders>
                  <w:vAlign w:val="center"/>
                </w:tcPr>
                <w:p w14:paraId="798B3A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人群</w:t>
                  </w:r>
                </w:p>
              </w:tc>
              <w:tc>
                <w:tcPr>
                  <w:tcW w:w="682" w:type="pct"/>
                  <w:tcBorders>
                    <w:tl2br w:val="nil"/>
                    <w:tr2bl w:val="nil"/>
                  </w:tcBorders>
                  <w:vAlign w:val="center"/>
                </w:tcPr>
                <w:p w14:paraId="4321C7C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约230人</w:t>
                  </w:r>
                </w:p>
              </w:tc>
              <w:tc>
                <w:tcPr>
                  <w:tcW w:w="791" w:type="pct"/>
                  <w:vMerge w:val="continue"/>
                  <w:tcBorders>
                    <w:tl2br w:val="nil"/>
                    <w:tr2bl w:val="nil"/>
                  </w:tcBorders>
                  <w:vAlign w:val="center"/>
                </w:tcPr>
                <w:p w14:paraId="67C05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40C0BA0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SW</w:t>
                  </w:r>
                </w:p>
              </w:tc>
              <w:tc>
                <w:tcPr>
                  <w:tcW w:w="710" w:type="pct"/>
                  <w:tcBorders>
                    <w:tl2br w:val="nil"/>
                    <w:tr2bl w:val="nil"/>
                  </w:tcBorders>
                  <w:vAlign w:val="center"/>
                </w:tcPr>
                <w:p w14:paraId="640DF867">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358</w:t>
                  </w:r>
                </w:p>
              </w:tc>
            </w:tr>
            <w:tr w14:paraId="0537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20E147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泗县自然资源和规划局</w:t>
                  </w:r>
                </w:p>
              </w:tc>
              <w:tc>
                <w:tcPr>
                  <w:tcW w:w="437" w:type="pct"/>
                  <w:tcBorders>
                    <w:tl2br w:val="nil"/>
                    <w:tr2bl w:val="nil"/>
                  </w:tcBorders>
                  <w:vAlign w:val="center"/>
                </w:tcPr>
                <w:p w14:paraId="72A2CA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174</w:t>
                  </w:r>
                </w:p>
              </w:tc>
              <w:tc>
                <w:tcPr>
                  <w:tcW w:w="450" w:type="pct"/>
                  <w:tcBorders>
                    <w:tl2br w:val="nil"/>
                    <w:tr2bl w:val="nil"/>
                  </w:tcBorders>
                  <w:vAlign w:val="center"/>
                </w:tcPr>
                <w:p w14:paraId="62781C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199</w:t>
                  </w:r>
                </w:p>
              </w:tc>
              <w:tc>
                <w:tcPr>
                  <w:tcW w:w="463" w:type="pct"/>
                  <w:tcBorders>
                    <w:tl2br w:val="nil"/>
                    <w:tr2bl w:val="nil"/>
                  </w:tcBorders>
                  <w:vAlign w:val="center"/>
                </w:tcPr>
                <w:p w14:paraId="6495F5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color w:val="auto"/>
                      <w:sz w:val="21"/>
                      <w:szCs w:val="21"/>
                      <w:lang w:val="en-US" w:eastAsia="zh-CN"/>
                    </w:rPr>
                    <w:t>人群</w:t>
                  </w:r>
                </w:p>
              </w:tc>
              <w:tc>
                <w:tcPr>
                  <w:tcW w:w="682" w:type="pct"/>
                  <w:tcBorders>
                    <w:tl2br w:val="nil"/>
                    <w:tr2bl w:val="nil"/>
                  </w:tcBorders>
                  <w:vAlign w:val="center"/>
                </w:tcPr>
                <w:p w14:paraId="521AD160">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约30人</w:t>
                  </w:r>
                </w:p>
              </w:tc>
              <w:tc>
                <w:tcPr>
                  <w:tcW w:w="791" w:type="pct"/>
                  <w:vMerge w:val="continue"/>
                  <w:tcBorders>
                    <w:tl2br w:val="nil"/>
                    <w:tr2bl w:val="nil"/>
                  </w:tcBorders>
                  <w:vAlign w:val="center"/>
                </w:tcPr>
                <w:p w14:paraId="2E4B6C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0F6A3F9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NE</w:t>
                  </w:r>
                </w:p>
              </w:tc>
              <w:tc>
                <w:tcPr>
                  <w:tcW w:w="710" w:type="pct"/>
                  <w:tcBorders>
                    <w:tl2br w:val="nil"/>
                    <w:tr2bl w:val="nil"/>
                  </w:tcBorders>
                  <w:vAlign w:val="center"/>
                </w:tcPr>
                <w:p w14:paraId="4BC93FAD">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205</w:t>
                  </w:r>
                </w:p>
              </w:tc>
            </w:tr>
            <w:tr w14:paraId="0A1D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6BC9A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东城英郡</w:t>
                  </w:r>
                </w:p>
              </w:tc>
              <w:tc>
                <w:tcPr>
                  <w:tcW w:w="437" w:type="pct"/>
                  <w:tcBorders>
                    <w:tl2br w:val="nil"/>
                    <w:tr2bl w:val="nil"/>
                  </w:tcBorders>
                  <w:vAlign w:val="center"/>
                </w:tcPr>
                <w:p w14:paraId="0468F0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-306</w:t>
                  </w:r>
                </w:p>
              </w:tc>
              <w:tc>
                <w:tcPr>
                  <w:tcW w:w="450" w:type="pct"/>
                  <w:tcBorders>
                    <w:tl2br w:val="nil"/>
                    <w:tr2bl w:val="nil"/>
                  </w:tcBorders>
                  <w:vAlign w:val="center"/>
                </w:tcPr>
                <w:p w14:paraId="042FC5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36</w:t>
                  </w:r>
                  <w:r>
                    <w:rPr>
                      <w:rFonts w:hint="eastAsia" w:ascii="Times New Roman" w:hAnsi="Times New Roman" w:cs="Times New Roman"/>
                      <w:color w:val="auto"/>
                      <w:sz w:val="21"/>
                      <w:szCs w:val="21"/>
                      <w:lang w:val="en-US" w:eastAsia="zh-CN"/>
                    </w:rPr>
                    <w:t>6</w:t>
                  </w:r>
                </w:p>
              </w:tc>
              <w:tc>
                <w:tcPr>
                  <w:tcW w:w="463" w:type="pct"/>
                  <w:tcBorders>
                    <w:tl2br w:val="nil"/>
                    <w:tr2bl w:val="nil"/>
                  </w:tcBorders>
                  <w:vAlign w:val="center"/>
                </w:tcPr>
                <w:p w14:paraId="5F67A5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居民</w:t>
                  </w:r>
                </w:p>
              </w:tc>
              <w:tc>
                <w:tcPr>
                  <w:tcW w:w="682" w:type="pct"/>
                  <w:tcBorders>
                    <w:tl2br w:val="nil"/>
                    <w:tr2bl w:val="nil"/>
                  </w:tcBorders>
                  <w:vAlign w:val="center"/>
                </w:tcPr>
                <w:p w14:paraId="761C2E4F">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约324人</w:t>
                  </w:r>
                </w:p>
              </w:tc>
              <w:tc>
                <w:tcPr>
                  <w:tcW w:w="791" w:type="pct"/>
                  <w:vMerge w:val="continue"/>
                  <w:tcBorders>
                    <w:tl2br w:val="nil"/>
                    <w:tr2bl w:val="nil"/>
                  </w:tcBorders>
                  <w:vAlign w:val="center"/>
                </w:tcPr>
                <w:p w14:paraId="569439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25ED7D54">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NW</w:t>
                  </w:r>
                </w:p>
              </w:tc>
              <w:tc>
                <w:tcPr>
                  <w:tcW w:w="710" w:type="pct"/>
                  <w:tcBorders>
                    <w:tl2br w:val="nil"/>
                    <w:tr2bl w:val="nil"/>
                  </w:tcBorders>
                  <w:vAlign w:val="center"/>
                </w:tcPr>
                <w:p w14:paraId="1E445D7F">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454</w:t>
                  </w:r>
                </w:p>
              </w:tc>
            </w:tr>
            <w:tr w14:paraId="4F8B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792CEA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和顺紫悦府</w:t>
                  </w:r>
                </w:p>
              </w:tc>
              <w:tc>
                <w:tcPr>
                  <w:tcW w:w="437" w:type="pct"/>
                  <w:tcBorders>
                    <w:tl2br w:val="nil"/>
                    <w:tr2bl w:val="nil"/>
                  </w:tcBorders>
                  <w:vAlign w:val="center"/>
                </w:tcPr>
                <w:p w14:paraId="236E56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163</w:t>
                  </w:r>
                </w:p>
              </w:tc>
              <w:tc>
                <w:tcPr>
                  <w:tcW w:w="450" w:type="pct"/>
                  <w:tcBorders>
                    <w:tl2br w:val="nil"/>
                    <w:tr2bl w:val="nil"/>
                  </w:tcBorders>
                  <w:vAlign w:val="center"/>
                </w:tcPr>
                <w:p w14:paraId="4925F6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399</w:t>
                  </w:r>
                </w:p>
              </w:tc>
              <w:tc>
                <w:tcPr>
                  <w:tcW w:w="463" w:type="pct"/>
                  <w:tcBorders>
                    <w:tl2br w:val="nil"/>
                    <w:tr2bl w:val="nil"/>
                  </w:tcBorders>
                  <w:vAlign w:val="center"/>
                </w:tcPr>
                <w:p w14:paraId="727FD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居民</w:t>
                  </w:r>
                </w:p>
              </w:tc>
              <w:tc>
                <w:tcPr>
                  <w:tcW w:w="682" w:type="pct"/>
                  <w:tcBorders>
                    <w:tl2br w:val="nil"/>
                    <w:tr2bl w:val="nil"/>
                  </w:tcBorders>
                  <w:vAlign w:val="center"/>
                </w:tcPr>
                <w:p w14:paraId="60BBB21A">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约648人</w:t>
                  </w:r>
                </w:p>
              </w:tc>
              <w:tc>
                <w:tcPr>
                  <w:tcW w:w="791" w:type="pct"/>
                  <w:vMerge w:val="continue"/>
                  <w:tcBorders>
                    <w:tl2br w:val="nil"/>
                    <w:tr2bl w:val="nil"/>
                  </w:tcBorders>
                  <w:vAlign w:val="center"/>
                </w:tcPr>
                <w:p w14:paraId="7E651C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1703769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NE</w:t>
                  </w:r>
                </w:p>
              </w:tc>
              <w:tc>
                <w:tcPr>
                  <w:tcW w:w="710" w:type="pct"/>
                  <w:tcBorders>
                    <w:tl2br w:val="nil"/>
                    <w:tr2bl w:val="nil"/>
                  </w:tcBorders>
                  <w:vAlign w:val="center"/>
                </w:tcPr>
                <w:p w14:paraId="4387759B">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334</w:t>
                  </w:r>
                </w:p>
              </w:tc>
            </w:tr>
            <w:tr w14:paraId="4B1A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619C22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泗县国际大酒店</w:t>
                  </w:r>
                </w:p>
              </w:tc>
              <w:tc>
                <w:tcPr>
                  <w:tcW w:w="437" w:type="pct"/>
                  <w:tcBorders>
                    <w:tl2br w:val="nil"/>
                    <w:tr2bl w:val="nil"/>
                  </w:tcBorders>
                  <w:vAlign w:val="center"/>
                </w:tcPr>
                <w:p w14:paraId="4B45BC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220</w:t>
                  </w:r>
                </w:p>
              </w:tc>
              <w:tc>
                <w:tcPr>
                  <w:tcW w:w="450" w:type="pct"/>
                  <w:tcBorders>
                    <w:tl2br w:val="nil"/>
                    <w:tr2bl w:val="nil"/>
                  </w:tcBorders>
                  <w:vAlign w:val="center"/>
                </w:tcPr>
                <w:p w14:paraId="6A6A46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463" w:type="pct"/>
                  <w:tcBorders>
                    <w:tl2br w:val="nil"/>
                    <w:tr2bl w:val="nil"/>
                  </w:tcBorders>
                  <w:vAlign w:val="center"/>
                </w:tcPr>
                <w:p w14:paraId="1056D4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s="Times New Roman"/>
                      <w:color w:val="auto"/>
                      <w:sz w:val="21"/>
                      <w:szCs w:val="21"/>
                      <w:lang w:val="en-US" w:eastAsia="zh-CN"/>
                    </w:rPr>
                    <w:t>人群</w:t>
                  </w:r>
                </w:p>
              </w:tc>
              <w:tc>
                <w:tcPr>
                  <w:tcW w:w="682" w:type="pct"/>
                  <w:tcBorders>
                    <w:tl2br w:val="nil"/>
                    <w:tr2bl w:val="nil"/>
                  </w:tcBorders>
                  <w:vAlign w:val="center"/>
                </w:tcPr>
                <w:p w14:paraId="73CDCB97">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约150人</w:t>
                  </w:r>
                </w:p>
              </w:tc>
              <w:tc>
                <w:tcPr>
                  <w:tcW w:w="791" w:type="pct"/>
                  <w:vMerge w:val="continue"/>
                  <w:tcBorders>
                    <w:tl2br w:val="nil"/>
                    <w:tr2bl w:val="nil"/>
                  </w:tcBorders>
                  <w:vAlign w:val="center"/>
                </w:tcPr>
                <w:p w14:paraId="65685E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宋体" w:cs="Times New Roman"/>
                      <w:color w:val="auto"/>
                      <w:sz w:val="21"/>
                      <w:szCs w:val="21"/>
                    </w:rPr>
                  </w:pPr>
                </w:p>
              </w:tc>
              <w:tc>
                <w:tcPr>
                  <w:tcW w:w="518" w:type="pct"/>
                  <w:tcBorders>
                    <w:tl2br w:val="nil"/>
                    <w:tr2bl w:val="nil"/>
                  </w:tcBorders>
                  <w:vAlign w:val="center"/>
                </w:tcPr>
                <w:p w14:paraId="7C222DD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E</w:t>
                  </w:r>
                </w:p>
              </w:tc>
              <w:tc>
                <w:tcPr>
                  <w:tcW w:w="710" w:type="pct"/>
                  <w:tcBorders>
                    <w:tl2br w:val="nil"/>
                    <w:tr2bl w:val="nil"/>
                  </w:tcBorders>
                  <w:vAlign w:val="center"/>
                </w:tcPr>
                <w:p w14:paraId="3FEFAB9E">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109</w:t>
                  </w:r>
                </w:p>
              </w:tc>
            </w:tr>
            <w:tr w14:paraId="2820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30D460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朝阳公馆</w:t>
                  </w:r>
                </w:p>
              </w:tc>
              <w:tc>
                <w:tcPr>
                  <w:tcW w:w="437" w:type="pct"/>
                  <w:tcBorders>
                    <w:tl2br w:val="nil"/>
                    <w:tr2bl w:val="nil"/>
                  </w:tcBorders>
                  <w:vAlign w:val="center"/>
                </w:tcPr>
                <w:p w14:paraId="4561E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130</w:t>
                  </w:r>
                </w:p>
              </w:tc>
              <w:tc>
                <w:tcPr>
                  <w:tcW w:w="450" w:type="pct"/>
                  <w:tcBorders>
                    <w:tl2br w:val="nil"/>
                    <w:tr2bl w:val="nil"/>
                  </w:tcBorders>
                  <w:vAlign w:val="center"/>
                </w:tcPr>
                <w:p w14:paraId="05E5D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120</w:t>
                  </w:r>
                </w:p>
              </w:tc>
              <w:tc>
                <w:tcPr>
                  <w:tcW w:w="463" w:type="pct"/>
                  <w:tcBorders>
                    <w:tl2br w:val="nil"/>
                    <w:tr2bl w:val="nil"/>
                  </w:tcBorders>
                  <w:vAlign w:val="center"/>
                </w:tcPr>
                <w:p w14:paraId="6837F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居民</w:t>
                  </w:r>
                </w:p>
              </w:tc>
              <w:tc>
                <w:tcPr>
                  <w:tcW w:w="682" w:type="pct"/>
                  <w:tcBorders>
                    <w:tl2br w:val="nil"/>
                    <w:tr2bl w:val="nil"/>
                  </w:tcBorders>
                  <w:vAlign w:val="center"/>
                </w:tcPr>
                <w:p w14:paraId="247A3E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约800人</w:t>
                  </w:r>
                </w:p>
              </w:tc>
              <w:tc>
                <w:tcPr>
                  <w:tcW w:w="791" w:type="pct"/>
                  <w:vMerge w:val="continue"/>
                  <w:tcBorders>
                    <w:tl2br w:val="nil"/>
                    <w:tr2bl w:val="nil"/>
                  </w:tcBorders>
                  <w:vAlign w:val="center"/>
                </w:tcPr>
                <w:p w14:paraId="36C853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518" w:type="pct"/>
                  <w:tcBorders>
                    <w:tl2br w:val="nil"/>
                    <w:tr2bl w:val="nil"/>
                  </w:tcBorders>
                  <w:vAlign w:val="center"/>
                </w:tcPr>
                <w:p w14:paraId="20E8A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NW</w:t>
                  </w:r>
                </w:p>
              </w:tc>
              <w:tc>
                <w:tcPr>
                  <w:tcW w:w="710" w:type="pct"/>
                  <w:tcBorders>
                    <w:tl2br w:val="nil"/>
                    <w:tr2bl w:val="nil"/>
                  </w:tcBorders>
                  <w:vAlign w:val="center"/>
                </w:tcPr>
                <w:p w14:paraId="22D6EF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124</w:t>
                  </w:r>
                </w:p>
              </w:tc>
            </w:tr>
            <w:tr w14:paraId="7131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4342B6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泗县社区矫正管理大队</w:t>
                  </w:r>
                </w:p>
              </w:tc>
              <w:tc>
                <w:tcPr>
                  <w:tcW w:w="437" w:type="pct"/>
                  <w:tcBorders>
                    <w:tl2br w:val="nil"/>
                    <w:tr2bl w:val="nil"/>
                  </w:tcBorders>
                  <w:vAlign w:val="center"/>
                </w:tcPr>
                <w:p w14:paraId="6BCBE8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-149</w:t>
                  </w:r>
                </w:p>
              </w:tc>
              <w:tc>
                <w:tcPr>
                  <w:tcW w:w="450" w:type="pct"/>
                  <w:tcBorders>
                    <w:tl2br w:val="nil"/>
                    <w:tr2bl w:val="nil"/>
                  </w:tcBorders>
                  <w:vAlign w:val="center"/>
                </w:tcPr>
                <w:p w14:paraId="27E448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116</w:t>
                  </w:r>
                </w:p>
              </w:tc>
              <w:tc>
                <w:tcPr>
                  <w:tcW w:w="463" w:type="pct"/>
                  <w:tcBorders>
                    <w:tl2br w:val="nil"/>
                    <w:tr2bl w:val="nil"/>
                  </w:tcBorders>
                  <w:vAlign w:val="center"/>
                </w:tcPr>
                <w:p w14:paraId="5403B4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人群</w:t>
                  </w:r>
                </w:p>
              </w:tc>
              <w:tc>
                <w:tcPr>
                  <w:tcW w:w="682" w:type="pct"/>
                  <w:tcBorders>
                    <w:tl2br w:val="nil"/>
                    <w:tr2bl w:val="nil"/>
                  </w:tcBorders>
                  <w:vAlign w:val="center"/>
                </w:tcPr>
                <w:p w14:paraId="4DC979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约30人</w:t>
                  </w:r>
                </w:p>
              </w:tc>
              <w:tc>
                <w:tcPr>
                  <w:tcW w:w="791" w:type="pct"/>
                  <w:vMerge w:val="continue"/>
                  <w:tcBorders>
                    <w:tl2br w:val="nil"/>
                    <w:tr2bl w:val="nil"/>
                  </w:tcBorders>
                  <w:vAlign w:val="center"/>
                </w:tcPr>
                <w:p w14:paraId="5B239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518" w:type="pct"/>
                  <w:tcBorders>
                    <w:tl2br w:val="nil"/>
                    <w:tr2bl w:val="nil"/>
                  </w:tcBorders>
                  <w:vAlign w:val="center"/>
                </w:tcPr>
                <w:p w14:paraId="2D8B22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NE</w:t>
                  </w:r>
                </w:p>
              </w:tc>
              <w:tc>
                <w:tcPr>
                  <w:tcW w:w="710" w:type="pct"/>
                  <w:tcBorders>
                    <w:tl2br w:val="nil"/>
                    <w:tr2bl w:val="nil"/>
                  </w:tcBorders>
                  <w:vAlign w:val="center"/>
                </w:tcPr>
                <w:p w14:paraId="132AF0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103</w:t>
                  </w:r>
                </w:p>
              </w:tc>
            </w:tr>
            <w:tr w14:paraId="49D9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73" w:hRule="atLeast"/>
              </w:trPr>
              <w:tc>
                <w:tcPr>
                  <w:tcW w:w="944" w:type="pct"/>
                  <w:tcBorders>
                    <w:tl2br w:val="nil"/>
                    <w:tr2bl w:val="nil"/>
                  </w:tcBorders>
                  <w:vAlign w:val="center"/>
                </w:tcPr>
                <w:p w14:paraId="2EA79D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泗县统计局</w:t>
                  </w:r>
                </w:p>
              </w:tc>
              <w:tc>
                <w:tcPr>
                  <w:tcW w:w="437" w:type="pct"/>
                  <w:tcBorders>
                    <w:tl2br w:val="nil"/>
                    <w:tr2bl w:val="nil"/>
                  </w:tcBorders>
                  <w:vAlign w:val="center"/>
                </w:tcPr>
                <w:p w14:paraId="12246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-512</w:t>
                  </w:r>
                </w:p>
              </w:tc>
              <w:tc>
                <w:tcPr>
                  <w:tcW w:w="450" w:type="pct"/>
                  <w:tcBorders>
                    <w:tl2br w:val="nil"/>
                    <w:tr2bl w:val="nil"/>
                  </w:tcBorders>
                  <w:vAlign w:val="center"/>
                </w:tcPr>
                <w:p w14:paraId="397221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400</w:t>
                  </w:r>
                </w:p>
              </w:tc>
              <w:tc>
                <w:tcPr>
                  <w:tcW w:w="463" w:type="pct"/>
                  <w:tcBorders>
                    <w:tl2br w:val="nil"/>
                    <w:tr2bl w:val="nil"/>
                  </w:tcBorders>
                  <w:vAlign w:val="center"/>
                </w:tcPr>
                <w:p w14:paraId="186825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人群</w:t>
                  </w:r>
                </w:p>
              </w:tc>
              <w:tc>
                <w:tcPr>
                  <w:tcW w:w="682" w:type="pct"/>
                  <w:tcBorders>
                    <w:tl2br w:val="nil"/>
                    <w:tr2bl w:val="nil"/>
                  </w:tcBorders>
                  <w:vAlign w:val="center"/>
                </w:tcPr>
                <w:p w14:paraId="263F56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约30人</w:t>
                  </w:r>
                </w:p>
              </w:tc>
              <w:tc>
                <w:tcPr>
                  <w:tcW w:w="791" w:type="pct"/>
                  <w:vMerge w:val="continue"/>
                  <w:tcBorders>
                    <w:tl2br w:val="nil"/>
                    <w:tr2bl w:val="nil"/>
                  </w:tcBorders>
                  <w:vAlign w:val="center"/>
                </w:tcPr>
                <w:p w14:paraId="7AF58B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518" w:type="pct"/>
                  <w:tcBorders>
                    <w:tl2br w:val="nil"/>
                    <w:tr2bl w:val="nil"/>
                  </w:tcBorders>
                  <w:vAlign w:val="center"/>
                </w:tcPr>
                <w:p w14:paraId="1EBA00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NE</w:t>
                  </w:r>
                </w:p>
              </w:tc>
              <w:tc>
                <w:tcPr>
                  <w:tcW w:w="710" w:type="pct"/>
                  <w:tcBorders>
                    <w:tl2br w:val="nil"/>
                    <w:tr2bl w:val="nil"/>
                  </w:tcBorders>
                  <w:vAlign w:val="center"/>
                </w:tcPr>
                <w:p w14:paraId="20A6C1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614</w:t>
                  </w:r>
                </w:p>
              </w:tc>
            </w:tr>
            <w:tr w14:paraId="5E32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8" w:hRule="atLeast"/>
              </w:trPr>
              <w:tc>
                <w:tcPr>
                  <w:tcW w:w="5000" w:type="pct"/>
                  <w:gridSpan w:val="8"/>
                  <w:tcBorders>
                    <w:tl2br w:val="nil"/>
                    <w:tr2bl w:val="nil"/>
                  </w:tcBorders>
                  <w:vAlign w:val="center"/>
                </w:tcPr>
                <w:p w14:paraId="34DCF139">
                  <w:pPr>
                    <w:pStyle w:val="10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left"/>
                    <w:textAlignment w:val="auto"/>
                    <w:rPr>
                      <w:rFonts w:hint="eastAsia"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bCs/>
                      <w:color w:val="auto"/>
                      <w:sz w:val="21"/>
                      <w:szCs w:val="21"/>
                    </w:rPr>
                    <w:t>注：以项目</w:t>
                  </w:r>
                  <w:r>
                    <w:rPr>
                      <w:rFonts w:hint="eastAsia" w:cs="Times New Roman"/>
                      <w:b/>
                      <w:bCs/>
                      <w:color w:val="auto"/>
                      <w:sz w:val="21"/>
                      <w:szCs w:val="21"/>
                      <w:lang w:val="en-US" w:eastAsia="zh-CN"/>
                    </w:rPr>
                    <w:t>院</w:t>
                  </w:r>
                  <w:r>
                    <w:rPr>
                      <w:rFonts w:hint="default" w:ascii="Times New Roman" w:hAnsi="Times New Roman" w:eastAsia="宋体" w:cs="Times New Roman"/>
                      <w:b/>
                      <w:bCs/>
                      <w:color w:val="auto"/>
                      <w:sz w:val="21"/>
                      <w:szCs w:val="21"/>
                    </w:rPr>
                    <w:t>区西</w:t>
                  </w:r>
                  <w:r>
                    <w:rPr>
                      <w:rFonts w:hint="eastAsia" w:cs="Times New Roman"/>
                      <w:b/>
                      <w:bCs/>
                      <w:color w:val="auto"/>
                      <w:sz w:val="21"/>
                      <w:szCs w:val="21"/>
                      <w:lang w:val="en-US" w:eastAsia="zh-CN"/>
                    </w:rPr>
                    <w:t>北</w:t>
                  </w:r>
                  <w:r>
                    <w:rPr>
                      <w:rFonts w:hint="default" w:ascii="Times New Roman" w:hAnsi="Times New Roman" w:eastAsia="宋体" w:cs="Times New Roman"/>
                      <w:b/>
                      <w:bCs/>
                      <w:color w:val="auto"/>
                      <w:sz w:val="21"/>
                      <w:szCs w:val="21"/>
                    </w:rPr>
                    <w:t>角为起始点坐标（0,0）</w:t>
                  </w:r>
                </w:p>
              </w:tc>
            </w:tr>
          </w:tbl>
          <w:p w14:paraId="608FCBBF">
            <w:pPr>
              <w:pStyle w:val="135"/>
              <w:snapToGrid w:val="0"/>
              <w:spacing w:line="360" w:lineRule="auto"/>
              <w:ind w:firstLine="478" w:firstLineChars="200"/>
              <w:rPr>
                <w:rFonts w:cs="宋体"/>
                <w:color w:val="auto"/>
                <w:sz w:val="24"/>
                <w:szCs w:val="24"/>
              </w:rPr>
            </w:pPr>
            <w:r>
              <w:rPr>
                <w:rFonts w:hint="eastAsia" w:cs="宋体"/>
                <w:b/>
                <w:bCs/>
                <w:color w:val="auto"/>
                <w:spacing w:val="-1"/>
                <w:sz w:val="24"/>
                <w:szCs w:val="24"/>
              </w:rPr>
              <w:t>2、地表水环境</w:t>
            </w:r>
          </w:p>
          <w:p w14:paraId="57D3AC86">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eastAsia" w:cs="Times New Roman"/>
                <w:b/>
                <w:color w:val="auto"/>
                <w:sz w:val="21"/>
                <w:szCs w:val="21"/>
                <w:lang w:val="en-US" w:eastAsia="zh-CN"/>
              </w:rPr>
              <w:t>3</w:t>
            </w:r>
            <w:r>
              <w:rPr>
                <w:rFonts w:hint="default" w:ascii="Times New Roman" w:hAnsi="Times New Roman" w:eastAsia="宋体" w:cs="Times New Roman"/>
                <w:b/>
                <w:color w:val="auto"/>
                <w:sz w:val="21"/>
                <w:szCs w:val="21"/>
              </w:rPr>
              <w:t xml:space="preserve"> 地表水保护目标</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1016"/>
              <w:gridCol w:w="1061"/>
              <w:gridCol w:w="2092"/>
              <w:gridCol w:w="1160"/>
              <w:gridCol w:w="1455"/>
            </w:tblGrid>
            <w:tr w14:paraId="0D48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0" w:type="pct"/>
                  <w:vMerge w:val="restart"/>
                  <w:vAlign w:val="center"/>
                </w:tcPr>
                <w:p w14:paraId="7DAB417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18"/>
                      <w:sz w:val="21"/>
                      <w:szCs w:val="21"/>
                    </w:rPr>
                  </w:pPr>
                  <w:r>
                    <w:rPr>
                      <w:rFonts w:hint="default" w:ascii="Times New Roman" w:hAnsi="Times New Roman" w:eastAsia="宋体" w:cs="Times New Roman"/>
                      <w:b/>
                      <w:color w:val="auto"/>
                      <w:kern w:val="18"/>
                      <w:sz w:val="21"/>
                      <w:szCs w:val="21"/>
                    </w:rPr>
                    <w:t>名称</w:t>
                  </w:r>
                </w:p>
              </w:tc>
              <w:tc>
                <w:tcPr>
                  <w:tcW w:w="647" w:type="pct"/>
                  <w:vMerge w:val="restart"/>
                  <w:vAlign w:val="center"/>
                </w:tcPr>
                <w:p w14:paraId="396585F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18"/>
                      <w:sz w:val="21"/>
                      <w:szCs w:val="21"/>
                    </w:rPr>
                  </w:pPr>
                  <w:r>
                    <w:rPr>
                      <w:rFonts w:hint="default" w:ascii="Times New Roman" w:hAnsi="Times New Roman" w:eastAsia="宋体" w:cs="Times New Roman"/>
                      <w:b/>
                      <w:color w:val="auto"/>
                      <w:kern w:val="18"/>
                      <w:sz w:val="21"/>
                      <w:szCs w:val="21"/>
                    </w:rPr>
                    <w:t>保护</w:t>
                  </w:r>
                </w:p>
                <w:p w14:paraId="1CDC138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18"/>
                      <w:sz w:val="21"/>
                      <w:szCs w:val="21"/>
                    </w:rPr>
                  </w:pPr>
                  <w:r>
                    <w:rPr>
                      <w:rFonts w:hint="default" w:ascii="Times New Roman" w:hAnsi="Times New Roman" w:eastAsia="宋体" w:cs="Times New Roman"/>
                      <w:b/>
                      <w:color w:val="auto"/>
                      <w:kern w:val="18"/>
                      <w:sz w:val="21"/>
                      <w:szCs w:val="21"/>
                    </w:rPr>
                    <w:t>对象</w:t>
                  </w:r>
                </w:p>
              </w:tc>
              <w:tc>
                <w:tcPr>
                  <w:tcW w:w="675" w:type="pct"/>
                  <w:vMerge w:val="restart"/>
                  <w:vAlign w:val="center"/>
                </w:tcPr>
                <w:p w14:paraId="733F7D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18"/>
                      <w:sz w:val="21"/>
                      <w:szCs w:val="21"/>
                    </w:rPr>
                  </w:pPr>
                  <w:r>
                    <w:rPr>
                      <w:rFonts w:hint="default" w:ascii="Times New Roman" w:hAnsi="Times New Roman" w:eastAsia="宋体" w:cs="Times New Roman"/>
                      <w:b/>
                      <w:color w:val="auto"/>
                      <w:kern w:val="18"/>
                      <w:sz w:val="21"/>
                      <w:szCs w:val="21"/>
                    </w:rPr>
                    <w:t>保护内容</w:t>
                  </w:r>
                </w:p>
              </w:tc>
              <w:tc>
                <w:tcPr>
                  <w:tcW w:w="1331" w:type="pct"/>
                  <w:vMerge w:val="restart"/>
                  <w:vAlign w:val="center"/>
                </w:tcPr>
                <w:p w14:paraId="159A75A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18"/>
                      <w:sz w:val="21"/>
                      <w:szCs w:val="21"/>
                    </w:rPr>
                  </w:pPr>
                  <w:r>
                    <w:rPr>
                      <w:rFonts w:hint="default" w:ascii="Times New Roman" w:hAnsi="Times New Roman" w:eastAsia="宋体" w:cs="Times New Roman"/>
                      <w:b/>
                      <w:color w:val="auto"/>
                      <w:kern w:val="18"/>
                      <w:sz w:val="21"/>
                      <w:szCs w:val="21"/>
                    </w:rPr>
                    <w:t>环境功能区</w:t>
                  </w:r>
                </w:p>
              </w:tc>
              <w:tc>
                <w:tcPr>
                  <w:tcW w:w="738" w:type="pct"/>
                  <w:vMerge w:val="restart"/>
                  <w:vAlign w:val="center"/>
                </w:tcPr>
                <w:p w14:paraId="60CAF2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18"/>
                      <w:sz w:val="21"/>
                      <w:szCs w:val="21"/>
                    </w:rPr>
                  </w:pPr>
                  <w:r>
                    <w:rPr>
                      <w:rFonts w:hint="default" w:ascii="Times New Roman" w:hAnsi="Times New Roman" w:eastAsia="宋体" w:cs="Times New Roman"/>
                      <w:b/>
                      <w:color w:val="auto"/>
                      <w:kern w:val="18"/>
                      <w:sz w:val="21"/>
                      <w:szCs w:val="21"/>
                    </w:rPr>
                    <w:t>相对距离/m</w:t>
                  </w:r>
                </w:p>
              </w:tc>
              <w:tc>
                <w:tcPr>
                  <w:tcW w:w="926" w:type="pct"/>
                  <w:vMerge w:val="restart"/>
                  <w:vAlign w:val="center"/>
                </w:tcPr>
                <w:p w14:paraId="6DDF9E6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color w:val="auto"/>
                      <w:kern w:val="18"/>
                      <w:sz w:val="21"/>
                      <w:szCs w:val="21"/>
                    </w:rPr>
                  </w:pPr>
                  <w:r>
                    <w:rPr>
                      <w:rFonts w:hint="default" w:ascii="Times New Roman" w:hAnsi="Times New Roman" w:eastAsia="宋体" w:cs="Times New Roman"/>
                      <w:b/>
                      <w:color w:val="auto"/>
                      <w:kern w:val="18"/>
                      <w:sz w:val="21"/>
                      <w:szCs w:val="21"/>
                    </w:rPr>
                    <w:t>与建设项目的水力联系</w:t>
                  </w:r>
                </w:p>
              </w:tc>
            </w:tr>
            <w:tr w14:paraId="66ED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80" w:type="pct"/>
                  <w:vMerge w:val="continue"/>
                  <w:vAlign w:val="center"/>
                </w:tcPr>
                <w:p w14:paraId="10EE3AD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color w:val="auto"/>
                      <w:kern w:val="18"/>
                      <w:sz w:val="21"/>
                      <w:szCs w:val="21"/>
                    </w:rPr>
                  </w:pPr>
                </w:p>
              </w:tc>
              <w:tc>
                <w:tcPr>
                  <w:tcW w:w="647" w:type="pct"/>
                  <w:vMerge w:val="continue"/>
                  <w:vAlign w:val="center"/>
                </w:tcPr>
                <w:p w14:paraId="3EED6E7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color w:val="auto"/>
                      <w:kern w:val="18"/>
                      <w:sz w:val="21"/>
                      <w:szCs w:val="21"/>
                    </w:rPr>
                  </w:pPr>
                </w:p>
              </w:tc>
              <w:tc>
                <w:tcPr>
                  <w:tcW w:w="675" w:type="pct"/>
                  <w:vMerge w:val="continue"/>
                  <w:vAlign w:val="center"/>
                </w:tcPr>
                <w:p w14:paraId="721C07F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color w:val="auto"/>
                      <w:kern w:val="18"/>
                      <w:sz w:val="21"/>
                      <w:szCs w:val="21"/>
                    </w:rPr>
                  </w:pPr>
                </w:p>
              </w:tc>
              <w:tc>
                <w:tcPr>
                  <w:tcW w:w="1331" w:type="pct"/>
                  <w:vMerge w:val="continue"/>
                  <w:vAlign w:val="center"/>
                </w:tcPr>
                <w:p w14:paraId="7249242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color w:val="auto"/>
                      <w:kern w:val="18"/>
                      <w:sz w:val="21"/>
                      <w:szCs w:val="21"/>
                    </w:rPr>
                  </w:pPr>
                </w:p>
              </w:tc>
              <w:tc>
                <w:tcPr>
                  <w:tcW w:w="738" w:type="pct"/>
                  <w:vMerge w:val="continue"/>
                  <w:vAlign w:val="center"/>
                </w:tcPr>
                <w:p w14:paraId="6DDA979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color w:val="auto"/>
                      <w:kern w:val="18"/>
                      <w:sz w:val="21"/>
                      <w:szCs w:val="21"/>
                    </w:rPr>
                  </w:pPr>
                </w:p>
              </w:tc>
              <w:tc>
                <w:tcPr>
                  <w:tcW w:w="926" w:type="pct"/>
                  <w:vMerge w:val="continue"/>
                  <w:vAlign w:val="center"/>
                </w:tcPr>
                <w:p w14:paraId="068B506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color w:val="auto"/>
                      <w:kern w:val="18"/>
                      <w:sz w:val="21"/>
                      <w:szCs w:val="21"/>
                    </w:rPr>
                  </w:pPr>
                </w:p>
              </w:tc>
            </w:tr>
            <w:tr w14:paraId="61EC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680" w:type="pct"/>
                  <w:vAlign w:val="center"/>
                </w:tcPr>
                <w:p w14:paraId="3124ACC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石梁河</w:t>
                  </w:r>
                </w:p>
              </w:tc>
              <w:tc>
                <w:tcPr>
                  <w:tcW w:w="647" w:type="pct"/>
                  <w:vAlign w:val="center"/>
                </w:tcPr>
                <w:p w14:paraId="7262F1A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石梁河</w:t>
                  </w:r>
                </w:p>
              </w:tc>
              <w:tc>
                <w:tcPr>
                  <w:tcW w:w="675" w:type="pct"/>
                  <w:vAlign w:val="center"/>
                </w:tcPr>
                <w:p w14:paraId="6CFA12D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331" w:type="pct"/>
                  <w:vAlign w:val="center"/>
                </w:tcPr>
                <w:p w14:paraId="1E38699D">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《地表水环境质量标准》（GB3838-2002）中Ⅲ类</w:t>
                  </w:r>
                </w:p>
              </w:tc>
              <w:tc>
                <w:tcPr>
                  <w:tcW w:w="738" w:type="pct"/>
                  <w:vAlign w:val="center"/>
                </w:tcPr>
                <w:p w14:paraId="319C5228">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2760</w:t>
                  </w:r>
                </w:p>
              </w:tc>
              <w:tc>
                <w:tcPr>
                  <w:tcW w:w="926" w:type="pct"/>
                  <w:vAlign w:val="center"/>
                </w:tcPr>
                <w:p w14:paraId="74D08270">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纳污河流</w:t>
                  </w:r>
                </w:p>
              </w:tc>
            </w:tr>
          </w:tbl>
          <w:p w14:paraId="49A44718">
            <w:pPr>
              <w:ind w:firstLine="482" w:firstLineChars="200"/>
              <w:rPr>
                <w:rFonts w:hint="eastAsia"/>
                <w:b/>
                <w:bCs/>
                <w:color w:val="auto"/>
              </w:rPr>
            </w:pPr>
            <w:r>
              <w:rPr>
                <w:rFonts w:hint="eastAsia"/>
                <w:b/>
                <w:bCs/>
                <w:color w:val="auto"/>
                <w:lang w:val="en-US" w:eastAsia="zh-CN"/>
              </w:rPr>
              <w:t>3</w:t>
            </w:r>
            <w:r>
              <w:rPr>
                <w:rFonts w:hint="eastAsia"/>
                <w:b/>
                <w:bCs/>
                <w:color w:val="auto"/>
              </w:rPr>
              <w:t>、声环境</w:t>
            </w:r>
          </w:p>
          <w:p w14:paraId="4189090E">
            <w:pPr>
              <w:ind w:firstLine="480" w:firstLineChars="200"/>
              <w:rPr>
                <w:rFonts w:hint="eastAsia"/>
                <w:color w:val="auto"/>
              </w:rPr>
            </w:pPr>
            <w:r>
              <w:rPr>
                <w:rFonts w:hint="eastAsia"/>
                <w:color w:val="auto"/>
              </w:rPr>
              <w:t>本项目厂界外50m范围</w:t>
            </w:r>
            <w:r>
              <w:rPr>
                <w:rFonts w:hint="eastAsia"/>
                <w:color w:val="auto"/>
                <w:lang w:val="en-US" w:eastAsia="zh-CN"/>
              </w:rPr>
              <w:t>无环境保护目标</w:t>
            </w:r>
            <w:r>
              <w:rPr>
                <w:rFonts w:hint="eastAsia"/>
                <w:color w:val="auto"/>
              </w:rPr>
              <w:t>。</w:t>
            </w:r>
          </w:p>
          <w:p w14:paraId="609BB676">
            <w:pPr>
              <w:ind w:firstLine="482" w:firstLineChars="200"/>
              <w:rPr>
                <w:rFonts w:hint="eastAsia"/>
                <w:b/>
                <w:bCs/>
                <w:color w:val="auto"/>
              </w:rPr>
            </w:pPr>
            <w:r>
              <w:rPr>
                <w:rFonts w:hint="eastAsia"/>
                <w:b/>
                <w:bCs/>
                <w:color w:val="auto"/>
                <w:lang w:val="en-US" w:eastAsia="zh-CN"/>
              </w:rPr>
              <w:t>4</w:t>
            </w:r>
            <w:r>
              <w:rPr>
                <w:rFonts w:hint="eastAsia"/>
                <w:b/>
                <w:bCs/>
                <w:color w:val="auto"/>
              </w:rPr>
              <w:t>、地下水环境</w:t>
            </w:r>
          </w:p>
          <w:p w14:paraId="0AC261EC">
            <w:pPr>
              <w:ind w:firstLine="480" w:firstLineChars="200"/>
              <w:rPr>
                <w:rFonts w:hint="eastAsia"/>
                <w:color w:val="auto"/>
              </w:rPr>
            </w:pPr>
            <w:r>
              <w:rPr>
                <w:rFonts w:hint="eastAsia"/>
                <w:color w:val="auto"/>
              </w:rPr>
              <w:t>本项目边界外500 米范围内无地下水集中式饮用水水源和热水、矿泉水、温泉等特殊地下水资源。</w:t>
            </w:r>
          </w:p>
          <w:p w14:paraId="769D088B">
            <w:pPr>
              <w:ind w:firstLine="482" w:firstLineChars="200"/>
              <w:rPr>
                <w:rFonts w:hint="eastAsia"/>
                <w:b/>
                <w:bCs/>
                <w:color w:val="auto"/>
              </w:rPr>
            </w:pPr>
            <w:r>
              <w:rPr>
                <w:rFonts w:hint="eastAsia"/>
                <w:b/>
                <w:bCs/>
                <w:color w:val="auto"/>
                <w:lang w:val="en-US" w:eastAsia="zh-CN"/>
              </w:rPr>
              <w:t>5</w:t>
            </w:r>
            <w:r>
              <w:rPr>
                <w:rFonts w:hint="eastAsia"/>
                <w:b/>
                <w:bCs/>
                <w:color w:val="auto"/>
              </w:rPr>
              <w:t>、生态环境</w:t>
            </w:r>
          </w:p>
          <w:p w14:paraId="6C4FB839">
            <w:pPr>
              <w:ind w:firstLine="480" w:firstLineChars="200"/>
              <w:rPr>
                <w:rFonts w:hint="eastAsia"/>
                <w:color w:val="auto"/>
              </w:rPr>
            </w:pPr>
            <w:r>
              <w:rPr>
                <w:rFonts w:hint="eastAsia"/>
                <w:color w:val="auto"/>
              </w:rPr>
              <w:t>本项目</w:t>
            </w:r>
            <w:r>
              <w:rPr>
                <w:rFonts w:hint="eastAsia"/>
                <w:color w:val="auto"/>
                <w:lang w:val="en-US" w:eastAsia="zh-CN"/>
              </w:rPr>
              <w:t>周边主要为办公区域和居民区，无生态环境保护目标</w:t>
            </w:r>
            <w:r>
              <w:rPr>
                <w:rFonts w:hint="eastAsia"/>
                <w:color w:val="auto"/>
              </w:rPr>
              <w:t>。</w:t>
            </w:r>
          </w:p>
          <w:p w14:paraId="2A688BB6">
            <w:pPr>
              <w:ind w:firstLine="482" w:firstLineChars="200"/>
              <w:rPr>
                <w:b/>
                <w:bCs/>
                <w:color w:val="auto"/>
              </w:rPr>
            </w:pPr>
            <w:r>
              <w:rPr>
                <w:rFonts w:hint="eastAsia"/>
                <w:b/>
                <w:bCs/>
                <w:color w:val="auto"/>
                <w:lang w:val="en-US" w:eastAsia="zh-CN"/>
              </w:rPr>
              <w:t>6</w:t>
            </w:r>
            <w:r>
              <w:rPr>
                <w:b/>
                <w:bCs/>
                <w:color w:val="auto"/>
              </w:rPr>
              <w:t>、电磁辐射</w:t>
            </w:r>
          </w:p>
          <w:p w14:paraId="15A53AE4">
            <w:pPr>
              <w:spacing w:line="360" w:lineRule="auto"/>
              <w:ind w:firstLine="480" w:firstLineChars="200"/>
              <w:rPr>
                <w:rFonts w:hint="default"/>
                <w:color w:val="auto"/>
                <w:lang w:val="en-US" w:eastAsia="zh-CN"/>
              </w:rPr>
            </w:pPr>
            <w:r>
              <w:rPr>
                <w:color w:val="auto"/>
                <w:szCs w:val="21"/>
              </w:rPr>
              <w:t>项目建设运营的辐射影响，不在本次评价范围之内，建设单位须依据《中华人民共和国环境影响评价法》、《建设项目环境保护管理条例》以及《关于加强危险废物医疗废物和放射性废物处置工程建设项目环境影响评价管理工作的通知》（环办〔2004〕11号）等相关规定以及有关部门的要求另作辐射环评</w:t>
            </w:r>
            <w:r>
              <w:rPr>
                <w:rFonts w:hint="eastAsia"/>
                <w:color w:val="auto"/>
              </w:rPr>
              <w:t>。</w:t>
            </w:r>
          </w:p>
        </w:tc>
      </w:tr>
      <w:tr w14:paraId="3AD42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dxa"/>
            <w:noWrap w:val="0"/>
            <w:tcMar>
              <w:left w:w="28" w:type="dxa"/>
              <w:right w:w="28" w:type="dxa"/>
            </w:tcMar>
            <w:vAlign w:val="center"/>
          </w:tcPr>
          <w:p w14:paraId="503C1A69">
            <w:pPr>
              <w:adjustRightInd w:val="0"/>
              <w:snapToGrid w:val="0"/>
              <w:ind w:left="0" w:leftChars="0" w:firstLine="0" w:firstLineChars="0"/>
              <w:jc w:val="center"/>
              <w:rPr>
                <w:rFonts w:cs="Times New Roman"/>
                <w:color w:val="auto"/>
                <w:kern w:val="0"/>
              </w:rPr>
            </w:pPr>
            <w:r>
              <w:rPr>
                <w:rFonts w:ascii="Times New Roman" w:hAnsi="Times New Roman" w:eastAsia="宋体" w:cs="Times New Roman"/>
                <w:b/>
                <w:bCs/>
                <w:color w:val="auto"/>
                <w:kern w:val="0"/>
                <w:szCs w:val="24"/>
              </w:rPr>
              <w:t>污染物排放控制标准</w:t>
            </w:r>
          </w:p>
        </w:tc>
        <w:tc>
          <w:tcPr>
            <w:tcW w:w="8078" w:type="dxa"/>
            <w:noWrap w:val="0"/>
            <w:vAlign w:val="center"/>
          </w:tcPr>
          <w:p w14:paraId="28E88862">
            <w:pPr>
              <w:ind w:firstLine="482" w:firstLineChars="200"/>
              <w:rPr>
                <w:rFonts w:hint="default" w:eastAsia="宋体" w:cs="Times New Roman"/>
                <w:b/>
                <w:color w:val="auto"/>
                <w:lang w:val="en-US" w:eastAsia="zh-CN"/>
              </w:rPr>
            </w:pPr>
            <w:r>
              <w:rPr>
                <w:rFonts w:cs="Times New Roman"/>
                <w:b/>
                <w:color w:val="auto"/>
              </w:rPr>
              <w:t>1、水</w:t>
            </w:r>
            <w:r>
              <w:rPr>
                <w:rFonts w:hint="eastAsia" w:cs="Times New Roman"/>
                <w:b/>
                <w:color w:val="auto"/>
                <w:lang w:val="en-US" w:eastAsia="zh-CN"/>
              </w:rPr>
              <w:t>污染物排放标准</w:t>
            </w:r>
          </w:p>
          <w:p w14:paraId="454F74EA">
            <w:pPr>
              <w:ind w:firstLine="480" w:firstLineChars="200"/>
              <w:rPr>
                <w:bCs/>
                <w:color w:val="auto"/>
              </w:rPr>
            </w:pPr>
            <w:r>
              <w:rPr>
                <w:color w:val="auto"/>
              </w:rPr>
              <w:t>运</w:t>
            </w:r>
            <w:r>
              <w:rPr>
                <w:rFonts w:hint="eastAsia"/>
                <w:color w:val="auto"/>
                <w:lang w:eastAsia="zh-CN"/>
              </w:rPr>
              <w:t>营</w:t>
            </w:r>
            <w:r>
              <w:rPr>
                <w:color w:val="auto"/>
              </w:rPr>
              <w:t>期产生的废水主要是</w:t>
            </w:r>
            <w:r>
              <w:rPr>
                <w:rFonts w:hint="eastAsia"/>
                <w:color w:val="auto"/>
                <w:lang w:val="en-US" w:eastAsia="zh-CN"/>
              </w:rPr>
              <w:t>医疗</w:t>
            </w:r>
            <w:r>
              <w:rPr>
                <w:rFonts w:hint="eastAsia"/>
                <w:color w:val="auto"/>
              </w:rPr>
              <w:t>废水</w:t>
            </w:r>
            <w:r>
              <w:rPr>
                <w:rFonts w:hint="eastAsia"/>
                <w:color w:val="auto"/>
                <w:lang w:val="en-US" w:eastAsia="zh-CN"/>
              </w:rPr>
              <w:t>和食堂废水</w:t>
            </w:r>
            <w:r>
              <w:rPr>
                <w:color w:val="auto"/>
              </w:rPr>
              <w:t>，执行《医疗机构水污染物排放标准》</w:t>
            </w:r>
            <w:r>
              <w:rPr>
                <w:rFonts w:hint="eastAsia"/>
                <w:color w:val="auto"/>
                <w:lang w:eastAsia="zh-CN"/>
              </w:rPr>
              <w:t>（</w:t>
            </w:r>
            <w:r>
              <w:rPr>
                <w:color w:val="auto"/>
              </w:rPr>
              <w:t>GB18466-2005</w:t>
            </w:r>
            <w:r>
              <w:rPr>
                <w:rFonts w:hint="eastAsia"/>
                <w:color w:val="auto"/>
                <w:lang w:eastAsia="zh-CN"/>
              </w:rPr>
              <w:t>）</w:t>
            </w:r>
            <w:r>
              <w:rPr>
                <w:color w:val="auto"/>
              </w:rPr>
              <w:t>表</w:t>
            </w:r>
            <w:r>
              <w:rPr>
                <w:rFonts w:hint="eastAsia"/>
                <w:color w:val="auto"/>
              </w:rPr>
              <w:t>2</w:t>
            </w:r>
            <w:r>
              <w:rPr>
                <w:color w:val="auto"/>
              </w:rPr>
              <w:t>中</w:t>
            </w:r>
            <w:r>
              <w:rPr>
                <w:rFonts w:hint="eastAsia"/>
                <w:color w:val="auto"/>
              </w:rPr>
              <w:t>综合医疗机构和其他医疗机构水污染物排放标准限值，</w:t>
            </w:r>
            <w:r>
              <w:rPr>
                <w:color w:val="auto"/>
              </w:rPr>
              <w:t>并满足</w:t>
            </w:r>
            <w:r>
              <w:rPr>
                <w:rFonts w:hint="eastAsia"/>
                <w:color w:val="auto"/>
              </w:rPr>
              <w:t>泗县</w:t>
            </w:r>
            <w:r>
              <w:rPr>
                <w:color w:val="auto"/>
              </w:rPr>
              <w:t>污水处理厂接管要求。</w:t>
            </w:r>
            <w:r>
              <w:rPr>
                <w:bCs/>
                <w:color w:val="auto"/>
              </w:rPr>
              <w:t>具体标准值如下表：</w:t>
            </w:r>
          </w:p>
          <w:p w14:paraId="66E93F79">
            <w:pPr>
              <w:bidi w:val="0"/>
              <w:spacing w:line="240" w:lineRule="auto"/>
              <w:jc w:val="center"/>
              <w:rPr>
                <w:rFonts w:hint="eastAsia"/>
                <w:b/>
                <w:bCs/>
                <w:sz w:val="21"/>
                <w:szCs w:val="21"/>
              </w:rPr>
            </w:pPr>
            <w:r>
              <w:rPr>
                <w:rFonts w:hint="eastAsia"/>
                <w:b/>
                <w:bCs/>
                <w:sz w:val="21"/>
                <w:szCs w:val="21"/>
              </w:rPr>
              <w:t>表3-</w:t>
            </w:r>
            <w:r>
              <w:rPr>
                <w:rFonts w:hint="eastAsia"/>
                <w:b/>
                <w:bCs/>
                <w:sz w:val="21"/>
                <w:szCs w:val="21"/>
                <w:lang w:val="en-US" w:eastAsia="zh-CN"/>
              </w:rPr>
              <w:t>4</w:t>
            </w:r>
            <w:r>
              <w:rPr>
                <w:rFonts w:hint="eastAsia"/>
                <w:b/>
                <w:bCs/>
                <w:sz w:val="21"/>
                <w:szCs w:val="21"/>
              </w:rPr>
              <w:t xml:space="preserve"> 废水排放标准</w:t>
            </w:r>
          </w:p>
          <w:tbl>
            <w:tblPr>
              <w:tblStyle w:val="142"/>
              <w:tblW w:w="79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9"/>
              <w:gridCol w:w="1191"/>
              <w:gridCol w:w="710"/>
              <w:gridCol w:w="474"/>
              <w:gridCol w:w="611"/>
              <w:gridCol w:w="511"/>
              <w:gridCol w:w="499"/>
              <w:gridCol w:w="586"/>
              <w:gridCol w:w="985"/>
              <w:gridCol w:w="886"/>
              <w:gridCol w:w="504"/>
            </w:tblGrid>
            <w:tr w14:paraId="05EA4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2150" w:type="dxa"/>
                  <w:gridSpan w:val="2"/>
                  <w:vAlign w:val="center"/>
                </w:tcPr>
                <w:p w14:paraId="6F3AF80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4"/>
                      <w:sz w:val="18"/>
                      <w:szCs w:val="18"/>
                    </w:rPr>
                    <w:t>项目废水污染物</w:t>
                  </w:r>
                </w:p>
              </w:tc>
              <w:tc>
                <w:tcPr>
                  <w:tcW w:w="710" w:type="dxa"/>
                  <w:vAlign w:val="center"/>
                </w:tcPr>
                <w:p w14:paraId="3464362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4"/>
                      <w:sz w:val="18"/>
                      <w:szCs w:val="18"/>
                    </w:rPr>
                    <w:t>pH</w:t>
                  </w:r>
                </w:p>
              </w:tc>
              <w:tc>
                <w:tcPr>
                  <w:tcW w:w="474" w:type="dxa"/>
                  <w:vAlign w:val="center"/>
                </w:tcPr>
                <w:p w14:paraId="7D10707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4"/>
                      <w:sz w:val="18"/>
                      <w:szCs w:val="18"/>
                    </w:rPr>
                    <w:t>COD</w:t>
                  </w:r>
                </w:p>
              </w:tc>
              <w:tc>
                <w:tcPr>
                  <w:tcW w:w="611" w:type="dxa"/>
                  <w:vAlign w:val="center"/>
                </w:tcPr>
                <w:p w14:paraId="3DA9600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pacing w:val="-4"/>
                      <w:sz w:val="18"/>
                      <w:szCs w:val="18"/>
                    </w:rPr>
                    <w:t>BOD</w:t>
                  </w:r>
                  <w:r>
                    <w:rPr>
                      <w:rFonts w:hint="eastAsia" w:ascii="Times New Roman" w:hAnsi="Times New Roman" w:cs="Times New Roman"/>
                      <w:b/>
                      <w:bCs/>
                      <w:color w:val="auto"/>
                      <w:spacing w:val="-4"/>
                      <w:sz w:val="18"/>
                      <w:szCs w:val="18"/>
                      <w:vertAlign w:val="subscript"/>
                      <w:lang w:val="en-US" w:eastAsia="zh-CN"/>
                    </w:rPr>
                    <w:t>5</w:t>
                  </w:r>
                </w:p>
              </w:tc>
              <w:tc>
                <w:tcPr>
                  <w:tcW w:w="511" w:type="dxa"/>
                  <w:vAlign w:val="center"/>
                </w:tcPr>
                <w:p w14:paraId="658DAB8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7"/>
                      <w:sz w:val="18"/>
                      <w:szCs w:val="18"/>
                    </w:rPr>
                    <w:t>SS</w:t>
                  </w:r>
                </w:p>
              </w:tc>
              <w:tc>
                <w:tcPr>
                  <w:tcW w:w="499" w:type="dxa"/>
                  <w:vAlign w:val="center"/>
                </w:tcPr>
                <w:p w14:paraId="49EB5F1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b/>
                      <w:bCs/>
                      <w:color w:val="auto"/>
                      <w:spacing w:val="-3"/>
                      <w:sz w:val="18"/>
                      <w:szCs w:val="18"/>
                      <w:lang w:eastAsia="zh-CN"/>
                    </w:rPr>
                    <w:t>氨氮</w:t>
                  </w:r>
                </w:p>
              </w:tc>
              <w:tc>
                <w:tcPr>
                  <w:tcW w:w="586" w:type="dxa"/>
                  <w:vAlign w:val="center"/>
                </w:tcPr>
                <w:p w14:paraId="614D01A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6"/>
                      <w:sz w:val="18"/>
                      <w:szCs w:val="18"/>
                    </w:rPr>
                    <w:t>动植物</w:t>
                  </w:r>
                  <w:r>
                    <w:rPr>
                      <w:rFonts w:hint="default" w:ascii="Times New Roman" w:hAnsi="Times New Roman" w:eastAsia="宋体" w:cs="Times New Roman"/>
                      <w:color w:val="auto"/>
                      <w:spacing w:val="1"/>
                      <w:sz w:val="18"/>
                      <w:szCs w:val="18"/>
                    </w:rPr>
                    <w:t xml:space="preserve"> </w:t>
                  </w:r>
                  <w:r>
                    <w:rPr>
                      <w:rFonts w:hint="default" w:ascii="Times New Roman" w:hAnsi="Times New Roman" w:eastAsia="宋体" w:cs="Times New Roman"/>
                      <w:b/>
                      <w:bCs/>
                      <w:color w:val="auto"/>
                      <w:spacing w:val="-3"/>
                      <w:sz w:val="18"/>
                      <w:szCs w:val="18"/>
                    </w:rPr>
                    <w:t>油</w:t>
                  </w:r>
                </w:p>
              </w:tc>
              <w:tc>
                <w:tcPr>
                  <w:tcW w:w="985" w:type="dxa"/>
                  <w:vAlign w:val="center"/>
                </w:tcPr>
                <w:p w14:paraId="3635071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5"/>
                      <w:sz w:val="18"/>
                      <w:szCs w:val="18"/>
                    </w:rPr>
                    <w:t>粪大肠菌群</w:t>
                  </w:r>
                  <w:r>
                    <w:rPr>
                      <w:rFonts w:hint="default" w:ascii="Times New Roman" w:hAnsi="Times New Roman" w:eastAsia="宋体" w:cs="Times New Roman"/>
                      <w:color w:val="auto"/>
                      <w:spacing w:val="3"/>
                      <w:sz w:val="18"/>
                      <w:szCs w:val="18"/>
                    </w:rPr>
                    <w:t xml:space="preserve"> </w:t>
                  </w:r>
                  <w:r>
                    <w:rPr>
                      <w:rFonts w:hint="default" w:ascii="Times New Roman" w:hAnsi="Times New Roman" w:eastAsia="宋体" w:cs="Times New Roman"/>
                      <w:b/>
                      <w:bCs/>
                      <w:color w:val="auto"/>
                      <w:spacing w:val="5"/>
                      <w:sz w:val="18"/>
                      <w:szCs w:val="18"/>
                    </w:rPr>
                    <w:t>(MPN//L)</w:t>
                  </w:r>
                </w:p>
              </w:tc>
              <w:tc>
                <w:tcPr>
                  <w:tcW w:w="886" w:type="dxa"/>
                  <w:vAlign w:val="center"/>
                </w:tcPr>
                <w:p w14:paraId="6138DF1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val="0"/>
                      <w:color w:val="auto"/>
                      <w:spacing w:val="-5"/>
                      <w:sz w:val="18"/>
                      <w:szCs w:val="18"/>
                    </w:rPr>
                  </w:pPr>
                  <w:r>
                    <w:rPr>
                      <w:rFonts w:hint="eastAsia"/>
                      <w:b/>
                      <w:bCs w:val="0"/>
                      <w:color w:val="auto"/>
                      <w:sz w:val="18"/>
                      <w:szCs w:val="18"/>
                    </w:rPr>
                    <w:t>阴离子表面活性剂</w:t>
                  </w:r>
                </w:p>
              </w:tc>
              <w:tc>
                <w:tcPr>
                  <w:tcW w:w="504" w:type="dxa"/>
                  <w:vAlign w:val="center"/>
                </w:tcPr>
                <w:p w14:paraId="10ECE1C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eastAsia="宋体"/>
                      <w:b/>
                      <w:bCs w:val="0"/>
                      <w:color w:val="auto"/>
                      <w:sz w:val="18"/>
                      <w:szCs w:val="18"/>
                      <w:lang w:val="en-US" w:eastAsia="zh-CN"/>
                    </w:rPr>
                  </w:pPr>
                  <w:r>
                    <w:rPr>
                      <w:rFonts w:hint="eastAsia"/>
                      <w:b/>
                      <w:bCs w:val="0"/>
                      <w:color w:val="auto"/>
                      <w:sz w:val="18"/>
                      <w:szCs w:val="18"/>
                      <w:lang w:eastAsia="zh-CN"/>
                    </w:rPr>
                    <w:t>总余氯</w:t>
                  </w:r>
                  <w:r>
                    <w:rPr>
                      <w:rFonts w:hint="eastAsia"/>
                      <w:b/>
                      <w:bCs w:val="0"/>
                      <w:color w:val="auto"/>
                      <w:sz w:val="18"/>
                      <w:szCs w:val="18"/>
                      <w:vertAlign w:val="superscript"/>
                      <w:lang w:val="en-US" w:eastAsia="zh-CN"/>
                    </w:rPr>
                    <w:t>1），2）</w:t>
                  </w:r>
                </w:p>
              </w:tc>
            </w:tr>
            <w:tr w14:paraId="5063C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959" w:type="dxa"/>
                  <w:vMerge w:val="restart"/>
                  <w:tcBorders>
                    <w:bottom w:val="nil"/>
                  </w:tcBorders>
                  <w:vAlign w:val="center"/>
                </w:tcPr>
                <w:p w14:paraId="0B13020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1"/>
                      <w:sz w:val="18"/>
                      <w:szCs w:val="18"/>
                    </w:rPr>
                    <w:t>GB18466-2005</w:t>
                  </w:r>
                  <w:r>
                    <w:rPr>
                      <w:rFonts w:hint="default" w:ascii="Times New Roman" w:hAnsi="Times New Roman" w:eastAsia="宋体" w:cs="Times New Roman"/>
                      <w:color w:val="auto"/>
                      <w:spacing w:val="-2"/>
                      <w:sz w:val="18"/>
                      <w:szCs w:val="18"/>
                    </w:rPr>
                    <w:t>预处理标准</w:t>
                  </w:r>
                  <w:r>
                    <w:rPr>
                      <w:rFonts w:hint="eastAsia" w:ascii="Times New Roman" w:hAnsi="Times New Roman" w:cs="Times New Roman"/>
                      <w:color w:val="auto"/>
                      <w:spacing w:val="-2"/>
                      <w:sz w:val="18"/>
                      <w:szCs w:val="18"/>
                      <w:lang w:eastAsia="zh-CN"/>
                    </w:rPr>
                    <w:t>（</w:t>
                  </w:r>
                  <w:r>
                    <w:rPr>
                      <w:rFonts w:hint="default" w:ascii="Times New Roman" w:hAnsi="Times New Roman" w:eastAsia="宋体" w:cs="Times New Roman"/>
                      <w:color w:val="auto"/>
                      <w:spacing w:val="-7"/>
                      <w:sz w:val="18"/>
                      <w:szCs w:val="18"/>
                    </w:rPr>
                    <w:t>mg/l)</w:t>
                  </w:r>
                </w:p>
              </w:tc>
              <w:tc>
                <w:tcPr>
                  <w:tcW w:w="1191" w:type="dxa"/>
                  <w:vAlign w:val="center"/>
                </w:tcPr>
                <w:p w14:paraId="109DBF1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0"/>
                      <w:position w:val="0"/>
                      <w:sz w:val="18"/>
                      <w:szCs w:val="18"/>
                    </w:rPr>
                    <w:t>浓度限值</w:t>
                  </w:r>
                  <w:r>
                    <w:rPr>
                      <w:rFonts w:hint="eastAsia" w:ascii="Times New Roman" w:hAnsi="Times New Roman" w:cs="Times New Roman"/>
                      <w:color w:val="auto"/>
                      <w:spacing w:val="0"/>
                      <w:position w:val="0"/>
                      <w:sz w:val="18"/>
                      <w:szCs w:val="18"/>
                      <w:lang w:eastAsia="zh-CN"/>
                    </w:rPr>
                    <w:t>（</w:t>
                  </w:r>
                  <w:r>
                    <w:rPr>
                      <w:rFonts w:hint="default" w:ascii="Times New Roman" w:hAnsi="Times New Roman" w:eastAsia="宋体" w:cs="Times New Roman"/>
                      <w:color w:val="auto"/>
                      <w:spacing w:val="0"/>
                      <w:position w:val="0"/>
                      <w:sz w:val="18"/>
                      <w:szCs w:val="18"/>
                    </w:rPr>
                    <w:t>mg/l)</w:t>
                  </w:r>
                </w:p>
              </w:tc>
              <w:tc>
                <w:tcPr>
                  <w:tcW w:w="710" w:type="dxa"/>
                  <w:vAlign w:val="center"/>
                </w:tcPr>
                <w:p w14:paraId="11FAB79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6-9</w:t>
                  </w:r>
                </w:p>
              </w:tc>
              <w:tc>
                <w:tcPr>
                  <w:tcW w:w="474" w:type="dxa"/>
                  <w:vAlign w:val="center"/>
                </w:tcPr>
                <w:p w14:paraId="6341500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250</w:t>
                  </w:r>
                </w:p>
              </w:tc>
              <w:tc>
                <w:tcPr>
                  <w:tcW w:w="611" w:type="dxa"/>
                  <w:vAlign w:val="center"/>
                </w:tcPr>
                <w:p w14:paraId="482BFB8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100</w:t>
                  </w:r>
                </w:p>
              </w:tc>
              <w:tc>
                <w:tcPr>
                  <w:tcW w:w="511" w:type="dxa"/>
                  <w:vAlign w:val="center"/>
                </w:tcPr>
                <w:p w14:paraId="1A5A3D3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60</w:t>
                  </w:r>
                </w:p>
              </w:tc>
              <w:tc>
                <w:tcPr>
                  <w:tcW w:w="499" w:type="dxa"/>
                  <w:vAlign w:val="center"/>
                </w:tcPr>
                <w:p w14:paraId="7E896B9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pacing w:val="-1"/>
                      <w:sz w:val="18"/>
                      <w:szCs w:val="18"/>
                      <w:lang w:val="en-US" w:eastAsia="zh-CN"/>
                    </w:rPr>
                    <w:t>/</w:t>
                  </w:r>
                </w:p>
              </w:tc>
              <w:tc>
                <w:tcPr>
                  <w:tcW w:w="586" w:type="dxa"/>
                  <w:vAlign w:val="center"/>
                </w:tcPr>
                <w:p w14:paraId="179C163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20</w:t>
                  </w:r>
                </w:p>
              </w:tc>
              <w:tc>
                <w:tcPr>
                  <w:tcW w:w="985" w:type="dxa"/>
                  <w:vAlign w:val="center"/>
                </w:tcPr>
                <w:p w14:paraId="7ECF3F8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5000</w:t>
                  </w:r>
                </w:p>
              </w:tc>
              <w:tc>
                <w:tcPr>
                  <w:tcW w:w="886" w:type="dxa"/>
                  <w:vAlign w:val="center"/>
                </w:tcPr>
                <w:p w14:paraId="79E4B48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3"/>
                      <w:sz w:val="18"/>
                      <w:szCs w:val="18"/>
                      <w:lang w:val="en-US" w:eastAsia="zh-CN"/>
                    </w:rPr>
                  </w:pPr>
                  <w:r>
                    <w:rPr>
                      <w:rFonts w:hint="eastAsia" w:ascii="Times New Roman" w:hAnsi="Times New Roman" w:eastAsia="宋体" w:cs="Times New Roman"/>
                      <w:color w:val="auto"/>
                      <w:spacing w:val="-3"/>
                      <w:sz w:val="18"/>
                      <w:szCs w:val="18"/>
                      <w:lang w:val="en-US" w:eastAsia="zh-CN"/>
                    </w:rPr>
                    <w:t>10</w:t>
                  </w:r>
                </w:p>
              </w:tc>
              <w:tc>
                <w:tcPr>
                  <w:tcW w:w="504" w:type="dxa"/>
                  <w:vAlign w:val="center"/>
                </w:tcPr>
                <w:p w14:paraId="491C44B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3"/>
                      <w:sz w:val="18"/>
                      <w:szCs w:val="18"/>
                      <w:lang w:val="en-US" w:eastAsia="zh-CN"/>
                    </w:rPr>
                  </w:pPr>
                  <w:r>
                    <w:rPr>
                      <w:rFonts w:hint="eastAsia" w:ascii="Times New Roman" w:hAnsi="Times New Roman" w:eastAsia="宋体" w:cs="Times New Roman"/>
                      <w:color w:val="auto"/>
                      <w:spacing w:val="-3"/>
                      <w:sz w:val="18"/>
                      <w:szCs w:val="18"/>
                      <w:lang w:val="en-US" w:eastAsia="zh-CN"/>
                    </w:rPr>
                    <w:t>/</w:t>
                  </w:r>
                </w:p>
              </w:tc>
            </w:tr>
            <w:tr w14:paraId="433C8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959" w:type="dxa"/>
                  <w:vMerge w:val="continue"/>
                  <w:tcBorders>
                    <w:top w:val="nil"/>
                  </w:tcBorders>
                  <w:vAlign w:val="center"/>
                </w:tcPr>
                <w:p w14:paraId="045B57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p>
              </w:tc>
              <w:tc>
                <w:tcPr>
                  <w:tcW w:w="1191" w:type="dxa"/>
                  <w:vAlign w:val="center"/>
                </w:tcPr>
                <w:p w14:paraId="0A56655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cs="Times New Roman"/>
                      <w:color w:val="auto"/>
                      <w:spacing w:val="-2"/>
                      <w:sz w:val="18"/>
                      <w:szCs w:val="18"/>
                      <w:lang w:eastAsia="zh-CN"/>
                    </w:rPr>
                    <w:t>最高允许</w:t>
                  </w:r>
                  <w:r>
                    <w:rPr>
                      <w:rFonts w:hint="default" w:ascii="Times New Roman" w:hAnsi="Times New Roman" w:eastAsia="宋体" w:cs="Times New Roman"/>
                      <w:color w:val="auto"/>
                      <w:spacing w:val="-2"/>
                      <w:sz w:val="18"/>
                      <w:szCs w:val="18"/>
                    </w:rPr>
                    <w:t>排放负荷</w:t>
                  </w:r>
                  <w:r>
                    <w:rPr>
                      <w:rFonts w:hint="eastAsia" w:ascii="Times New Roman" w:hAnsi="Times New Roman" w:cs="Times New Roman"/>
                      <w:color w:val="auto"/>
                      <w:spacing w:val="-2"/>
                      <w:sz w:val="18"/>
                      <w:szCs w:val="18"/>
                      <w:lang w:eastAsia="zh-CN"/>
                    </w:rPr>
                    <w:t>（</w:t>
                  </w:r>
                  <w:r>
                    <w:rPr>
                      <w:rFonts w:hint="default" w:ascii="Times New Roman" w:hAnsi="Times New Roman" w:eastAsia="宋体" w:cs="Times New Roman"/>
                      <w:color w:val="auto"/>
                      <w:spacing w:val="5"/>
                      <w:sz w:val="18"/>
                      <w:szCs w:val="18"/>
                    </w:rPr>
                    <w:t>g/床位·d)</w:t>
                  </w:r>
                </w:p>
              </w:tc>
              <w:tc>
                <w:tcPr>
                  <w:tcW w:w="710" w:type="dxa"/>
                  <w:vAlign w:val="center"/>
                </w:tcPr>
                <w:p w14:paraId="59B5F97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74" w:type="dxa"/>
                  <w:vAlign w:val="center"/>
                </w:tcPr>
                <w:p w14:paraId="5D7E59B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250</w:t>
                  </w:r>
                </w:p>
              </w:tc>
              <w:tc>
                <w:tcPr>
                  <w:tcW w:w="611" w:type="dxa"/>
                  <w:vAlign w:val="center"/>
                </w:tcPr>
                <w:p w14:paraId="57BDF7B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100</w:t>
                  </w:r>
                </w:p>
              </w:tc>
              <w:tc>
                <w:tcPr>
                  <w:tcW w:w="511" w:type="dxa"/>
                  <w:vAlign w:val="center"/>
                </w:tcPr>
                <w:p w14:paraId="3000B4F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60</w:t>
                  </w:r>
                </w:p>
              </w:tc>
              <w:tc>
                <w:tcPr>
                  <w:tcW w:w="499" w:type="dxa"/>
                  <w:vAlign w:val="center"/>
                </w:tcPr>
                <w:p w14:paraId="40BC39D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pacing w:val="-1"/>
                      <w:sz w:val="18"/>
                      <w:szCs w:val="18"/>
                      <w:lang w:val="en-US" w:eastAsia="zh-CN"/>
                    </w:rPr>
                    <w:t>/</w:t>
                  </w:r>
                </w:p>
              </w:tc>
              <w:tc>
                <w:tcPr>
                  <w:tcW w:w="586" w:type="dxa"/>
                  <w:vAlign w:val="center"/>
                </w:tcPr>
                <w:p w14:paraId="1BD3F29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w:t>
                  </w:r>
                </w:p>
              </w:tc>
              <w:tc>
                <w:tcPr>
                  <w:tcW w:w="985" w:type="dxa"/>
                  <w:vAlign w:val="center"/>
                </w:tcPr>
                <w:p w14:paraId="36FCA0A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pacing w:val="-1"/>
                      <w:sz w:val="18"/>
                      <w:szCs w:val="18"/>
                      <w:lang w:val="en-US" w:eastAsia="zh-CN"/>
                    </w:rPr>
                    <w:t>/</w:t>
                  </w:r>
                </w:p>
              </w:tc>
              <w:tc>
                <w:tcPr>
                  <w:tcW w:w="886" w:type="dxa"/>
                  <w:vAlign w:val="center"/>
                </w:tcPr>
                <w:p w14:paraId="6F45A09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1"/>
                      <w:sz w:val="18"/>
                      <w:szCs w:val="18"/>
                      <w:lang w:val="en-US" w:eastAsia="zh-CN"/>
                    </w:rPr>
                  </w:pPr>
                  <w:r>
                    <w:rPr>
                      <w:rFonts w:hint="eastAsia" w:ascii="Times New Roman" w:hAnsi="Times New Roman" w:eastAsia="宋体" w:cs="Times New Roman"/>
                      <w:color w:val="auto"/>
                      <w:spacing w:val="-1"/>
                      <w:sz w:val="18"/>
                      <w:szCs w:val="18"/>
                      <w:lang w:val="en-US" w:eastAsia="zh-CN"/>
                    </w:rPr>
                    <w:t>/</w:t>
                  </w:r>
                </w:p>
              </w:tc>
              <w:tc>
                <w:tcPr>
                  <w:tcW w:w="504" w:type="dxa"/>
                  <w:vAlign w:val="center"/>
                </w:tcPr>
                <w:p w14:paraId="67F78DC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1"/>
                      <w:sz w:val="18"/>
                      <w:szCs w:val="18"/>
                      <w:lang w:val="en-US" w:eastAsia="zh-CN"/>
                    </w:rPr>
                  </w:pPr>
                  <w:r>
                    <w:rPr>
                      <w:rFonts w:hint="eastAsia" w:ascii="Times New Roman" w:hAnsi="Times New Roman" w:eastAsia="宋体" w:cs="Times New Roman"/>
                      <w:color w:val="auto"/>
                      <w:spacing w:val="-1"/>
                      <w:sz w:val="18"/>
                      <w:szCs w:val="18"/>
                      <w:lang w:val="en-US" w:eastAsia="zh-CN"/>
                    </w:rPr>
                    <w:t>/</w:t>
                  </w:r>
                </w:p>
              </w:tc>
            </w:tr>
            <w:tr w14:paraId="6E246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2150" w:type="dxa"/>
                  <w:gridSpan w:val="2"/>
                  <w:vAlign w:val="center"/>
                </w:tcPr>
                <w:p w14:paraId="2AD7B34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泗县</w:t>
                  </w:r>
                  <w:r>
                    <w:rPr>
                      <w:rFonts w:hint="default" w:ascii="Times New Roman" w:hAnsi="Times New Roman" w:eastAsia="宋体" w:cs="Times New Roman"/>
                      <w:color w:val="auto"/>
                      <w:sz w:val="18"/>
                      <w:szCs w:val="18"/>
                    </w:rPr>
                    <w:t>污水处理厂接管标准</w:t>
                  </w:r>
                  <w:r>
                    <w:rPr>
                      <w:rFonts w:hint="eastAsia" w:ascii="Times New Roman" w:hAnsi="Times New Roman" w:cs="Times New Roman"/>
                      <w:color w:val="auto"/>
                      <w:sz w:val="18"/>
                      <w:szCs w:val="18"/>
                      <w:lang w:eastAsia="zh-CN"/>
                    </w:rPr>
                    <w:t>（</w:t>
                  </w:r>
                  <w:r>
                    <w:rPr>
                      <w:rFonts w:hint="default" w:ascii="Times New Roman" w:hAnsi="Times New Roman" w:eastAsia="宋体" w:cs="Times New Roman"/>
                      <w:color w:val="auto"/>
                      <w:spacing w:val="-7"/>
                      <w:sz w:val="18"/>
                      <w:szCs w:val="18"/>
                    </w:rPr>
                    <w:t>mg/l)</w:t>
                  </w:r>
                </w:p>
              </w:tc>
              <w:tc>
                <w:tcPr>
                  <w:tcW w:w="710" w:type="dxa"/>
                  <w:vAlign w:val="center"/>
                </w:tcPr>
                <w:p w14:paraId="7DD65FF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6-9</w:t>
                  </w:r>
                </w:p>
              </w:tc>
              <w:tc>
                <w:tcPr>
                  <w:tcW w:w="474" w:type="dxa"/>
                  <w:vAlign w:val="center"/>
                </w:tcPr>
                <w:p w14:paraId="59BCA4B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pacing w:val="-3"/>
                      <w:sz w:val="18"/>
                      <w:szCs w:val="18"/>
                      <w:lang w:val="en-US" w:eastAsia="zh-CN"/>
                    </w:rPr>
                    <w:t>400</w:t>
                  </w:r>
                </w:p>
              </w:tc>
              <w:tc>
                <w:tcPr>
                  <w:tcW w:w="611" w:type="dxa"/>
                  <w:vAlign w:val="center"/>
                </w:tcPr>
                <w:p w14:paraId="0301245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180</w:t>
                  </w:r>
                </w:p>
              </w:tc>
              <w:tc>
                <w:tcPr>
                  <w:tcW w:w="511" w:type="dxa"/>
                  <w:vAlign w:val="center"/>
                </w:tcPr>
                <w:p w14:paraId="2C80D97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2</w:t>
                  </w:r>
                  <w:r>
                    <w:rPr>
                      <w:rFonts w:hint="eastAsia" w:ascii="Times New Roman" w:hAnsi="Times New Roman" w:eastAsia="宋体" w:cs="Times New Roman"/>
                      <w:color w:val="auto"/>
                      <w:spacing w:val="-3"/>
                      <w:sz w:val="18"/>
                      <w:szCs w:val="18"/>
                      <w:lang w:val="en-US" w:eastAsia="zh-CN"/>
                    </w:rPr>
                    <w:t>0</w:t>
                  </w:r>
                  <w:r>
                    <w:rPr>
                      <w:rFonts w:hint="default" w:ascii="Times New Roman" w:hAnsi="Times New Roman" w:eastAsia="宋体" w:cs="Times New Roman"/>
                      <w:color w:val="auto"/>
                      <w:spacing w:val="-3"/>
                      <w:sz w:val="18"/>
                      <w:szCs w:val="18"/>
                    </w:rPr>
                    <w:t>0</w:t>
                  </w:r>
                </w:p>
              </w:tc>
              <w:tc>
                <w:tcPr>
                  <w:tcW w:w="499" w:type="dxa"/>
                  <w:vAlign w:val="center"/>
                </w:tcPr>
                <w:p w14:paraId="43DF77A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pacing w:val="-4"/>
                      <w:sz w:val="18"/>
                      <w:szCs w:val="18"/>
                      <w:lang w:val="en-US" w:eastAsia="zh-CN"/>
                    </w:rPr>
                    <w:t>2</w:t>
                  </w:r>
                  <w:r>
                    <w:rPr>
                      <w:rFonts w:hint="default" w:ascii="Times New Roman" w:hAnsi="Times New Roman" w:eastAsia="宋体" w:cs="Times New Roman"/>
                      <w:color w:val="auto"/>
                      <w:spacing w:val="-4"/>
                      <w:sz w:val="18"/>
                      <w:szCs w:val="18"/>
                    </w:rPr>
                    <w:t>5</w:t>
                  </w:r>
                </w:p>
              </w:tc>
              <w:tc>
                <w:tcPr>
                  <w:tcW w:w="586" w:type="dxa"/>
                  <w:vAlign w:val="center"/>
                </w:tcPr>
                <w:p w14:paraId="11A9ACE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pacing w:val="-1"/>
                      <w:sz w:val="18"/>
                      <w:szCs w:val="18"/>
                      <w:lang w:val="en-US" w:eastAsia="zh-CN"/>
                    </w:rPr>
                    <w:t>/</w:t>
                  </w:r>
                </w:p>
              </w:tc>
              <w:tc>
                <w:tcPr>
                  <w:tcW w:w="985" w:type="dxa"/>
                  <w:vAlign w:val="center"/>
                </w:tcPr>
                <w:p w14:paraId="1AAED9A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pacing w:val="-1"/>
                      <w:sz w:val="18"/>
                      <w:szCs w:val="18"/>
                      <w:lang w:val="en-US" w:eastAsia="zh-CN"/>
                    </w:rPr>
                    <w:t>/</w:t>
                  </w:r>
                </w:p>
              </w:tc>
              <w:tc>
                <w:tcPr>
                  <w:tcW w:w="886" w:type="dxa"/>
                  <w:vAlign w:val="center"/>
                </w:tcPr>
                <w:p w14:paraId="4D2CA44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1"/>
                      <w:sz w:val="18"/>
                      <w:szCs w:val="18"/>
                      <w:lang w:val="en-US" w:eastAsia="zh-CN"/>
                    </w:rPr>
                  </w:pPr>
                  <w:r>
                    <w:rPr>
                      <w:rFonts w:hint="eastAsia" w:ascii="Times New Roman" w:hAnsi="Times New Roman" w:eastAsia="宋体" w:cs="Times New Roman"/>
                      <w:color w:val="auto"/>
                      <w:spacing w:val="-1"/>
                      <w:sz w:val="18"/>
                      <w:szCs w:val="18"/>
                      <w:lang w:val="en-US" w:eastAsia="zh-CN"/>
                    </w:rPr>
                    <w:t>/</w:t>
                  </w:r>
                </w:p>
              </w:tc>
              <w:tc>
                <w:tcPr>
                  <w:tcW w:w="504" w:type="dxa"/>
                  <w:vAlign w:val="center"/>
                </w:tcPr>
                <w:p w14:paraId="27C6873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1"/>
                      <w:sz w:val="18"/>
                      <w:szCs w:val="18"/>
                      <w:lang w:val="en-US" w:eastAsia="zh-CN"/>
                    </w:rPr>
                  </w:pPr>
                  <w:r>
                    <w:rPr>
                      <w:rFonts w:hint="eastAsia" w:ascii="Times New Roman" w:hAnsi="Times New Roman" w:eastAsia="宋体" w:cs="Times New Roman"/>
                      <w:color w:val="auto"/>
                      <w:spacing w:val="-1"/>
                      <w:sz w:val="18"/>
                      <w:szCs w:val="18"/>
                      <w:lang w:val="en-US" w:eastAsia="zh-CN"/>
                    </w:rPr>
                    <w:t>/</w:t>
                  </w:r>
                </w:p>
              </w:tc>
            </w:tr>
            <w:tr w14:paraId="1BF1C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2150" w:type="dxa"/>
                  <w:gridSpan w:val="2"/>
                  <w:vAlign w:val="center"/>
                </w:tcPr>
                <w:p w14:paraId="4DCAE71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spacing w:val="-3"/>
                      <w:sz w:val="18"/>
                      <w:szCs w:val="18"/>
                    </w:rPr>
                    <w:t>拟建项目接管执行标准</w:t>
                  </w:r>
                </w:p>
              </w:tc>
              <w:tc>
                <w:tcPr>
                  <w:tcW w:w="710" w:type="dxa"/>
                  <w:vAlign w:val="center"/>
                </w:tcPr>
                <w:p w14:paraId="61F4301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6"/>
                      <w:sz w:val="18"/>
                      <w:szCs w:val="18"/>
                    </w:rPr>
                    <w:t>6-9</w:t>
                  </w:r>
                </w:p>
              </w:tc>
              <w:tc>
                <w:tcPr>
                  <w:tcW w:w="474" w:type="dxa"/>
                  <w:vAlign w:val="center"/>
                </w:tcPr>
                <w:p w14:paraId="394B194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5"/>
                      <w:sz w:val="18"/>
                      <w:szCs w:val="18"/>
                    </w:rPr>
                    <w:t>250</w:t>
                  </w:r>
                </w:p>
              </w:tc>
              <w:tc>
                <w:tcPr>
                  <w:tcW w:w="611" w:type="dxa"/>
                  <w:vAlign w:val="center"/>
                </w:tcPr>
                <w:p w14:paraId="6248F43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8"/>
                      <w:sz w:val="18"/>
                      <w:szCs w:val="18"/>
                    </w:rPr>
                    <w:t>100</w:t>
                  </w:r>
                </w:p>
              </w:tc>
              <w:tc>
                <w:tcPr>
                  <w:tcW w:w="511" w:type="dxa"/>
                  <w:vAlign w:val="center"/>
                </w:tcPr>
                <w:p w14:paraId="6B87475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5"/>
                      <w:sz w:val="18"/>
                      <w:szCs w:val="18"/>
                    </w:rPr>
                    <w:t>60</w:t>
                  </w:r>
                </w:p>
              </w:tc>
              <w:tc>
                <w:tcPr>
                  <w:tcW w:w="499" w:type="dxa"/>
                  <w:vAlign w:val="center"/>
                </w:tcPr>
                <w:p w14:paraId="791A99B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b/>
                      <w:bCs/>
                      <w:color w:val="auto"/>
                      <w:spacing w:val="-6"/>
                      <w:sz w:val="18"/>
                      <w:szCs w:val="18"/>
                      <w:lang w:val="en-US" w:eastAsia="zh-CN"/>
                    </w:rPr>
                    <w:t>2</w:t>
                  </w:r>
                  <w:r>
                    <w:rPr>
                      <w:rFonts w:hint="default" w:ascii="Times New Roman" w:hAnsi="Times New Roman" w:eastAsia="宋体" w:cs="Times New Roman"/>
                      <w:b/>
                      <w:bCs/>
                      <w:color w:val="auto"/>
                      <w:spacing w:val="-6"/>
                      <w:sz w:val="18"/>
                      <w:szCs w:val="18"/>
                    </w:rPr>
                    <w:t>5</w:t>
                  </w:r>
                </w:p>
              </w:tc>
              <w:tc>
                <w:tcPr>
                  <w:tcW w:w="586" w:type="dxa"/>
                  <w:vAlign w:val="center"/>
                </w:tcPr>
                <w:p w14:paraId="38DD186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5"/>
                      <w:sz w:val="18"/>
                      <w:szCs w:val="18"/>
                    </w:rPr>
                    <w:t>20</w:t>
                  </w:r>
                </w:p>
              </w:tc>
              <w:tc>
                <w:tcPr>
                  <w:tcW w:w="985" w:type="dxa"/>
                  <w:vAlign w:val="center"/>
                </w:tcPr>
                <w:p w14:paraId="20DBE34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pacing w:val="-5"/>
                      <w:sz w:val="18"/>
                      <w:szCs w:val="18"/>
                    </w:rPr>
                    <w:t>5000</w:t>
                  </w:r>
                </w:p>
              </w:tc>
              <w:tc>
                <w:tcPr>
                  <w:tcW w:w="886" w:type="dxa"/>
                  <w:vAlign w:val="center"/>
                </w:tcPr>
                <w:p w14:paraId="3B38B1D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5"/>
                      <w:sz w:val="18"/>
                      <w:szCs w:val="18"/>
                      <w:lang w:val="en-US" w:eastAsia="zh-CN"/>
                    </w:rPr>
                  </w:pPr>
                  <w:r>
                    <w:rPr>
                      <w:rFonts w:hint="eastAsia" w:ascii="Times New Roman" w:hAnsi="Times New Roman" w:eastAsia="宋体" w:cs="Times New Roman"/>
                      <w:b/>
                      <w:bCs/>
                      <w:color w:val="auto"/>
                      <w:spacing w:val="-5"/>
                      <w:sz w:val="18"/>
                      <w:szCs w:val="18"/>
                      <w:lang w:val="en-US" w:eastAsia="zh-CN"/>
                    </w:rPr>
                    <w:t>10</w:t>
                  </w:r>
                </w:p>
              </w:tc>
              <w:tc>
                <w:tcPr>
                  <w:tcW w:w="504" w:type="dxa"/>
                  <w:vAlign w:val="center"/>
                </w:tcPr>
                <w:p w14:paraId="77E578A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bCs/>
                      <w:color w:val="auto"/>
                      <w:spacing w:val="-5"/>
                      <w:sz w:val="18"/>
                      <w:szCs w:val="18"/>
                      <w:lang w:val="en-US" w:eastAsia="zh-CN"/>
                    </w:rPr>
                  </w:pPr>
                  <w:r>
                    <w:rPr>
                      <w:rFonts w:hint="eastAsia" w:ascii="Times New Roman" w:hAnsi="Times New Roman" w:eastAsia="宋体" w:cs="Times New Roman"/>
                      <w:b/>
                      <w:bCs/>
                      <w:color w:val="auto"/>
                      <w:spacing w:val="-5"/>
                      <w:sz w:val="18"/>
                      <w:szCs w:val="18"/>
                      <w:lang w:val="en-US" w:eastAsia="zh-CN"/>
                    </w:rPr>
                    <w:t>/</w:t>
                  </w:r>
                </w:p>
              </w:tc>
            </w:tr>
            <w:tr w14:paraId="5F652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2150" w:type="dxa"/>
                  <w:gridSpan w:val="2"/>
                  <w:vAlign w:val="center"/>
                </w:tcPr>
                <w:p w14:paraId="0A08943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pacing w:val="-1"/>
                      <w:sz w:val="18"/>
                      <w:szCs w:val="18"/>
                    </w:rPr>
                    <w:t>GB18918-2002中一级A标准</w:t>
                  </w:r>
                  <w:r>
                    <w:rPr>
                      <w:rFonts w:hint="eastAsia" w:ascii="Times New Roman" w:hAnsi="Times New Roman" w:cs="Times New Roman"/>
                      <w:color w:val="auto"/>
                      <w:spacing w:val="-1"/>
                      <w:sz w:val="18"/>
                      <w:szCs w:val="18"/>
                      <w:lang w:eastAsia="zh-CN"/>
                    </w:rPr>
                    <w:t>（</w:t>
                  </w:r>
                  <w:r>
                    <w:rPr>
                      <w:rFonts w:hint="default" w:ascii="Times New Roman" w:hAnsi="Times New Roman" w:eastAsia="宋体" w:cs="Times New Roman"/>
                      <w:color w:val="auto"/>
                      <w:spacing w:val="-7"/>
                      <w:sz w:val="18"/>
                      <w:szCs w:val="18"/>
                    </w:rPr>
                    <w:t>mg/l</w:t>
                  </w:r>
                  <w:r>
                    <w:rPr>
                      <w:rFonts w:hint="eastAsia" w:ascii="Times New Roman" w:hAnsi="Times New Roman" w:cs="Times New Roman"/>
                      <w:color w:val="auto"/>
                      <w:spacing w:val="-7"/>
                      <w:sz w:val="18"/>
                      <w:szCs w:val="18"/>
                      <w:lang w:eastAsia="zh-CN"/>
                    </w:rPr>
                    <w:t>）</w:t>
                  </w:r>
                </w:p>
              </w:tc>
              <w:tc>
                <w:tcPr>
                  <w:tcW w:w="710" w:type="dxa"/>
                  <w:vAlign w:val="center"/>
                </w:tcPr>
                <w:p w14:paraId="6A43FC2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6-9</w:t>
                  </w:r>
                </w:p>
              </w:tc>
              <w:tc>
                <w:tcPr>
                  <w:tcW w:w="474" w:type="dxa"/>
                  <w:vAlign w:val="center"/>
                </w:tcPr>
                <w:p w14:paraId="158BCA4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4"/>
                      <w:sz w:val="18"/>
                      <w:szCs w:val="18"/>
                    </w:rPr>
                    <w:t>50</w:t>
                  </w:r>
                </w:p>
              </w:tc>
              <w:tc>
                <w:tcPr>
                  <w:tcW w:w="611" w:type="dxa"/>
                  <w:vAlign w:val="center"/>
                </w:tcPr>
                <w:p w14:paraId="36B5F93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10</w:t>
                  </w:r>
                </w:p>
              </w:tc>
              <w:tc>
                <w:tcPr>
                  <w:tcW w:w="511" w:type="dxa"/>
                  <w:vAlign w:val="center"/>
                </w:tcPr>
                <w:p w14:paraId="0E13DA9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6"/>
                      <w:sz w:val="18"/>
                      <w:szCs w:val="18"/>
                    </w:rPr>
                    <w:t>10</w:t>
                  </w:r>
                </w:p>
              </w:tc>
              <w:tc>
                <w:tcPr>
                  <w:tcW w:w="499" w:type="dxa"/>
                  <w:vAlign w:val="center"/>
                </w:tcPr>
                <w:p w14:paraId="45190EE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3"/>
                      <w:sz w:val="18"/>
                      <w:szCs w:val="18"/>
                    </w:rPr>
                    <w:t>5(8)</w:t>
                  </w:r>
                </w:p>
              </w:tc>
              <w:tc>
                <w:tcPr>
                  <w:tcW w:w="586" w:type="dxa"/>
                  <w:vAlign w:val="center"/>
                </w:tcPr>
                <w:p w14:paraId="010A72D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85" w:type="dxa"/>
                  <w:vAlign w:val="center"/>
                </w:tcPr>
                <w:p w14:paraId="24EE1E9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pacing w:val="-5"/>
                      <w:sz w:val="18"/>
                      <w:szCs w:val="18"/>
                    </w:rPr>
                    <w:t>1000</w:t>
                  </w:r>
                </w:p>
              </w:tc>
              <w:tc>
                <w:tcPr>
                  <w:tcW w:w="886" w:type="dxa"/>
                  <w:vAlign w:val="center"/>
                </w:tcPr>
                <w:p w14:paraId="07B271A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5"/>
                      <w:sz w:val="18"/>
                      <w:szCs w:val="18"/>
                      <w:lang w:val="en-US" w:eastAsia="zh-CN"/>
                    </w:rPr>
                  </w:pPr>
                  <w:r>
                    <w:rPr>
                      <w:rFonts w:hint="eastAsia" w:ascii="Times New Roman" w:hAnsi="Times New Roman" w:eastAsia="宋体" w:cs="Times New Roman"/>
                      <w:color w:val="auto"/>
                      <w:spacing w:val="-5"/>
                      <w:sz w:val="18"/>
                      <w:szCs w:val="18"/>
                      <w:lang w:val="en-US" w:eastAsia="zh-CN"/>
                    </w:rPr>
                    <w:t>0.5</w:t>
                  </w:r>
                </w:p>
              </w:tc>
              <w:tc>
                <w:tcPr>
                  <w:tcW w:w="504" w:type="dxa"/>
                  <w:vAlign w:val="center"/>
                </w:tcPr>
                <w:p w14:paraId="1A7B53B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5"/>
                      <w:sz w:val="18"/>
                      <w:szCs w:val="18"/>
                      <w:lang w:val="en-US" w:eastAsia="zh-CN"/>
                    </w:rPr>
                  </w:pPr>
                  <w:r>
                    <w:rPr>
                      <w:rFonts w:hint="eastAsia" w:ascii="Times New Roman" w:hAnsi="Times New Roman" w:eastAsia="宋体" w:cs="Times New Roman"/>
                      <w:color w:val="auto"/>
                      <w:spacing w:val="-5"/>
                      <w:sz w:val="18"/>
                      <w:szCs w:val="18"/>
                      <w:lang w:val="en-US" w:eastAsia="zh-CN"/>
                    </w:rPr>
                    <w:t>/</w:t>
                  </w:r>
                </w:p>
              </w:tc>
            </w:tr>
            <w:tr w14:paraId="570C5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7916" w:type="dxa"/>
                  <w:gridSpan w:val="11"/>
                  <w:vAlign w:val="center"/>
                </w:tcPr>
                <w:p w14:paraId="3681F83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eastAsia" w:ascii="Times New Roman" w:hAnsi="Times New Roman" w:cs="Times New Roman"/>
                      <w:color w:val="auto"/>
                      <w:spacing w:val="-5"/>
                      <w:sz w:val="18"/>
                      <w:szCs w:val="18"/>
                      <w:lang w:val="en-US" w:eastAsia="zh-CN"/>
                    </w:rPr>
                  </w:pPr>
                  <w:r>
                    <w:rPr>
                      <w:rFonts w:hint="eastAsia" w:ascii="Times New Roman" w:hAnsi="Times New Roman" w:cs="Times New Roman"/>
                      <w:color w:val="auto"/>
                      <w:spacing w:val="-5"/>
                      <w:sz w:val="18"/>
                      <w:szCs w:val="18"/>
                      <w:lang w:val="en-US" w:eastAsia="zh-CN"/>
                    </w:rPr>
                    <w:t>注1）采用含氯消毒剂消毒的工艺控制要求为：</w:t>
                  </w:r>
                </w:p>
                <w:p w14:paraId="6157328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eastAsia" w:ascii="Times New Roman" w:hAnsi="Times New Roman" w:cs="Times New Roman"/>
                      <w:color w:val="auto"/>
                      <w:spacing w:val="-5"/>
                      <w:sz w:val="18"/>
                      <w:szCs w:val="18"/>
                      <w:lang w:val="en-US" w:eastAsia="zh-CN"/>
                    </w:rPr>
                  </w:pPr>
                  <w:r>
                    <w:rPr>
                      <w:rFonts w:hint="eastAsia" w:ascii="Times New Roman" w:hAnsi="Times New Roman" w:cs="Times New Roman"/>
                      <w:color w:val="auto"/>
                      <w:spacing w:val="-5"/>
                      <w:sz w:val="18"/>
                      <w:szCs w:val="18"/>
                      <w:lang w:val="en-US" w:eastAsia="zh-CN"/>
                    </w:rPr>
                    <w:t>排放标准：消毒接触池接触时间≥1h，接触池出口总余氯3-10mg/L。</w:t>
                  </w:r>
                </w:p>
                <w:p w14:paraId="2CF3C3F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eastAsia" w:ascii="Times New Roman" w:hAnsi="Times New Roman" w:cs="Times New Roman"/>
                      <w:color w:val="auto"/>
                      <w:spacing w:val="-5"/>
                      <w:sz w:val="18"/>
                      <w:szCs w:val="18"/>
                      <w:lang w:val="en-US" w:eastAsia="zh-CN"/>
                    </w:rPr>
                  </w:pPr>
                  <w:r>
                    <w:rPr>
                      <w:rFonts w:hint="eastAsia" w:ascii="Times New Roman" w:hAnsi="Times New Roman" w:cs="Times New Roman"/>
                      <w:color w:val="auto"/>
                      <w:spacing w:val="-5"/>
                      <w:sz w:val="18"/>
                      <w:szCs w:val="18"/>
                      <w:lang w:val="en-US" w:eastAsia="zh-CN"/>
                    </w:rPr>
                    <w:t>预处理标准：消毒接触池接触时间≥1h，接触池出口总余氯2-8mg/L。</w:t>
                  </w:r>
                </w:p>
                <w:p w14:paraId="47D1F0E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cs="Times New Roman"/>
                      <w:color w:val="auto"/>
                      <w:spacing w:val="-5"/>
                      <w:sz w:val="18"/>
                      <w:szCs w:val="18"/>
                      <w:lang w:val="en-US" w:eastAsia="zh-CN"/>
                    </w:rPr>
                  </w:pPr>
                  <w:r>
                    <w:rPr>
                      <w:rFonts w:hint="eastAsia" w:ascii="Times New Roman" w:hAnsi="Times New Roman" w:cs="Times New Roman"/>
                      <w:color w:val="auto"/>
                      <w:spacing w:val="-5"/>
                      <w:sz w:val="18"/>
                      <w:szCs w:val="18"/>
                      <w:lang w:val="en-US" w:eastAsia="zh-CN"/>
                    </w:rPr>
                    <w:t>2）采用其他消毒剂对总余氯不作要求。</w:t>
                  </w:r>
                </w:p>
              </w:tc>
            </w:tr>
          </w:tbl>
          <w:p w14:paraId="20867DDD">
            <w:pPr>
              <w:ind w:firstLine="482" w:firstLineChars="200"/>
              <w:rPr>
                <w:rFonts w:hint="default" w:eastAsia="宋体" w:cs="Times New Roman"/>
                <w:b/>
                <w:color w:val="auto"/>
                <w:lang w:val="en-US" w:eastAsia="zh-CN"/>
              </w:rPr>
            </w:pPr>
            <w:r>
              <w:rPr>
                <w:rFonts w:cs="Times New Roman"/>
                <w:b/>
                <w:color w:val="auto"/>
              </w:rPr>
              <w:t>2、</w:t>
            </w:r>
            <w:r>
              <w:rPr>
                <w:rFonts w:hint="eastAsia" w:cs="Times New Roman"/>
                <w:b/>
                <w:color w:val="auto"/>
                <w:lang w:val="en-US" w:eastAsia="zh-CN"/>
              </w:rPr>
              <w:t>大气污染物排放标准</w:t>
            </w:r>
          </w:p>
          <w:p w14:paraId="18BFF54B">
            <w:pPr>
              <w:keepNext w:val="0"/>
              <w:keepLines w:val="0"/>
              <w:pageBreakBefore w:val="0"/>
              <w:widowControl/>
              <w:kinsoku/>
              <w:wordWrap w:val="0"/>
              <w:overflowPunct/>
              <w:topLinePunct w:val="0"/>
              <w:autoSpaceDE/>
              <w:autoSpaceDN/>
              <w:bidi w:val="0"/>
              <w:adjustRightInd/>
              <w:snapToGrid/>
              <w:ind w:firstLine="480" w:firstLineChars="200"/>
              <w:jc w:val="left"/>
              <w:textAlignment w:val="auto"/>
              <w:rPr>
                <w:rFonts w:hint="eastAsia" w:cs="Times New Roman"/>
                <w:color w:val="auto"/>
                <w:lang w:val="en-US" w:eastAsia="zh-CN"/>
              </w:rPr>
            </w:pPr>
            <w:r>
              <w:rPr>
                <w:rFonts w:hint="eastAsia" w:cs="Times New Roman"/>
                <w:color w:val="auto"/>
                <w:lang w:val="en-US" w:eastAsia="zh-CN"/>
              </w:rPr>
              <w:t>院区污水处理站无组织废气执行</w:t>
            </w:r>
            <w:r>
              <w:rPr>
                <w:color w:val="auto"/>
              </w:rPr>
              <w:t>《医疗机构水污染物排放标准》</w:t>
            </w:r>
            <w:r>
              <w:rPr>
                <w:rFonts w:hint="eastAsia"/>
                <w:color w:val="auto"/>
                <w:lang w:eastAsia="zh-CN"/>
              </w:rPr>
              <w:t>（</w:t>
            </w:r>
            <w:r>
              <w:rPr>
                <w:color w:val="auto"/>
              </w:rPr>
              <w:t>GB18466-2005</w:t>
            </w:r>
            <w:r>
              <w:rPr>
                <w:rFonts w:hint="eastAsia"/>
                <w:color w:val="auto"/>
                <w:lang w:eastAsia="zh-CN"/>
              </w:rPr>
              <w:t>）</w:t>
            </w:r>
            <w:r>
              <w:rPr>
                <w:color w:val="auto"/>
              </w:rPr>
              <w:t>表</w:t>
            </w:r>
            <w:r>
              <w:rPr>
                <w:rFonts w:hint="eastAsia"/>
                <w:color w:val="auto"/>
                <w:lang w:val="en-US" w:eastAsia="zh-CN"/>
              </w:rPr>
              <w:t>3污水处理站周边大气污染物最高允许浓度和《恶臭污染物排放标准》（</w:t>
            </w:r>
            <w:r>
              <w:rPr>
                <w:rFonts w:hint="eastAsia" w:ascii="Times New Roman" w:hAnsi="Times New Roman" w:cs="宋体"/>
                <w:kern w:val="2"/>
                <w:sz w:val="24"/>
                <w:szCs w:val="24"/>
                <w:lang w:val="en-US" w:eastAsia="zh-CN" w:bidi="ar"/>
              </w:rPr>
              <w:t>GB14554-93）</w:t>
            </w:r>
            <w:r>
              <w:rPr>
                <w:rFonts w:hint="eastAsia" w:cs="Times New Roman"/>
                <w:color w:val="auto"/>
                <w:lang w:val="en-US" w:eastAsia="zh-CN"/>
              </w:rPr>
              <w:t>。</w:t>
            </w:r>
            <w:r>
              <w:rPr>
                <w:rFonts w:hint="eastAsia" w:ascii="Times New Roman" w:hAnsi="Times New Roman" w:cs="宋体"/>
                <w:kern w:val="2"/>
                <w:sz w:val="24"/>
                <w:szCs w:val="24"/>
                <w:lang w:val="en-US" w:eastAsia="zh-CN" w:bidi="ar"/>
              </w:rPr>
              <w:t>食堂油烟废气排放参照执行《饮食业油烟排放标准（试行）》（GB18483-2001）中“</w:t>
            </w:r>
            <w:r>
              <w:rPr>
                <w:rFonts w:hint="eastAsia" w:cs="宋体"/>
                <w:kern w:val="2"/>
                <w:sz w:val="24"/>
                <w:szCs w:val="24"/>
                <w:lang w:val="en-US" w:eastAsia="zh-CN" w:bidi="ar"/>
              </w:rPr>
              <w:t>小</w:t>
            </w:r>
            <w:r>
              <w:rPr>
                <w:rFonts w:hint="eastAsia" w:ascii="Times New Roman" w:hAnsi="Times New Roman" w:cs="宋体"/>
                <w:kern w:val="2"/>
                <w:sz w:val="24"/>
                <w:szCs w:val="24"/>
                <w:lang w:val="en-US" w:eastAsia="zh-CN" w:bidi="ar"/>
              </w:rPr>
              <w:t>型”标准要求</w:t>
            </w:r>
            <w:r>
              <w:rPr>
                <w:rFonts w:hint="eastAsia" w:ascii="Times New Roman" w:hAnsi="Times New Roman" w:eastAsia="宋体" w:cs="宋体"/>
                <w:kern w:val="2"/>
                <w:sz w:val="24"/>
                <w:szCs w:val="24"/>
                <w:lang w:val="en-US" w:eastAsia="zh-CN" w:bidi="ar"/>
              </w:rPr>
              <w:t>。</w:t>
            </w:r>
          </w:p>
          <w:p w14:paraId="6C275AC9">
            <w:pPr>
              <w:bidi w:val="0"/>
              <w:spacing w:line="240" w:lineRule="auto"/>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eastAsia="zh-CN"/>
              </w:rPr>
              <w:t>表</w:t>
            </w:r>
            <w:r>
              <w:rPr>
                <w:rFonts w:hint="eastAsia" w:ascii="Times New Roman" w:hAnsi="Times New Roman" w:cs="Times New Roman"/>
                <w:b/>
                <w:bCs/>
                <w:sz w:val="21"/>
                <w:szCs w:val="21"/>
                <w:lang w:val="en-US" w:eastAsia="zh-CN"/>
              </w:rPr>
              <w:t>3-5 污水处理站周边大气污染物最高允许浓度</w:t>
            </w:r>
          </w:p>
          <w:tbl>
            <w:tblPr>
              <w:tblStyle w:val="28"/>
              <w:tblW w:w="77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13"/>
              <w:gridCol w:w="4066"/>
            </w:tblGrid>
            <w:tr w14:paraId="38179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3713" w:type="dxa"/>
                  <w:noWrap w:val="0"/>
                  <w:vAlign w:val="center"/>
                </w:tcPr>
                <w:p w14:paraId="6BE0B7EA">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sz w:val="21"/>
                      <w:szCs w:val="21"/>
                    </w:rPr>
                  </w:pPr>
                  <w:r>
                    <w:rPr>
                      <w:rFonts w:hint="default"/>
                      <w:b/>
                      <w:bCs/>
                      <w:color w:val="auto"/>
                      <w:sz w:val="21"/>
                      <w:szCs w:val="21"/>
                    </w:rPr>
                    <w:t>污染物名称</w:t>
                  </w:r>
                </w:p>
              </w:tc>
              <w:tc>
                <w:tcPr>
                  <w:tcW w:w="4066" w:type="dxa"/>
                  <w:noWrap w:val="0"/>
                  <w:vAlign w:val="center"/>
                </w:tcPr>
                <w:p w14:paraId="1D829964">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eastAsia="宋体"/>
                      <w:b/>
                      <w:bCs/>
                      <w:color w:val="auto"/>
                      <w:sz w:val="21"/>
                      <w:szCs w:val="21"/>
                      <w:lang w:eastAsia="zh-CN"/>
                    </w:rPr>
                  </w:pPr>
                  <w:r>
                    <w:rPr>
                      <w:rFonts w:hint="eastAsia" w:eastAsia="宋体"/>
                      <w:b/>
                      <w:bCs/>
                      <w:color w:val="auto"/>
                      <w:sz w:val="21"/>
                      <w:szCs w:val="21"/>
                      <w:lang w:eastAsia="zh-CN"/>
                    </w:rPr>
                    <w:t>标准值</w:t>
                  </w:r>
                  <w:r>
                    <w:rPr>
                      <w:rFonts w:hint="eastAsia"/>
                      <w:b/>
                      <w:bCs/>
                      <w:color w:val="auto"/>
                      <w:sz w:val="21"/>
                      <w:szCs w:val="21"/>
                      <w:lang w:eastAsia="zh-CN"/>
                    </w:rPr>
                    <w:t>（</w:t>
                  </w:r>
                  <w:r>
                    <w:rPr>
                      <w:rFonts w:hint="default" w:ascii="Times New Roman" w:eastAsia="Times New Roman"/>
                      <w:b/>
                      <w:bCs/>
                      <w:color w:val="auto"/>
                      <w:sz w:val="21"/>
                      <w:szCs w:val="21"/>
                    </w:rPr>
                    <w:t>mg/m</w:t>
                  </w:r>
                  <w:r>
                    <w:rPr>
                      <w:rFonts w:hint="default" w:ascii="Times New Roman" w:eastAsia="Times New Roman"/>
                      <w:b/>
                      <w:bCs/>
                      <w:color w:val="auto"/>
                      <w:sz w:val="21"/>
                      <w:szCs w:val="21"/>
                      <w:vertAlign w:val="superscript"/>
                    </w:rPr>
                    <w:t>3</w:t>
                  </w:r>
                  <w:r>
                    <w:rPr>
                      <w:rFonts w:hint="eastAsia" w:eastAsia="宋体"/>
                      <w:b/>
                      <w:bCs/>
                      <w:color w:val="auto"/>
                      <w:sz w:val="21"/>
                      <w:szCs w:val="21"/>
                      <w:vertAlign w:val="baseline"/>
                      <w:lang w:eastAsia="zh-CN"/>
                    </w:rPr>
                    <w:t>）</w:t>
                  </w:r>
                </w:p>
              </w:tc>
            </w:tr>
            <w:tr w14:paraId="76841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3713" w:type="dxa"/>
                  <w:noWrap w:val="0"/>
                  <w:vAlign w:val="center"/>
                </w:tcPr>
                <w:p w14:paraId="43FD4FF0">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lang w:eastAsia="zh-CN"/>
                    </w:rPr>
                  </w:pPr>
                  <w:r>
                    <w:rPr>
                      <w:rFonts w:hint="eastAsia"/>
                      <w:color w:val="auto"/>
                      <w:sz w:val="21"/>
                      <w:szCs w:val="21"/>
                      <w:lang w:eastAsia="zh-CN"/>
                    </w:rPr>
                    <w:t>氨</w:t>
                  </w:r>
                </w:p>
              </w:tc>
              <w:tc>
                <w:tcPr>
                  <w:tcW w:w="4066" w:type="dxa"/>
                  <w:noWrap w:val="0"/>
                  <w:vAlign w:val="center"/>
                </w:tcPr>
                <w:p w14:paraId="58EFD8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w:t>
                  </w:r>
                </w:p>
              </w:tc>
            </w:tr>
            <w:tr w14:paraId="52D29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3713" w:type="dxa"/>
                  <w:noWrap w:val="0"/>
                  <w:vAlign w:val="center"/>
                </w:tcPr>
                <w:p w14:paraId="63A43E9D">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lang w:eastAsia="zh-CN"/>
                    </w:rPr>
                  </w:pPr>
                  <w:r>
                    <w:rPr>
                      <w:rFonts w:hint="eastAsia"/>
                      <w:color w:val="auto"/>
                      <w:sz w:val="21"/>
                      <w:szCs w:val="21"/>
                      <w:lang w:eastAsia="zh-CN"/>
                    </w:rPr>
                    <w:t>硫化氢</w:t>
                  </w:r>
                </w:p>
              </w:tc>
              <w:tc>
                <w:tcPr>
                  <w:tcW w:w="4066" w:type="dxa"/>
                  <w:noWrap w:val="0"/>
                  <w:vAlign w:val="center"/>
                </w:tcPr>
                <w:p w14:paraId="7C6987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0.03</w:t>
                  </w:r>
                </w:p>
              </w:tc>
            </w:tr>
            <w:tr w14:paraId="0ACB2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3713" w:type="dxa"/>
                  <w:noWrap w:val="0"/>
                  <w:vAlign w:val="center"/>
                </w:tcPr>
                <w:p w14:paraId="2C6795BB">
                  <w:pPr>
                    <w:pStyle w:val="1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lang w:eastAsia="zh-CN"/>
                    </w:rPr>
                  </w:pPr>
                  <w:r>
                    <w:rPr>
                      <w:rFonts w:hint="eastAsia"/>
                      <w:color w:val="auto"/>
                      <w:sz w:val="21"/>
                      <w:szCs w:val="21"/>
                      <w:lang w:eastAsia="zh-CN"/>
                    </w:rPr>
                    <w:t>臭气浓度</w:t>
                  </w:r>
                </w:p>
              </w:tc>
              <w:tc>
                <w:tcPr>
                  <w:tcW w:w="4066" w:type="dxa"/>
                  <w:noWrap w:val="0"/>
                  <w:vAlign w:val="center"/>
                </w:tcPr>
                <w:p w14:paraId="5919C2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10（无量纲）</w:t>
                  </w:r>
                </w:p>
              </w:tc>
            </w:tr>
          </w:tbl>
          <w:p w14:paraId="3A0E1947">
            <w:pPr>
              <w:bidi w:val="0"/>
              <w:spacing w:line="240" w:lineRule="auto"/>
              <w:jc w:val="center"/>
              <w:rPr>
                <w:rFonts w:ascii="Times New Roman" w:hAnsi="Times New Roman"/>
                <w:color w:val="auto"/>
                <w:sz w:val="21"/>
                <w:szCs w:val="21"/>
              </w:rPr>
            </w:pPr>
            <w:r>
              <w:rPr>
                <w:b/>
                <w:bCs/>
                <w:sz w:val="21"/>
                <w:szCs w:val="21"/>
              </w:rPr>
              <w:t>表3-</w:t>
            </w:r>
            <w:r>
              <w:rPr>
                <w:rFonts w:hint="eastAsia"/>
                <w:b/>
                <w:bCs/>
                <w:sz w:val="21"/>
                <w:szCs w:val="21"/>
                <w:lang w:val="en-US" w:eastAsia="zh-CN"/>
              </w:rPr>
              <w:t>6</w:t>
            </w:r>
            <w:r>
              <w:rPr>
                <w:rFonts w:hint="eastAsia"/>
                <w:b/>
                <w:bCs/>
                <w:sz w:val="21"/>
                <w:szCs w:val="21"/>
              </w:rPr>
              <w:t xml:space="preserve"> </w:t>
            </w:r>
            <w:r>
              <w:rPr>
                <w:b/>
                <w:bCs/>
                <w:sz w:val="21"/>
                <w:szCs w:val="21"/>
              </w:rPr>
              <w:t xml:space="preserve"> 污水处理站恶臭气体排放标准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2224"/>
              <w:gridCol w:w="3993"/>
            </w:tblGrid>
            <w:tr w14:paraId="2FE9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1" w:type="dxa"/>
                  <w:vMerge w:val="restart"/>
                  <w:vAlign w:val="center"/>
                </w:tcPr>
                <w:p w14:paraId="5AB47A43">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rPr>
                  </w:pPr>
                  <w:r>
                    <w:rPr>
                      <w:b/>
                      <w:bCs/>
                      <w:color w:val="auto"/>
                    </w:rPr>
                    <w:t>序号</w:t>
                  </w:r>
                </w:p>
              </w:tc>
              <w:tc>
                <w:tcPr>
                  <w:tcW w:w="1239" w:type="dxa"/>
                  <w:vMerge w:val="restart"/>
                  <w:vAlign w:val="center"/>
                </w:tcPr>
                <w:p w14:paraId="6DB90F24">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rPr>
                  </w:pPr>
                  <w:r>
                    <w:rPr>
                      <w:b/>
                      <w:bCs/>
                      <w:color w:val="auto"/>
                    </w:rPr>
                    <w:t>控制项目</w:t>
                  </w:r>
                </w:p>
              </w:tc>
              <w:tc>
                <w:tcPr>
                  <w:tcW w:w="2224" w:type="dxa"/>
                  <w:vMerge w:val="restart"/>
                  <w:vAlign w:val="center"/>
                </w:tcPr>
                <w:p w14:paraId="7D170AA0">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rPr>
                  </w:pPr>
                  <w:r>
                    <w:rPr>
                      <w:b/>
                      <w:bCs/>
                      <w:color w:val="auto"/>
                    </w:rPr>
                    <w:t>无组织排放厂界浓度限值mg/m</w:t>
                  </w:r>
                  <w:r>
                    <w:rPr>
                      <w:b/>
                      <w:bCs/>
                      <w:color w:val="auto"/>
                      <w:vertAlign w:val="superscript"/>
                    </w:rPr>
                    <w:t>3</w:t>
                  </w:r>
                </w:p>
              </w:tc>
            </w:tr>
            <w:tr w14:paraId="3DEE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1" w:type="dxa"/>
                  <w:vMerge w:val="continue"/>
                  <w:vAlign w:val="center"/>
                </w:tcPr>
                <w:p w14:paraId="5D18AA68">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rPr>
                  </w:pPr>
                </w:p>
              </w:tc>
              <w:tc>
                <w:tcPr>
                  <w:tcW w:w="1239" w:type="dxa"/>
                  <w:vMerge w:val="continue"/>
                  <w:vAlign w:val="center"/>
                </w:tcPr>
                <w:p w14:paraId="13BA5C10">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rPr>
                  </w:pPr>
                </w:p>
              </w:tc>
              <w:tc>
                <w:tcPr>
                  <w:tcW w:w="2224" w:type="dxa"/>
                  <w:vMerge w:val="continue"/>
                  <w:vAlign w:val="center"/>
                </w:tcPr>
                <w:p w14:paraId="71F2657B">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rPr>
                  </w:pPr>
                </w:p>
              </w:tc>
            </w:tr>
            <w:tr w14:paraId="4B6C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1" w:type="dxa"/>
                  <w:vAlign w:val="center"/>
                </w:tcPr>
                <w:p w14:paraId="05527154">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1</w:t>
                  </w:r>
                </w:p>
              </w:tc>
              <w:tc>
                <w:tcPr>
                  <w:tcW w:w="1239" w:type="dxa"/>
                  <w:vAlign w:val="center"/>
                </w:tcPr>
                <w:p w14:paraId="21B0D8D4">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氨</w:t>
                  </w:r>
                </w:p>
              </w:tc>
              <w:tc>
                <w:tcPr>
                  <w:tcW w:w="2224" w:type="dxa"/>
                  <w:vAlign w:val="center"/>
                </w:tcPr>
                <w:p w14:paraId="565EA4CD">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color w:val="auto"/>
                      <w:lang w:eastAsia="zh-CN"/>
                    </w:rPr>
                  </w:pPr>
                  <w:r>
                    <w:rPr>
                      <w:rFonts w:hint="eastAsia"/>
                      <w:color w:val="auto"/>
                    </w:rPr>
                    <w:t>1.</w:t>
                  </w:r>
                  <w:r>
                    <w:rPr>
                      <w:rFonts w:hint="eastAsia"/>
                      <w:color w:val="auto"/>
                      <w:lang w:val="en-US" w:eastAsia="zh-CN"/>
                    </w:rPr>
                    <w:t>5</w:t>
                  </w:r>
                </w:p>
              </w:tc>
            </w:tr>
            <w:tr w14:paraId="12AF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11" w:type="dxa"/>
                  <w:vAlign w:val="center"/>
                </w:tcPr>
                <w:p w14:paraId="62979B76">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2</w:t>
                  </w:r>
                </w:p>
              </w:tc>
              <w:tc>
                <w:tcPr>
                  <w:tcW w:w="1239" w:type="dxa"/>
                  <w:vAlign w:val="center"/>
                </w:tcPr>
                <w:p w14:paraId="2A53A3B9">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硫化氢</w:t>
                  </w:r>
                </w:p>
              </w:tc>
              <w:tc>
                <w:tcPr>
                  <w:tcW w:w="2224" w:type="dxa"/>
                  <w:vAlign w:val="center"/>
                </w:tcPr>
                <w:p w14:paraId="2E615683">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宋体"/>
                      <w:color w:val="auto"/>
                      <w:lang w:eastAsia="zh-CN"/>
                    </w:rPr>
                  </w:pPr>
                  <w:r>
                    <w:rPr>
                      <w:color w:val="auto"/>
                    </w:rPr>
                    <w:t>0.0</w:t>
                  </w:r>
                  <w:r>
                    <w:rPr>
                      <w:rFonts w:hint="eastAsia"/>
                      <w:color w:val="auto"/>
                      <w:lang w:val="en-US" w:eastAsia="zh-CN"/>
                    </w:rPr>
                    <w:t>6</w:t>
                  </w:r>
                </w:p>
              </w:tc>
            </w:tr>
            <w:tr w14:paraId="5C8A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11" w:type="dxa"/>
                  <w:vAlign w:val="center"/>
                </w:tcPr>
                <w:p w14:paraId="56396A91">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3</w:t>
                  </w:r>
                </w:p>
              </w:tc>
              <w:tc>
                <w:tcPr>
                  <w:tcW w:w="1239" w:type="dxa"/>
                  <w:vAlign w:val="center"/>
                </w:tcPr>
                <w:p w14:paraId="3B376BE0">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color w:val="auto"/>
                    </w:rPr>
                    <w:t>臭气浓度</w:t>
                  </w:r>
                </w:p>
              </w:tc>
              <w:tc>
                <w:tcPr>
                  <w:tcW w:w="2224" w:type="dxa"/>
                  <w:vAlign w:val="center"/>
                </w:tcPr>
                <w:p w14:paraId="7DE62434">
                  <w:pPr>
                    <w:pStyle w:val="150"/>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rPr>
                      <w:rFonts w:hint="eastAsia"/>
                      <w:color w:val="auto"/>
                      <w:lang w:val="en-US" w:eastAsia="zh-CN"/>
                    </w:rPr>
                    <w:t>20</w:t>
                  </w:r>
                  <w:r>
                    <w:rPr>
                      <w:color w:val="auto"/>
                    </w:rPr>
                    <w:t>（无量纲）</w:t>
                  </w:r>
                </w:p>
              </w:tc>
            </w:tr>
          </w:tbl>
          <w:p w14:paraId="0A1646D2">
            <w:pPr>
              <w:spacing w:line="240" w:lineRule="auto"/>
              <w:ind w:left="0" w:leftChars="0" w:firstLine="0" w:firstLineChars="0"/>
              <w:jc w:val="center"/>
              <w:rPr>
                <w:rFonts w:hint="default" w:cs="Times New Roman"/>
                <w:b/>
                <w:color w:val="auto"/>
                <w:sz w:val="21"/>
                <w:szCs w:val="21"/>
                <w:lang w:val="en-US" w:eastAsia="zh-CN"/>
              </w:rPr>
            </w:pPr>
            <w:r>
              <w:rPr>
                <w:rFonts w:hint="eastAsia" w:cs="Times New Roman"/>
                <w:b/>
                <w:color w:val="auto"/>
                <w:sz w:val="21"/>
                <w:szCs w:val="21"/>
                <w:lang w:val="en-US" w:eastAsia="zh-CN"/>
              </w:rPr>
              <w:t>表3-7  食堂油烟最高允许排放浓度和油烟净化设施最低去除率</w:t>
            </w:r>
          </w:p>
          <w:tbl>
            <w:tblPr>
              <w:tblStyle w:val="29"/>
              <w:tblW w:w="7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6"/>
              <w:gridCol w:w="1563"/>
              <w:gridCol w:w="1800"/>
              <w:gridCol w:w="1543"/>
            </w:tblGrid>
            <w:tr w14:paraId="051E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dxa"/>
                  <w:vAlign w:val="center"/>
                </w:tcPr>
                <w:p w14:paraId="75FAA01F">
                  <w:pPr>
                    <w:pStyle w:val="15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规模</w:t>
                  </w:r>
                </w:p>
              </w:tc>
              <w:tc>
                <w:tcPr>
                  <w:tcW w:w="1563" w:type="dxa"/>
                  <w:vAlign w:val="center"/>
                </w:tcPr>
                <w:p w14:paraId="3CCE2CD4">
                  <w:pPr>
                    <w:pStyle w:val="15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小型</w:t>
                  </w:r>
                </w:p>
              </w:tc>
              <w:tc>
                <w:tcPr>
                  <w:tcW w:w="1800" w:type="dxa"/>
                  <w:vAlign w:val="center"/>
                </w:tcPr>
                <w:p w14:paraId="4208F25E">
                  <w:pPr>
                    <w:pStyle w:val="15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中型</w:t>
                  </w:r>
                </w:p>
              </w:tc>
              <w:tc>
                <w:tcPr>
                  <w:tcW w:w="1543" w:type="dxa"/>
                  <w:vAlign w:val="center"/>
                </w:tcPr>
                <w:p w14:paraId="2E2BC204">
                  <w:pPr>
                    <w:pStyle w:val="15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大型</w:t>
                  </w:r>
                </w:p>
              </w:tc>
            </w:tr>
            <w:tr w14:paraId="4D87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dxa"/>
                  <w:vAlign w:val="center"/>
                </w:tcPr>
                <w:p w14:paraId="57512963">
                  <w:pPr>
                    <w:pStyle w:val="15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最高允许排放浓度（mg/m</w:t>
                  </w:r>
                  <w:r>
                    <w:rPr>
                      <w:rFonts w:hint="eastAsia" w:ascii="Times New Roman" w:hAnsi="Times New Roman" w:cs="Times New Roman"/>
                      <w:b w:val="0"/>
                      <w:bCs w:val="0"/>
                      <w:color w:val="auto"/>
                      <w:vertAlign w:val="superscript"/>
                      <w:lang w:val="en-US" w:eastAsia="zh-CN"/>
                    </w:rPr>
                    <w:t>3</w:t>
                  </w:r>
                  <w:r>
                    <w:rPr>
                      <w:rFonts w:hint="eastAsia" w:ascii="Times New Roman" w:hAnsi="Times New Roman" w:cs="Times New Roman"/>
                      <w:b w:val="0"/>
                      <w:bCs w:val="0"/>
                      <w:color w:val="auto"/>
                      <w:lang w:val="en-US" w:eastAsia="zh-CN"/>
                    </w:rPr>
                    <w:t>）</w:t>
                  </w:r>
                </w:p>
              </w:tc>
              <w:tc>
                <w:tcPr>
                  <w:tcW w:w="4906" w:type="dxa"/>
                  <w:gridSpan w:val="3"/>
                  <w:vAlign w:val="center"/>
                </w:tcPr>
                <w:p w14:paraId="0EE5D45D">
                  <w:pPr>
                    <w:pStyle w:val="15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2.0</w:t>
                  </w:r>
                </w:p>
              </w:tc>
            </w:tr>
            <w:tr w14:paraId="08DB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dxa"/>
                  <w:vAlign w:val="center"/>
                </w:tcPr>
                <w:p w14:paraId="1D51F2EF">
                  <w:pPr>
                    <w:pStyle w:val="15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净化设施最低去除效率（%）</w:t>
                  </w:r>
                </w:p>
              </w:tc>
              <w:tc>
                <w:tcPr>
                  <w:tcW w:w="1563" w:type="dxa"/>
                  <w:vAlign w:val="center"/>
                </w:tcPr>
                <w:p w14:paraId="3EA9A814">
                  <w:pPr>
                    <w:pStyle w:val="15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60</w:t>
                  </w:r>
                </w:p>
              </w:tc>
              <w:tc>
                <w:tcPr>
                  <w:tcW w:w="1800" w:type="dxa"/>
                  <w:vAlign w:val="center"/>
                </w:tcPr>
                <w:p w14:paraId="2C6F0CBB">
                  <w:pPr>
                    <w:pStyle w:val="15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75</w:t>
                  </w:r>
                </w:p>
              </w:tc>
              <w:tc>
                <w:tcPr>
                  <w:tcW w:w="1543" w:type="dxa"/>
                  <w:vAlign w:val="center"/>
                </w:tcPr>
                <w:p w14:paraId="24741FA5">
                  <w:pPr>
                    <w:pStyle w:val="15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85</w:t>
                  </w:r>
                </w:p>
              </w:tc>
            </w:tr>
          </w:tbl>
          <w:p w14:paraId="21163852">
            <w:pPr>
              <w:ind w:firstLine="482" w:firstLineChars="200"/>
              <w:rPr>
                <w:rFonts w:cs="Times New Roman"/>
                <w:b/>
                <w:color w:val="auto"/>
              </w:rPr>
            </w:pPr>
            <w:r>
              <w:rPr>
                <w:rFonts w:cs="Times New Roman"/>
                <w:b/>
                <w:color w:val="auto"/>
              </w:rPr>
              <w:t>3、噪声</w:t>
            </w:r>
          </w:p>
          <w:p w14:paraId="19B79B79">
            <w:pPr>
              <w:ind w:firstLine="480" w:firstLineChars="200"/>
              <w:rPr>
                <w:rFonts w:cs="Times New Roman"/>
                <w:color w:val="auto"/>
              </w:rPr>
            </w:pPr>
            <w:r>
              <w:rPr>
                <w:rFonts w:cs="Times New Roman"/>
                <w:color w:val="auto"/>
              </w:rPr>
              <w:t>施工期噪声执行《建筑施工场界环境噪声排放标准》（GB12523-2011）中标准限值要求；营运</w:t>
            </w:r>
            <w:r>
              <w:rPr>
                <w:rFonts w:hint="eastAsia" w:cs="Times New Roman"/>
                <w:color w:val="auto"/>
                <w:lang w:val="en-US" w:eastAsia="zh-CN"/>
              </w:rPr>
              <w:t>期</w:t>
            </w:r>
            <w:r>
              <w:rPr>
                <w:rFonts w:cs="Times New Roman"/>
                <w:color w:val="auto"/>
              </w:rPr>
              <w:t>噪声</w:t>
            </w:r>
            <w:r>
              <w:rPr>
                <w:rFonts w:hint="eastAsia" w:cs="Times New Roman"/>
                <w:color w:val="auto"/>
                <w:lang w:val="en-US" w:eastAsia="zh-CN"/>
              </w:rPr>
              <w:t>院区东、南、西厂界</w:t>
            </w:r>
            <w:r>
              <w:rPr>
                <w:rFonts w:cs="Times New Roman"/>
                <w:color w:val="auto"/>
              </w:rPr>
              <w:t>执行《工业企业厂界环境噪声排放标准》（GB12348-2008）中2类标准</w:t>
            </w:r>
            <w:r>
              <w:rPr>
                <w:rFonts w:hint="eastAsia" w:cs="Times New Roman"/>
                <w:color w:val="auto"/>
                <w:lang w:eastAsia="zh-CN"/>
              </w:rPr>
              <w:t>，</w:t>
            </w:r>
            <w:r>
              <w:rPr>
                <w:rFonts w:hint="eastAsia" w:cs="Times New Roman"/>
                <w:color w:val="auto"/>
                <w:lang w:val="en-US" w:eastAsia="zh-CN"/>
              </w:rPr>
              <w:t>院区北厂界临近汴河大道执行（</w:t>
            </w:r>
            <w:r>
              <w:rPr>
                <w:rFonts w:cs="Times New Roman"/>
                <w:color w:val="auto"/>
              </w:rPr>
              <w:t>GB12348-2008</w:t>
            </w:r>
            <w:r>
              <w:rPr>
                <w:rFonts w:hint="eastAsia" w:cs="Times New Roman"/>
                <w:color w:val="auto"/>
                <w:lang w:eastAsia="zh-CN"/>
              </w:rPr>
              <w:t>）</w:t>
            </w:r>
            <w:r>
              <w:rPr>
                <w:rFonts w:hint="eastAsia" w:cs="Times New Roman"/>
                <w:color w:val="auto"/>
                <w:lang w:val="en-US" w:eastAsia="zh-CN"/>
              </w:rPr>
              <w:t>中4类标准</w:t>
            </w:r>
            <w:r>
              <w:rPr>
                <w:rFonts w:cs="Times New Roman"/>
                <w:color w:val="auto"/>
              </w:rPr>
              <w:t>。具体标准值见下表。</w:t>
            </w:r>
          </w:p>
          <w:p w14:paraId="1BBBD1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cs="Times New Roman"/>
                <w:b/>
                <w:color w:val="auto"/>
                <w:sz w:val="21"/>
              </w:rPr>
            </w:pPr>
            <w:r>
              <w:rPr>
                <w:rFonts w:cs="Times New Roman"/>
                <w:b/>
                <w:color w:val="auto"/>
                <w:sz w:val="21"/>
              </w:rPr>
              <w:t>表</w:t>
            </w:r>
            <w:r>
              <w:rPr>
                <w:rFonts w:hint="eastAsia" w:cs="Times New Roman"/>
                <w:b/>
                <w:color w:val="auto"/>
                <w:sz w:val="21"/>
              </w:rPr>
              <w:t>3-</w:t>
            </w:r>
            <w:r>
              <w:rPr>
                <w:rFonts w:hint="eastAsia" w:cs="Times New Roman"/>
                <w:b/>
                <w:color w:val="auto"/>
                <w:sz w:val="21"/>
                <w:lang w:val="en-US" w:eastAsia="zh-CN"/>
              </w:rPr>
              <w:t>8</w:t>
            </w:r>
            <w:r>
              <w:rPr>
                <w:rFonts w:cs="Times New Roman"/>
                <w:b/>
                <w:color w:val="auto"/>
                <w:sz w:val="21"/>
              </w:rPr>
              <w:t xml:space="preserve"> 建筑施工场界噪声排放限值 单位：dB（A）</w:t>
            </w:r>
          </w:p>
          <w:tbl>
            <w:tblPr>
              <w:tblStyle w:val="28"/>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2686"/>
              <w:gridCol w:w="2035"/>
              <w:gridCol w:w="1691"/>
            </w:tblGrid>
            <w:tr w14:paraId="2431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09" w:type="pct"/>
                  <w:tcBorders>
                    <w:top w:val="single" w:color="auto" w:sz="4" w:space="0"/>
                    <w:left w:val="single" w:color="auto" w:sz="4" w:space="0"/>
                    <w:bottom w:val="single" w:color="auto" w:sz="4" w:space="0"/>
                    <w:right w:val="single" w:color="auto" w:sz="4" w:space="0"/>
                  </w:tcBorders>
                  <w:noWrap w:val="0"/>
                  <w:vAlign w:val="center"/>
                </w:tcPr>
                <w:p w14:paraId="60E8E95F">
                  <w:pPr>
                    <w:pStyle w:val="53"/>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适合内容</w:t>
                  </w:r>
                </w:p>
              </w:tc>
              <w:tc>
                <w:tcPr>
                  <w:tcW w:w="1713" w:type="pct"/>
                  <w:tcBorders>
                    <w:top w:val="single" w:color="auto" w:sz="4" w:space="0"/>
                    <w:left w:val="single" w:color="auto" w:sz="4" w:space="0"/>
                    <w:bottom w:val="single" w:color="auto" w:sz="4" w:space="0"/>
                    <w:right w:val="single" w:color="auto" w:sz="4" w:space="0"/>
                  </w:tcBorders>
                  <w:noWrap w:val="0"/>
                  <w:vAlign w:val="center"/>
                </w:tcPr>
                <w:p w14:paraId="1E81E8AB">
                  <w:pPr>
                    <w:pStyle w:val="53"/>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标准</w:t>
                  </w:r>
                </w:p>
              </w:tc>
              <w:tc>
                <w:tcPr>
                  <w:tcW w:w="1298" w:type="pct"/>
                  <w:tcBorders>
                    <w:top w:val="single" w:color="auto" w:sz="4" w:space="0"/>
                    <w:left w:val="single" w:color="auto" w:sz="4" w:space="0"/>
                    <w:bottom w:val="single" w:color="auto" w:sz="4" w:space="0"/>
                    <w:right w:val="single" w:color="auto" w:sz="4" w:space="0"/>
                  </w:tcBorders>
                  <w:noWrap w:val="0"/>
                  <w:vAlign w:val="center"/>
                </w:tcPr>
                <w:p w14:paraId="712AC628">
                  <w:pPr>
                    <w:pStyle w:val="53"/>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昼间</w:t>
                  </w:r>
                </w:p>
              </w:tc>
              <w:tc>
                <w:tcPr>
                  <w:tcW w:w="1078" w:type="pct"/>
                  <w:tcBorders>
                    <w:top w:val="single" w:color="auto" w:sz="4" w:space="0"/>
                    <w:left w:val="single" w:color="auto" w:sz="4" w:space="0"/>
                    <w:bottom w:val="single" w:color="auto" w:sz="4" w:space="0"/>
                    <w:right w:val="single" w:color="auto" w:sz="4" w:space="0"/>
                  </w:tcBorders>
                  <w:noWrap w:val="0"/>
                  <w:vAlign w:val="center"/>
                </w:tcPr>
                <w:p w14:paraId="1DD3F06C">
                  <w:pPr>
                    <w:pStyle w:val="53"/>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夜间</w:t>
                  </w:r>
                </w:p>
              </w:tc>
            </w:tr>
            <w:tr w14:paraId="674C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09" w:type="pct"/>
                  <w:tcBorders>
                    <w:top w:val="single" w:color="auto" w:sz="4" w:space="0"/>
                    <w:left w:val="single" w:color="auto" w:sz="4" w:space="0"/>
                    <w:bottom w:val="single" w:color="auto" w:sz="4" w:space="0"/>
                    <w:right w:val="single" w:color="auto" w:sz="4" w:space="0"/>
                  </w:tcBorders>
                  <w:noWrap w:val="0"/>
                  <w:vAlign w:val="center"/>
                </w:tcPr>
                <w:p w14:paraId="670DA59F">
                  <w:pPr>
                    <w:pStyle w:val="53"/>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施工期</w:t>
                  </w:r>
                </w:p>
              </w:tc>
              <w:tc>
                <w:tcPr>
                  <w:tcW w:w="1713" w:type="pct"/>
                  <w:tcBorders>
                    <w:top w:val="single" w:color="auto" w:sz="4" w:space="0"/>
                    <w:left w:val="single" w:color="auto" w:sz="4" w:space="0"/>
                    <w:bottom w:val="single" w:color="auto" w:sz="4" w:space="0"/>
                    <w:right w:val="single" w:color="auto" w:sz="4" w:space="0"/>
                  </w:tcBorders>
                  <w:noWrap w:val="0"/>
                  <w:vAlign w:val="center"/>
                </w:tcPr>
                <w:p w14:paraId="744BD9A6">
                  <w:pPr>
                    <w:pStyle w:val="53"/>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GB12523-2011</w:t>
                  </w:r>
                </w:p>
              </w:tc>
              <w:tc>
                <w:tcPr>
                  <w:tcW w:w="1298" w:type="pct"/>
                  <w:tcBorders>
                    <w:top w:val="single" w:color="auto" w:sz="4" w:space="0"/>
                    <w:left w:val="single" w:color="auto" w:sz="4" w:space="0"/>
                    <w:bottom w:val="single" w:color="auto" w:sz="4" w:space="0"/>
                    <w:right w:val="single" w:color="auto" w:sz="4" w:space="0"/>
                  </w:tcBorders>
                  <w:noWrap w:val="0"/>
                  <w:vAlign w:val="center"/>
                </w:tcPr>
                <w:p w14:paraId="2868F906">
                  <w:pPr>
                    <w:pStyle w:val="53"/>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70</w:t>
                  </w:r>
                </w:p>
              </w:tc>
              <w:tc>
                <w:tcPr>
                  <w:tcW w:w="1078" w:type="pct"/>
                  <w:tcBorders>
                    <w:top w:val="single" w:color="auto" w:sz="4" w:space="0"/>
                    <w:left w:val="single" w:color="auto" w:sz="4" w:space="0"/>
                    <w:bottom w:val="single" w:color="auto" w:sz="4" w:space="0"/>
                    <w:right w:val="single" w:color="auto" w:sz="4" w:space="0"/>
                  </w:tcBorders>
                  <w:noWrap w:val="0"/>
                  <w:vAlign w:val="center"/>
                </w:tcPr>
                <w:p w14:paraId="7426E164">
                  <w:pPr>
                    <w:pStyle w:val="53"/>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55</w:t>
                  </w:r>
                </w:p>
              </w:tc>
            </w:tr>
          </w:tbl>
          <w:p w14:paraId="47DF6F51">
            <w:pPr>
              <w:bidi w:val="0"/>
              <w:spacing w:line="240" w:lineRule="auto"/>
              <w:jc w:val="center"/>
              <w:rPr>
                <w:b/>
                <w:bCs/>
                <w:sz w:val="21"/>
                <w:szCs w:val="21"/>
              </w:rPr>
            </w:pPr>
            <w:r>
              <w:rPr>
                <w:b/>
                <w:bCs/>
                <w:sz w:val="21"/>
                <w:szCs w:val="21"/>
              </w:rPr>
              <w:t>表</w:t>
            </w:r>
            <w:r>
              <w:rPr>
                <w:rFonts w:hint="eastAsia"/>
                <w:b/>
                <w:bCs/>
                <w:sz w:val="21"/>
                <w:szCs w:val="21"/>
              </w:rPr>
              <w:t>3-</w:t>
            </w:r>
            <w:r>
              <w:rPr>
                <w:rFonts w:hint="eastAsia"/>
                <w:b/>
                <w:bCs/>
                <w:sz w:val="21"/>
                <w:szCs w:val="21"/>
                <w:lang w:val="en-US" w:eastAsia="zh-CN"/>
              </w:rPr>
              <w:t>9</w:t>
            </w:r>
            <w:r>
              <w:rPr>
                <w:b/>
                <w:bCs/>
                <w:sz w:val="21"/>
                <w:szCs w:val="21"/>
              </w:rPr>
              <w:t xml:space="preserve"> 厂界噪声标准值</w:t>
            </w:r>
            <w:r>
              <w:rPr>
                <w:rFonts w:hint="eastAsia"/>
                <w:b/>
                <w:bCs/>
                <w:sz w:val="21"/>
                <w:szCs w:val="21"/>
                <w:lang w:val="en-US" w:eastAsia="zh-CN"/>
              </w:rPr>
              <w:t xml:space="preserve"> </w:t>
            </w:r>
            <w:r>
              <w:rPr>
                <w:b/>
                <w:bCs/>
                <w:sz w:val="21"/>
                <w:szCs w:val="21"/>
              </w:rPr>
              <w:t>单位：dB（A）</w:t>
            </w:r>
          </w:p>
          <w:tbl>
            <w:tblPr>
              <w:tblStyle w:val="28"/>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8"/>
              <w:gridCol w:w="2675"/>
              <w:gridCol w:w="737"/>
              <w:gridCol w:w="848"/>
            </w:tblGrid>
            <w:tr w14:paraId="3DE9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638" w:type="dxa"/>
                  <w:noWrap w:val="0"/>
                  <w:vAlign w:val="center"/>
                </w:tcPr>
                <w:p w14:paraId="079BC23B">
                  <w:pPr>
                    <w:pStyle w:val="53"/>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适合内容</w:t>
                  </w:r>
                </w:p>
              </w:tc>
              <w:tc>
                <w:tcPr>
                  <w:tcW w:w="2675" w:type="dxa"/>
                  <w:noWrap w:val="0"/>
                  <w:vAlign w:val="center"/>
                </w:tcPr>
                <w:p w14:paraId="710960B3">
                  <w:pPr>
                    <w:pStyle w:val="53"/>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类别</w:t>
                  </w:r>
                </w:p>
              </w:tc>
              <w:tc>
                <w:tcPr>
                  <w:tcW w:w="737" w:type="dxa"/>
                  <w:noWrap w:val="0"/>
                  <w:vAlign w:val="center"/>
                </w:tcPr>
                <w:p w14:paraId="110F7EAA">
                  <w:pPr>
                    <w:pStyle w:val="53"/>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昼间</w:t>
                  </w:r>
                </w:p>
              </w:tc>
              <w:tc>
                <w:tcPr>
                  <w:tcW w:w="848" w:type="dxa"/>
                  <w:noWrap w:val="0"/>
                  <w:vAlign w:val="center"/>
                </w:tcPr>
                <w:p w14:paraId="1A4FC944">
                  <w:pPr>
                    <w:pStyle w:val="53"/>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夜间</w:t>
                  </w:r>
                </w:p>
              </w:tc>
            </w:tr>
            <w:tr w14:paraId="073A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638" w:type="dxa"/>
                  <w:noWrap w:val="0"/>
                  <w:vAlign w:val="center"/>
                </w:tcPr>
                <w:p w14:paraId="0D84551A">
                  <w:pPr>
                    <w:pStyle w:val="53"/>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运营期</w:t>
                  </w:r>
                  <w:r>
                    <w:rPr>
                      <w:rFonts w:hint="eastAsia" w:cs="Times New Roman"/>
                      <w:color w:val="auto"/>
                      <w:lang w:val="en-US" w:eastAsia="zh-CN"/>
                    </w:rPr>
                    <w:t>（院区东、南、西厂界）</w:t>
                  </w:r>
                </w:p>
              </w:tc>
              <w:tc>
                <w:tcPr>
                  <w:tcW w:w="2675" w:type="dxa"/>
                  <w:noWrap w:val="0"/>
                  <w:vAlign w:val="center"/>
                </w:tcPr>
                <w:p w14:paraId="7BD80D2D">
                  <w:pPr>
                    <w:pStyle w:val="53"/>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GB12348-2008的2类标准</w:t>
                  </w:r>
                </w:p>
              </w:tc>
              <w:tc>
                <w:tcPr>
                  <w:tcW w:w="737" w:type="dxa"/>
                  <w:noWrap w:val="0"/>
                  <w:vAlign w:val="center"/>
                </w:tcPr>
                <w:p w14:paraId="7BB0D179">
                  <w:pPr>
                    <w:pStyle w:val="53"/>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60</w:t>
                  </w:r>
                </w:p>
              </w:tc>
              <w:tc>
                <w:tcPr>
                  <w:tcW w:w="848" w:type="dxa"/>
                  <w:noWrap w:val="0"/>
                  <w:vAlign w:val="center"/>
                </w:tcPr>
                <w:p w14:paraId="2B7B71CA">
                  <w:pPr>
                    <w:pStyle w:val="53"/>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r>
            <w:tr w14:paraId="2A34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638" w:type="dxa"/>
                  <w:noWrap w:val="0"/>
                  <w:vAlign w:val="center"/>
                </w:tcPr>
                <w:p w14:paraId="23FF739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运营期（院区北厂界）</w:t>
                  </w:r>
                </w:p>
              </w:tc>
              <w:tc>
                <w:tcPr>
                  <w:tcW w:w="2675" w:type="dxa"/>
                  <w:noWrap w:val="0"/>
                  <w:vAlign w:val="center"/>
                </w:tcPr>
                <w:p w14:paraId="10998390">
                  <w:pPr>
                    <w:pStyle w:val="53"/>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GB12348-2008的</w:t>
                  </w:r>
                  <w:r>
                    <w:rPr>
                      <w:rFonts w:hint="eastAsia" w:cs="Times New Roman"/>
                      <w:color w:val="auto"/>
                      <w:lang w:val="en-US" w:eastAsia="zh-CN"/>
                    </w:rPr>
                    <w:t>4</w:t>
                  </w:r>
                  <w:r>
                    <w:rPr>
                      <w:rFonts w:hint="default" w:ascii="Times New Roman" w:hAnsi="Times New Roman" w:eastAsia="宋体" w:cs="Times New Roman"/>
                      <w:color w:val="auto"/>
                      <w:lang w:val="en-US" w:eastAsia="zh-CN"/>
                    </w:rPr>
                    <w:t>类标准</w:t>
                  </w:r>
                </w:p>
              </w:tc>
              <w:tc>
                <w:tcPr>
                  <w:tcW w:w="737" w:type="dxa"/>
                  <w:noWrap w:val="0"/>
                  <w:vAlign w:val="center"/>
                </w:tcPr>
                <w:p w14:paraId="0640071F">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70</w:t>
                  </w:r>
                </w:p>
              </w:tc>
              <w:tc>
                <w:tcPr>
                  <w:tcW w:w="848" w:type="dxa"/>
                  <w:noWrap w:val="0"/>
                  <w:vAlign w:val="center"/>
                </w:tcPr>
                <w:p w14:paraId="370E84C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55</w:t>
                  </w:r>
                </w:p>
              </w:tc>
            </w:tr>
          </w:tbl>
          <w:p w14:paraId="161ACD8B">
            <w:pPr>
              <w:pStyle w:val="8"/>
              <w:ind w:firstLine="482"/>
              <w:rPr>
                <w:rFonts w:cs="Times New Roman"/>
                <w:b/>
                <w:bCs/>
                <w:color w:val="auto"/>
                <w:szCs w:val="24"/>
              </w:rPr>
            </w:pPr>
            <w:r>
              <w:rPr>
                <w:rFonts w:cs="Times New Roman"/>
                <w:b/>
                <w:bCs/>
                <w:color w:val="auto"/>
                <w:szCs w:val="24"/>
              </w:rPr>
              <w:t>4、固废</w:t>
            </w:r>
          </w:p>
          <w:p w14:paraId="70168EA0">
            <w:pPr>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一般固废执行《一般工业固体废物贮存和填埋污染控制标准》(GB  18599-2020)</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医疗废物执行《危险废物贮存污染控制标准》（GB18597-2023）中相关要求；污水处理站污泥、栅渣执行《医疗机构水污染物排放标准》</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GB18466-2005</w:t>
            </w:r>
            <w:r>
              <w:rPr>
                <w:rFonts w:hint="eastAsia" w:cs="Times New Roman"/>
                <w:bCs/>
                <w:color w:val="auto"/>
                <w:sz w:val="24"/>
                <w:highlight w:val="none"/>
                <w:lang w:eastAsia="zh-CN"/>
              </w:rPr>
              <w:t>）</w:t>
            </w:r>
            <w:r>
              <w:rPr>
                <w:rFonts w:hint="default" w:ascii="Times New Roman" w:hAnsi="Times New Roman" w:cs="Times New Roman"/>
                <w:bCs/>
                <w:color w:val="auto"/>
                <w:sz w:val="24"/>
                <w:highlight w:val="none"/>
              </w:rPr>
              <w:t>医疗机构污泥控制标准。</w:t>
            </w:r>
          </w:p>
        </w:tc>
      </w:tr>
      <w:tr w14:paraId="5DF36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dxa"/>
            <w:noWrap w:val="0"/>
            <w:vAlign w:val="center"/>
          </w:tcPr>
          <w:p w14:paraId="3745B9A0">
            <w:pPr>
              <w:adjustRightInd w:val="0"/>
              <w:snapToGrid w:val="0"/>
              <w:ind w:left="0" w:leftChars="0" w:firstLine="0" w:firstLineChars="0"/>
              <w:jc w:val="both"/>
              <w:rPr>
                <w:rFonts w:cs="Times New Roman"/>
                <w:color w:val="auto"/>
                <w:kern w:val="0"/>
              </w:rPr>
            </w:pPr>
            <w:r>
              <w:rPr>
                <w:rFonts w:cs="Times New Roman"/>
                <w:b/>
                <w:bCs/>
                <w:color w:val="auto"/>
                <w:kern w:val="0"/>
              </w:rPr>
              <w:t>总量控制指标</w:t>
            </w:r>
          </w:p>
        </w:tc>
        <w:tc>
          <w:tcPr>
            <w:tcW w:w="8078" w:type="dxa"/>
            <w:noWrap w:val="0"/>
            <w:vAlign w:val="center"/>
          </w:tcPr>
          <w:p w14:paraId="3A31154C">
            <w:pPr>
              <w:keepNext w:val="0"/>
              <w:keepLines w:val="0"/>
              <w:widowControl/>
              <w:suppressLineNumbers w:val="0"/>
              <w:spacing w:line="360" w:lineRule="auto"/>
              <w:jc w:val="both"/>
              <w:rPr>
                <w:color w:val="auto"/>
              </w:rPr>
            </w:pPr>
            <w:r>
              <w:rPr>
                <w:rFonts w:hint="default" w:ascii="Times New Roman" w:hAnsi="Times New Roman" w:cs="Times New Roman"/>
                <w:color w:val="auto"/>
                <w:sz w:val="24"/>
                <w:highlight w:val="none"/>
              </w:rPr>
              <w:t>根据</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建设项目主要污染物排放总量指标审核及管理暂行办法》（环发〔2014〕197号）</w:t>
            </w:r>
            <w:r>
              <w:rPr>
                <w:rFonts w:hint="eastAsia" w:ascii="Times New Roman" w:hAnsi="Times New Roman" w:eastAsia="宋体" w:cs="Times New Roman"/>
                <w:color w:val="auto"/>
                <w:sz w:val="24"/>
                <w:highlight w:val="none"/>
                <w:lang w:val="en-US" w:eastAsia="zh-CN"/>
              </w:rPr>
              <w:t>以及</w:t>
            </w:r>
            <w:r>
              <w:rPr>
                <w:rFonts w:hint="eastAsia" w:ascii="宋体" w:hAnsi="宋体" w:eastAsia="宋体" w:cs="宋体"/>
                <w:color w:val="auto"/>
                <w:kern w:val="0"/>
                <w:sz w:val="24"/>
                <w:szCs w:val="24"/>
                <w:lang w:val="en-US" w:eastAsia="zh-CN" w:bidi="ar"/>
              </w:rPr>
              <w:t>《安徽省环保厅关于进一步加强建设项目新增大气主要污染物总量指标管理工作的通知》（皖环发〔</w:t>
            </w:r>
            <w:r>
              <w:rPr>
                <w:rFonts w:hint="default" w:ascii="Times New Roman" w:hAnsi="Times New Roman" w:eastAsia="宋体" w:cs="Times New Roman"/>
                <w:color w:val="auto"/>
                <w:kern w:val="0"/>
                <w:sz w:val="24"/>
                <w:szCs w:val="24"/>
                <w:lang w:val="en-US" w:eastAsia="zh-CN" w:bidi="ar"/>
              </w:rPr>
              <w:t>2017</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19 </w:t>
            </w:r>
            <w:r>
              <w:rPr>
                <w:rFonts w:hint="eastAsia" w:ascii="宋体" w:hAnsi="宋体" w:eastAsia="宋体" w:cs="宋体"/>
                <w:color w:val="auto"/>
                <w:kern w:val="0"/>
                <w:sz w:val="24"/>
                <w:szCs w:val="24"/>
                <w:lang w:val="en-US" w:eastAsia="zh-CN" w:bidi="ar"/>
              </w:rPr>
              <w:t>号）的相关要求</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以及建设项目的排污特点，</w:t>
            </w:r>
            <w:r>
              <w:rPr>
                <w:color w:val="auto"/>
              </w:rPr>
              <w:t>总量控制因子为</w:t>
            </w:r>
            <w:r>
              <w:rPr>
                <w:rFonts w:hint="eastAsia"/>
                <w:color w:val="auto"/>
                <w:lang w:val="en-US" w:eastAsia="zh-CN"/>
              </w:rPr>
              <w:t>化学需氧量、氨氮、颗粒物、二氧化硫、氮氧化物</w:t>
            </w:r>
            <w:r>
              <w:rPr>
                <w:color w:val="auto"/>
              </w:rPr>
              <w:t>，控制指标如下：</w:t>
            </w:r>
          </w:p>
          <w:p w14:paraId="7285DDFA">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本项目运营后，新增大气污染物为氨和硫化氢，无颗粒物、SO</w:t>
            </w:r>
            <w:r>
              <w:rPr>
                <w:rFonts w:hint="eastAsia" w:ascii="Times New Roman" w:hAnsi="Times New Roman" w:eastAsia="宋体" w:cs="Times New Roman"/>
                <w:color w:val="auto"/>
                <w:sz w:val="24"/>
                <w:highlight w:val="none"/>
                <w:vertAlign w:val="subscript"/>
                <w:lang w:val="en-US" w:eastAsia="zh-CN"/>
              </w:rPr>
              <w:t>2</w:t>
            </w:r>
            <w:r>
              <w:rPr>
                <w:rFonts w:hint="eastAsia" w:ascii="Times New Roman" w:hAnsi="Times New Roman" w:eastAsia="宋体" w:cs="Times New Roman"/>
                <w:color w:val="auto"/>
                <w:sz w:val="24"/>
                <w:highlight w:val="none"/>
                <w:lang w:val="en-US" w:eastAsia="zh-CN"/>
              </w:rPr>
              <w:t>、NO</w:t>
            </w:r>
            <w:r>
              <w:rPr>
                <w:rFonts w:hint="eastAsia" w:ascii="Times New Roman" w:hAnsi="Times New Roman" w:cs="Times New Roman"/>
                <w:color w:val="auto"/>
                <w:sz w:val="24"/>
                <w:highlight w:val="none"/>
                <w:lang w:val="en-US" w:eastAsia="zh-CN"/>
              </w:rPr>
              <w:t>x排放</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本项目无需</w:t>
            </w:r>
            <w:r>
              <w:rPr>
                <w:rFonts w:hint="eastAsia" w:ascii="Times New Roman" w:hAnsi="Times New Roman" w:eastAsia="宋体" w:cs="Times New Roman"/>
                <w:color w:val="auto"/>
                <w:sz w:val="24"/>
                <w:highlight w:val="none"/>
                <w:lang w:val="en-US" w:eastAsia="zh-CN"/>
              </w:rPr>
              <w:t>设置大气污染物总量控制指标。</w:t>
            </w:r>
          </w:p>
          <w:p w14:paraId="04870A25">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color w:val="auto"/>
                <w:lang w:val="en-US" w:eastAsia="zh-CN"/>
              </w:rPr>
            </w:pPr>
            <w:r>
              <w:rPr>
                <w:rFonts w:hint="eastAsia" w:ascii="Times New Roman" w:hAnsi="Times New Roman" w:eastAsia="宋体" w:cs="Times New Roman"/>
                <w:color w:val="auto"/>
                <w:sz w:val="24"/>
                <w:highlight w:val="none"/>
                <w:lang w:val="en-US" w:eastAsia="zh-CN"/>
              </w:rPr>
              <w:t xml:space="preserve">本项目运营后，新增水污染物排放量为：COD </w:t>
            </w:r>
            <w:r>
              <w:rPr>
                <w:rFonts w:hint="eastAsia" w:ascii="Times New Roman" w:hAnsi="Times New Roman" w:cs="Times New Roman"/>
                <w:color w:val="auto"/>
                <w:sz w:val="24"/>
                <w:highlight w:val="none"/>
                <w:lang w:val="en-US" w:eastAsia="zh-CN"/>
              </w:rPr>
              <w:t>1.52</w:t>
            </w:r>
            <w:r>
              <w:rPr>
                <w:rFonts w:hint="eastAsia" w:ascii="Times New Roman" w:hAnsi="Times New Roman" w:eastAsia="宋体" w:cs="Times New Roman"/>
                <w:color w:val="auto"/>
                <w:sz w:val="24"/>
                <w:highlight w:val="none"/>
                <w:lang w:val="en-US" w:eastAsia="zh-CN"/>
              </w:rPr>
              <w:t>t/a、氨氮 0.</w:t>
            </w:r>
            <w:r>
              <w:rPr>
                <w:rFonts w:hint="eastAsia" w:ascii="Times New Roman" w:hAnsi="Times New Roman" w:cs="Times New Roman"/>
                <w:color w:val="auto"/>
                <w:sz w:val="24"/>
                <w:highlight w:val="none"/>
                <w:lang w:val="en-US" w:eastAsia="zh-CN"/>
              </w:rPr>
              <w:t>405</w:t>
            </w:r>
            <w:r>
              <w:rPr>
                <w:rFonts w:hint="eastAsia" w:ascii="Times New Roman" w:hAnsi="Times New Roman" w:eastAsia="宋体" w:cs="Times New Roman"/>
                <w:color w:val="auto"/>
                <w:sz w:val="24"/>
                <w:highlight w:val="none"/>
                <w:lang w:val="en-US" w:eastAsia="zh-CN"/>
              </w:rPr>
              <w:t>t/a，</w:t>
            </w:r>
            <w:r>
              <w:rPr>
                <w:rFonts w:hint="eastAsia" w:ascii="Times New Roman" w:hAnsi="Times New Roman" w:cs="Times New Roman"/>
                <w:color w:val="auto"/>
                <w:sz w:val="24"/>
                <w:highlight w:val="none"/>
                <w:lang w:val="en-US" w:eastAsia="zh-CN"/>
              </w:rPr>
              <w:t>该</w:t>
            </w:r>
            <w:r>
              <w:rPr>
                <w:rFonts w:hint="eastAsia" w:ascii="Times New Roman" w:hAnsi="Times New Roman" w:eastAsia="宋体" w:cs="Times New Roman"/>
                <w:color w:val="auto"/>
                <w:sz w:val="24"/>
                <w:highlight w:val="none"/>
                <w:lang w:val="en-US" w:eastAsia="zh-CN"/>
              </w:rPr>
              <w:t>总量纳入</w:t>
            </w:r>
            <w:r>
              <w:rPr>
                <w:rFonts w:hint="eastAsia" w:ascii="Times New Roman" w:hAnsi="Times New Roman" w:cs="Times New Roman"/>
                <w:color w:val="auto"/>
                <w:sz w:val="24"/>
                <w:highlight w:val="none"/>
                <w:lang w:val="en-US" w:eastAsia="zh-CN"/>
              </w:rPr>
              <w:t>泗县</w:t>
            </w:r>
            <w:r>
              <w:rPr>
                <w:rFonts w:hint="eastAsia" w:ascii="Times New Roman" w:hAnsi="Times New Roman" w:eastAsia="宋体" w:cs="Times New Roman"/>
                <w:color w:val="auto"/>
                <w:sz w:val="24"/>
                <w:highlight w:val="none"/>
                <w:lang w:val="en-US" w:eastAsia="zh-CN"/>
              </w:rPr>
              <w:t>污水处理厂</w:t>
            </w:r>
            <w:r>
              <w:rPr>
                <w:rFonts w:hint="eastAsia" w:ascii="Times New Roman" w:hAnsi="Times New Roman" w:cs="Times New Roman"/>
                <w:color w:val="auto"/>
                <w:sz w:val="24"/>
                <w:highlight w:val="none"/>
                <w:lang w:val="en-US" w:eastAsia="zh-CN"/>
              </w:rPr>
              <w:t>排放</w:t>
            </w:r>
            <w:r>
              <w:rPr>
                <w:rFonts w:hint="eastAsia" w:ascii="Times New Roman" w:hAnsi="Times New Roman" w:eastAsia="宋体" w:cs="Times New Roman"/>
                <w:color w:val="auto"/>
                <w:sz w:val="24"/>
                <w:highlight w:val="none"/>
                <w:lang w:val="en-US" w:eastAsia="zh-CN"/>
              </w:rPr>
              <w:t>总量指标</w:t>
            </w:r>
            <w:r>
              <w:rPr>
                <w:rFonts w:hint="eastAsia" w:ascii="Times New Roman" w:hAnsi="Times New Roman" w:cs="Times New Roman"/>
                <w:color w:val="auto"/>
                <w:sz w:val="24"/>
                <w:highlight w:val="none"/>
                <w:lang w:val="en-US" w:eastAsia="zh-CN"/>
              </w:rPr>
              <w:t>中</w:t>
            </w:r>
            <w:r>
              <w:rPr>
                <w:rFonts w:hint="eastAsia" w:ascii="Times New Roman" w:hAnsi="Times New Roman" w:eastAsia="宋体" w:cs="Times New Roman"/>
                <w:color w:val="auto"/>
                <w:sz w:val="24"/>
                <w:highlight w:val="none"/>
                <w:lang w:val="en-US" w:eastAsia="zh-CN"/>
              </w:rPr>
              <w:t>，不再另行申请总量</w:t>
            </w:r>
            <w:r>
              <w:rPr>
                <w:rFonts w:hint="eastAsia" w:ascii="Times New Roman" w:hAnsi="Times New Roman" w:cs="Times New Roman"/>
                <w:color w:val="auto"/>
                <w:sz w:val="24"/>
                <w:highlight w:val="none"/>
                <w:lang w:val="en-US" w:eastAsia="zh-CN"/>
              </w:rPr>
              <w:t>。</w:t>
            </w:r>
          </w:p>
        </w:tc>
      </w:tr>
    </w:tbl>
    <w:p w14:paraId="71248367">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Style w:val="43"/>
          <w:color w:val="auto"/>
        </w:rPr>
      </w:pPr>
      <w:r>
        <w:rPr>
          <w:rFonts w:ascii="黑体" w:hAnsi="黑体" w:eastAsia="黑体"/>
          <w:snapToGrid w:val="0"/>
          <w:color w:val="auto"/>
          <w:sz w:val="36"/>
          <w:szCs w:val="36"/>
        </w:rPr>
        <w:br w:type="page"/>
      </w:r>
      <w:r>
        <w:rPr>
          <w:rFonts w:hint="eastAsia" w:ascii="Times New Roman" w:hAnsi="Times New Roman" w:eastAsia="宋体" w:cs="Times New Roman"/>
          <w:b/>
          <w:bCs/>
          <w:color w:val="auto"/>
          <w:kern w:val="44"/>
          <w:sz w:val="32"/>
          <w:szCs w:val="36"/>
          <w:lang w:val="en-US" w:eastAsia="zh-CN" w:bidi="ar-SA"/>
        </w:rPr>
        <w:t>四、主要环境影响和保护措施</w:t>
      </w:r>
    </w:p>
    <w:tbl>
      <w:tblPr>
        <w:tblStyle w:val="28"/>
        <w:tblW w:w="8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103"/>
      </w:tblGrid>
      <w:tr w14:paraId="5160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noWrap w:val="0"/>
            <w:tcMar>
              <w:left w:w="28" w:type="dxa"/>
              <w:right w:w="28" w:type="dxa"/>
            </w:tcMar>
            <w:vAlign w:val="center"/>
          </w:tcPr>
          <w:p w14:paraId="437674D1">
            <w:pPr>
              <w:pStyle w:val="2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pacing w:val="0"/>
                <w:w w:val="100"/>
                <w:kern w:val="2"/>
                <w:position w:val="0"/>
                <w:sz w:val="24"/>
                <w:szCs w:val="24"/>
              </w:rPr>
            </w:pPr>
            <w:r>
              <w:rPr>
                <w:rFonts w:hint="default" w:ascii="Times New Roman" w:hAnsi="Times New Roman" w:eastAsia="宋体" w:cs="Times New Roman"/>
                <w:b/>
                <w:bCs/>
                <w:color w:val="auto"/>
                <w:spacing w:val="0"/>
                <w:w w:val="100"/>
                <w:kern w:val="2"/>
                <w:position w:val="0"/>
                <w:sz w:val="24"/>
                <w:szCs w:val="24"/>
              </w:rPr>
              <w:t>施工期环</w:t>
            </w:r>
          </w:p>
          <w:p w14:paraId="0CE08879">
            <w:pPr>
              <w:pStyle w:val="2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pacing w:val="0"/>
                <w:w w:val="100"/>
                <w:kern w:val="2"/>
                <w:position w:val="0"/>
                <w:sz w:val="24"/>
                <w:szCs w:val="24"/>
              </w:rPr>
            </w:pPr>
            <w:r>
              <w:rPr>
                <w:rFonts w:hint="default" w:ascii="Times New Roman" w:hAnsi="Times New Roman" w:eastAsia="宋体" w:cs="Times New Roman"/>
                <w:b/>
                <w:bCs/>
                <w:color w:val="auto"/>
                <w:spacing w:val="0"/>
                <w:w w:val="100"/>
                <w:kern w:val="2"/>
                <w:position w:val="0"/>
                <w:sz w:val="24"/>
                <w:szCs w:val="24"/>
              </w:rPr>
              <w:t>境保护措</w:t>
            </w:r>
          </w:p>
          <w:p w14:paraId="5B09EE4F">
            <w:pPr>
              <w:pStyle w:val="2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pacing w:val="0"/>
                <w:w w:val="100"/>
                <w:kern w:val="2"/>
                <w:position w:val="0"/>
                <w:sz w:val="24"/>
                <w:szCs w:val="24"/>
              </w:rPr>
            </w:pPr>
            <w:r>
              <w:rPr>
                <w:rFonts w:hint="default" w:ascii="Times New Roman" w:hAnsi="Times New Roman" w:eastAsia="宋体" w:cs="Times New Roman"/>
                <w:b/>
                <w:bCs/>
                <w:color w:val="auto"/>
                <w:spacing w:val="0"/>
                <w:w w:val="100"/>
                <w:kern w:val="2"/>
                <w:position w:val="0"/>
                <w:sz w:val="24"/>
                <w:szCs w:val="24"/>
              </w:rPr>
              <w:t>施</w:t>
            </w:r>
          </w:p>
        </w:tc>
        <w:tc>
          <w:tcPr>
            <w:tcW w:w="8103" w:type="dxa"/>
            <w:noWrap w:val="0"/>
            <w:vAlign w:val="center"/>
          </w:tcPr>
          <w:p w14:paraId="46FFE606">
            <w:pPr>
              <w:pStyle w:val="5"/>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0" w:firstLineChars="200"/>
              <w:textAlignment w:val="auto"/>
              <w:rPr>
                <w:rFonts w:hint="default" w:ascii="Times New Roman" w:hAnsi="Times New Roman" w:eastAsia="宋体" w:cs="Times New Roman"/>
                <w:b w:val="0"/>
                <w:bCs w:val="0"/>
                <w:color w:val="auto"/>
                <w:spacing w:val="0"/>
                <w:w w:val="100"/>
                <w:position w:val="0"/>
                <w:sz w:val="24"/>
                <w:szCs w:val="24"/>
                <w:lang w:eastAsia="zh-CN"/>
              </w:rPr>
            </w:pPr>
            <w:r>
              <w:rPr>
                <w:rFonts w:hint="default" w:ascii="Times New Roman" w:hAnsi="Times New Roman" w:eastAsia="宋体" w:cs="Times New Roman"/>
                <w:b w:val="0"/>
                <w:bCs w:val="0"/>
                <w:color w:val="auto"/>
                <w:spacing w:val="0"/>
                <w:w w:val="100"/>
                <w:position w:val="0"/>
                <w:sz w:val="24"/>
                <w:szCs w:val="24"/>
              </w:rPr>
              <w:t>本项目租赁</w:t>
            </w:r>
            <w:r>
              <w:rPr>
                <w:rFonts w:hint="eastAsia"/>
                <w:b w:val="0"/>
                <w:bCs/>
                <w:sz w:val="24"/>
                <w:szCs w:val="36"/>
              </w:rPr>
              <w:t>泗县经济开发区</w:t>
            </w:r>
            <w:r>
              <w:rPr>
                <w:rFonts w:hint="eastAsia"/>
                <w:b w:val="0"/>
                <w:bCs/>
                <w:sz w:val="24"/>
                <w:szCs w:val="36"/>
                <w:lang w:val="en-US" w:eastAsia="zh-CN"/>
              </w:rPr>
              <w:t>朝阳路与汴河大道交叉口东侧</w:t>
            </w:r>
            <w:r>
              <w:rPr>
                <w:rFonts w:hint="default"/>
                <w:b w:val="0"/>
                <w:bCs/>
                <w:sz w:val="24"/>
                <w:szCs w:val="36"/>
                <w:lang w:val="en-US" w:eastAsia="zh-CN"/>
              </w:rPr>
              <w:t>200m</w:t>
            </w:r>
            <w:r>
              <w:rPr>
                <w:rFonts w:hint="eastAsia"/>
                <w:b w:val="0"/>
                <w:bCs/>
                <w:sz w:val="24"/>
                <w:szCs w:val="36"/>
              </w:rPr>
              <w:t>泗县</w:t>
            </w:r>
            <w:r>
              <w:rPr>
                <w:rFonts w:hint="eastAsia"/>
                <w:b w:val="0"/>
                <w:bCs/>
                <w:sz w:val="24"/>
                <w:szCs w:val="36"/>
                <w:lang w:val="en-US" w:eastAsia="zh-CN"/>
              </w:rPr>
              <w:t>益民</w:t>
            </w:r>
            <w:r>
              <w:rPr>
                <w:rFonts w:hint="eastAsia"/>
                <w:b w:val="0"/>
                <w:bCs/>
                <w:sz w:val="24"/>
                <w:szCs w:val="36"/>
              </w:rPr>
              <w:t>公交</w:t>
            </w:r>
            <w:r>
              <w:rPr>
                <w:rFonts w:hint="eastAsia"/>
                <w:b w:val="0"/>
                <w:bCs/>
                <w:sz w:val="24"/>
                <w:szCs w:val="36"/>
                <w:lang w:val="en-US" w:eastAsia="zh-CN"/>
              </w:rPr>
              <w:t>运输有限责任</w:t>
            </w:r>
            <w:r>
              <w:rPr>
                <w:rFonts w:hint="eastAsia"/>
                <w:b w:val="0"/>
                <w:bCs/>
                <w:sz w:val="24"/>
                <w:szCs w:val="36"/>
              </w:rPr>
              <w:t>公司大楼1~6层，辅楼1~</w:t>
            </w:r>
            <w:r>
              <w:rPr>
                <w:rFonts w:hint="eastAsia"/>
                <w:b w:val="0"/>
                <w:bCs/>
                <w:sz w:val="24"/>
                <w:szCs w:val="36"/>
                <w:lang w:val="en-US" w:eastAsia="zh-CN"/>
              </w:rPr>
              <w:t>2</w:t>
            </w:r>
            <w:r>
              <w:rPr>
                <w:rFonts w:hint="eastAsia"/>
                <w:b w:val="0"/>
                <w:bCs/>
                <w:sz w:val="24"/>
                <w:szCs w:val="36"/>
              </w:rPr>
              <w:t>层</w:t>
            </w:r>
            <w:r>
              <w:rPr>
                <w:rFonts w:hint="eastAsia"/>
                <w:b w:val="0"/>
                <w:bCs/>
                <w:sz w:val="24"/>
                <w:szCs w:val="36"/>
                <w:lang w:val="en-US" w:eastAsia="zh-CN"/>
              </w:rPr>
              <w:t>进行建设</w:t>
            </w:r>
            <w:r>
              <w:rPr>
                <w:rFonts w:hint="default" w:ascii="Times New Roman" w:hAnsi="Times New Roman" w:eastAsia="宋体" w:cs="Times New Roman"/>
                <w:b w:val="0"/>
                <w:bCs w:val="0"/>
                <w:color w:val="auto"/>
                <w:spacing w:val="0"/>
                <w:w w:val="100"/>
                <w:position w:val="0"/>
                <w:sz w:val="24"/>
                <w:szCs w:val="24"/>
              </w:rPr>
              <w:t>，装修工程</w:t>
            </w:r>
            <w:r>
              <w:rPr>
                <w:rFonts w:hint="eastAsia" w:cs="Times New Roman"/>
                <w:b w:val="0"/>
                <w:bCs w:val="0"/>
                <w:color w:val="auto"/>
                <w:spacing w:val="0"/>
                <w:w w:val="100"/>
                <w:position w:val="0"/>
                <w:sz w:val="24"/>
                <w:szCs w:val="24"/>
                <w:lang w:eastAsia="zh-CN"/>
              </w:rPr>
              <w:t>、</w:t>
            </w:r>
            <w:r>
              <w:rPr>
                <w:rFonts w:hint="eastAsia" w:cs="Times New Roman"/>
                <w:b w:val="0"/>
                <w:bCs w:val="0"/>
                <w:color w:val="auto"/>
                <w:spacing w:val="0"/>
                <w:w w:val="100"/>
                <w:position w:val="0"/>
                <w:sz w:val="24"/>
                <w:szCs w:val="24"/>
                <w:lang w:val="en-US" w:eastAsia="zh-CN"/>
              </w:rPr>
              <w:t>部分拆除工程</w:t>
            </w:r>
            <w:r>
              <w:rPr>
                <w:rFonts w:hint="default" w:ascii="Times New Roman" w:hAnsi="Times New Roman" w:eastAsia="宋体" w:cs="Times New Roman"/>
                <w:b w:val="0"/>
                <w:bCs w:val="0"/>
                <w:color w:val="auto"/>
                <w:spacing w:val="0"/>
                <w:w w:val="100"/>
                <w:position w:val="0"/>
                <w:sz w:val="24"/>
                <w:szCs w:val="24"/>
              </w:rPr>
              <w:t>及设备安装，周期短、污染物产生量小，并且随着施工期的结束而停止</w:t>
            </w:r>
            <w:r>
              <w:rPr>
                <w:rFonts w:hint="default" w:ascii="Times New Roman" w:hAnsi="Times New Roman" w:eastAsia="宋体" w:cs="Times New Roman"/>
                <w:b w:val="0"/>
                <w:bCs w:val="0"/>
                <w:color w:val="auto"/>
                <w:spacing w:val="0"/>
                <w:w w:val="100"/>
                <w:position w:val="0"/>
                <w:sz w:val="24"/>
                <w:szCs w:val="24"/>
                <w:lang w:eastAsia="zh-CN"/>
              </w:rPr>
              <w:t>。</w:t>
            </w:r>
          </w:p>
          <w:p w14:paraId="6D1CC079">
            <w:pPr>
              <w:pStyle w:val="5"/>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right="0" w:firstLine="482" w:firstLineChars="200"/>
              <w:textAlignment w:val="auto"/>
              <w:rPr>
                <w:b/>
                <w:bCs/>
                <w:color w:val="auto"/>
                <w:spacing w:val="0"/>
                <w:w w:val="100"/>
                <w:position w:val="0"/>
                <w:sz w:val="24"/>
                <w:szCs w:val="24"/>
              </w:rPr>
            </w:pPr>
            <w:r>
              <w:rPr>
                <w:rFonts w:hint="eastAsia"/>
                <w:b/>
                <w:bCs/>
                <w:color w:val="auto"/>
                <w:spacing w:val="0"/>
                <w:w w:val="100"/>
                <w:position w:val="0"/>
                <w:sz w:val="24"/>
                <w:szCs w:val="24"/>
                <w:lang w:val="en-US" w:eastAsia="zh-CN"/>
              </w:rPr>
              <w:t>1、</w:t>
            </w:r>
            <w:r>
              <w:rPr>
                <w:b/>
                <w:bCs/>
                <w:color w:val="auto"/>
                <w:spacing w:val="0"/>
                <w:w w:val="100"/>
                <w:position w:val="0"/>
                <w:sz w:val="24"/>
                <w:szCs w:val="24"/>
              </w:rPr>
              <w:t>施工期废水</w:t>
            </w:r>
          </w:p>
          <w:p w14:paraId="3CFF985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auto"/>
              </w:rPr>
            </w:pPr>
            <w:r>
              <w:rPr>
                <w:rFonts w:hint="eastAsia"/>
                <w:color w:val="auto"/>
              </w:rPr>
              <w:t>施工期废水主要为施工废水和施工人员产生的生活污水。施工人员生活污水产生量小，主要污染物为 COD、BOD</w:t>
            </w:r>
            <w:r>
              <w:rPr>
                <w:rFonts w:hint="eastAsia"/>
                <w:color w:val="auto"/>
                <w:vertAlign w:val="subscript"/>
              </w:rPr>
              <w:t>5</w:t>
            </w:r>
            <w:r>
              <w:rPr>
                <w:rFonts w:hint="eastAsia"/>
                <w:color w:val="auto"/>
              </w:rPr>
              <w:t>、SS、动植物油、氨氮等。为减小施工期对周边水环境的影响，施工单位应采取以下治理措施：</w:t>
            </w:r>
          </w:p>
          <w:p w14:paraId="79BF8A3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auto"/>
              </w:rPr>
            </w:pPr>
            <w:r>
              <w:rPr>
                <w:rFonts w:hint="eastAsia"/>
                <w:color w:val="auto"/>
              </w:rPr>
              <w:t>（1）加强对污水的处理，施工中产生的砂石冲洗水、混凝土养护水及设备车辆洗涤水等应设置沉淀池，处理后尽量回用。</w:t>
            </w:r>
          </w:p>
          <w:p w14:paraId="60CA0AC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color w:val="auto"/>
              </w:rPr>
            </w:pPr>
            <w:r>
              <w:rPr>
                <w:rFonts w:hint="eastAsia"/>
                <w:color w:val="auto"/>
              </w:rPr>
              <w:t>（2）施工时产生的泥浆水以及混凝土搅拌机及输送系统的冲洗废水应设置临时沉沙池，含泥沙雨水、泥浆水经沉沙池沉淀后回用到生产中或回用于道路抑尘、绿化等，不外排。</w:t>
            </w:r>
          </w:p>
          <w:p w14:paraId="09CD192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spacing w:val="0"/>
                <w:w w:val="100"/>
                <w:position w:val="0"/>
              </w:rPr>
            </w:pPr>
            <w:r>
              <w:rPr>
                <w:rFonts w:hint="eastAsia"/>
                <w:color w:val="auto"/>
              </w:rPr>
              <w:t>（3）施工期产生的生活污水排入</w:t>
            </w:r>
            <w:r>
              <w:rPr>
                <w:rFonts w:hint="eastAsia"/>
                <w:color w:val="auto"/>
                <w:lang w:eastAsia="zh-CN"/>
              </w:rPr>
              <w:t>依托周边商铺</w:t>
            </w:r>
            <w:r>
              <w:rPr>
                <w:rFonts w:hint="eastAsia"/>
                <w:color w:val="auto"/>
              </w:rPr>
              <w:t>化粪池处理后排入市政污水管网，不外排，对水环境影响很小</w:t>
            </w:r>
            <w:r>
              <w:rPr>
                <w:rFonts w:ascii="宋体" w:hAnsi="宋体" w:eastAsia="宋体" w:cs="宋体"/>
                <w:color w:val="auto"/>
                <w:spacing w:val="0"/>
                <w:w w:val="100"/>
                <w:position w:val="0"/>
                <w:sz w:val="24"/>
                <w:szCs w:val="24"/>
              </w:rPr>
              <w:t>。</w:t>
            </w:r>
          </w:p>
          <w:p w14:paraId="39B7C2F5">
            <w:pPr>
              <w:pStyle w:val="5"/>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482" w:firstLineChars="200"/>
              <w:textAlignment w:val="auto"/>
              <w:rPr>
                <w:color w:val="auto"/>
                <w:sz w:val="24"/>
                <w:szCs w:val="24"/>
              </w:rPr>
            </w:pPr>
            <w:r>
              <w:rPr>
                <w:color w:val="auto"/>
                <w:sz w:val="24"/>
                <w:szCs w:val="24"/>
              </w:rPr>
              <w:t>2</w:t>
            </w:r>
            <w:r>
              <w:rPr>
                <w:rFonts w:hint="eastAsia"/>
                <w:color w:val="auto"/>
                <w:sz w:val="24"/>
                <w:szCs w:val="24"/>
                <w:lang w:eastAsia="zh-CN"/>
              </w:rPr>
              <w:t>、</w:t>
            </w:r>
            <w:r>
              <w:rPr>
                <w:color w:val="auto"/>
                <w:sz w:val="24"/>
                <w:szCs w:val="24"/>
              </w:rPr>
              <w:t>施工期</w:t>
            </w:r>
            <w:r>
              <w:rPr>
                <w:rFonts w:hint="eastAsia"/>
                <w:color w:val="auto"/>
                <w:sz w:val="24"/>
                <w:szCs w:val="24"/>
              </w:rPr>
              <w:t>废气</w:t>
            </w:r>
          </w:p>
          <w:p w14:paraId="2EE32901">
            <w:pPr>
              <w:keepNext w:val="0"/>
              <w:keepLines w:val="0"/>
              <w:pageBreakBefore w:val="0"/>
              <w:widowControl w:val="0"/>
              <w:kinsoku/>
              <w:wordWrap/>
              <w:overflowPunct/>
              <w:topLinePunct w:val="0"/>
              <w:autoSpaceDE/>
              <w:autoSpaceDN/>
              <w:bidi w:val="0"/>
              <w:adjustRightInd/>
              <w:snapToGrid/>
              <w:ind w:left="0" w:leftChars="0" w:firstLine="480"/>
              <w:textAlignment w:val="auto"/>
              <w:rPr>
                <w:rFonts w:hint="eastAsia" w:eastAsia="宋体"/>
                <w:color w:val="auto"/>
                <w:lang w:eastAsia="zh-CN"/>
              </w:rPr>
            </w:pPr>
            <w:r>
              <w:rPr>
                <w:rFonts w:hint="eastAsia"/>
                <w:color w:val="auto"/>
              </w:rPr>
              <w:t>施工期</w:t>
            </w:r>
            <w:r>
              <w:rPr>
                <w:rFonts w:hint="eastAsia"/>
                <w:color w:val="auto"/>
                <w:lang w:val="en-US" w:eastAsia="zh-CN"/>
              </w:rPr>
              <w:t>部分拆除工程、</w:t>
            </w:r>
            <w:r>
              <w:rPr>
                <w:rFonts w:hint="eastAsia"/>
                <w:color w:val="auto"/>
              </w:rPr>
              <w:t>建筑材料运输、装卸等过程中会产生一定的粉尘、扬尘污染。本项目施工期较短，由于工期短、施工人员较少、工程量较小，产生的污染量较少。随着改造和设备安装工程的结束，污染随之结束，对环境影响不大</w:t>
            </w:r>
            <w:r>
              <w:rPr>
                <w:rFonts w:hint="eastAsia"/>
                <w:color w:val="auto"/>
                <w:lang w:eastAsia="zh-CN"/>
              </w:rPr>
              <w:t>。</w:t>
            </w:r>
          </w:p>
          <w:p w14:paraId="52DC7B7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pacing w:val="0"/>
                <w:w w:val="100"/>
                <w:position w:val="0"/>
                <w:sz w:val="24"/>
                <w:szCs w:val="24"/>
                <w:lang w:eastAsia="zh-CN"/>
              </w:rPr>
            </w:pPr>
            <w:r>
              <w:rPr>
                <w:rFonts w:hint="eastAsia"/>
                <w:color w:val="auto"/>
              </w:rPr>
              <w:t>根据</w:t>
            </w:r>
            <w:r>
              <w:rPr>
                <w:rFonts w:hint="eastAsia"/>
                <w:color w:val="auto"/>
                <w:lang w:eastAsia="zh-CN"/>
              </w:rPr>
              <w:t>《安徽省建筑工程施工扬尘污染防治导则》</w:t>
            </w:r>
            <w:r>
              <w:rPr>
                <w:rFonts w:hint="eastAsia"/>
                <w:color w:val="auto"/>
              </w:rPr>
              <w:t>、《安徽省人民代表大会常务委员会关于加强建筑施工扬尘污染防治工作的决定》</w:t>
            </w:r>
            <w:r>
              <w:rPr>
                <w:rFonts w:hint="eastAsia"/>
                <w:color w:val="auto"/>
                <w:lang w:eastAsia="zh-CN"/>
              </w:rPr>
              <w:t>、《安徽省建筑工程施工扬尘污染防治规定》，</w:t>
            </w:r>
            <w:r>
              <w:rPr>
                <w:rFonts w:hint="eastAsia"/>
                <w:color w:val="auto"/>
                <w:lang w:val="en-US" w:eastAsia="zh-CN"/>
              </w:rPr>
              <w:t>要</w:t>
            </w:r>
            <w:r>
              <w:rPr>
                <w:rFonts w:hint="eastAsia"/>
                <w:color w:val="auto"/>
              </w:rPr>
              <w:t>加强扬尘综合治理</w:t>
            </w:r>
            <w:r>
              <w:rPr>
                <w:rFonts w:hint="eastAsia"/>
                <w:color w:val="auto"/>
                <w:lang w:eastAsia="zh-CN"/>
              </w:rPr>
              <w:t>，</w:t>
            </w:r>
            <w:r>
              <w:rPr>
                <w:rFonts w:hint="eastAsia"/>
                <w:color w:val="auto"/>
              </w:rPr>
              <w:t>严格施工扬尘监管</w:t>
            </w:r>
            <w:r>
              <w:rPr>
                <w:rFonts w:hint="eastAsia"/>
                <w:color w:val="auto"/>
                <w:lang w:eastAsia="zh-CN"/>
              </w:rPr>
              <w:t>，</w:t>
            </w:r>
            <w:r>
              <w:rPr>
                <w:rFonts w:hint="eastAsia"/>
                <w:color w:val="auto"/>
              </w:rPr>
              <w:t>各地建立施工工地管理清单</w:t>
            </w:r>
            <w:r>
              <w:rPr>
                <w:rFonts w:hint="eastAsia"/>
                <w:color w:val="auto"/>
                <w:lang w:eastAsia="zh-CN"/>
              </w:rPr>
              <w:t>，</w:t>
            </w:r>
            <w:r>
              <w:rPr>
                <w:rFonts w:hint="eastAsia"/>
                <w:color w:val="auto"/>
              </w:rPr>
              <w:t>因地制宜稳步发展装配式建筑</w:t>
            </w:r>
            <w:r>
              <w:rPr>
                <w:rFonts w:hint="eastAsia"/>
                <w:color w:val="auto"/>
                <w:lang w:eastAsia="zh-CN"/>
              </w:rPr>
              <w:t>，</w:t>
            </w:r>
            <w:r>
              <w:rPr>
                <w:rFonts w:hint="eastAsia"/>
                <w:color w:val="auto"/>
              </w:rPr>
              <w:t>将施工工地扬尘污染防治纳入文明施工管理范畴，建立扬尘控制责任制度，扬尘治理费用列入工程造价。</w:t>
            </w:r>
            <w:r>
              <w:rPr>
                <w:rFonts w:hint="default" w:ascii="Times New Roman" w:hAnsi="Times New Roman" w:eastAsia="宋体" w:cs="Times New Roman"/>
                <w:color w:val="auto"/>
                <w:spacing w:val="0"/>
                <w:w w:val="100"/>
                <w:position w:val="0"/>
                <w:sz w:val="24"/>
                <w:szCs w:val="24"/>
              </w:rPr>
              <w:t>建设单位应制定施工扬尘治理措施如下：</w:t>
            </w:r>
          </w:p>
          <w:p w14:paraId="2D64F660">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lang w:eastAsia="zh-CN"/>
              </w:rPr>
              <w:t>（</w:t>
            </w:r>
            <w:r>
              <w:rPr>
                <w:rFonts w:hint="eastAsia" w:ascii="Times New Roman" w:hAnsi="Times New Roman" w:eastAsia="宋体" w:cs="Times New Roman"/>
                <w:color w:val="auto"/>
                <w:spacing w:val="0"/>
                <w:w w:val="100"/>
                <w:position w:val="0"/>
                <w:sz w:val="24"/>
                <w:szCs w:val="24"/>
                <w:lang w:val="en-US" w:eastAsia="zh-CN"/>
              </w:rPr>
              <w:t>1</w:t>
            </w:r>
            <w:r>
              <w:rPr>
                <w:rFonts w:hint="eastAsia"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拆除工程施工扬尘污染防治</w:t>
            </w:r>
          </w:p>
          <w:p w14:paraId="3EA38B1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①</w:t>
            </w:r>
            <w:r>
              <w:rPr>
                <w:rFonts w:hint="default" w:ascii="Times New Roman" w:hAnsi="Times New Roman" w:eastAsia="宋体" w:cs="Times New Roman"/>
                <w:color w:val="auto"/>
                <w:spacing w:val="0"/>
                <w:w w:val="100"/>
                <w:position w:val="0"/>
                <w:sz w:val="24"/>
                <w:szCs w:val="24"/>
              </w:rPr>
              <w:t>一般规定</w:t>
            </w:r>
          </w:p>
          <w:p w14:paraId="17CEE3A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lang w:val="en-US" w:eastAsia="zh-CN"/>
              </w:rPr>
              <w:t>A.</w:t>
            </w:r>
            <w:r>
              <w:rPr>
                <w:rFonts w:hint="default" w:ascii="Times New Roman" w:hAnsi="Times New Roman" w:eastAsia="宋体" w:cs="Times New Roman"/>
                <w:color w:val="auto"/>
                <w:spacing w:val="0"/>
                <w:w w:val="100"/>
                <w:position w:val="0"/>
                <w:sz w:val="24"/>
                <w:szCs w:val="24"/>
              </w:rPr>
              <w:t>拆除工程施工单位应具备施工总承包资质和相应的能力，施工单位应按规定报当地地级市建设行政主管部门备案并颁发备案登记证。</w:t>
            </w:r>
          </w:p>
          <w:p w14:paraId="7E54601D">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lang w:val="en-US" w:eastAsia="zh-CN"/>
              </w:rPr>
              <w:t>B.</w:t>
            </w:r>
            <w:r>
              <w:rPr>
                <w:rFonts w:hint="default" w:ascii="Times New Roman" w:hAnsi="Times New Roman" w:eastAsia="宋体" w:cs="Times New Roman"/>
                <w:color w:val="auto"/>
                <w:spacing w:val="0"/>
                <w:w w:val="100"/>
                <w:position w:val="0"/>
                <w:sz w:val="24"/>
                <w:szCs w:val="24"/>
              </w:rPr>
              <w:t>应根据建筑物和现场实际情况合理确定拆除施工方案。严禁采用整体拉、推墙体的拆除方法。</w:t>
            </w:r>
          </w:p>
          <w:p w14:paraId="4DDCC3D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lang w:val="en-US" w:eastAsia="zh-CN"/>
              </w:rPr>
              <w:t>C.</w:t>
            </w:r>
            <w:r>
              <w:rPr>
                <w:rFonts w:hint="default" w:ascii="Times New Roman" w:hAnsi="Times New Roman" w:eastAsia="宋体" w:cs="Times New Roman"/>
                <w:color w:val="auto"/>
                <w:spacing w:val="0"/>
                <w:w w:val="100"/>
                <w:position w:val="0"/>
                <w:sz w:val="24"/>
                <w:szCs w:val="24"/>
              </w:rPr>
              <w:t>拆除施工现场应对周边进行连续封闭围挡围护。围护结构应以彩钢板等硬质板材为主，高度不得低于1.8米。</w:t>
            </w:r>
          </w:p>
          <w:p w14:paraId="27E2F9E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②</w:t>
            </w:r>
            <w:r>
              <w:rPr>
                <w:rFonts w:hint="default" w:ascii="Times New Roman" w:hAnsi="Times New Roman" w:eastAsia="宋体" w:cs="Times New Roman"/>
                <w:color w:val="auto"/>
                <w:spacing w:val="0"/>
                <w:w w:val="100"/>
                <w:position w:val="0"/>
                <w:sz w:val="24"/>
                <w:szCs w:val="24"/>
              </w:rPr>
              <w:t>拆除工程施工</w:t>
            </w:r>
          </w:p>
          <w:p w14:paraId="0A78023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lang w:val="en-US" w:eastAsia="zh-CN"/>
              </w:rPr>
              <w:t>A.</w:t>
            </w:r>
            <w:r>
              <w:rPr>
                <w:rFonts w:hint="default" w:ascii="Times New Roman" w:hAnsi="Times New Roman" w:eastAsia="宋体" w:cs="Times New Roman"/>
                <w:color w:val="auto"/>
                <w:spacing w:val="0"/>
                <w:w w:val="100"/>
                <w:position w:val="0"/>
                <w:sz w:val="24"/>
                <w:szCs w:val="24"/>
              </w:rPr>
              <w:t>拆除施工现场应配备洒水车或其他喷淋设备，并按照“先喷淋、后拆除，拆除过程持续喷淋”程序操作。喷淋水量应能满足抑尘降尘要求，喷淋软管应能覆盖工地现场。</w:t>
            </w:r>
          </w:p>
          <w:p w14:paraId="5709622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lang w:val="en-US" w:eastAsia="zh-CN"/>
              </w:rPr>
              <w:t>B.</w:t>
            </w:r>
            <w:r>
              <w:rPr>
                <w:rFonts w:hint="default" w:ascii="Times New Roman" w:hAnsi="Times New Roman" w:eastAsia="宋体" w:cs="Times New Roman"/>
                <w:color w:val="auto"/>
                <w:spacing w:val="0"/>
                <w:w w:val="100"/>
                <w:position w:val="0"/>
                <w:sz w:val="24"/>
                <w:szCs w:val="24"/>
              </w:rPr>
              <w:t>在人口密集区及临街区域进行拆除作业时，宜设置防护</w:t>
            </w:r>
            <w:r>
              <w:rPr>
                <w:rFonts w:hint="eastAsia" w:cs="Times New Roman"/>
                <w:color w:val="auto"/>
                <w:spacing w:val="0"/>
                <w:w w:val="100"/>
                <w:position w:val="0"/>
                <w:sz w:val="24"/>
                <w:szCs w:val="24"/>
                <w:lang w:eastAsia="zh-CN"/>
              </w:rPr>
              <w:t>网架</w:t>
            </w:r>
            <w:r>
              <w:rPr>
                <w:rFonts w:hint="default" w:ascii="Times New Roman" w:hAnsi="Times New Roman" w:eastAsia="宋体" w:cs="Times New Roman"/>
                <w:color w:val="auto"/>
                <w:spacing w:val="0"/>
                <w:w w:val="100"/>
                <w:position w:val="0"/>
                <w:sz w:val="24"/>
                <w:szCs w:val="24"/>
              </w:rPr>
              <w:t>并外挂密目网。</w:t>
            </w:r>
          </w:p>
          <w:p w14:paraId="3635E28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lang w:val="en-US" w:eastAsia="zh-CN"/>
              </w:rPr>
              <w:t>C.</w:t>
            </w:r>
            <w:r>
              <w:rPr>
                <w:rFonts w:hint="default" w:ascii="Times New Roman" w:hAnsi="Times New Roman" w:eastAsia="宋体" w:cs="Times New Roman"/>
                <w:color w:val="auto"/>
                <w:spacing w:val="0"/>
                <w:w w:val="100"/>
                <w:position w:val="0"/>
                <w:sz w:val="24"/>
                <w:szCs w:val="24"/>
              </w:rPr>
              <w:t>当使用机械或机具钻孔、破碎结构构件时，应尽量采用带水作业工艺。确因洒水或喷淋导致建</w:t>
            </w:r>
            <w:r>
              <w:rPr>
                <w:rFonts w:hint="eastAsia"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构</w:t>
            </w:r>
            <w:r>
              <w:rPr>
                <w:rFonts w:hint="eastAsia"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筑物、结构疏松，危及施工安全的除外。</w:t>
            </w:r>
          </w:p>
          <w:p w14:paraId="54F56D5F">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）建筑工程施工现场扬尘污染防治</w:t>
            </w:r>
          </w:p>
          <w:p w14:paraId="2655574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①</w:t>
            </w:r>
            <w:r>
              <w:rPr>
                <w:rFonts w:hint="default" w:ascii="Times New Roman" w:hAnsi="Times New Roman" w:eastAsia="宋体" w:cs="Times New Roman"/>
                <w:color w:val="auto"/>
                <w:spacing w:val="0"/>
                <w:w w:val="100"/>
                <w:position w:val="0"/>
                <w:sz w:val="24"/>
                <w:szCs w:val="24"/>
              </w:rPr>
              <w:t>施工现场实行围挡封闭。主要路段施工现场围挡高度不得低于2.5米，一般路段施工现场围挡高度不得低于1.8米。</w:t>
            </w:r>
            <w:r>
              <w:rPr>
                <w:rFonts w:hint="eastAsia" w:cs="Times New Roman"/>
                <w:color w:val="auto"/>
                <w:spacing w:val="0"/>
                <w:w w:val="100"/>
                <w:position w:val="0"/>
                <w:sz w:val="24"/>
                <w:szCs w:val="24"/>
                <w:lang w:eastAsia="zh-CN"/>
              </w:rPr>
              <w:t>围挡</w:t>
            </w:r>
            <w:r>
              <w:rPr>
                <w:rFonts w:hint="default" w:ascii="Times New Roman" w:hAnsi="Times New Roman" w:eastAsia="宋体" w:cs="Times New Roman"/>
                <w:color w:val="auto"/>
                <w:spacing w:val="0"/>
                <w:w w:val="100"/>
                <w:position w:val="0"/>
                <w:sz w:val="24"/>
                <w:szCs w:val="24"/>
              </w:rPr>
              <w:t>底边应当封闭并设置防溢沉淀井，不得有泥浆外漏。</w:t>
            </w:r>
          </w:p>
          <w:p w14:paraId="701DFD4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②</w:t>
            </w:r>
            <w:r>
              <w:rPr>
                <w:rFonts w:hint="default" w:ascii="Times New Roman" w:hAnsi="Times New Roman" w:eastAsia="宋体" w:cs="Times New Roman"/>
                <w:color w:val="auto"/>
                <w:spacing w:val="0"/>
                <w:w w:val="100"/>
                <w:position w:val="0"/>
                <w:sz w:val="24"/>
                <w:szCs w:val="24"/>
              </w:rPr>
              <w:t>施工现场出入口道路实施混凝土硬化并配备车辆冲洗设施。对驶出施工现场的机动车辆冲洗干净，方可上路。</w:t>
            </w:r>
          </w:p>
          <w:p w14:paraId="225ABC4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③</w:t>
            </w:r>
            <w:r>
              <w:rPr>
                <w:rFonts w:hint="default" w:ascii="Times New Roman" w:hAnsi="Times New Roman" w:eastAsia="宋体" w:cs="Times New Roman"/>
                <w:color w:val="auto"/>
                <w:spacing w:val="0"/>
                <w:w w:val="100"/>
                <w:position w:val="0"/>
                <w:sz w:val="24"/>
                <w:szCs w:val="24"/>
              </w:rPr>
              <w:t>施工现场内道路、加工区实施混凝土硬化。硬化后的地面，不得有浮土、积土，裸露场地应当采取覆盖或绿化措施。</w:t>
            </w:r>
          </w:p>
          <w:p w14:paraId="390738D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④</w:t>
            </w:r>
            <w:r>
              <w:rPr>
                <w:rFonts w:hint="default" w:ascii="Times New Roman" w:hAnsi="Times New Roman" w:eastAsia="宋体" w:cs="Times New Roman"/>
                <w:color w:val="auto"/>
                <w:spacing w:val="0"/>
                <w:w w:val="100"/>
                <w:position w:val="0"/>
                <w:sz w:val="24"/>
                <w:szCs w:val="24"/>
              </w:rPr>
              <w:t>施工现场设置洒水降尘设施，安排专人定时洒水降尘。</w:t>
            </w:r>
          </w:p>
          <w:p w14:paraId="08FBBAD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⑤</w:t>
            </w:r>
            <w:r>
              <w:rPr>
                <w:rFonts w:hint="default" w:ascii="Times New Roman" w:hAnsi="Times New Roman" w:eastAsia="宋体" w:cs="Times New Roman"/>
                <w:color w:val="auto"/>
                <w:spacing w:val="0"/>
                <w:w w:val="100"/>
                <w:position w:val="0"/>
                <w:sz w:val="24"/>
                <w:szCs w:val="24"/>
              </w:rPr>
              <w:t>施工现场土方开挖后尽快完成回填，不能及时回填的场地，采取覆盖等防尘措施；砂石等散体材料集中堆放并覆盖。</w:t>
            </w:r>
          </w:p>
          <w:p w14:paraId="568AF53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⑥</w:t>
            </w:r>
            <w:r>
              <w:rPr>
                <w:rFonts w:hint="default" w:ascii="Times New Roman" w:hAnsi="Times New Roman" w:eastAsia="宋体" w:cs="Times New Roman"/>
                <w:color w:val="auto"/>
                <w:spacing w:val="0"/>
                <w:w w:val="100"/>
                <w:position w:val="0"/>
                <w:sz w:val="24"/>
                <w:szCs w:val="24"/>
              </w:rPr>
              <w:t>渣土等建筑垃圾集中、分类堆放，严密遮盖，采用封闭式管道或装袋清运，严禁高处抛洒。需要运输、处理的，按照市、县（区）政府市容环境卫生行政主管部门规定的时间、线路和要求，清运到指定的场所处理。</w:t>
            </w:r>
          </w:p>
          <w:p w14:paraId="377D2FE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⑦</w:t>
            </w:r>
            <w:r>
              <w:rPr>
                <w:rFonts w:hint="default" w:ascii="Times New Roman" w:hAnsi="Times New Roman" w:eastAsia="宋体" w:cs="Times New Roman"/>
                <w:color w:val="auto"/>
                <w:spacing w:val="0"/>
                <w:w w:val="100"/>
                <w:position w:val="0"/>
                <w:sz w:val="24"/>
                <w:szCs w:val="24"/>
              </w:rPr>
              <w:t>外脚手架应当设置悬挂密目式安全网封闭，并保持严密整洁。</w:t>
            </w:r>
          </w:p>
          <w:p w14:paraId="7BA98B2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⑧</w:t>
            </w:r>
            <w:r>
              <w:rPr>
                <w:rFonts w:hint="default" w:ascii="Times New Roman" w:hAnsi="Times New Roman" w:eastAsia="宋体" w:cs="Times New Roman"/>
                <w:color w:val="auto"/>
                <w:spacing w:val="0"/>
                <w:w w:val="100"/>
                <w:position w:val="0"/>
                <w:sz w:val="24"/>
                <w:szCs w:val="24"/>
              </w:rPr>
              <w:t>施工现场禁止焚烧沥青、油毡、橡胶、塑料、皮革、垃圾以及其他产生有毒有害烟尘和恶臭气体的物质。</w:t>
            </w:r>
          </w:p>
          <w:p w14:paraId="05451EA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⑨</w:t>
            </w:r>
            <w:r>
              <w:rPr>
                <w:rFonts w:hint="default" w:ascii="Times New Roman" w:hAnsi="Times New Roman" w:eastAsia="宋体" w:cs="Times New Roman"/>
                <w:color w:val="auto"/>
                <w:spacing w:val="0"/>
                <w:w w:val="100"/>
                <w:position w:val="0"/>
                <w:sz w:val="24"/>
                <w:szCs w:val="24"/>
              </w:rPr>
              <w:t>施工现场使用商品混凝土和预拌砂浆，搅拌混凝土和砂浆采取封闭、降尘措施。</w:t>
            </w:r>
          </w:p>
          <w:p w14:paraId="5740FB6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⑩</w:t>
            </w:r>
            <w:r>
              <w:rPr>
                <w:rFonts w:hint="default" w:ascii="Times New Roman" w:hAnsi="Times New Roman" w:eastAsia="宋体" w:cs="Times New Roman"/>
                <w:color w:val="auto"/>
                <w:spacing w:val="0"/>
                <w:w w:val="100"/>
                <w:position w:val="0"/>
                <w:sz w:val="24"/>
                <w:szCs w:val="24"/>
              </w:rPr>
              <w:t>运进或运出工地的土方、砂石、粉煤灰、建筑垃圾等易产生扬尘的材料，应采取封闭运输。</w:t>
            </w:r>
          </w:p>
          <w:p w14:paraId="1BEB8A1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lang w:val="en-US" w:eastAsia="zh-CN"/>
              </w:rPr>
              <w:fldChar w:fldCharType="begin"/>
            </w:r>
            <w:r>
              <w:rPr>
                <w:rFonts w:hint="eastAsia" w:ascii="Times New Roman" w:hAnsi="Times New Roman" w:eastAsia="宋体" w:cs="Times New Roman"/>
                <w:color w:val="auto"/>
                <w:spacing w:val="0"/>
                <w:w w:val="100"/>
                <w:position w:val="0"/>
                <w:sz w:val="24"/>
                <w:szCs w:val="24"/>
                <w:lang w:val="en-US" w:eastAsia="zh-CN"/>
              </w:rPr>
              <w:instrText xml:space="preserve"> EQ \o\ac(</w:instrText>
            </w:r>
            <w:r>
              <w:rPr>
                <w:rFonts w:hint="eastAsia" w:ascii="Times New Roman" w:hAnsi="Times New Roman" w:eastAsia="宋体" w:cs="Times New Roman"/>
                <w:color w:val="auto"/>
                <w:spacing w:val="0"/>
                <w:w w:val="100"/>
                <w:kern w:val="2"/>
                <w:position w:val="0"/>
                <w:sz w:val="24"/>
                <w:szCs w:val="24"/>
                <w:lang w:val="en-US" w:eastAsia="zh-CN" w:bidi="ar-SA"/>
              </w:rPr>
              <w:instrText xml:space="preserve">○</w:instrText>
            </w:r>
            <w:r>
              <w:rPr>
                <w:rFonts w:hint="eastAsia" w:ascii="Times New Roman" w:hAnsi="Times New Roman" w:eastAsia="宋体" w:cs="Times New Roman"/>
                <w:color w:val="auto"/>
                <w:spacing w:val="0"/>
                <w:w w:val="100"/>
                <w:position w:val="0"/>
                <w:sz w:val="24"/>
                <w:szCs w:val="24"/>
                <w:lang w:val="en-US" w:eastAsia="zh-CN"/>
              </w:rPr>
              <w:instrText xml:space="preserve">,</w:instrText>
            </w:r>
            <w:r>
              <w:rPr>
                <w:rFonts w:hint="eastAsia" w:ascii="Times New Roman" w:hAnsi="Times New Roman" w:eastAsia="宋体" w:cs="Times New Roman"/>
                <w:color w:val="auto"/>
                <w:spacing w:val="0"/>
                <w:w w:val="100"/>
                <w:kern w:val="2"/>
                <w:position w:val="3"/>
                <w:sz w:val="16"/>
                <w:szCs w:val="24"/>
                <w:lang w:val="en-US" w:eastAsia="zh-CN" w:bidi="ar-SA"/>
              </w:rPr>
              <w:instrText xml:space="preserve">11</w:instrText>
            </w:r>
            <w:r>
              <w:rPr>
                <w:rFonts w:hint="eastAsia" w:ascii="Times New Roman" w:hAnsi="Times New Roman" w:eastAsia="宋体" w:cs="Times New Roman"/>
                <w:color w:val="auto"/>
                <w:spacing w:val="0"/>
                <w:w w:val="100"/>
                <w:position w:val="0"/>
                <w:sz w:val="24"/>
                <w:szCs w:val="24"/>
                <w:lang w:val="en-US" w:eastAsia="zh-CN"/>
              </w:rPr>
              <w:instrText xml:space="preserve">)</w:instrText>
            </w:r>
            <w:r>
              <w:rPr>
                <w:rFonts w:hint="eastAsia" w:ascii="Times New Roman" w:hAnsi="Times New Roman" w:eastAsia="宋体" w:cs="Times New Roman"/>
                <w:color w:val="auto"/>
                <w:spacing w:val="0"/>
                <w:w w:val="100"/>
                <w:position w:val="0"/>
                <w:sz w:val="24"/>
                <w:szCs w:val="24"/>
                <w:lang w:val="en-US" w:eastAsia="zh-CN"/>
              </w:rPr>
              <w:fldChar w:fldCharType="end"/>
            </w:r>
            <w:r>
              <w:rPr>
                <w:rFonts w:hint="default" w:ascii="Times New Roman" w:hAnsi="Times New Roman" w:eastAsia="宋体" w:cs="Times New Roman"/>
                <w:color w:val="auto"/>
                <w:spacing w:val="0"/>
                <w:w w:val="100"/>
                <w:position w:val="0"/>
                <w:sz w:val="24"/>
                <w:szCs w:val="24"/>
              </w:rPr>
              <w:t>拆除工程工地的围挡应当使用金属或硬质板材材料，严禁使用各类砌筑墙体；拆除作业实行持续加压洒水或者喷淋方式作业；拆除作业后，场地闲置1个月以上的，用地单位对拆除后的裸露地面采取绿化等防尘措施。</w:t>
            </w:r>
          </w:p>
          <w:p w14:paraId="3498D95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color w:val="auto"/>
              </w:rPr>
            </w:pPr>
            <w:r>
              <w:rPr>
                <w:rFonts w:hint="eastAsia" w:ascii="Times New Roman" w:hAnsi="Times New Roman" w:eastAsia="宋体" w:cs="Times New Roman"/>
                <w:color w:val="auto"/>
                <w:spacing w:val="0"/>
                <w:w w:val="100"/>
                <w:position w:val="0"/>
                <w:sz w:val="24"/>
                <w:szCs w:val="24"/>
                <w:lang w:val="en-US" w:eastAsia="zh-CN"/>
              </w:rPr>
              <w:fldChar w:fldCharType="begin"/>
            </w:r>
            <w:r>
              <w:rPr>
                <w:rFonts w:hint="eastAsia" w:ascii="Times New Roman" w:hAnsi="Times New Roman" w:eastAsia="宋体" w:cs="Times New Roman"/>
                <w:color w:val="auto"/>
                <w:spacing w:val="0"/>
                <w:w w:val="100"/>
                <w:position w:val="0"/>
                <w:sz w:val="24"/>
                <w:szCs w:val="24"/>
                <w:lang w:val="en-US" w:eastAsia="zh-CN"/>
              </w:rPr>
              <w:instrText xml:space="preserve"> EQ \o\ac(</w:instrText>
            </w:r>
            <w:r>
              <w:rPr>
                <w:rFonts w:hint="eastAsia" w:ascii="Times New Roman" w:hAnsi="Times New Roman" w:eastAsia="宋体" w:cs="Times New Roman"/>
                <w:color w:val="auto"/>
                <w:spacing w:val="0"/>
                <w:w w:val="100"/>
                <w:kern w:val="2"/>
                <w:position w:val="0"/>
                <w:sz w:val="24"/>
                <w:szCs w:val="24"/>
                <w:lang w:val="en-US" w:eastAsia="zh-CN" w:bidi="ar-SA"/>
              </w:rPr>
              <w:instrText xml:space="preserve">○</w:instrText>
            </w:r>
            <w:r>
              <w:rPr>
                <w:rFonts w:hint="eastAsia" w:ascii="Times New Roman" w:hAnsi="Times New Roman" w:eastAsia="宋体" w:cs="Times New Roman"/>
                <w:color w:val="auto"/>
                <w:spacing w:val="0"/>
                <w:w w:val="100"/>
                <w:position w:val="0"/>
                <w:sz w:val="24"/>
                <w:szCs w:val="24"/>
                <w:lang w:val="en-US" w:eastAsia="zh-CN"/>
              </w:rPr>
              <w:instrText xml:space="preserve">,</w:instrText>
            </w:r>
            <w:r>
              <w:rPr>
                <w:rFonts w:hint="eastAsia" w:ascii="Times New Roman" w:hAnsi="Times New Roman" w:eastAsia="宋体" w:cs="Times New Roman"/>
                <w:color w:val="auto"/>
                <w:spacing w:val="0"/>
                <w:w w:val="100"/>
                <w:kern w:val="2"/>
                <w:position w:val="3"/>
                <w:sz w:val="16"/>
                <w:szCs w:val="24"/>
                <w:lang w:val="en-US" w:eastAsia="zh-CN" w:bidi="ar-SA"/>
              </w:rPr>
              <w:instrText xml:space="preserve">12</w:instrText>
            </w:r>
            <w:r>
              <w:rPr>
                <w:rFonts w:hint="eastAsia" w:ascii="Times New Roman" w:hAnsi="Times New Roman" w:eastAsia="宋体" w:cs="Times New Roman"/>
                <w:color w:val="auto"/>
                <w:spacing w:val="0"/>
                <w:w w:val="100"/>
                <w:position w:val="0"/>
                <w:sz w:val="24"/>
                <w:szCs w:val="24"/>
                <w:lang w:val="en-US" w:eastAsia="zh-CN"/>
              </w:rPr>
              <w:instrText xml:space="preserve">)</w:instrText>
            </w:r>
            <w:r>
              <w:rPr>
                <w:rFonts w:hint="eastAsia" w:ascii="Times New Roman" w:hAnsi="Times New Roman" w:eastAsia="宋体" w:cs="Times New Roman"/>
                <w:color w:val="auto"/>
                <w:spacing w:val="0"/>
                <w:w w:val="100"/>
                <w:position w:val="0"/>
                <w:sz w:val="24"/>
                <w:szCs w:val="24"/>
                <w:lang w:val="en-US" w:eastAsia="zh-CN"/>
              </w:rPr>
              <w:fldChar w:fldCharType="end"/>
            </w:r>
            <w:r>
              <w:rPr>
                <w:rFonts w:hint="default" w:ascii="Times New Roman" w:hAnsi="Times New Roman" w:eastAsia="宋体" w:cs="Times New Roman"/>
                <w:color w:val="auto"/>
                <w:spacing w:val="0"/>
                <w:w w:val="100"/>
                <w:position w:val="0"/>
                <w:sz w:val="24"/>
                <w:szCs w:val="24"/>
              </w:rPr>
              <w:t>根据《安徽省重污染天气应急预案》启动Ⅲ级（黄色）预警以上或气象预报风速达到五级以上时，不得进行土方挖填和转运、拆除、道路路面鼓风机吹灰等易产生扬尘的作业。</w:t>
            </w:r>
          </w:p>
          <w:p w14:paraId="3432C084">
            <w:pPr>
              <w:ind w:firstLine="480"/>
              <w:rPr>
                <w:color w:val="auto"/>
              </w:rPr>
            </w:pPr>
            <w:r>
              <w:rPr>
                <w:rFonts w:hint="eastAsia"/>
                <w:color w:val="auto"/>
              </w:rPr>
              <w:t>施工单位必须采取先进、环保的施工工艺，并对施工扬尘进行治理，确保达标排放。加强管理、切实落实好这些措施，施工场地扬尘对环境的影响将会大大降低，项目建设对周边敏感点的影响将随施工期的结束而消失。</w:t>
            </w:r>
          </w:p>
          <w:p w14:paraId="5C4EDBEB">
            <w:pPr>
              <w:pStyle w:val="5"/>
              <w:keepNext w:val="0"/>
              <w:keepLines w:val="0"/>
              <w:pageBreakBefore w:val="0"/>
              <w:widowControl w:val="0"/>
              <w:kinsoku/>
              <w:wordWrap/>
              <w:overflowPunct/>
              <w:topLinePunct w:val="0"/>
              <w:autoSpaceDE/>
              <w:autoSpaceDN/>
              <w:bidi w:val="0"/>
              <w:adjustRightInd/>
              <w:snapToGrid/>
              <w:spacing w:before="0" w:beforeLines="0" w:after="0" w:afterLines="0"/>
              <w:ind w:firstLine="482" w:firstLineChars="200"/>
              <w:textAlignment w:val="auto"/>
              <w:rPr>
                <w:color w:val="auto"/>
                <w:sz w:val="24"/>
                <w:szCs w:val="24"/>
              </w:rPr>
            </w:pPr>
            <w:r>
              <w:rPr>
                <w:color w:val="auto"/>
                <w:sz w:val="24"/>
                <w:szCs w:val="24"/>
              </w:rPr>
              <w:t>3</w:t>
            </w:r>
            <w:r>
              <w:rPr>
                <w:rFonts w:hint="eastAsia"/>
                <w:color w:val="auto"/>
                <w:sz w:val="24"/>
                <w:szCs w:val="24"/>
                <w:lang w:eastAsia="zh-CN"/>
              </w:rPr>
              <w:t>、</w:t>
            </w:r>
            <w:r>
              <w:rPr>
                <w:color w:val="auto"/>
                <w:sz w:val="24"/>
                <w:szCs w:val="24"/>
              </w:rPr>
              <w:t>施工期</w:t>
            </w:r>
            <w:r>
              <w:rPr>
                <w:rFonts w:hint="eastAsia"/>
                <w:color w:val="auto"/>
                <w:sz w:val="24"/>
                <w:szCs w:val="24"/>
              </w:rPr>
              <w:t>噪声</w:t>
            </w:r>
          </w:p>
          <w:p w14:paraId="42B41E5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rPr>
            </w:pPr>
            <w:r>
              <w:rPr>
                <w:rFonts w:hint="eastAsia"/>
                <w:color w:val="auto"/>
              </w:rPr>
              <w:t>施工期噪声主要包括项目施工场地噪声和材料运输产生的交通噪声，其中施工场地噪声为施工机械设备噪声，物料装卸碰撞噪声及施工人员的生活噪声。施工噪声是由多种机械设备和运输车辆发出的，且大部分设备的运行具有间歇性，因此，项目施工过程产生的噪声具有间歇性和短暂性的特点。</w:t>
            </w:r>
          </w:p>
          <w:p w14:paraId="3169045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rPr>
            </w:pPr>
            <w:r>
              <w:rPr>
                <w:rFonts w:hint="eastAsia"/>
                <w:color w:val="auto"/>
              </w:rPr>
              <w:t>本项目施工期的噪声源主要为搅拌机和振捣机等施工设备以及运输车辆，此类设备的噪声强度一般在82-105dB（A），会对周边声环境带来一定影响。为减小噪声对区域环境的影响，本次环评建议施工单位采取以下噪声防治措施：</w:t>
            </w:r>
          </w:p>
          <w:p w14:paraId="292B4A8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rPr>
            </w:pPr>
            <w:r>
              <w:rPr>
                <w:rFonts w:hint="eastAsia"/>
                <w:color w:val="auto"/>
              </w:rPr>
              <w:t>（1）合理安排施工时间，对于产生高噪声的设备，应尽量安排在昼间施工，禁止夜间施工。尽可能避免大量高噪声设备同时施工，以避免局部噪声瞬时值过高。</w:t>
            </w:r>
          </w:p>
          <w:p w14:paraId="6F10D4F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rPr>
            </w:pPr>
            <w:r>
              <w:rPr>
                <w:rFonts w:hint="eastAsia"/>
                <w:color w:val="auto"/>
              </w:rPr>
              <w:t>（2）尽可能选用低噪声设备，从源头上降低噪声源强。</w:t>
            </w:r>
            <w:r>
              <w:rPr>
                <w:rFonts w:hint="eastAsia"/>
                <w:color w:val="auto"/>
                <w:lang w:eastAsia="zh-CN"/>
              </w:rPr>
              <w:t>加大</w:t>
            </w:r>
            <w:r>
              <w:rPr>
                <w:rFonts w:hint="eastAsia"/>
                <w:color w:val="auto"/>
              </w:rPr>
              <w:t>监管力度，注意对机械设备的日常维护和保养，紧固各机械部件，保持润滑，最大限度的减小运行振动噪声。此外，整体设备应安放稳固，并与地面保持良好接触，有条件的应使用减振机座，降低噪声。</w:t>
            </w:r>
          </w:p>
          <w:p w14:paraId="04F795FD">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rPr>
            </w:pPr>
            <w:r>
              <w:rPr>
                <w:rFonts w:hint="eastAsia"/>
                <w:color w:val="auto"/>
              </w:rPr>
              <w:t>（3）对于在高噪声设备附近工作的施工人员，可采取配备耳塞、耳机、防声头盔等防噪用具。</w:t>
            </w:r>
          </w:p>
          <w:p w14:paraId="48E0D68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rPr>
            </w:pPr>
            <w:r>
              <w:rPr>
                <w:rFonts w:hint="eastAsia"/>
                <w:color w:val="auto"/>
              </w:rPr>
              <w:t>（4）减小施工期交通噪声。考虑施工期间交通运输对环境影响较大，应尽量减少夜间运输量，限制大型载重车的车速，并对运输车辆</w:t>
            </w:r>
            <w:r>
              <w:rPr>
                <w:rFonts w:hint="eastAsia"/>
                <w:color w:val="auto"/>
                <w:lang w:eastAsia="zh-CN"/>
              </w:rPr>
              <w:t>做</w:t>
            </w:r>
            <w:r>
              <w:rPr>
                <w:rFonts w:hint="eastAsia"/>
                <w:color w:val="auto"/>
              </w:rPr>
              <w:t>定期维修和养护，减少或杜绝鸣笛，合理安排运输路线。</w:t>
            </w:r>
          </w:p>
          <w:p w14:paraId="1073E916">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降低人为噪声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对于施工期间的材料运输、敲击、人的喊叫等施工声源，要求施工队通过文明施</w:t>
            </w:r>
            <w:r>
              <w:rPr>
                <w:rFonts w:hint="default" w:ascii="Times New Roman" w:hAnsi="Times New Roman" w:eastAsia="宋体" w:cs="Times New Roman"/>
                <w:color w:val="auto"/>
                <w:spacing w:val="-1"/>
                <w:sz w:val="24"/>
                <w:szCs w:val="24"/>
              </w:rPr>
              <w:t>工、加强有效管理加以缓解。</w:t>
            </w:r>
          </w:p>
          <w:p w14:paraId="00215708">
            <w:pPr>
              <w:pStyle w:val="5"/>
              <w:keepNext w:val="0"/>
              <w:keepLines w:val="0"/>
              <w:pageBreakBefore w:val="0"/>
              <w:widowControl w:val="0"/>
              <w:kinsoku/>
              <w:wordWrap/>
              <w:overflowPunct/>
              <w:topLinePunct w:val="0"/>
              <w:autoSpaceDE/>
              <w:autoSpaceDN/>
              <w:bidi w:val="0"/>
              <w:adjustRightInd/>
              <w:snapToGrid/>
              <w:spacing w:before="0" w:beforeLines="0" w:after="0" w:afterLines="0"/>
              <w:ind w:firstLine="482" w:firstLineChars="200"/>
              <w:textAlignment w:val="auto"/>
              <w:rPr>
                <w:color w:val="auto"/>
                <w:sz w:val="24"/>
                <w:szCs w:val="24"/>
              </w:rPr>
            </w:pPr>
            <w:r>
              <w:rPr>
                <w:color w:val="auto"/>
                <w:sz w:val="24"/>
                <w:szCs w:val="24"/>
              </w:rPr>
              <w:t>4</w:t>
            </w:r>
            <w:r>
              <w:rPr>
                <w:rFonts w:hint="eastAsia"/>
                <w:color w:val="auto"/>
                <w:sz w:val="24"/>
                <w:szCs w:val="24"/>
                <w:lang w:eastAsia="zh-CN"/>
              </w:rPr>
              <w:t>、</w:t>
            </w:r>
            <w:r>
              <w:rPr>
                <w:color w:val="auto"/>
                <w:sz w:val="24"/>
                <w:szCs w:val="24"/>
              </w:rPr>
              <w:t>施工期</w:t>
            </w:r>
            <w:r>
              <w:rPr>
                <w:rFonts w:hint="eastAsia"/>
                <w:color w:val="auto"/>
                <w:sz w:val="24"/>
                <w:szCs w:val="24"/>
              </w:rPr>
              <w:t>固废</w:t>
            </w:r>
          </w:p>
          <w:p w14:paraId="4DEEC0D7">
            <w:pPr>
              <w:ind w:firstLine="480"/>
              <w:jc w:val="left"/>
              <w:textAlignment w:val="baseline"/>
              <w:rPr>
                <w:rFonts w:hint="eastAsia"/>
                <w:color w:val="auto"/>
              </w:rPr>
            </w:pPr>
            <w:r>
              <w:rPr>
                <w:rFonts w:hint="eastAsia"/>
                <w:color w:val="auto"/>
              </w:rPr>
              <w:t>施工期固体废物主要为建筑垃圾和施工人员少量的生活垃圾。</w:t>
            </w:r>
          </w:p>
          <w:p w14:paraId="07CB436B">
            <w:pPr>
              <w:ind w:firstLine="480"/>
              <w:jc w:val="left"/>
              <w:textAlignment w:val="baseline"/>
              <w:rPr>
                <w:color w:val="auto"/>
              </w:rPr>
            </w:pPr>
            <w:r>
              <w:rPr>
                <w:color w:val="auto"/>
              </w:rPr>
              <w:t>（1）建筑垃圾分类回收：施工中产生的碎砖、砂石等建筑垃圾要分类回收处置，不宜回收的无害固废可回填平整场地；其他建筑垃圾由施工单位或承建单位和市容局渣土办联系外运，按照市容环境卫生行政主管部门核定的时间、路线、地点运输和倾倒建筑垃圾，禁止偷倒、乱倒。</w:t>
            </w:r>
          </w:p>
          <w:p w14:paraId="3332DBB5">
            <w:pPr>
              <w:ind w:firstLine="480"/>
              <w:rPr>
                <w:color w:val="auto"/>
              </w:rPr>
            </w:pPr>
            <w:r>
              <w:rPr>
                <w:color w:val="auto"/>
              </w:rPr>
              <w:t>（2）施工人员生活垃圾应集中堆放，委托环卫部门进行统一清运处置。</w:t>
            </w:r>
          </w:p>
          <w:p w14:paraId="0988BD57">
            <w:pPr>
              <w:ind w:firstLine="480"/>
              <w:jc w:val="left"/>
              <w:textAlignment w:val="baseline"/>
              <w:rPr>
                <w:rFonts w:hint="default" w:ascii="Times New Roman" w:hAnsi="Times New Roman" w:eastAsia="宋体" w:cs="Times New Roman"/>
                <w:bCs/>
                <w:color w:val="auto"/>
                <w:spacing w:val="0"/>
                <w:w w:val="100"/>
                <w:position w:val="0"/>
                <w:sz w:val="24"/>
                <w:szCs w:val="24"/>
                <w:lang w:eastAsia="zh-CN"/>
              </w:rPr>
            </w:pPr>
            <w:r>
              <w:rPr>
                <w:color w:val="auto"/>
              </w:rPr>
              <w:t>经采取以上措施处置后，各施工固废均可得到妥善处置，不会对外环境产生影响。</w:t>
            </w:r>
          </w:p>
        </w:tc>
      </w:tr>
      <w:tr w14:paraId="077C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9" w:type="dxa"/>
            <w:noWrap w:val="0"/>
            <w:tcMar>
              <w:left w:w="28" w:type="dxa"/>
              <w:right w:w="28" w:type="dxa"/>
            </w:tcMar>
            <w:vAlign w:val="center"/>
          </w:tcPr>
          <w:p w14:paraId="2E4B5B2B">
            <w:pPr>
              <w:pStyle w:val="25"/>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pacing w:val="0"/>
                <w:w w:val="100"/>
                <w:kern w:val="2"/>
                <w:position w:val="0"/>
                <w:sz w:val="24"/>
                <w:szCs w:val="24"/>
              </w:rPr>
            </w:pPr>
            <w:r>
              <w:rPr>
                <w:rFonts w:hint="default" w:ascii="Times New Roman" w:hAnsi="Times New Roman" w:eastAsia="宋体" w:cs="Times New Roman"/>
                <w:b/>
                <w:bCs/>
                <w:color w:val="auto"/>
                <w:spacing w:val="0"/>
                <w:w w:val="100"/>
                <w:position w:val="0"/>
                <w:sz w:val="24"/>
                <w:szCs w:val="24"/>
              </w:rPr>
              <w:t>运营期环境影响和保护措施</w:t>
            </w:r>
          </w:p>
        </w:tc>
        <w:tc>
          <w:tcPr>
            <w:tcW w:w="8103" w:type="dxa"/>
            <w:noWrap w:val="0"/>
            <w:vAlign w:val="center"/>
          </w:tcPr>
          <w:p w14:paraId="752A9B04">
            <w:pPr>
              <w:keepNext w:val="0"/>
              <w:keepLines w:val="0"/>
              <w:pageBreakBefore w:val="0"/>
              <w:numPr>
                <w:ilvl w:val="0"/>
                <w:numId w:val="0"/>
              </w:numPr>
              <w:kinsoku/>
              <w:wordWrap/>
              <w:overflowPunct/>
              <w:topLinePunct w:val="0"/>
              <w:autoSpaceDE/>
              <w:autoSpaceDN/>
              <w:bidi w:val="0"/>
              <w:adjustRightInd w:val="0"/>
              <w:snapToGrid w:val="0"/>
              <w:spacing w:line="360" w:lineRule="auto"/>
              <w:ind w:left="0" w:right="0" w:firstLine="482" w:firstLineChars="200"/>
              <w:jc w:val="both"/>
              <w:textAlignment w:val="auto"/>
              <w:rPr>
                <w:rFonts w:hint="default" w:ascii="Times New Roman" w:hAnsi="Times New Roman" w:eastAsia="宋体" w:cs="Times New Roman"/>
                <w:color w:val="auto"/>
                <w:spacing w:val="0"/>
                <w:w w:val="100"/>
                <w:position w:val="0"/>
                <w:sz w:val="24"/>
                <w:szCs w:val="24"/>
                <w:lang w:val="en-US" w:eastAsia="zh-CN"/>
              </w:rPr>
            </w:pPr>
            <w:r>
              <w:rPr>
                <w:rFonts w:hint="default" w:ascii="Times New Roman" w:hAnsi="Times New Roman" w:eastAsia="宋体" w:cs="Times New Roman"/>
                <w:b/>
                <w:bCs/>
                <w:color w:val="auto"/>
                <w:spacing w:val="0"/>
                <w:w w:val="100"/>
                <w:position w:val="0"/>
                <w:sz w:val="24"/>
                <w:szCs w:val="24"/>
                <w:lang w:val="en-US" w:eastAsia="zh-CN"/>
              </w:rPr>
              <w:t>1、</w:t>
            </w:r>
            <w:r>
              <w:rPr>
                <w:rFonts w:hint="default" w:ascii="Times New Roman" w:hAnsi="Times New Roman" w:eastAsia="宋体" w:cs="Times New Roman"/>
                <w:b/>
                <w:bCs/>
                <w:color w:val="auto"/>
                <w:spacing w:val="0"/>
                <w:w w:val="100"/>
                <w:position w:val="0"/>
                <w:sz w:val="24"/>
                <w:szCs w:val="24"/>
              </w:rPr>
              <w:t>废气</w:t>
            </w:r>
          </w:p>
          <w:p w14:paraId="10DB1B2F">
            <w:pPr>
              <w:bidi w:val="0"/>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w:t>
            </w:r>
            <w:r>
              <w:rPr>
                <w:rFonts w:hint="eastAsia" w:ascii="Times New Roman" w:hAnsi="Times New Roman" w:eastAsia="宋体" w:cs="Times New Roman"/>
                <w:b w:val="0"/>
                <w:bCs w:val="0"/>
                <w:color w:val="auto"/>
                <w:spacing w:val="0"/>
                <w:w w:val="100"/>
                <w:position w:val="0"/>
                <w:sz w:val="24"/>
                <w:szCs w:val="24"/>
                <w:lang w:val="en-US" w:eastAsia="zh-CN"/>
              </w:rPr>
              <w:t>1</w:t>
            </w:r>
            <w:r>
              <w:rPr>
                <w:rFonts w:hint="default" w:ascii="Times New Roman" w:hAnsi="Times New Roman" w:eastAsia="宋体" w:cs="Times New Roman"/>
                <w:b w:val="0"/>
                <w:bCs w:val="0"/>
                <w:color w:val="auto"/>
                <w:spacing w:val="0"/>
                <w:w w:val="100"/>
                <w:position w:val="0"/>
                <w:sz w:val="24"/>
                <w:szCs w:val="24"/>
              </w:rPr>
              <w:t>）废气污染源分析</w:t>
            </w:r>
          </w:p>
          <w:p w14:paraId="119CF625">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eastAsia" w:ascii="Times New Roman" w:hAnsi="Times New Roman" w:eastAsia="宋体" w:cs="Times New Roman"/>
                <w:color w:val="auto"/>
                <w:spacing w:val="0"/>
                <w:w w:val="100"/>
                <w:position w:val="0"/>
                <w:sz w:val="24"/>
                <w:szCs w:val="24"/>
                <w:lang w:eastAsia="zh-CN"/>
              </w:rPr>
            </w:pPr>
            <w:r>
              <w:rPr>
                <w:rFonts w:hint="eastAsia" w:ascii="宋体" w:hAnsi="宋体" w:eastAsia="宋体" w:cs="宋体"/>
                <w:color w:val="auto"/>
                <w:spacing w:val="0"/>
                <w:w w:val="100"/>
                <w:position w:val="0"/>
                <w:sz w:val="24"/>
                <w:szCs w:val="24"/>
              </w:rPr>
              <w:t>①</w:t>
            </w:r>
            <w:r>
              <w:rPr>
                <w:rFonts w:hint="eastAsia" w:ascii="Times New Roman" w:hAnsi="Times New Roman" w:eastAsia="宋体" w:cs="Times New Roman"/>
                <w:color w:val="auto"/>
                <w:spacing w:val="0"/>
                <w:w w:val="100"/>
                <w:position w:val="0"/>
                <w:sz w:val="24"/>
                <w:szCs w:val="24"/>
                <w:lang w:eastAsia="zh-CN"/>
              </w:rPr>
              <w:t>污水</w:t>
            </w:r>
            <w:r>
              <w:rPr>
                <w:rFonts w:hint="eastAsia" w:ascii="Times New Roman" w:hAnsi="Times New Roman" w:cs="Times New Roman"/>
                <w:color w:val="auto"/>
                <w:spacing w:val="0"/>
                <w:w w:val="100"/>
                <w:position w:val="0"/>
                <w:sz w:val="24"/>
                <w:szCs w:val="24"/>
                <w:lang w:val="en-US" w:eastAsia="zh-CN"/>
              </w:rPr>
              <w:t>处理</w:t>
            </w:r>
            <w:r>
              <w:rPr>
                <w:rFonts w:hint="eastAsia" w:ascii="Times New Roman" w:hAnsi="Times New Roman" w:eastAsia="宋体" w:cs="Times New Roman"/>
                <w:color w:val="auto"/>
                <w:spacing w:val="0"/>
                <w:w w:val="100"/>
                <w:position w:val="0"/>
                <w:sz w:val="24"/>
                <w:szCs w:val="24"/>
                <w:lang w:eastAsia="zh-CN"/>
              </w:rPr>
              <w:t>站恶臭</w:t>
            </w:r>
          </w:p>
          <w:p w14:paraId="6A5D0A6E">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本项目营运期废气主要为污水处理</w:t>
            </w:r>
            <w:r>
              <w:rPr>
                <w:rFonts w:hint="eastAsia" w:ascii="Times New Roman" w:hAnsi="Times New Roman" w:cs="Times New Roman"/>
                <w:color w:val="auto"/>
                <w:spacing w:val="0"/>
                <w:w w:val="100"/>
                <w:position w:val="0"/>
                <w:sz w:val="24"/>
                <w:szCs w:val="24"/>
                <w:lang w:val="en-US" w:eastAsia="zh-CN"/>
              </w:rPr>
              <w:t>站</w:t>
            </w:r>
            <w:r>
              <w:rPr>
                <w:rFonts w:hint="default" w:ascii="Times New Roman" w:hAnsi="Times New Roman" w:eastAsia="宋体" w:cs="Times New Roman"/>
                <w:color w:val="auto"/>
                <w:spacing w:val="0"/>
                <w:w w:val="100"/>
                <w:position w:val="0"/>
                <w:sz w:val="24"/>
                <w:szCs w:val="24"/>
              </w:rPr>
              <w:t>产生的恶臭气体，</w:t>
            </w:r>
            <w:r>
              <w:rPr>
                <w:rFonts w:hint="eastAsia" w:ascii="Times New Roman" w:hAnsi="Times New Roman" w:cs="Times New Roman"/>
                <w:color w:val="auto"/>
                <w:spacing w:val="0"/>
                <w:w w:val="100"/>
                <w:position w:val="0"/>
                <w:sz w:val="24"/>
                <w:szCs w:val="24"/>
                <w:lang w:eastAsia="zh-CN"/>
              </w:rPr>
              <w:t>主要成分为</w:t>
            </w:r>
            <w:r>
              <w:rPr>
                <w:rFonts w:hint="default" w:ascii="Times New Roman" w:hAnsi="Times New Roman" w:eastAsia="宋体" w:cs="Times New Roman"/>
                <w:color w:val="auto"/>
                <w:spacing w:val="0"/>
                <w:w w:val="100"/>
                <w:position w:val="0"/>
                <w:sz w:val="24"/>
                <w:szCs w:val="24"/>
              </w:rPr>
              <w:t>NH</w:t>
            </w:r>
            <w:r>
              <w:rPr>
                <w:rFonts w:hint="default" w:ascii="Times New Roman" w:hAnsi="Times New Roman" w:eastAsia="宋体" w:cs="Times New Roman"/>
                <w:color w:val="auto"/>
                <w:spacing w:val="0"/>
                <w:w w:val="100"/>
                <w:position w:val="0"/>
                <w:sz w:val="24"/>
                <w:szCs w:val="24"/>
                <w:vertAlign w:val="subscript"/>
              </w:rPr>
              <w:t>3</w:t>
            </w:r>
            <w:r>
              <w:rPr>
                <w:rFonts w:hint="default" w:ascii="Times New Roman" w:hAnsi="Times New Roman" w:eastAsia="宋体" w:cs="Times New Roman"/>
                <w:color w:val="auto"/>
                <w:spacing w:val="0"/>
                <w:w w:val="100"/>
                <w:position w:val="0"/>
                <w:sz w:val="24"/>
                <w:szCs w:val="24"/>
              </w:rPr>
              <w:t>、H</w:t>
            </w:r>
            <w:r>
              <w:rPr>
                <w:rFonts w:hint="default" w:ascii="Times New Roman" w:hAnsi="Times New Roman" w:eastAsia="宋体" w:cs="Times New Roman"/>
                <w:color w:val="auto"/>
                <w:spacing w:val="0"/>
                <w:w w:val="100"/>
                <w:position w:val="0"/>
                <w:sz w:val="24"/>
                <w:szCs w:val="24"/>
                <w:vertAlign w:val="subscript"/>
              </w:rPr>
              <w:t>2</w:t>
            </w:r>
            <w:r>
              <w:rPr>
                <w:rFonts w:hint="default" w:ascii="Times New Roman" w:hAnsi="Times New Roman" w:eastAsia="宋体" w:cs="Times New Roman"/>
                <w:color w:val="auto"/>
                <w:spacing w:val="0"/>
                <w:w w:val="100"/>
                <w:position w:val="0"/>
                <w:sz w:val="24"/>
                <w:szCs w:val="24"/>
              </w:rPr>
              <w:t>S等。</w:t>
            </w:r>
          </w:p>
          <w:p w14:paraId="4D6127DB">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cs="Times New Roman"/>
                <w:lang w:val="en-US" w:eastAsia="zh-CN"/>
              </w:rPr>
            </w:pPr>
            <w:r>
              <w:rPr>
                <w:rFonts w:hint="default" w:ascii="Times New Roman" w:hAnsi="Times New Roman" w:eastAsia="宋体" w:cs="Times New Roman"/>
                <w:color w:val="auto"/>
                <w:spacing w:val="0"/>
                <w:w w:val="100"/>
                <w:position w:val="0"/>
                <w:sz w:val="24"/>
                <w:szCs w:val="24"/>
              </w:rPr>
              <w:t>污水处理设施在运营期间由于微生物新陈代谢等过程会产生氨、硫化氢等恶臭气体。根据美国EPA对城市污水处理厂恶臭污染物产生情况的研究，每处理1g的BOD</w:t>
            </w:r>
            <w:r>
              <w:rPr>
                <w:rFonts w:hint="default" w:ascii="Times New Roman" w:hAnsi="Times New Roman" w:eastAsia="宋体" w:cs="Times New Roman"/>
                <w:color w:val="auto"/>
                <w:spacing w:val="0"/>
                <w:w w:val="100"/>
                <w:position w:val="0"/>
                <w:sz w:val="24"/>
                <w:szCs w:val="24"/>
                <w:vertAlign w:val="subscript"/>
              </w:rPr>
              <w:t>5</w:t>
            </w:r>
            <w:r>
              <w:rPr>
                <w:rFonts w:hint="default" w:ascii="Times New Roman" w:hAnsi="Times New Roman" w:eastAsia="宋体" w:cs="Times New Roman"/>
                <w:color w:val="auto"/>
                <w:spacing w:val="0"/>
                <w:w w:val="100"/>
                <w:position w:val="0"/>
                <w:sz w:val="24"/>
                <w:szCs w:val="24"/>
              </w:rPr>
              <w:t>可产生0.0031g的NH</w:t>
            </w:r>
            <w:r>
              <w:rPr>
                <w:rFonts w:hint="default" w:ascii="Times New Roman" w:hAnsi="Times New Roman" w:eastAsia="宋体" w:cs="Times New Roman"/>
                <w:color w:val="auto"/>
                <w:spacing w:val="0"/>
                <w:w w:val="100"/>
                <w:position w:val="0"/>
                <w:sz w:val="24"/>
                <w:szCs w:val="24"/>
                <w:vertAlign w:val="subscript"/>
              </w:rPr>
              <w:t>3</w:t>
            </w:r>
            <w:r>
              <w:rPr>
                <w:rFonts w:hint="default" w:ascii="Times New Roman" w:hAnsi="Times New Roman" w:eastAsia="宋体" w:cs="Times New Roman"/>
                <w:color w:val="auto"/>
                <w:spacing w:val="0"/>
                <w:w w:val="100"/>
                <w:position w:val="0"/>
                <w:sz w:val="24"/>
                <w:szCs w:val="24"/>
              </w:rPr>
              <w:t>和0.00012g的H</w:t>
            </w:r>
            <w:r>
              <w:rPr>
                <w:rFonts w:hint="default" w:ascii="Times New Roman" w:hAnsi="Times New Roman" w:eastAsia="宋体" w:cs="Times New Roman"/>
                <w:color w:val="auto"/>
                <w:spacing w:val="0"/>
                <w:w w:val="100"/>
                <w:position w:val="0"/>
                <w:sz w:val="24"/>
                <w:szCs w:val="24"/>
                <w:vertAlign w:val="subscript"/>
              </w:rPr>
              <w:t>2</w:t>
            </w:r>
            <w:r>
              <w:rPr>
                <w:rFonts w:hint="default" w:ascii="Times New Roman" w:hAnsi="Times New Roman" w:eastAsia="宋体" w:cs="Times New Roman"/>
                <w:color w:val="auto"/>
                <w:spacing w:val="0"/>
                <w:w w:val="100"/>
                <w:position w:val="0"/>
                <w:sz w:val="24"/>
                <w:szCs w:val="24"/>
              </w:rPr>
              <w:t>S。</w:t>
            </w:r>
            <w:r>
              <w:rPr>
                <w:rFonts w:hint="default" w:ascii="Times New Roman" w:hAnsi="Times New Roman" w:cs="Times New Roman"/>
              </w:rPr>
              <w:t>根据</w:t>
            </w:r>
            <w:r>
              <w:rPr>
                <w:rFonts w:hint="default" w:ascii="Times New Roman" w:hAnsi="Times New Roman" w:cs="Times New Roman"/>
                <w:lang w:eastAsia="zh-CN"/>
              </w:rPr>
              <w:t>废水源强核算，</w:t>
            </w:r>
            <w:r>
              <w:rPr>
                <w:rFonts w:hint="eastAsia" w:ascii="Times New Roman" w:hAnsi="Times New Roman" w:cs="Times New Roman"/>
                <w:lang w:val="en-US" w:eastAsia="zh-CN"/>
              </w:rPr>
              <w:t>本项目为地埋式污水处理站，通过喷洒生物制剂除臭。</w:t>
            </w:r>
          </w:p>
          <w:p w14:paraId="6B9B457E">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cs="Times New Roman"/>
              </w:rPr>
            </w:pPr>
            <w:r>
              <w:rPr>
                <w:rFonts w:hint="default" w:ascii="Times New Roman" w:hAnsi="Times New Roman" w:cs="Times New Roman"/>
              </w:rPr>
              <w:t>项目污水处理站BOD</w:t>
            </w:r>
            <w:r>
              <w:rPr>
                <w:rFonts w:hint="default" w:ascii="Times New Roman" w:hAnsi="Times New Roman" w:cs="Times New Roman"/>
                <w:vertAlign w:val="subscript"/>
              </w:rPr>
              <w:t>5</w:t>
            </w:r>
            <w:r>
              <w:rPr>
                <w:rFonts w:hint="eastAsia" w:ascii="Times New Roman" w:hAnsi="Times New Roman" w:cs="Times New Roman"/>
                <w:lang w:val="en-US" w:eastAsia="zh-CN"/>
              </w:rPr>
              <w:t>产生</w:t>
            </w:r>
            <w:r>
              <w:rPr>
                <w:rFonts w:hint="default" w:ascii="Times New Roman" w:hAnsi="Times New Roman" w:cs="Times New Roman"/>
              </w:rPr>
              <w:t>量为0.</w:t>
            </w:r>
            <w:r>
              <w:rPr>
                <w:rFonts w:hint="eastAsia" w:ascii="Times New Roman" w:hAnsi="Times New Roman" w:cs="Times New Roman"/>
                <w:lang w:val="en-US" w:eastAsia="zh-CN"/>
              </w:rPr>
              <w:t>85</w:t>
            </w:r>
            <w:r>
              <w:rPr>
                <w:rFonts w:hint="default" w:ascii="Times New Roman" w:hAnsi="Times New Roman" w:cs="Times New Roman"/>
              </w:rPr>
              <w:t>t/a，因此NH</w:t>
            </w:r>
            <w:r>
              <w:rPr>
                <w:rFonts w:hint="default" w:ascii="Times New Roman" w:hAnsi="Times New Roman" w:cs="Times New Roman"/>
                <w:vertAlign w:val="subscript"/>
              </w:rPr>
              <w:t>3</w:t>
            </w:r>
            <w:r>
              <w:rPr>
                <w:rFonts w:hint="default" w:ascii="Times New Roman" w:hAnsi="Times New Roman" w:cs="Times New Roman"/>
              </w:rPr>
              <w:t>产生量和产生速率分别为</w:t>
            </w:r>
            <w:r>
              <w:rPr>
                <w:rFonts w:hint="eastAsia" w:ascii="Times New Roman" w:hAnsi="Times New Roman" w:cs="Times New Roman"/>
                <w:lang w:val="en-US" w:eastAsia="zh-CN"/>
              </w:rPr>
              <w:t>2.635</w:t>
            </w:r>
            <w:r>
              <w:rPr>
                <w:rFonts w:hint="default" w:ascii="Times New Roman" w:hAnsi="Times New Roman" w:cs="Times New Roman"/>
              </w:rPr>
              <w:t>kg/</w:t>
            </w:r>
            <w:r>
              <w:rPr>
                <w:rFonts w:hint="default" w:ascii="Times New Roman" w:hAnsi="Times New Roman" w:cs="Times New Roman"/>
                <w:lang w:val="en-US" w:eastAsia="zh-CN"/>
              </w:rPr>
              <w:t>a</w:t>
            </w:r>
            <w:r>
              <w:rPr>
                <w:rFonts w:hint="default" w:ascii="Times New Roman" w:hAnsi="Times New Roman" w:cs="Times New Roman"/>
              </w:rPr>
              <w:t>、0.000</w:t>
            </w:r>
            <w:r>
              <w:rPr>
                <w:rFonts w:hint="eastAsia" w:ascii="Times New Roman" w:hAnsi="Times New Roman" w:cs="Times New Roman"/>
                <w:lang w:val="en-US" w:eastAsia="zh-CN"/>
              </w:rPr>
              <w:t>3</w:t>
            </w:r>
            <w:r>
              <w:rPr>
                <w:rFonts w:hint="default" w:ascii="Times New Roman" w:hAnsi="Times New Roman" w:cs="Times New Roman"/>
              </w:rPr>
              <w:t>kg/h，H</w:t>
            </w:r>
            <w:r>
              <w:rPr>
                <w:rFonts w:hint="default" w:ascii="Times New Roman" w:hAnsi="Times New Roman" w:cs="Times New Roman"/>
                <w:vertAlign w:val="subscript"/>
              </w:rPr>
              <w:t>2</w:t>
            </w:r>
            <w:r>
              <w:rPr>
                <w:rFonts w:hint="default" w:ascii="Times New Roman" w:hAnsi="Times New Roman" w:cs="Times New Roman"/>
              </w:rPr>
              <w:t>S产生量和产生速率分别为0.</w:t>
            </w:r>
            <w:r>
              <w:rPr>
                <w:rFonts w:hint="eastAsia" w:ascii="Times New Roman" w:hAnsi="Times New Roman" w:cs="Times New Roman"/>
                <w:lang w:val="en-US" w:eastAsia="zh-CN"/>
              </w:rPr>
              <w:t>102</w:t>
            </w:r>
            <w:r>
              <w:rPr>
                <w:rFonts w:hint="default" w:ascii="Times New Roman" w:hAnsi="Times New Roman" w:cs="Times New Roman"/>
              </w:rPr>
              <w:t>kg/a、0.0000</w:t>
            </w:r>
            <w:r>
              <w:rPr>
                <w:rFonts w:hint="eastAsia" w:ascii="Times New Roman" w:hAnsi="Times New Roman" w:cs="Times New Roman"/>
                <w:lang w:val="en-US" w:eastAsia="zh-CN"/>
              </w:rPr>
              <w:t>12</w:t>
            </w:r>
            <w:r>
              <w:rPr>
                <w:rFonts w:hint="default" w:ascii="Times New Roman" w:hAnsi="Times New Roman" w:cs="Times New Roman"/>
              </w:rPr>
              <w:t>kg/h。</w:t>
            </w:r>
          </w:p>
          <w:p w14:paraId="601D0B9F">
            <w:pPr>
              <w:keepNext w:val="0"/>
              <w:keepLines w:val="0"/>
              <w:numPr>
                <w:ilvl w:val="0"/>
                <w:numId w:val="0"/>
              </w:numPr>
              <w:suppressLineNumbers w:val="0"/>
              <w:spacing w:before="0" w:beforeAutospacing="0" w:after="0" w:afterAutospacing="0" w:line="360" w:lineRule="auto"/>
              <w:ind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根据《医疗机构水污染物排放标准》（GB18466-2005）的第4.2.1条：“污水处理站排出的废气应进行除臭除味处理，保证污水处理站周边空气中污染物达到表3要求”，污水处理站排出的恶臭废气应进行除臭除味处理。</w:t>
            </w:r>
          </w:p>
          <w:p w14:paraId="7D833575">
            <w:pPr>
              <w:keepNext w:val="0"/>
              <w:keepLines w:val="0"/>
              <w:numPr>
                <w:ilvl w:val="0"/>
                <w:numId w:val="0"/>
              </w:numPr>
              <w:suppressLineNumbers w:val="0"/>
              <w:spacing w:before="0" w:beforeAutospacing="0" w:after="0" w:afterAutospacing="0" w:line="360" w:lineRule="auto"/>
              <w:ind w:right="0" w:rightChars="0" w:firstLine="480" w:firstLineChars="20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本项目依托</w:t>
            </w:r>
            <w:r>
              <w:rPr>
                <w:rFonts w:hint="default" w:ascii="Times New Roman" w:hAnsi="Times New Roman" w:eastAsia="宋体" w:cs="Times New Roman"/>
                <w:color w:val="auto"/>
                <w:sz w:val="24"/>
                <w:szCs w:val="24"/>
                <w:lang w:eastAsia="zh-CN"/>
              </w:rPr>
              <w:t>原</w:t>
            </w:r>
            <w:r>
              <w:rPr>
                <w:rFonts w:hint="default" w:ascii="Times New Roman" w:hAnsi="Times New Roman" w:eastAsia="宋体" w:cs="Times New Roman"/>
                <w:color w:val="auto"/>
                <w:sz w:val="24"/>
                <w:szCs w:val="24"/>
                <w:lang w:val="en-US" w:eastAsia="zh-CN"/>
              </w:rPr>
              <w:t>租赁单位</w:t>
            </w:r>
            <w:r>
              <w:rPr>
                <w:rFonts w:hint="default" w:ascii="Times New Roman" w:hAnsi="Times New Roman" w:eastAsia="宋体" w:cs="Times New Roman"/>
                <w:color w:val="auto"/>
                <w:sz w:val="24"/>
                <w:szCs w:val="24"/>
              </w:rPr>
              <w:t>泗县新城中西医结合医院</w:t>
            </w:r>
            <w:r>
              <w:rPr>
                <w:rFonts w:hint="default" w:ascii="Times New Roman" w:hAnsi="Times New Roman" w:eastAsia="宋体" w:cs="Times New Roman"/>
                <w:color w:val="auto"/>
                <w:sz w:val="24"/>
                <w:szCs w:val="24"/>
                <w:lang w:val="en-US" w:eastAsia="zh-CN"/>
              </w:rPr>
              <w:t>地埋式污水处理站，构筑物加盖密闭，喷洒除臭制剂，恶臭气体无组织排放</w:t>
            </w:r>
            <w:r>
              <w:rPr>
                <w:rFonts w:hint="default" w:ascii="Times New Roman" w:hAnsi="Times New Roman" w:cs="Times New Roman"/>
                <w:color w:val="auto"/>
                <w:sz w:val="24"/>
                <w:szCs w:val="24"/>
                <w:lang w:val="en-US" w:eastAsia="zh-CN"/>
              </w:rPr>
              <w:t>。</w:t>
            </w:r>
          </w:p>
          <w:p w14:paraId="5313D87A">
            <w:pPr>
              <w:keepNext w:val="0"/>
              <w:keepLines w:val="0"/>
              <w:numPr>
                <w:ilvl w:val="0"/>
                <w:numId w:val="0"/>
              </w:numPr>
              <w:suppressLineNumbers w:val="0"/>
              <w:spacing w:before="0" w:beforeAutospacing="0" w:after="0" w:afterAutospacing="0" w:line="360" w:lineRule="auto"/>
              <w:ind w:right="0" w:rightChars="0" w:firstLine="480" w:firstLineChars="200"/>
              <w:rPr>
                <w:rFonts w:hint="default"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hint="default" w:ascii="Times New Roman" w:hAnsi="Times New Roman" w:eastAsia="宋体" w:cs="Times New Roman"/>
                <w:color w:val="auto"/>
                <w:sz w:val="24"/>
                <w:szCs w:val="24"/>
              </w:rPr>
              <w:t>医疗废物暂存间恶臭</w:t>
            </w:r>
          </w:p>
          <w:p w14:paraId="0F5EFD11">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lang w:eastAsia="zh-CN"/>
              </w:rPr>
              <w:t>建设</w:t>
            </w:r>
            <w:r>
              <w:rPr>
                <w:rFonts w:hint="default" w:ascii="Times New Roman" w:hAnsi="Times New Roman" w:eastAsia="宋体" w:cs="Times New Roman"/>
                <w:color w:val="auto"/>
                <w:sz w:val="24"/>
                <w:szCs w:val="24"/>
              </w:rPr>
              <w:t>项目医疗废物暂存间</w:t>
            </w:r>
            <w:r>
              <w:rPr>
                <w:rFonts w:hint="eastAsia" w:cs="Times New Roman"/>
                <w:color w:val="auto"/>
                <w:sz w:val="24"/>
                <w:szCs w:val="24"/>
                <w:lang w:eastAsia="zh-CN"/>
              </w:rPr>
              <w:t>位于</w:t>
            </w:r>
            <w:r>
              <w:rPr>
                <w:rFonts w:hint="eastAsia" w:ascii="Times New Roman" w:hAnsi="Times New Roman" w:cs="Times New Roman"/>
                <w:color w:val="auto"/>
                <w:spacing w:val="0"/>
                <w:position w:val="0"/>
                <w:sz w:val="24"/>
                <w:szCs w:val="24"/>
                <w:lang w:val="en-US" w:eastAsia="zh-CN"/>
              </w:rPr>
              <w:t>主楼和辅楼之间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在医疗废物储存过程中如不及时清运，会产生恶臭气体，</w:t>
            </w:r>
            <w:r>
              <w:rPr>
                <w:rFonts w:hint="eastAsia" w:cs="Times New Roman"/>
                <w:color w:val="auto"/>
                <w:kern w:val="0"/>
                <w:sz w:val="24"/>
                <w:szCs w:val="24"/>
                <w:lang w:eastAsia="zh-CN"/>
              </w:rPr>
              <w:t>医疗</w:t>
            </w:r>
            <w:r>
              <w:rPr>
                <w:rFonts w:hint="default" w:ascii="Times New Roman" w:hAnsi="Times New Roman" w:eastAsia="宋体" w:cs="Times New Roman"/>
                <w:color w:val="auto"/>
                <w:kern w:val="0"/>
                <w:sz w:val="24"/>
                <w:szCs w:val="24"/>
              </w:rPr>
              <w:t>危废做到每日清运一次</w:t>
            </w:r>
            <w:r>
              <w:rPr>
                <w:rFonts w:hint="default" w:ascii="Times New Roman" w:hAnsi="Times New Roman" w:cs="Times New Roman"/>
                <w:color w:val="auto"/>
                <w:kern w:val="0"/>
                <w:sz w:val="24"/>
                <w:szCs w:val="24"/>
                <w:lang w:eastAsia="zh-CN"/>
              </w:rPr>
              <w:t>，最长</w:t>
            </w:r>
            <w:r>
              <w:rPr>
                <w:rFonts w:hint="eastAsia" w:ascii="Times New Roman" w:hAnsi="Times New Roman" w:cs="Times New Roman"/>
                <w:color w:val="auto"/>
                <w:kern w:val="0"/>
                <w:sz w:val="24"/>
                <w:szCs w:val="24"/>
                <w:lang w:eastAsia="zh-CN"/>
              </w:rPr>
              <w:t>存储</w:t>
            </w:r>
            <w:r>
              <w:rPr>
                <w:rFonts w:hint="default" w:ascii="Times New Roman" w:hAnsi="Times New Roman" w:cs="Times New Roman"/>
                <w:color w:val="auto"/>
                <w:kern w:val="0"/>
                <w:sz w:val="24"/>
                <w:szCs w:val="24"/>
                <w:lang w:eastAsia="zh-CN"/>
              </w:rPr>
              <w:t>不超过</w:t>
            </w:r>
            <w:r>
              <w:rPr>
                <w:rFonts w:hint="default" w:ascii="Times New Roman" w:hAnsi="Times New Roman" w:cs="Times New Roman"/>
                <w:color w:val="auto"/>
                <w:kern w:val="0"/>
                <w:sz w:val="24"/>
                <w:szCs w:val="24"/>
                <w:lang w:val="en-US" w:eastAsia="zh-CN"/>
              </w:rPr>
              <w:t>48小时</w:t>
            </w:r>
            <w:r>
              <w:rPr>
                <w:rFonts w:hint="default" w:ascii="Times New Roman" w:hAnsi="Times New Roman" w:eastAsia="宋体" w:cs="Times New Roman"/>
                <w:color w:val="auto"/>
                <w:kern w:val="0"/>
                <w:sz w:val="24"/>
                <w:szCs w:val="24"/>
              </w:rPr>
              <w:t>，且医院每天均会对</w:t>
            </w:r>
            <w:r>
              <w:rPr>
                <w:rFonts w:hint="default" w:ascii="Times New Roman" w:hAnsi="Times New Roman" w:eastAsia="宋体" w:cs="Times New Roman"/>
                <w:color w:val="auto"/>
                <w:sz w:val="24"/>
                <w:szCs w:val="24"/>
              </w:rPr>
              <w:t>废物暂存间</w:t>
            </w:r>
            <w:r>
              <w:rPr>
                <w:rFonts w:hint="default" w:ascii="Times New Roman" w:hAnsi="Times New Roman" w:eastAsia="宋体" w:cs="Times New Roman"/>
                <w:color w:val="auto"/>
                <w:kern w:val="0"/>
                <w:sz w:val="24"/>
                <w:szCs w:val="24"/>
              </w:rPr>
              <w:t>采用紫外线消毒和喷洒消毒剂等方式进行消毒处理，医疗垃圾暂存间采用封闭结构，可以有效的抑制恶臭扩散出，阻止恶臭气体排放，对周围环境的影响较小。由于本项目产生医疗废物量较小，其恶臭气体的产生量较小，在此环评中仅定性分析其影响。</w:t>
            </w:r>
          </w:p>
          <w:p w14:paraId="42934C72">
            <w:pPr>
              <w:keepNext w:val="0"/>
              <w:keepLines w:val="0"/>
              <w:numPr>
                <w:ilvl w:val="0"/>
                <w:numId w:val="0"/>
              </w:numPr>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lang w:eastAsia="zh-CN"/>
              </w:rPr>
              <w:t>③</w:t>
            </w:r>
            <w:r>
              <w:rPr>
                <w:rFonts w:hint="eastAsia" w:cs="Times New Roman"/>
                <w:color w:val="auto"/>
                <w:kern w:val="0"/>
                <w:sz w:val="24"/>
                <w:szCs w:val="24"/>
                <w:lang w:val="en-US" w:eastAsia="zh-CN"/>
              </w:rPr>
              <w:t>检验科</w:t>
            </w:r>
            <w:r>
              <w:rPr>
                <w:rFonts w:hint="default" w:ascii="Times New Roman" w:hAnsi="Times New Roman" w:eastAsia="宋体" w:cs="Times New Roman"/>
                <w:color w:val="auto"/>
                <w:kern w:val="0"/>
                <w:sz w:val="24"/>
                <w:szCs w:val="24"/>
              </w:rPr>
              <w:t>废气</w:t>
            </w:r>
          </w:p>
          <w:p w14:paraId="7298B460">
            <w:pPr>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cs="Times New Roman"/>
                <w:color w:val="auto"/>
                <w:kern w:val="2"/>
                <w:sz w:val="24"/>
                <w:szCs w:val="24"/>
              </w:rPr>
              <w:t>本项目检验科成品药剂直接外购，由仪器进行化验。项目理化实验和检测过程中产生的废气主要为化验实验过程中产生的酸碱废气、有机溶液使用过程中产生的挥发性废气。根据项目的特点，检测过程中酸、碱、有机溶液等挥发性化学物质的操作均为间断性操作，每次操作时间及使用的材料及试剂具有不确定性，酸、碱、有机溶液等挥发性化学物质的操作过程中，涉及到有机溶剂的配备和实验措施均在通风橱内进行，其它涉及酸碱试剂操作的实验室使用强制通风。因为每次使用试剂量很小，挥发到外环境中的污染物量非常小。本次评价仅进行定性分析</w:t>
            </w:r>
            <w:r>
              <w:rPr>
                <w:rFonts w:hint="eastAsia" w:ascii="Times New Roman" w:hAnsi="Times New Roman" w:cs="Times New Roman"/>
                <w:color w:val="auto"/>
                <w:kern w:val="2"/>
                <w:sz w:val="24"/>
                <w:szCs w:val="24"/>
                <w:lang w:eastAsia="zh-CN"/>
              </w:rPr>
              <w:t>，</w:t>
            </w:r>
            <w:r>
              <w:rPr>
                <w:rFonts w:hint="default" w:ascii="Times New Roman" w:hAnsi="Times New Roman" w:cs="Times New Roman"/>
                <w:color w:val="auto"/>
                <w:kern w:val="2"/>
                <w:sz w:val="24"/>
                <w:szCs w:val="24"/>
              </w:rPr>
              <w:t>后续评价过程将不再对其进行赘述。</w:t>
            </w:r>
          </w:p>
          <w:p w14:paraId="3F727A5D">
            <w:pPr>
              <w:pStyle w:val="38"/>
              <w:rPr>
                <w:rFonts w:hint="default" w:ascii="Times New Roman" w:hAnsi="Times New Roman" w:eastAsia="宋体" w:cs="Times New Roman"/>
                <w:color w:val="auto"/>
                <w:spacing w:val="0"/>
                <w:w w:val="100"/>
                <w:position w:val="0"/>
                <w:sz w:val="24"/>
                <w:szCs w:val="24"/>
                <w:lang w:val="en-US" w:eastAsia="zh-CN"/>
              </w:rPr>
            </w:pPr>
            <w:r>
              <w:rPr>
                <w:rFonts w:hint="eastAsia" w:ascii="Times New Roman" w:hAnsi="Times New Roman" w:cs="Times New Roman"/>
                <w:color w:val="auto"/>
                <w:spacing w:val="0"/>
                <w:w w:val="100"/>
                <w:position w:val="0"/>
                <w:sz w:val="24"/>
                <w:szCs w:val="24"/>
                <w:lang w:val="en-US" w:eastAsia="zh-CN"/>
              </w:rPr>
              <w:t>④食堂油烟废气</w:t>
            </w:r>
          </w:p>
          <w:p w14:paraId="2FAED4E9">
            <w:pPr>
              <w:bidi w:val="0"/>
              <w:rPr>
                <w:rFonts w:hint="default"/>
                <w:lang w:val="en-US" w:eastAsia="zh-CN"/>
              </w:rPr>
            </w:pPr>
            <w:r>
              <w:rPr>
                <w:rFonts w:hint="default"/>
                <w:lang w:val="en-US" w:eastAsia="zh-CN"/>
              </w:rPr>
              <w:t>本项目食堂以天然气为燃料，天然气主要成分为甲烷，属于清洁能源食堂天然气燃烧废气污染源强很小，对项目所在区域环境空气质量影响很小。</w:t>
            </w:r>
          </w:p>
          <w:p w14:paraId="235F6E75">
            <w:pPr>
              <w:bidi w:val="0"/>
              <w:rPr>
                <w:rFonts w:hint="default"/>
                <w:lang w:val="en-US" w:eastAsia="zh-CN"/>
              </w:rPr>
            </w:pPr>
            <w:r>
              <w:rPr>
                <w:rFonts w:hint="default"/>
                <w:lang w:val="en-US" w:eastAsia="zh-CN"/>
              </w:rPr>
              <w:t>食堂烹制过程中挥发的油脂、有机质及其加热分解或裂解产物，统称为油烟废气。油烟气</w:t>
            </w:r>
            <w:r>
              <w:rPr>
                <w:rFonts w:hint="eastAsia"/>
                <w:lang w:val="en-US" w:eastAsia="zh-CN"/>
              </w:rPr>
              <w:t>的成分</w:t>
            </w:r>
            <w:r>
              <w:rPr>
                <w:rFonts w:hint="default"/>
                <w:lang w:val="en-US" w:eastAsia="zh-CN"/>
              </w:rPr>
              <w:t>十分复杂，主要污染物有多环芳烃、酮、苯并（a）芘等</w:t>
            </w:r>
            <w:r>
              <w:rPr>
                <w:rFonts w:hint="eastAsia"/>
                <w:lang w:val="en-US" w:eastAsia="zh-CN"/>
              </w:rPr>
              <w:t>200</w:t>
            </w:r>
            <w:r>
              <w:rPr>
                <w:rFonts w:hint="default"/>
                <w:lang w:val="en-US" w:eastAsia="zh-CN"/>
              </w:rPr>
              <w:t>多种有害物质。本项目年工作</w:t>
            </w:r>
            <w:r>
              <w:rPr>
                <w:rFonts w:hint="eastAsia"/>
                <w:lang w:val="en-US" w:eastAsia="zh-CN"/>
              </w:rPr>
              <w:t>365</w:t>
            </w:r>
            <w:r>
              <w:rPr>
                <w:rFonts w:hint="default"/>
                <w:lang w:val="en-US" w:eastAsia="zh-CN"/>
              </w:rPr>
              <w:t>天，其中在</w:t>
            </w:r>
            <w:r>
              <w:rPr>
                <w:rFonts w:hint="eastAsia"/>
                <w:lang w:val="en-US" w:eastAsia="zh-CN"/>
              </w:rPr>
              <w:t>院</w:t>
            </w:r>
            <w:r>
              <w:rPr>
                <w:rFonts w:hint="default"/>
                <w:lang w:val="en-US" w:eastAsia="zh-CN"/>
              </w:rPr>
              <w:t>区内就餐人数约</w:t>
            </w:r>
            <w:r>
              <w:rPr>
                <w:rFonts w:hint="eastAsia"/>
                <w:lang w:val="en-US" w:eastAsia="zh-CN"/>
              </w:rPr>
              <w:t>30</w:t>
            </w:r>
            <w:r>
              <w:rPr>
                <w:rFonts w:hint="default"/>
                <w:lang w:val="en-US" w:eastAsia="zh-CN"/>
              </w:rPr>
              <w:t>人</w:t>
            </w:r>
            <w:r>
              <w:rPr>
                <w:rFonts w:hint="eastAsia"/>
                <w:lang w:val="en-US" w:eastAsia="zh-CN"/>
              </w:rPr>
              <w:t>/d</w:t>
            </w:r>
            <w:r>
              <w:rPr>
                <w:rFonts w:hint="default"/>
                <w:lang w:val="en-US" w:eastAsia="zh-CN"/>
              </w:rPr>
              <w:t>，</w:t>
            </w:r>
            <w:r>
              <w:rPr>
                <w:rFonts w:hint="eastAsia"/>
                <w:lang w:val="en-US" w:eastAsia="zh-CN"/>
              </w:rPr>
              <w:t>项目设置1个食堂。</w:t>
            </w:r>
            <w:r>
              <w:rPr>
                <w:rFonts w:hint="default"/>
                <w:lang w:val="en-US" w:eastAsia="zh-CN"/>
              </w:rPr>
              <w:t>根据类比调查，耗油量约30g/p·d，则项目建成后</w:t>
            </w:r>
            <w:r>
              <w:rPr>
                <w:rFonts w:hint="eastAsia"/>
                <w:lang w:val="en-US" w:eastAsia="zh-CN"/>
              </w:rPr>
              <w:t>食堂的</w:t>
            </w:r>
            <w:r>
              <w:rPr>
                <w:rFonts w:hint="default"/>
                <w:lang w:val="en-US" w:eastAsia="zh-CN"/>
              </w:rPr>
              <w:t>食用油用量约</w:t>
            </w:r>
            <w:r>
              <w:rPr>
                <w:rFonts w:hint="eastAsia"/>
                <w:lang w:val="en-US" w:eastAsia="zh-CN"/>
              </w:rPr>
              <w:t>为0.33kg</w:t>
            </w:r>
            <w:r>
              <w:rPr>
                <w:rFonts w:hint="default"/>
                <w:lang w:val="en-US" w:eastAsia="zh-CN"/>
              </w:rPr>
              <w:t>/a，烹饪时油烟的挥发量占总耗油量的2%~4%之间，本次评价取3%，则项目建成后</w:t>
            </w:r>
            <w:r>
              <w:rPr>
                <w:rFonts w:hint="eastAsia"/>
                <w:lang w:val="en-US" w:eastAsia="zh-CN"/>
              </w:rPr>
              <w:t>食堂</w:t>
            </w:r>
            <w:r>
              <w:rPr>
                <w:rFonts w:hint="default"/>
                <w:lang w:val="en-US" w:eastAsia="zh-CN"/>
              </w:rPr>
              <w:t>油烟产生量</w:t>
            </w:r>
            <w:r>
              <w:rPr>
                <w:rFonts w:hint="eastAsia"/>
                <w:lang w:val="en-US" w:eastAsia="zh-CN"/>
              </w:rPr>
              <w:t>分别</w:t>
            </w:r>
            <w:r>
              <w:rPr>
                <w:rFonts w:hint="default"/>
                <w:lang w:val="en-US" w:eastAsia="zh-CN"/>
              </w:rPr>
              <w:t>为0.</w:t>
            </w:r>
            <w:r>
              <w:rPr>
                <w:rFonts w:hint="eastAsia"/>
                <w:lang w:val="en-US" w:eastAsia="zh-CN"/>
              </w:rPr>
              <w:t>01</w:t>
            </w:r>
            <w:r>
              <w:rPr>
                <w:rFonts w:hint="default"/>
                <w:lang w:val="en-US" w:eastAsia="zh-CN"/>
              </w:rPr>
              <w:t>t/a。本项目</w:t>
            </w:r>
            <w:r>
              <w:rPr>
                <w:rFonts w:hint="eastAsia"/>
                <w:lang w:val="en-US" w:eastAsia="zh-CN"/>
              </w:rPr>
              <w:t>食堂共</w:t>
            </w:r>
            <w:r>
              <w:rPr>
                <w:rFonts w:hint="default"/>
                <w:lang w:val="en-US" w:eastAsia="zh-CN"/>
              </w:rPr>
              <w:t>设</w:t>
            </w:r>
            <w:r>
              <w:rPr>
                <w:rFonts w:hint="eastAsia"/>
                <w:lang w:val="en-US" w:eastAsia="zh-CN"/>
              </w:rPr>
              <w:t>2</w:t>
            </w:r>
            <w:r>
              <w:rPr>
                <w:rFonts w:hint="default"/>
                <w:lang w:val="en-US" w:eastAsia="zh-CN"/>
              </w:rPr>
              <w:t>个灶头，油烟净化设施净化效率大于</w:t>
            </w:r>
            <w:r>
              <w:rPr>
                <w:rFonts w:hint="eastAsia"/>
                <w:lang w:val="en-US" w:eastAsia="zh-CN"/>
              </w:rPr>
              <w:t>60</w:t>
            </w:r>
            <w:r>
              <w:rPr>
                <w:rFonts w:hint="default"/>
                <w:lang w:val="en-US" w:eastAsia="zh-CN"/>
              </w:rPr>
              <w:t>%（本次评价按</w:t>
            </w:r>
            <w:r>
              <w:rPr>
                <w:rFonts w:hint="eastAsia"/>
                <w:lang w:val="en-US" w:eastAsia="zh-CN"/>
              </w:rPr>
              <w:t>65</w:t>
            </w:r>
            <w:r>
              <w:rPr>
                <w:rFonts w:hint="default"/>
                <w:lang w:val="en-US" w:eastAsia="zh-CN"/>
              </w:rPr>
              <w:t>%计），风机风量约为4000m</w:t>
            </w:r>
            <w:r>
              <w:rPr>
                <w:rFonts w:hint="default"/>
                <w:vertAlign w:val="superscript"/>
                <w:lang w:val="en-US" w:eastAsia="zh-CN"/>
              </w:rPr>
              <w:t>3</w:t>
            </w:r>
            <w:r>
              <w:rPr>
                <w:rFonts w:hint="default"/>
                <w:lang w:val="en-US" w:eastAsia="zh-CN"/>
              </w:rPr>
              <w:t>/h，则油烟产生浓度约为</w:t>
            </w:r>
            <w:r>
              <w:rPr>
                <w:rFonts w:hint="eastAsia"/>
                <w:lang w:val="en-US" w:eastAsia="zh-CN"/>
              </w:rPr>
              <w:t>0.285</w:t>
            </w:r>
            <w:r>
              <w:rPr>
                <w:rFonts w:hint="default"/>
                <w:lang w:val="en-US" w:eastAsia="zh-CN"/>
              </w:rPr>
              <w:t>mg/m</w:t>
            </w:r>
            <w:r>
              <w:rPr>
                <w:rFonts w:hint="default"/>
                <w:vertAlign w:val="superscript"/>
                <w:lang w:val="en-US" w:eastAsia="zh-CN"/>
              </w:rPr>
              <w:t>3</w:t>
            </w:r>
            <w:r>
              <w:rPr>
                <w:rFonts w:hint="eastAsia"/>
                <w:lang w:val="en-US" w:eastAsia="zh-CN"/>
              </w:rPr>
              <w:t>，</w:t>
            </w:r>
            <w:r>
              <w:rPr>
                <w:rFonts w:hint="default"/>
                <w:lang w:val="en-US" w:eastAsia="zh-CN"/>
              </w:rPr>
              <w:t>排放浓度</w:t>
            </w:r>
            <w:r>
              <w:rPr>
                <w:rFonts w:hint="eastAsia"/>
                <w:lang w:val="en-US" w:eastAsia="zh-CN"/>
              </w:rPr>
              <w:t>分别</w:t>
            </w:r>
            <w:r>
              <w:rPr>
                <w:rFonts w:hint="default"/>
                <w:lang w:val="en-US" w:eastAsia="zh-CN"/>
              </w:rPr>
              <w:t>为0.</w:t>
            </w:r>
            <w:r>
              <w:rPr>
                <w:rFonts w:hint="eastAsia"/>
                <w:lang w:val="en-US" w:eastAsia="zh-CN"/>
              </w:rPr>
              <w:t>01</w:t>
            </w:r>
            <w:r>
              <w:rPr>
                <w:rFonts w:hint="default"/>
                <w:lang w:val="en-US" w:eastAsia="zh-CN"/>
              </w:rPr>
              <w:t>mg/m</w:t>
            </w:r>
            <w:r>
              <w:rPr>
                <w:rFonts w:hint="default"/>
                <w:vertAlign w:val="superscript"/>
                <w:lang w:val="en-US" w:eastAsia="zh-CN"/>
              </w:rPr>
              <w:t>3</w:t>
            </w:r>
            <w:r>
              <w:rPr>
                <w:rFonts w:hint="eastAsia"/>
                <w:lang w:val="en-US" w:eastAsia="zh-CN"/>
              </w:rPr>
              <w:t>，</w:t>
            </w:r>
            <w:r>
              <w:rPr>
                <w:rFonts w:hint="default"/>
                <w:lang w:val="en-US" w:eastAsia="zh-CN"/>
              </w:rPr>
              <w:t>油烟排放量</w:t>
            </w:r>
            <w:r>
              <w:rPr>
                <w:rFonts w:hint="eastAsia"/>
                <w:lang w:val="en-US" w:eastAsia="zh-CN"/>
              </w:rPr>
              <w:t>分别</w:t>
            </w:r>
            <w:r>
              <w:rPr>
                <w:rFonts w:hint="default"/>
                <w:lang w:val="en-US" w:eastAsia="zh-CN"/>
              </w:rPr>
              <w:t>为0.0</w:t>
            </w:r>
            <w:r>
              <w:rPr>
                <w:rFonts w:hint="eastAsia"/>
                <w:lang w:val="en-US" w:eastAsia="zh-CN"/>
              </w:rPr>
              <w:t>035</w:t>
            </w:r>
            <w:r>
              <w:rPr>
                <w:rFonts w:hint="default"/>
                <w:lang w:val="en-US" w:eastAsia="zh-CN"/>
              </w:rPr>
              <w:t>t/a，处理后烟气经专用烟道引到建筑物外排放，满足《饮食业油烟排放标准（试行）》（GB18483-2001）中的</w:t>
            </w:r>
            <w:r>
              <w:rPr>
                <w:rFonts w:hint="eastAsia"/>
                <w:lang w:val="en-US" w:eastAsia="zh-CN"/>
              </w:rPr>
              <w:t>“小</w:t>
            </w:r>
            <w:r>
              <w:rPr>
                <w:rFonts w:hint="default"/>
                <w:lang w:val="en-US" w:eastAsia="zh-CN"/>
              </w:rPr>
              <w:t>型</w:t>
            </w:r>
            <w:r>
              <w:rPr>
                <w:rFonts w:hint="eastAsia"/>
                <w:lang w:val="en-US" w:eastAsia="zh-CN"/>
              </w:rPr>
              <w:t>”</w:t>
            </w:r>
            <w:r>
              <w:rPr>
                <w:rFonts w:hint="default"/>
                <w:lang w:val="en-US" w:eastAsia="zh-CN"/>
              </w:rPr>
              <w:t>标准要求。</w:t>
            </w:r>
          </w:p>
          <w:p w14:paraId="0FCF9F7A">
            <w:pPr>
              <w:bidi w:val="0"/>
              <w:rPr>
                <w:rFonts w:hint="eastAsia"/>
                <w:lang w:val="en-US" w:eastAsia="zh-CN"/>
              </w:rPr>
            </w:pPr>
            <w:r>
              <w:rPr>
                <w:rFonts w:hint="eastAsia"/>
                <w:lang w:val="en-US" w:eastAsia="zh-CN"/>
              </w:rPr>
              <w:t>⑤柴油发电机废气</w:t>
            </w:r>
          </w:p>
          <w:p w14:paraId="0C1CAC4B">
            <w:pPr>
              <w:bidi w:val="0"/>
              <w:rPr>
                <w:rFonts w:hint="eastAsia"/>
                <w:lang w:val="en-US" w:eastAsia="zh-CN"/>
              </w:rPr>
            </w:pPr>
            <w:r>
              <w:rPr>
                <w:rFonts w:hint="eastAsia"/>
                <w:lang w:val="en-US" w:eastAsia="zh-CN"/>
              </w:rPr>
              <w:t>本项目</w:t>
            </w:r>
            <w:r>
              <w:rPr>
                <w:rFonts w:hint="default"/>
                <w:lang w:val="en-US" w:eastAsia="zh-CN"/>
              </w:rPr>
              <w:t>发电机燃料采用柴油，</w:t>
            </w:r>
            <w:r>
              <w:rPr>
                <w:rFonts w:hint="eastAsia"/>
                <w:lang w:val="en-US" w:eastAsia="zh-CN"/>
              </w:rPr>
              <w:t>属清洁能源，其作业时间较短，</w:t>
            </w:r>
            <w:r>
              <w:rPr>
                <w:rFonts w:hint="default"/>
                <w:lang w:val="en-US" w:eastAsia="zh-CN"/>
              </w:rPr>
              <w:t>废气</w:t>
            </w:r>
            <w:r>
              <w:rPr>
                <w:rFonts w:hint="eastAsia"/>
                <w:lang w:val="en-US" w:eastAsia="zh-CN"/>
              </w:rPr>
              <w:t>排放量及</w:t>
            </w:r>
            <w:r>
              <w:rPr>
                <w:rFonts w:hint="default"/>
                <w:lang w:val="en-US" w:eastAsia="zh-CN"/>
              </w:rPr>
              <w:t>浓度</w:t>
            </w:r>
            <w:r>
              <w:rPr>
                <w:rFonts w:hint="eastAsia"/>
                <w:lang w:val="en-US" w:eastAsia="zh-CN"/>
              </w:rPr>
              <w:t>均</w:t>
            </w:r>
            <w:r>
              <w:rPr>
                <w:rFonts w:hint="default"/>
                <w:lang w:val="en-US" w:eastAsia="zh-CN"/>
              </w:rPr>
              <w:t>较小，烟色黑度低于林格曼黑度1级，不构成视觉污染，可以达到《大气污染物综合排放标准》（GB16297-1996）表2中二级标准。</w:t>
            </w:r>
          </w:p>
          <w:p w14:paraId="0715633A">
            <w:pPr>
              <w:bidi w:val="0"/>
              <w:rPr>
                <w:rFonts w:hint="eastAsia"/>
                <w:lang w:val="en-US" w:eastAsia="zh-CN"/>
              </w:rPr>
            </w:pPr>
            <w:r>
              <w:rPr>
                <w:rFonts w:hint="eastAsia"/>
                <w:lang w:val="en-US" w:eastAsia="zh-CN"/>
              </w:rPr>
              <w:t>⑥汽车尾气</w:t>
            </w:r>
          </w:p>
          <w:p w14:paraId="78866326">
            <w:pPr>
              <w:bidi w:val="0"/>
              <w:rPr>
                <w:rFonts w:hint="default"/>
                <w:lang w:val="en-US" w:eastAsia="zh-CN"/>
              </w:rPr>
            </w:pPr>
            <w:r>
              <w:rPr>
                <w:rFonts w:hint="eastAsia"/>
                <w:lang w:val="en-US" w:eastAsia="zh-CN"/>
              </w:rPr>
              <w:t>汽车在医院内停车场运行、停泊过程将产生少量汽车尾气，主要污染因子是：CO、HC、NOx和SO</w:t>
            </w:r>
            <w:r>
              <w:rPr>
                <w:rFonts w:hint="eastAsia"/>
                <w:vertAlign w:val="subscript"/>
                <w:lang w:val="en-US" w:eastAsia="zh-CN"/>
              </w:rPr>
              <w:t>2</w:t>
            </w:r>
            <w:r>
              <w:rPr>
                <w:rFonts w:hint="eastAsia"/>
                <w:lang w:val="en-US" w:eastAsia="zh-CN"/>
              </w:rPr>
              <w:t>。由于本项目不设置地下停车库，地面停车场停车位较少，因此通过大气稀释后，本项目汽车尾气不会降低周围环境空气质量。</w:t>
            </w:r>
          </w:p>
          <w:p w14:paraId="1044D869">
            <w:pPr>
              <w:bidi w:val="0"/>
              <w:spacing w:line="240" w:lineRule="auto"/>
              <w:ind w:left="0" w:leftChars="0" w:firstLine="0" w:firstLineChars="0"/>
              <w:jc w:val="center"/>
              <w:rPr>
                <w:rFonts w:hint="default"/>
                <w:b/>
                <w:bCs/>
                <w:sz w:val="21"/>
                <w:szCs w:val="21"/>
              </w:rPr>
            </w:pPr>
            <w:r>
              <w:rPr>
                <w:rFonts w:hint="default"/>
                <w:b/>
                <w:bCs/>
                <w:sz w:val="21"/>
                <w:szCs w:val="21"/>
                <w:lang w:val="en-US" w:eastAsia="zh-CN"/>
              </w:rPr>
              <w:t>表4-</w:t>
            </w:r>
            <w:r>
              <w:rPr>
                <w:rFonts w:hint="eastAsia"/>
                <w:b/>
                <w:bCs/>
                <w:sz w:val="21"/>
                <w:szCs w:val="21"/>
                <w:lang w:val="en-US" w:eastAsia="zh-CN"/>
              </w:rPr>
              <w:t>1</w:t>
            </w:r>
            <w:r>
              <w:rPr>
                <w:rFonts w:hint="default"/>
                <w:b/>
                <w:bCs/>
                <w:sz w:val="21"/>
                <w:szCs w:val="21"/>
              </w:rPr>
              <w:t>大气污染物无组织排放量核算表</w:t>
            </w:r>
          </w:p>
          <w:tbl>
            <w:tblPr>
              <w:tblStyle w:val="28"/>
              <w:tblW w:w="791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92"/>
              <w:gridCol w:w="720"/>
              <w:gridCol w:w="735"/>
              <w:gridCol w:w="1071"/>
              <w:gridCol w:w="1174"/>
              <w:gridCol w:w="1682"/>
              <w:gridCol w:w="1136"/>
              <w:gridCol w:w="1006"/>
            </w:tblGrid>
            <w:tr w14:paraId="551DA3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2" w:hRule="atLeast"/>
                <w:tblHeader/>
                <w:jc w:val="center"/>
              </w:trPr>
              <w:tc>
                <w:tcPr>
                  <w:tcW w:w="247" w:type="pct"/>
                  <w:vMerge w:val="restart"/>
                  <w:noWrap w:val="0"/>
                  <w:vAlign w:val="center"/>
                </w:tcPr>
                <w:p w14:paraId="00C5C6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54" w:type="pct"/>
                  <w:vMerge w:val="restart"/>
                  <w:noWrap w:val="0"/>
                  <w:vAlign w:val="center"/>
                </w:tcPr>
                <w:p w14:paraId="1C4C1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464" w:type="pct"/>
                  <w:vMerge w:val="restart"/>
                  <w:noWrap w:val="0"/>
                  <w:vAlign w:val="center"/>
                </w:tcPr>
                <w:p w14:paraId="6B63E2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产污环节</w:t>
                  </w:r>
                </w:p>
              </w:tc>
              <w:tc>
                <w:tcPr>
                  <w:tcW w:w="676" w:type="pct"/>
                  <w:vMerge w:val="restart"/>
                  <w:noWrap w:val="0"/>
                  <w:vAlign w:val="center"/>
                </w:tcPr>
                <w:p w14:paraId="1E0E95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741" w:type="pct"/>
                  <w:vMerge w:val="restart"/>
                  <w:noWrap w:val="0"/>
                  <w:vAlign w:val="center"/>
                </w:tcPr>
                <w:p w14:paraId="7FF0FD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主要污染物防治措施</w:t>
                  </w:r>
                </w:p>
              </w:tc>
              <w:tc>
                <w:tcPr>
                  <w:tcW w:w="1779" w:type="pct"/>
                  <w:gridSpan w:val="2"/>
                  <w:noWrap w:val="0"/>
                  <w:vAlign w:val="center"/>
                </w:tcPr>
                <w:p w14:paraId="3602A9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国家或地方污染物排放标准</w:t>
                  </w:r>
                </w:p>
              </w:tc>
              <w:tc>
                <w:tcPr>
                  <w:tcW w:w="635" w:type="pct"/>
                  <w:vMerge w:val="restart"/>
                  <w:noWrap w:val="0"/>
                  <w:vAlign w:val="center"/>
                </w:tcPr>
                <w:p w14:paraId="06CE4A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年排放量（t/a）</w:t>
                  </w:r>
                </w:p>
              </w:tc>
            </w:tr>
            <w:tr w14:paraId="48B67B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9" w:hRule="atLeast"/>
                <w:tblHeader/>
                <w:jc w:val="center"/>
              </w:trPr>
              <w:tc>
                <w:tcPr>
                  <w:tcW w:w="247" w:type="pct"/>
                  <w:vMerge w:val="continue"/>
                  <w:noWrap w:val="0"/>
                  <w:vAlign w:val="center"/>
                </w:tcPr>
                <w:p w14:paraId="25CE94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4" w:type="pct"/>
                  <w:vMerge w:val="continue"/>
                  <w:noWrap w:val="0"/>
                  <w:vAlign w:val="center"/>
                </w:tcPr>
                <w:p w14:paraId="4AF88C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4" w:type="pct"/>
                  <w:vMerge w:val="continue"/>
                  <w:noWrap w:val="0"/>
                  <w:vAlign w:val="center"/>
                </w:tcPr>
                <w:p w14:paraId="017A2F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76" w:type="pct"/>
                  <w:vMerge w:val="continue"/>
                  <w:noWrap w:val="0"/>
                  <w:vAlign w:val="center"/>
                </w:tcPr>
                <w:p w14:paraId="2BCCBC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41" w:type="pct"/>
                  <w:vMerge w:val="continue"/>
                  <w:noWrap w:val="0"/>
                  <w:vAlign w:val="center"/>
                </w:tcPr>
                <w:p w14:paraId="6B34EC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62" w:type="pct"/>
                  <w:noWrap w:val="0"/>
                  <w:vAlign w:val="center"/>
                </w:tcPr>
                <w:p w14:paraId="5B8B4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标准名称</w:t>
                  </w:r>
                </w:p>
              </w:tc>
              <w:tc>
                <w:tcPr>
                  <w:tcW w:w="717" w:type="pct"/>
                  <w:noWrap w:val="0"/>
                  <w:vAlign w:val="center"/>
                </w:tcPr>
                <w:p w14:paraId="58B694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浓度限值（mg/m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635" w:type="pct"/>
                  <w:vMerge w:val="continue"/>
                  <w:noWrap w:val="0"/>
                  <w:vAlign w:val="center"/>
                </w:tcPr>
                <w:p w14:paraId="45449E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2DD863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47" w:type="pct"/>
                  <w:vMerge w:val="restart"/>
                  <w:noWrap w:val="0"/>
                  <w:vAlign w:val="center"/>
                </w:tcPr>
                <w:p w14:paraId="5AB76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54" w:type="pct"/>
                  <w:vMerge w:val="restart"/>
                  <w:noWrap w:val="0"/>
                  <w:vAlign w:val="center"/>
                </w:tcPr>
                <w:p w14:paraId="7CC4D7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厂界</w:t>
                  </w:r>
                </w:p>
              </w:tc>
              <w:tc>
                <w:tcPr>
                  <w:tcW w:w="464" w:type="pct"/>
                  <w:vMerge w:val="restart"/>
                  <w:noWrap w:val="0"/>
                  <w:vAlign w:val="center"/>
                </w:tcPr>
                <w:p w14:paraId="49E04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污水处理</w:t>
                  </w:r>
                </w:p>
              </w:tc>
              <w:tc>
                <w:tcPr>
                  <w:tcW w:w="676" w:type="pct"/>
                  <w:noWrap w:val="0"/>
                  <w:vAlign w:val="center"/>
                </w:tcPr>
                <w:p w14:paraId="73AEF72A">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cs="宋体"/>
                      <w:i w:val="0"/>
                      <w:iCs w:val="0"/>
                      <w:color w:val="auto"/>
                      <w:kern w:val="0"/>
                      <w:sz w:val="21"/>
                      <w:szCs w:val="21"/>
                      <w:u w:val="none"/>
                      <w:lang w:val="en-US" w:eastAsia="zh-CN" w:bidi="ar"/>
                    </w:rPr>
                  </w:pPr>
                  <w:r>
                    <w:rPr>
                      <w:rFonts w:hint="default" w:ascii="Times New Roman" w:hAnsi="Times New Roman" w:eastAsia="宋体" w:cs="Times New Roman"/>
                      <w:color w:val="auto"/>
                      <w:spacing w:val="0"/>
                      <w:w w:val="100"/>
                      <w:position w:val="0"/>
                      <w:sz w:val="21"/>
                      <w:szCs w:val="21"/>
                    </w:rPr>
                    <w:t>氨</w:t>
                  </w:r>
                </w:p>
              </w:tc>
              <w:tc>
                <w:tcPr>
                  <w:tcW w:w="741" w:type="pct"/>
                  <w:vMerge w:val="restart"/>
                  <w:noWrap w:val="0"/>
                  <w:vAlign w:val="center"/>
                </w:tcPr>
                <w:p w14:paraId="660DBDB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0"/>
                      <w:w w:val="100"/>
                      <w:position w:val="0"/>
                      <w:sz w:val="21"/>
                      <w:szCs w:val="21"/>
                    </w:rPr>
                    <w:t>加盖密闭</w:t>
                  </w:r>
                  <w:r>
                    <w:rPr>
                      <w:rFonts w:hint="eastAsia" w:ascii="Times New Roman" w:hAnsi="Times New Roman" w:cs="Times New Roman"/>
                      <w:color w:val="auto"/>
                      <w:spacing w:val="0"/>
                      <w:w w:val="100"/>
                      <w:position w:val="0"/>
                      <w:sz w:val="21"/>
                      <w:szCs w:val="21"/>
                      <w:lang w:eastAsia="zh-CN"/>
                    </w:rPr>
                    <w:t>、</w:t>
                  </w:r>
                  <w:r>
                    <w:rPr>
                      <w:rFonts w:hint="eastAsia" w:ascii="Times New Roman" w:hAnsi="Times New Roman" w:cs="Times New Roman"/>
                      <w:color w:val="auto"/>
                      <w:spacing w:val="0"/>
                      <w:w w:val="100"/>
                      <w:position w:val="0"/>
                      <w:sz w:val="21"/>
                      <w:szCs w:val="21"/>
                      <w:lang w:val="en-US" w:eastAsia="zh-CN"/>
                    </w:rPr>
                    <w:t>喷洒除臭生物制剂</w:t>
                  </w:r>
                </w:p>
              </w:tc>
              <w:tc>
                <w:tcPr>
                  <w:tcW w:w="1062" w:type="pct"/>
                  <w:vMerge w:val="restart"/>
                  <w:noWrap w:val="0"/>
                  <w:vAlign w:val="center"/>
                </w:tcPr>
                <w:p w14:paraId="72BDD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《医疗机构水污染物排放标准》(GB18466-2005)</w:t>
                  </w:r>
                </w:p>
              </w:tc>
              <w:tc>
                <w:tcPr>
                  <w:tcW w:w="717" w:type="pct"/>
                  <w:noWrap w:val="0"/>
                  <w:vAlign w:val="center"/>
                </w:tcPr>
                <w:p w14:paraId="50989D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w:t>
                  </w:r>
                </w:p>
              </w:tc>
              <w:tc>
                <w:tcPr>
                  <w:tcW w:w="635" w:type="pct"/>
                  <w:noWrap w:val="0"/>
                  <w:vAlign w:val="center"/>
                </w:tcPr>
                <w:p w14:paraId="3A8E4A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0.002635</w:t>
                  </w:r>
                </w:p>
              </w:tc>
            </w:tr>
            <w:tr w14:paraId="261A5B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7" w:type="pct"/>
                  <w:vMerge w:val="continue"/>
                  <w:noWrap w:val="0"/>
                  <w:vAlign w:val="center"/>
                </w:tcPr>
                <w:p w14:paraId="432BFF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4" w:type="pct"/>
                  <w:vMerge w:val="continue"/>
                  <w:noWrap w:val="0"/>
                  <w:vAlign w:val="center"/>
                </w:tcPr>
                <w:p w14:paraId="526420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4" w:type="pct"/>
                  <w:vMerge w:val="continue"/>
                  <w:noWrap w:val="0"/>
                  <w:vAlign w:val="center"/>
                </w:tcPr>
                <w:p w14:paraId="5435C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676" w:type="pct"/>
                  <w:noWrap w:val="0"/>
                  <w:vAlign w:val="center"/>
                </w:tcPr>
                <w:p w14:paraId="07FB4061">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cs="宋体"/>
                      <w:i w:val="0"/>
                      <w:iCs w:val="0"/>
                      <w:color w:val="auto"/>
                      <w:kern w:val="0"/>
                      <w:sz w:val="21"/>
                      <w:szCs w:val="21"/>
                      <w:u w:val="none"/>
                      <w:lang w:val="en-US" w:eastAsia="zh-CN" w:bidi="ar"/>
                    </w:rPr>
                  </w:pPr>
                  <w:r>
                    <w:rPr>
                      <w:rFonts w:hint="default" w:ascii="Times New Roman" w:hAnsi="Times New Roman" w:eastAsia="宋体" w:cs="Times New Roman"/>
                      <w:color w:val="auto"/>
                      <w:spacing w:val="0"/>
                      <w:w w:val="100"/>
                      <w:position w:val="0"/>
                      <w:sz w:val="21"/>
                      <w:szCs w:val="21"/>
                    </w:rPr>
                    <w:t>硫化氢</w:t>
                  </w:r>
                </w:p>
              </w:tc>
              <w:tc>
                <w:tcPr>
                  <w:tcW w:w="741" w:type="pct"/>
                  <w:vMerge w:val="continue"/>
                  <w:noWrap w:val="0"/>
                  <w:vAlign w:val="center"/>
                </w:tcPr>
                <w:p w14:paraId="63645A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62" w:type="pct"/>
                  <w:vMerge w:val="continue"/>
                  <w:noWrap w:val="0"/>
                  <w:vAlign w:val="center"/>
                </w:tcPr>
                <w:p w14:paraId="57F6E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17" w:type="pct"/>
                  <w:noWrap w:val="0"/>
                  <w:vAlign w:val="center"/>
                </w:tcPr>
                <w:p w14:paraId="697696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0.03</w:t>
                  </w:r>
                </w:p>
              </w:tc>
              <w:tc>
                <w:tcPr>
                  <w:tcW w:w="635" w:type="pct"/>
                  <w:noWrap w:val="0"/>
                  <w:vAlign w:val="center"/>
                </w:tcPr>
                <w:p w14:paraId="115072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lang w:val="en-US" w:eastAsia="zh-CN"/>
                    </w:rPr>
                  </w:pPr>
                  <w:r>
                    <w:rPr>
                      <w:rFonts w:hint="eastAsia" w:cs="Times New Roman"/>
                      <w:i w:val="0"/>
                      <w:iCs w:val="0"/>
                      <w:color w:val="auto"/>
                      <w:kern w:val="0"/>
                      <w:sz w:val="21"/>
                      <w:szCs w:val="21"/>
                      <w:u w:val="none"/>
                      <w:lang w:val="en-US" w:eastAsia="zh-CN" w:bidi="ar"/>
                    </w:rPr>
                    <w:t>0.000102</w:t>
                  </w:r>
                </w:p>
              </w:tc>
            </w:tr>
            <w:tr w14:paraId="123E9B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247" w:type="pct"/>
                  <w:vMerge w:val="continue"/>
                  <w:noWrap w:val="0"/>
                  <w:vAlign w:val="center"/>
                </w:tcPr>
                <w:p w14:paraId="570E41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4" w:type="pct"/>
                  <w:vMerge w:val="continue"/>
                  <w:noWrap w:val="0"/>
                  <w:vAlign w:val="center"/>
                </w:tcPr>
                <w:p w14:paraId="4A0D41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4" w:type="pct"/>
                  <w:vMerge w:val="continue"/>
                  <w:noWrap w:val="0"/>
                  <w:vAlign w:val="center"/>
                </w:tcPr>
                <w:p w14:paraId="088221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p>
              </w:tc>
              <w:tc>
                <w:tcPr>
                  <w:tcW w:w="676" w:type="pct"/>
                  <w:noWrap w:val="0"/>
                  <w:vAlign w:val="center"/>
                </w:tcPr>
                <w:p w14:paraId="5CE3134E">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cs="Times New Roman"/>
                      <w:color w:val="auto"/>
                      <w:spacing w:val="0"/>
                      <w:w w:val="100"/>
                      <w:position w:val="0"/>
                      <w:sz w:val="21"/>
                      <w:szCs w:val="21"/>
                      <w:lang w:eastAsia="zh-CN"/>
                    </w:rPr>
                    <w:t>臭气浓度</w:t>
                  </w:r>
                </w:p>
              </w:tc>
              <w:tc>
                <w:tcPr>
                  <w:tcW w:w="741" w:type="pct"/>
                  <w:vMerge w:val="continue"/>
                  <w:noWrap w:val="0"/>
                  <w:vAlign w:val="center"/>
                </w:tcPr>
                <w:p w14:paraId="20393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62" w:type="pct"/>
                  <w:vMerge w:val="continue"/>
                  <w:noWrap w:val="0"/>
                  <w:vAlign w:val="center"/>
                </w:tcPr>
                <w:p w14:paraId="3B192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17" w:type="pct"/>
                  <w:noWrap w:val="0"/>
                  <w:vAlign w:val="center"/>
                </w:tcPr>
                <w:p w14:paraId="62D8E42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635" w:type="pct"/>
                  <w:noWrap w:val="0"/>
                  <w:vAlign w:val="center"/>
                </w:tcPr>
                <w:p w14:paraId="01A2D0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r w14:paraId="5CE7BA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5000" w:type="pct"/>
                  <w:gridSpan w:val="8"/>
                  <w:noWrap w:val="0"/>
                  <w:vAlign w:val="center"/>
                </w:tcPr>
                <w:p w14:paraId="27DEF2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无组织排放合计</w:t>
                  </w:r>
                </w:p>
              </w:tc>
            </w:tr>
            <w:tr w14:paraId="1DFFCC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1843" w:type="pct"/>
                  <w:gridSpan w:val="4"/>
                  <w:vMerge w:val="restart"/>
                  <w:noWrap w:val="0"/>
                  <w:vAlign w:val="center"/>
                </w:tcPr>
                <w:p w14:paraId="7BCADA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无组织排放合计</w:t>
                  </w:r>
                </w:p>
              </w:tc>
              <w:tc>
                <w:tcPr>
                  <w:tcW w:w="1803" w:type="pct"/>
                  <w:gridSpan w:val="2"/>
                  <w:noWrap w:val="0"/>
                  <w:vAlign w:val="center"/>
                </w:tcPr>
                <w:p w14:paraId="1B38B283">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0"/>
                      <w:w w:val="100"/>
                      <w:position w:val="0"/>
                      <w:sz w:val="21"/>
                      <w:szCs w:val="21"/>
                    </w:rPr>
                    <w:t>氨</w:t>
                  </w:r>
                </w:p>
              </w:tc>
              <w:tc>
                <w:tcPr>
                  <w:tcW w:w="2142" w:type="dxa"/>
                  <w:gridSpan w:val="2"/>
                  <w:noWrap w:val="0"/>
                  <w:vAlign w:val="center"/>
                </w:tcPr>
                <w:p w14:paraId="497BA5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0.002635</w:t>
                  </w:r>
                </w:p>
              </w:tc>
            </w:tr>
            <w:tr w14:paraId="3CF58F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1843" w:type="pct"/>
                  <w:gridSpan w:val="4"/>
                  <w:vMerge w:val="continue"/>
                  <w:noWrap w:val="0"/>
                  <w:vAlign w:val="center"/>
                </w:tcPr>
                <w:p w14:paraId="764BF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803" w:type="pct"/>
                  <w:gridSpan w:val="2"/>
                  <w:noWrap w:val="0"/>
                  <w:vAlign w:val="center"/>
                </w:tcPr>
                <w:p w14:paraId="75C6E71A">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cs="宋体"/>
                      <w:i w:val="0"/>
                      <w:iCs w:val="0"/>
                      <w:color w:val="auto"/>
                      <w:kern w:val="0"/>
                      <w:sz w:val="21"/>
                      <w:szCs w:val="21"/>
                      <w:u w:val="none"/>
                      <w:lang w:val="en-US" w:eastAsia="zh-CN" w:bidi="ar"/>
                    </w:rPr>
                  </w:pPr>
                  <w:r>
                    <w:rPr>
                      <w:rFonts w:hint="default" w:ascii="Times New Roman" w:hAnsi="Times New Roman" w:eastAsia="宋体" w:cs="Times New Roman"/>
                      <w:color w:val="auto"/>
                      <w:spacing w:val="0"/>
                      <w:w w:val="100"/>
                      <w:position w:val="0"/>
                      <w:sz w:val="21"/>
                      <w:szCs w:val="21"/>
                    </w:rPr>
                    <w:t>硫化氢</w:t>
                  </w:r>
                </w:p>
              </w:tc>
              <w:tc>
                <w:tcPr>
                  <w:tcW w:w="2142" w:type="dxa"/>
                  <w:gridSpan w:val="2"/>
                  <w:noWrap w:val="0"/>
                  <w:vAlign w:val="center"/>
                </w:tcPr>
                <w:p w14:paraId="28B74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0.000102</w:t>
                  </w:r>
                </w:p>
              </w:tc>
            </w:tr>
            <w:tr w14:paraId="1D2B91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1843" w:type="pct"/>
                  <w:gridSpan w:val="4"/>
                  <w:vMerge w:val="continue"/>
                  <w:noWrap w:val="0"/>
                  <w:vAlign w:val="center"/>
                </w:tcPr>
                <w:p w14:paraId="6300A7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803" w:type="pct"/>
                  <w:gridSpan w:val="2"/>
                  <w:noWrap w:val="0"/>
                  <w:vAlign w:val="center"/>
                </w:tcPr>
                <w:p w14:paraId="51F2A2D0">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cs="Times New Roman"/>
                      <w:color w:val="auto"/>
                      <w:spacing w:val="0"/>
                      <w:w w:val="100"/>
                      <w:position w:val="0"/>
                      <w:sz w:val="21"/>
                      <w:szCs w:val="21"/>
                      <w:lang w:eastAsia="zh-CN"/>
                    </w:rPr>
                    <w:t>臭气浓度</w:t>
                  </w:r>
                </w:p>
              </w:tc>
              <w:tc>
                <w:tcPr>
                  <w:tcW w:w="1352" w:type="pct"/>
                  <w:gridSpan w:val="2"/>
                  <w:noWrap w:val="0"/>
                  <w:vAlign w:val="center"/>
                </w:tcPr>
                <w:p w14:paraId="60DD9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r>
          </w:tbl>
          <w:p w14:paraId="4FF1A308">
            <w:pPr>
              <w:bidi w:val="0"/>
              <w:spacing w:line="240" w:lineRule="auto"/>
              <w:ind w:left="0" w:leftChars="0" w:firstLine="0" w:firstLineChars="0"/>
              <w:jc w:val="center"/>
              <w:rPr>
                <w:rFonts w:hint="default"/>
                <w:b/>
                <w:bCs/>
                <w:sz w:val="21"/>
                <w:szCs w:val="21"/>
                <w:lang w:val="en-US" w:eastAsia="zh-CN"/>
              </w:rPr>
            </w:pPr>
            <w:r>
              <w:rPr>
                <w:rFonts w:hint="default"/>
                <w:b/>
                <w:bCs/>
                <w:sz w:val="21"/>
                <w:szCs w:val="21"/>
                <w:lang w:val="en-US" w:eastAsia="zh-CN"/>
              </w:rPr>
              <w:t>表4-</w:t>
            </w:r>
            <w:r>
              <w:rPr>
                <w:rFonts w:hint="eastAsia"/>
                <w:b/>
                <w:bCs/>
                <w:sz w:val="21"/>
                <w:szCs w:val="21"/>
                <w:lang w:val="en-US" w:eastAsia="zh-CN"/>
              </w:rPr>
              <w:t>2</w:t>
            </w:r>
            <w:r>
              <w:rPr>
                <w:rFonts w:hint="default"/>
                <w:b/>
                <w:bCs/>
                <w:sz w:val="21"/>
                <w:szCs w:val="21"/>
                <w:lang w:val="en-US" w:eastAsia="zh-CN"/>
              </w:rPr>
              <w:t>大气污染物年排放量核算表</w:t>
            </w:r>
          </w:p>
          <w:tbl>
            <w:tblPr>
              <w:tblStyle w:val="28"/>
              <w:tblW w:w="501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3191"/>
              <w:gridCol w:w="3191"/>
            </w:tblGrid>
            <w:tr w14:paraId="046CA7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58" w:hRule="atLeast"/>
                <w:jc w:val="center"/>
              </w:trPr>
              <w:tc>
                <w:tcPr>
                  <w:tcW w:w="959" w:type="pct"/>
                  <w:noWrap w:val="0"/>
                  <w:vAlign w:val="center"/>
                </w:tcPr>
                <w:p w14:paraId="24B9B4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020" w:type="pct"/>
                  <w:noWrap w:val="0"/>
                  <w:vAlign w:val="center"/>
                </w:tcPr>
                <w:p w14:paraId="1E3786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w:t>
                  </w:r>
                </w:p>
              </w:tc>
              <w:tc>
                <w:tcPr>
                  <w:tcW w:w="2020" w:type="pct"/>
                  <w:noWrap w:val="0"/>
                  <w:vAlign w:val="center"/>
                </w:tcPr>
                <w:p w14:paraId="4922DE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w:t>
                  </w:r>
                  <w:r>
                    <w:rPr>
                      <w:rFonts w:hint="eastAsia"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eastAsia" w:cs="Times New Roman"/>
                      <w:b/>
                      <w:bCs/>
                      <w:color w:val="auto"/>
                      <w:sz w:val="21"/>
                      <w:szCs w:val="21"/>
                      <w:lang w:eastAsia="zh-CN"/>
                    </w:rPr>
                    <w:t>）</w:t>
                  </w:r>
                </w:p>
              </w:tc>
            </w:tr>
            <w:tr w14:paraId="139678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959" w:type="pct"/>
                  <w:noWrap w:val="0"/>
                  <w:vAlign w:val="center"/>
                </w:tcPr>
                <w:p w14:paraId="361075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020" w:type="pct"/>
                  <w:noWrap w:val="0"/>
                  <w:vAlign w:val="center"/>
                </w:tcPr>
                <w:p w14:paraId="710DE9B8">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0"/>
                      <w:w w:val="100"/>
                      <w:position w:val="0"/>
                      <w:sz w:val="21"/>
                      <w:szCs w:val="21"/>
                    </w:rPr>
                    <w:t>氨</w:t>
                  </w:r>
                </w:p>
              </w:tc>
              <w:tc>
                <w:tcPr>
                  <w:tcW w:w="3191" w:type="dxa"/>
                  <w:noWrap w:val="0"/>
                  <w:vAlign w:val="center"/>
                </w:tcPr>
                <w:p w14:paraId="352906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0.002635</w:t>
                  </w:r>
                </w:p>
              </w:tc>
            </w:tr>
            <w:tr w14:paraId="003413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959" w:type="pct"/>
                  <w:noWrap w:val="0"/>
                  <w:vAlign w:val="center"/>
                </w:tcPr>
                <w:p w14:paraId="79D2E5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020" w:type="pct"/>
                  <w:noWrap w:val="0"/>
                  <w:vAlign w:val="center"/>
                </w:tcPr>
                <w:p w14:paraId="45D5ACC9">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color w:val="auto"/>
                      <w:spacing w:val="0"/>
                      <w:w w:val="100"/>
                      <w:position w:val="0"/>
                      <w:sz w:val="21"/>
                      <w:szCs w:val="21"/>
                    </w:rPr>
                    <w:t>硫化氢</w:t>
                  </w:r>
                </w:p>
              </w:tc>
              <w:tc>
                <w:tcPr>
                  <w:tcW w:w="3191" w:type="dxa"/>
                  <w:noWrap w:val="0"/>
                  <w:vAlign w:val="center"/>
                </w:tcPr>
                <w:p w14:paraId="6A1737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0.000102</w:t>
                  </w:r>
                </w:p>
              </w:tc>
            </w:tr>
            <w:tr w14:paraId="69022B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959" w:type="pct"/>
                  <w:noWrap w:val="0"/>
                  <w:vAlign w:val="center"/>
                </w:tcPr>
                <w:p w14:paraId="3E3EFD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2020" w:type="pct"/>
                  <w:noWrap w:val="0"/>
                  <w:vAlign w:val="center"/>
                </w:tcPr>
                <w:p w14:paraId="585C7DBE">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cs="Times New Roman"/>
                      <w:color w:val="auto"/>
                      <w:spacing w:val="0"/>
                      <w:w w:val="100"/>
                      <w:position w:val="0"/>
                      <w:sz w:val="21"/>
                      <w:szCs w:val="21"/>
                      <w:lang w:eastAsia="zh-CN"/>
                    </w:rPr>
                    <w:t>臭气浓度</w:t>
                  </w:r>
                </w:p>
              </w:tc>
              <w:tc>
                <w:tcPr>
                  <w:tcW w:w="3191" w:type="dxa"/>
                  <w:noWrap w:val="0"/>
                  <w:vAlign w:val="center"/>
                </w:tcPr>
                <w:p w14:paraId="22D77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r>
          </w:tbl>
          <w:p w14:paraId="5AB02810">
            <w:pPr>
              <w:bidi w:val="0"/>
              <w:rPr>
                <w:rFonts w:hint="default" w:ascii="Times New Roman" w:hAnsi="Times New Roman" w:eastAsia="宋体" w:cs="Times New Roman"/>
                <w:b w:val="0"/>
                <w:bCs w:val="0"/>
                <w:color w:val="auto"/>
                <w:spacing w:val="0"/>
                <w:w w:val="100"/>
                <w:position w:val="0"/>
                <w:sz w:val="24"/>
                <w:szCs w:val="24"/>
                <w:lang w:val="en-US" w:eastAsia="zh-CN"/>
              </w:rPr>
            </w:pPr>
            <w:r>
              <w:rPr>
                <w:rFonts w:hint="eastAsia" w:ascii="Times New Roman" w:hAnsi="Times New Roman" w:eastAsia="宋体" w:cs="Times New Roman"/>
                <w:b w:val="0"/>
                <w:bCs w:val="0"/>
                <w:color w:val="auto"/>
                <w:spacing w:val="0"/>
                <w:w w:val="100"/>
                <w:position w:val="0"/>
                <w:sz w:val="24"/>
                <w:szCs w:val="24"/>
                <w:lang w:val="en-US" w:eastAsia="zh-CN"/>
              </w:rPr>
              <w:t>（2）污染治理措施可行性分析</w:t>
            </w:r>
          </w:p>
          <w:p w14:paraId="0D56E08E">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参照《排污许可证申请与核发技术规范 医疗机构》（HJ1105-2020</w:t>
            </w:r>
            <w:r>
              <w:rPr>
                <w:rFonts w:hint="eastAsia" w:ascii="Times New Roman" w:hAnsi="Times New Roman" w:cs="Times New Roman"/>
                <w:color w:val="auto"/>
                <w:spacing w:val="0"/>
                <w:w w:val="100"/>
                <w:position w:val="0"/>
                <w:sz w:val="24"/>
                <w:szCs w:val="24"/>
                <w:lang w:eastAsia="zh-CN"/>
              </w:rPr>
              <w:t>），本行业废气防治可行技术如下表</w:t>
            </w:r>
            <w:r>
              <w:rPr>
                <w:rFonts w:hint="default" w:ascii="Times New Roman" w:hAnsi="Times New Roman" w:eastAsia="宋体" w:cs="Times New Roman"/>
                <w:color w:val="auto"/>
                <w:spacing w:val="0"/>
                <w:w w:val="100"/>
                <w:position w:val="0"/>
                <w:sz w:val="24"/>
                <w:szCs w:val="24"/>
              </w:rPr>
              <w:t>。</w:t>
            </w:r>
          </w:p>
          <w:p w14:paraId="4AD93365">
            <w:pPr>
              <w:bidi w:val="0"/>
              <w:spacing w:line="240" w:lineRule="auto"/>
              <w:ind w:left="0" w:leftChars="0" w:firstLine="0" w:firstLineChars="0"/>
              <w:jc w:val="center"/>
              <w:rPr>
                <w:rFonts w:hint="default"/>
                <w:b/>
                <w:bCs/>
                <w:sz w:val="21"/>
                <w:szCs w:val="21"/>
                <w:lang w:val="en-US" w:eastAsia="zh-CN"/>
              </w:rPr>
            </w:pPr>
            <w:r>
              <w:rPr>
                <w:rFonts w:hint="default"/>
                <w:b/>
                <w:bCs/>
                <w:sz w:val="21"/>
                <w:szCs w:val="21"/>
                <w:lang w:val="en-US" w:eastAsia="zh-CN"/>
              </w:rPr>
              <w:t>表4-</w:t>
            </w:r>
            <w:r>
              <w:rPr>
                <w:rFonts w:hint="eastAsia"/>
                <w:b/>
                <w:bCs/>
                <w:sz w:val="21"/>
                <w:szCs w:val="21"/>
                <w:lang w:val="en-US" w:eastAsia="zh-CN"/>
              </w:rPr>
              <w:t>3</w:t>
            </w:r>
            <w:r>
              <w:rPr>
                <w:rFonts w:hint="default"/>
                <w:b/>
                <w:bCs/>
                <w:sz w:val="21"/>
                <w:szCs w:val="21"/>
                <w:lang w:val="en-US" w:eastAsia="zh-CN"/>
              </w:rPr>
              <w:t>医疗机构排污单位废气治理可行技术参照表</w:t>
            </w:r>
          </w:p>
          <w:tbl>
            <w:tblPr>
              <w:tblStyle w:val="142"/>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3"/>
              <w:gridCol w:w="1614"/>
              <w:gridCol w:w="612"/>
              <w:gridCol w:w="2258"/>
              <w:gridCol w:w="1742"/>
              <w:gridCol w:w="688"/>
            </w:tblGrid>
            <w:tr w14:paraId="7861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983" w:type="dxa"/>
                  <w:vAlign w:val="center"/>
                </w:tcPr>
                <w:p w14:paraId="6F36763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污染物产生设施</w:t>
                  </w:r>
                </w:p>
              </w:tc>
              <w:tc>
                <w:tcPr>
                  <w:tcW w:w="1614" w:type="dxa"/>
                  <w:vAlign w:val="center"/>
                </w:tcPr>
                <w:p w14:paraId="2D704BC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污染物种类</w:t>
                  </w:r>
                </w:p>
              </w:tc>
              <w:tc>
                <w:tcPr>
                  <w:tcW w:w="612" w:type="dxa"/>
                  <w:vAlign w:val="center"/>
                </w:tcPr>
                <w:p w14:paraId="51B68E3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排放性质</w:t>
                  </w:r>
                </w:p>
              </w:tc>
              <w:tc>
                <w:tcPr>
                  <w:tcW w:w="2258" w:type="dxa"/>
                  <w:vAlign w:val="center"/>
                </w:tcPr>
                <w:p w14:paraId="29CA112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可行技术</w:t>
                  </w:r>
                </w:p>
              </w:tc>
              <w:tc>
                <w:tcPr>
                  <w:tcW w:w="1742" w:type="dxa"/>
                  <w:vAlign w:val="center"/>
                </w:tcPr>
                <w:p w14:paraId="3FEC33D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本项目拟采用技术</w:t>
                  </w:r>
                </w:p>
              </w:tc>
              <w:tc>
                <w:tcPr>
                  <w:tcW w:w="688" w:type="dxa"/>
                  <w:vAlign w:val="center"/>
                </w:tcPr>
                <w:p w14:paraId="357BF0F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是否</w:t>
                  </w:r>
                </w:p>
                <w:p w14:paraId="464A832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rPr>
                  </w:pPr>
                  <w:r>
                    <w:rPr>
                      <w:rFonts w:hint="default" w:ascii="Times New Roman" w:hAnsi="Times New Roman" w:eastAsia="宋体" w:cs="Times New Roman"/>
                      <w:b/>
                      <w:bCs/>
                      <w:color w:val="auto"/>
                      <w:spacing w:val="0"/>
                      <w:w w:val="100"/>
                      <w:position w:val="0"/>
                      <w:sz w:val="21"/>
                      <w:szCs w:val="21"/>
                    </w:rPr>
                    <w:t>可行</w:t>
                  </w:r>
                </w:p>
              </w:tc>
            </w:tr>
            <w:tr w14:paraId="2877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983" w:type="dxa"/>
                  <w:vMerge w:val="restart"/>
                  <w:vAlign w:val="center"/>
                </w:tcPr>
                <w:p w14:paraId="3DBFC84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污水处理 站</w:t>
                  </w:r>
                </w:p>
              </w:tc>
              <w:tc>
                <w:tcPr>
                  <w:tcW w:w="1614" w:type="dxa"/>
                  <w:vAlign w:val="center"/>
                </w:tcPr>
                <w:p w14:paraId="261A315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氨、硫化氢、臭气 浓度、甲烷、氯气</w:t>
                  </w:r>
                </w:p>
              </w:tc>
              <w:tc>
                <w:tcPr>
                  <w:tcW w:w="612" w:type="dxa"/>
                  <w:vAlign w:val="center"/>
                </w:tcPr>
                <w:p w14:paraId="14EF613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无组</w:t>
                  </w:r>
                </w:p>
                <w:p w14:paraId="4B29584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织</w:t>
                  </w:r>
                </w:p>
              </w:tc>
              <w:tc>
                <w:tcPr>
                  <w:tcW w:w="2258" w:type="dxa"/>
                  <w:vAlign w:val="center"/>
                </w:tcPr>
                <w:p w14:paraId="78F235B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产生恶臭区域加罩或加 盖，投放除臭剂</w:t>
                  </w:r>
                </w:p>
              </w:tc>
              <w:tc>
                <w:tcPr>
                  <w:tcW w:w="1742" w:type="dxa"/>
                  <w:vMerge w:val="restart"/>
                  <w:vAlign w:val="center"/>
                </w:tcPr>
                <w:p w14:paraId="50493DF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lang w:val="en-US"/>
                    </w:rPr>
                  </w:pPr>
                  <w:r>
                    <w:rPr>
                      <w:rFonts w:hint="eastAsia" w:ascii="Times New Roman" w:hAnsi="Times New Roman" w:cs="Times New Roman"/>
                      <w:color w:val="auto"/>
                      <w:spacing w:val="0"/>
                      <w:position w:val="0"/>
                      <w:sz w:val="21"/>
                      <w:szCs w:val="21"/>
                      <w:lang w:val="en-US" w:eastAsia="zh-CN"/>
                    </w:rPr>
                    <w:t>构筑物</w:t>
                  </w:r>
                  <w:r>
                    <w:rPr>
                      <w:rFonts w:hint="default" w:ascii="Times New Roman" w:hAnsi="Times New Roman" w:eastAsia="宋体" w:cs="Times New Roman"/>
                      <w:color w:val="auto"/>
                      <w:spacing w:val="0"/>
                      <w:position w:val="0"/>
                      <w:sz w:val="21"/>
                      <w:szCs w:val="21"/>
                    </w:rPr>
                    <w:t>加盖封闭</w:t>
                  </w:r>
                  <w:r>
                    <w:rPr>
                      <w:rFonts w:hint="eastAsia" w:ascii="Times New Roman" w:hAnsi="Times New Roman" w:cs="Times New Roman"/>
                      <w:color w:val="auto"/>
                      <w:spacing w:val="0"/>
                      <w:position w:val="0"/>
                      <w:sz w:val="21"/>
                      <w:szCs w:val="21"/>
                      <w:lang w:eastAsia="zh-CN"/>
                    </w:rPr>
                    <w:t>，</w:t>
                  </w:r>
                  <w:r>
                    <w:rPr>
                      <w:rFonts w:hint="eastAsia" w:ascii="Times New Roman" w:hAnsi="Times New Roman" w:cs="Times New Roman"/>
                      <w:color w:val="auto"/>
                      <w:spacing w:val="0"/>
                      <w:position w:val="0"/>
                      <w:sz w:val="21"/>
                      <w:szCs w:val="21"/>
                      <w:lang w:val="en-US" w:eastAsia="zh-CN"/>
                    </w:rPr>
                    <w:t>喷洒除臭生物制剂</w:t>
                  </w:r>
                </w:p>
              </w:tc>
              <w:tc>
                <w:tcPr>
                  <w:tcW w:w="688" w:type="dxa"/>
                  <w:vMerge w:val="restart"/>
                  <w:vAlign w:val="center"/>
                </w:tcPr>
                <w:p w14:paraId="059DD45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是</w:t>
                  </w:r>
                </w:p>
              </w:tc>
            </w:tr>
            <w:tr w14:paraId="222C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4" w:hRule="atLeast"/>
                <w:jc w:val="center"/>
              </w:trPr>
              <w:tc>
                <w:tcPr>
                  <w:tcW w:w="983" w:type="dxa"/>
                  <w:vMerge w:val="continue"/>
                  <w:vAlign w:val="center"/>
                </w:tcPr>
                <w:p w14:paraId="23FF90C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p>
              </w:tc>
              <w:tc>
                <w:tcPr>
                  <w:tcW w:w="1614" w:type="dxa"/>
                  <w:vAlign w:val="center"/>
                </w:tcPr>
                <w:p w14:paraId="1F0685E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氨、硫化氢、臭气 浓度</w:t>
                  </w:r>
                </w:p>
              </w:tc>
              <w:tc>
                <w:tcPr>
                  <w:tcW w:w="612" w:type="dxa"/>
                  <w:vAlign w:val="center"/>
                </w:tcPr>
                <w:p w14:paraId="05812ED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有组</w:t>
                  </w:r>
                </w:p>
                <w:p w14:paraId="547D108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织</w:t>
                  </w:r>
                </w:p>
              </w:tc>
              <w:tc>
                <w:tcPr>
                  <w:tcW w:w="2258" w:type="dxa"/>
                  <w:vAlign w:val="center"/>
                </w:tcPr>
                <w:p w14:paraId="05E3856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集中收集恶臭气体经处理（喷淋塔除臭、活性炭吸附、生物除臭等）后经排气筒排放。</w:t>
                  </w:r>
                </w:p>
              </w:tc>
              <w:tc>
                <w:tcPr>
                  <w:tcW w:w="1742" w:type="dxa"/>
                  <w:vMerge w:val="continue"/>
                  <w:vAlign w:val="center"/>
                </w:tcPr>
                <w:p w14:paraId="2F8C63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p>
              </w:tc>
              <w:tc>
                <w:tcPr>
                  <w:tcW w:w="688" w:type="dxa"/>
                  <w:vMerge w:val="continue"/>
                  <w:vAlign w:val="center"/>
                </w:tcPr>
                <w:p w14:paraId="01DC8E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p>
              </w:tc>
            </w:tr>
          </w:tbl>
          <w:p w14:paraId="6B2AD25D">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故项目采用废气污染防治措施均属于技术规范推荐的可行性技术措施。</w:t>
            </w:r>
          </w:p>
          <w:p w14:paraId="692DDD51">
            <w:pPr>
              <w:bidi w:val="0"/>
              <w:rPr>
                <w:rFonts w:hint="default" w:ascii="Times New Roman" w:hAnsi="Times New Roman" w:eastAsia="宋体" w:cs="Times New Roman"/>
                <w:b w:val="0"/>
                <w:bCs w:val="0"/>
                <w:color w:val="auto"/>
                <w:spacing w:val="0"/>
                <w:w w:val="100"/>
                <w:position w:val="0"/>
                <w:sz w:val="24"/>
                <w:szCs w:val="24"/>
                <w:lang w:val="en-US" w:eastAsia="zh-CN"/>
              </w:rPr>
            </w:pPr>
            <w:r>
              <w:rPr>
                <w:rFonts w:hint="default" w:ascii="Times New Roman" w:hAnsi="Times New Roman" w:eastAsia="宋体" w:cs="Times New Roman"/>
                <w:b w:val="0"/>
                <w:bCs w:val="0"/>
                <w:color w:val="auto"/>
                <w:spacing w:val="0"/>
                <w:w w:val="100"/>
                <w:position w:val="0"/>
                <w:sz w:val="24"/>
                <w:szCs w:val="24"/>
                <w:lang w:val="en-US" w:eastAsia="zh-CN"/>
              </w:rPr>
              <w:t>（3）废</w:t>
            </w:r>
            <w:r>
              <w:rPr>
                <w:rFonts w:hint="eastAsia" w:ascii="Times New Roman" w:hAnsi="Times New Roman" w:eastAsia="宋体" w:cs="Times New Roman"/>
                <w:b w:val="0"/>
                <w:bCs w:val="0"/>
                <w:color w:val="auto"/>
                <w:spacing w:val="0"/>
                <w:w w:val="100"/>
                <w:position w:val="0"/>
                <w:sz w:val="24"/>
                <w:szCs w:val="24"/>
                <w:lang w:val="en-US" w:eastAsia="zh-CN"/>
              </w:rPr>
              <w:t>气</w:t>
            </w:r>
            <w:r>
              <w:rPr>
                <w:rFonts w:hint="default" w:ascii="Times New Roman" w:hAnsi="Times New Roman" w:eastAsia="宋体" w:cs="Times New Roman"/>
                <w:b w:val="0"/>
                <w:bCs w:val="0"/>
                <w:color w:val="auto"/>
                <w:spacing w:val="0"/>
                <w:w w:val="100"/>
                <w:position w:val="0"/>
                <w:sz w:val="24"/>
                <w:szCs w:val="24"/>
                <w:lang w:val="en-US" w:eastAsia="zh-CN"/>
              </w:rPr>
              <w:t>污染防治达标分析</w:t>
            </w:r>
          </w:p>
          <w:p w14:paraId="36660225">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cs="Times New Roman"/>
                <w:b w:val="0"/>
                <w:bCs w:val="0"/>
                <w:color w:val="auto"/>
                <w:lang w:eastAsia="zh-CN"/>
              </w:rPr>
              <w:t>根据表</w:t>
            </w:r>
            <w:r>
              <w:rPr>
                <w:rFonts w:hint="default" w:ascii="Times New Roman" w:hAnsi="Times New Roman" w:cs="Times New Roman"/>
                <w:b w:val="0"/>
                <w:bCs w:val="0"/>
                <w:color w:val="auto"/>
                <w:lang w:val="en-US" w:eastAsia="zh-CN"/>
              </w:rPr>
              <w:t>4-1可知，</w:t>
            </w:r>
            <w:r>
              <w:rPr>
                <w:rFonts w:hint="default" w:ascii="Times New Roman" w:hAnsi="Times New Roman" w:cs="Times New Roman"/>
                <w:color w:val="auto"/>
                <w:lang w:val="en-US" w:eastAsia="zh-CN"/>
              </w:rPr>
              <w:t>经废气污染防治措施处理后的无组织恶臭废气满足</w:t>
            </w:r>
            <w:r>
              <w:rPr>
                <w:rFonts w:hint="default" w:ascii="Times New Roman" w:hAnsi="Times New Roman" w:cs="Times New Roman"/>
                <w:color w:val="auto"/>
              </w:rPr>
              <w:t>《医疗机构水污染物排放标准》</w:t>
            </w:r>
            <w:r>
              <w:rPr>
                <w:rFonts w:hint="default" w:ascii="Times New Roman" w:hAnsi="Times New Roman" w:cs="Times New Roman"/>
                <w:color w:val="auto"/>
                <w:lang w:eastAsia="zh-CN"/>
              </w:rPr>
              <w:t>（</w:t>
            </w:r>
            <w:r>
              <w:rPr>
                <w:rFonts w:hint="default" w:ascii="Times New Roman" w:hAnsi="Times New Roman" w:cs="Times New Roman"/>
                <w:color w:val="auto"/>
              </w:rPr>
              <w:t>GB18466-2005</w:t>
            </w:r>
            <w:r>
              <w:rPr>
                <w:rFonts w:hint="default" w:ascii="Times New Roman" w:hAnsi="Times New Roman" w:cs="Times New Roman"/>
                <w:color w:val="auto"/>
                <w:lang w:eastAsia="zh-CN"/>
              </w:rPr>
              <w:t>）</w:t>
            </w:r>
            <w:r>
              <w:rPr>
                <w:rFonts w:hint="default" w:ascii="Times New Roman" w:hAnsi="Times New Roman" w:cs="Times New Roman"/>
                <w:color w:val="auto"/>
              </w:rPr>
              <w:t>表</w:t>
            </w:r>
            <w:r>
              <w:rPr>
                <w:rFonts w:hint="default" w:ascii="Times New Roman" w:hAnsi="Times New Roman" w:cs="Times New Roman"/>
                <w:color w:val="auto"/>
                <w:lang w:val="en-US" w:eastAsia="zh-CN"/>
              </w:rPr>
              <w:t>3污水处理站周边大气污染物最高允许浓度，</w:t>
            </w:r>
            <w:r>
              <w:rPr>
                <w:rFonts w:hint="default" w:ascii="Times New Roman" w:hAnsi="Times New Roman" w:eastAsia="宋体" w:cs="Times New Roman"/>
                <w:color w:val="auto"/>
                <w:spacing w:val="0"/>
                <w:w w:val="100"/>
                <w:position w:val="0"/>
                <w:sz w:val="24"/>
                <w:szCs w:val="24"/>
              </w:rPr>
              <w:t>不会对周边环境产生明显影响。</w:t>
            </w:r>
          </w:p>
          <w:p w14:paraId="78DA3151">
            <w:pPr>
              <w:bidi w:val="0"/>
              <w:rPr>
                <w:rFonts w:hint="eastAsia" w:ascii="Times New Roman" w:hAnsi="Times New Roman" w:eastAsia="宋体" w:cs="Times New Roman"/>
                <w:b w:val="0"/>
                <w:bCs w:val="0"/>
                <w:color w:val="auto"/>
                <w:spacing w:val="0"/>
                <w:w w:val="100"/>
                <w:position w:val="0"/>
                <w:sz w:val="24"/>
                <w:szCs w:val="24"/>
                <w:lang w:val="en-US" w:eastAsia="zh-CN"/>
              </w:rPr>
            </w:pPr>
            <w:r>
              <w:rPr>
                <w:rFonts w:hint="eastAsia" w:ascii="Times New Roman" w:hAnsi="Times New Roman" w:eastAsia="宋体" w:cs="Times New Roman"/>
                <w:b w:val="0"/>
                <w:bCs w:val="0"/>
                <w:color w:val="auto"/>
                <w:spacing w:val="0"/>
                <w:w w:val="100"/>
                <w:position w:val="0"/>
                <w:sz w:val="24"/>
                <w:szCs w:val="24"/>
                <w:lang w:val="en-US" w:eastAsia="zh-CN"/>
              </w:rPr>
              <w:t>（4）环境监测计划</w:t>
            </w:r>
          </w:p>
          <w:p w14:paraId="6F5ECFE3">
            <w:pPr>
              <w:adjustRightInd w:val="0"/>
              <w:snapToGrid w:val="0"/>
              <w:ind w:left="0" w:leftChars="0" w:firstLine="480" w:firstLineChars="200"/>
              <w:rPr>
                <w:rFonts w:hint="eastAsia"/>
                <w:color w:val="auto"/>
                <w:lang w:val="en-US" w:eastAsia="zh-CN"/>
              </w:rPr>
            </w:pPr>
            <w:r>
              <w:rPr>
                <w:rFonts w:hint="eastAsia"/>
                <w:color w:val="auto"/>
                <w:lang w:val="en-US" w:eastAsia="zh-CN"/>
              </w:rPr>
              <w:t>根据《排污许可证申请与核发技术规范 医疗机构》（HJ1105-2020）及</w:t>
            </w:r>
            <w:r>
              <w:rPr>
                <w:rFonts w:hint="default" w:ascii="Times New Roman" w:hAnsi="Times New Roman" w:eastAsia="宋体" w:cs="Times New Roman"/>
                <w:color w:val="auto"/>
                <w:spacing w:val="0"/>
                <w:w w:val="100"/>
                <w:position w:val="0"/>
                <w:sz w:val="24"/>
                <w:szCs w:val="24"/>
              </w:rPr>
              <w:t>《排污单位自行监测技术指南 总则》（HJ</w:t>
            </w:r>
            <w:r>
              <w:rPr>
                <w:rFonts w:hint="eastAsia" w:cs="Times New Roman"/>
                <w:color w:val="auto"/>
                <w:spacing w:val="0"/>
                <w:w w:val="100"/>
                <w:position w:val="0"/>
                <w:sz w:val="24"/>
                <w:szCs w:val="24"/>
                <w:lang w:val="en-US" w:eastAsia="zh-CN"/>
              </w:rPr>
              <w:t>819</w:t>
            </w:r>
            <w:r>
              <w:rPr>
                <w:rFonts w:hint="default" w:ascii="Times New Roman" w:hAnsi="Times New Roman" w:eastAsia="宋体" w:cs="Times New Roman"/>
                <w:color w:val="auto"/>
                <w:spacing w:val="0"/>
                <w:w w:val="100"/>
                <w:position w:val="0"/>
                <w:sz w:val="24"/>
                <w:szCs w:val="24"/>
              </w:rPr>
              <w:t>-20</w:t>
            </w:r>
            <w:r>
              <w:rPr>
                <w:rFonts w:hint="eastAsia" w:cs="Times New Roman"/>
                <w:color w:val="auto"/>
                <w:spacing w:val="0"/>
                <w:w w:val="100"/>
                <w:position w:val="0"/>
                <w:sz w:val="24"/>
                <w:szCs w:val="24"/>
                <w:lang w:val="en-US" w:eastAsia="zh-CN"/>
              </w:rPr>
              <w:t>17）</w:t>
            </w:r>
            <w:r>
              <w:rPr>
                <w:rFonts w:hint="eastAsia"/>
                <w:color w:val="auto"/>
                <w:lang w:val="en-US" w:eastAsia="zh-CN"/>
              </w:rPr>
              <w:t>有关规范。</w:t>
            </w:r>
            <w:r>
              <w:rPr>
                <w:rFonts w:cs="Times New Roman"/>
                <w:color w:val="auto"/>
              </w:rPr>
              <w:t>环境监测计划见下表。</w:t>
            </w:r>
          </w:p>
          <w:p w14:paraId="60EDB8AD">
            <w:pPr>
              <w:bidi w:val="0"/>
              <w:spacing w:line="240" w:lineRule="auto"/>
              <w:ind w:left="0" w:leftChars="0" w:firstLine="0" w:firstLineChars="0"/>
              <w:jc w:val="center"/>
              <w:rPr>
                <w:rFonts w:hint="default"/>
                <w:b/>
                <w:bCs/>
                <w:sz w:val="21"/>
                <w:szCs w:val="21"/>
                <w:lang w:val="en-US" w:eastAsia="zh-CN"/>
              </w:rPr>
            </w:pPr>
            <w:r>
              <w:rPr>
                <w:rFonts w:hint="default"/>
                <w:b/>
                <w:bCs/>
                <w:sz w:val="21"/>
                <w:szCs w:val="21"/>
                <w:lang w:val="en-US" w:eastAsia="zh-CN"/>
              </w:rPr>
              <w:t>表4-</w:t>
            </w:r>
            <w:r>
              <w:rPr>
                <w:rFonts w:hint="eastAsia"/>
                <w:b/>
                <w:bCs/>
                <w:sz w:val="21"/>
                <w:szCs w:val="21"/>
                <w:lang w:val="en-US" w:eastAsia="zh-CN"/>
              </w:rPr>
              <w:t>4</w:t>
            </w:r>
            <w:r>
              <w:rPr>
                <w:rFonts w:hint="default"/>
                <w:b/>
                <w:bCs/>
                <w:sz w:val="21"/>
                <w:szCs w:val="21"/>
                <w:lang w:val="en-US" w:eastAsia="zh-CN"/>
              </w:rPr>
              <w:t>无组织废气排放监测计划</w:t>
            </w:r>
          </w:p>
          <w:tbl>
            <w:tblPr>
              <w:tblStyle w:val="142"/>
              <w:tblW w:w="7998"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541"/>
              <w:gridCol w:w="1229"/>
              <w:gridCol w:w="1292"/>
              <w:gridCol w:w="1165"/>
              <w:gridCol w:w="3771"/>
            </w:tblGrid>
            <w:tr w14:paraId="69196D8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41" w:type="dxa"/>
                  <w:vAlign w:val="center"/>
                </w:tcPr>
                <w:p w14:paraId="56ACF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229" w:type="dxa"/>
                  <w:vAlign w:val="center"/>
                </w:tcPr>
                <w:p w14:paraId="177A2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292" w:type="dxa"/>
                  <w:vAlign w:val="center"/>
                </w:tcPr>
                <w:p w14:paraId="740A42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165" w:type="dxa"/>
                  <w:vAlign w:val="center"/>
                </w:tcPr>
                <w:p w14:paraId="1985A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监测频率</w:t>
                  </w:r>
                </w:p>
              </w:tc>
              <w:tc>
                <w:tcPr>
                  <w:tcW w:w="3771" w:type="dxa"/>
                  <w:vAlign w:val="center"/>
                </w:tcPr>
                <w:p w14:paraId="0905A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监测依据</w:t>
                  </w:r>
                </w:p>
              </w:tc>
            </w:tr>
            <w:tr w14:paraId="7C696471">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541" w:type="dxa"/>
                  <w:vAlign w:val="center"/>
                </w:tcPr>
                <w:p w14:paraId="2A9A62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229" w:type="dxa"/>
                  <w:vMerge w:val="restart"/>
                  <w:tcBorders>
                    <w:bottom w:val="nil"/>
                  </w:tcBorders>
                  <w:vAlign w:val="center"/>
                </w:tcPr>
                <w:p w14:paraId="28B709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污水处理站周边</w:t>
                  </w:r>
                </w:p>
              </w:tc>
              <w:tc>
                <w:tcPr>
                  <w:tcW w:w="1292" w:type="dxa"/>
                  <w:vAlign w:val="center"/>
                </w:tcPr>
                <w:p w14:paraId="0D3171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NH</w:t>
                  </w:r>
                  <w:r>
                    <w:rPr>
                      <w:rFonts w:hint="default" w:ascii="Times New Roman" w:hAnsi="Times New Roman" w:eastAsia="宋体" w:cs="Times New Roman"/>
                      <w:b w:val="0"/>
                      <w:bCs w:val="0"/>
                      <w:color w:val="auto"/>
                      <w:sz w:val="21"/>
                      <w:szCs w:val="21"/>
                      <w:vertAlign w:val="subscript"/>
                    </w:rPr>
                    <w:t>3</w:t>
                  </w:r>
                </w:p>
              </w:tc>
              <w:tc>
                <w:tcPr>
                  <w:tcW w:w="1165" w:type="dxa"/>
                  <w:vMerge w:val="restart"/>
                  <w:tcBorders>
                    <w:bottom w:val="nil"/>
                  </w:tcBorders>
                  <w:vAlign w:val="center"/>
                </w:tcPr>
                <w:p w14:paraId="539D88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eastAsia="zh-CN"/>
                    </w:rPr>
                    <w:t>年</w:t>
                  </w:r>
                  <w:r>
                    <w:rPr>
                      <w:rFonts w:hint="default" w:ascii="Times New Roman" w:hAnsi="Times New Roman" w:eastAsia="宋体" w:cs="Times New Roman"/>
                      <w:b w:val="0"/>
                      <w:bCs w:val="0"/>
                      <w:color w:val="auto"/>
                      <w:sz w:val="21"/>
                      <w:szCs w:val="21"/>
                    </w:rPr>
                    <w:t>/次</w:t>
                  </w:r>
                </w:p>
              </w:tc>
              <w:tc>
                <w:tcPr>
                  <w:tcW w:w="3771" w:type="dxa"/>
                  <w:vMerge w:val="restart"/>
                  <w:tcBorders>
                    <w:bottom w:val="nil"/>
                  </w:tcBorders>
                  <w:vAlign w:val="center"/>
                </w:tcPr>
                <w:p w14:paraId="73DEE5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《排污单位自行监测技术指南 总则》（HJ819-2017</w:t>
                  </w:r>
                  <w:r>
                    <w:rPr>
                      <w:rFonts w:hint="eastAsia" w:cs="Times New Roman"/>
                      <w:b w:val="0"/>
                      <w:bCs w:val="0"/>
                      <w:color w:val="auto"/>
                      <w:sz w:val="21"/>
                      <w:szCs w:val="21"/>
                      <w:lang w:eastAsia="zh-CN"/>
                    </w:rPr>
                    <w:t>）、《排污许可证申请与核发技术规范 医疗机构》（HJ1105-2020）</w:t>
                  </w:r>
                </w:p>
              </w:tc>
            </w:tr>
            <w:tr w14:paraId="66535950">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541" w:type="dxa"/>
                  <w:vAlign w:val="center"/>
                </w:tcPr>
                <w:p w14:paraId="4DCE7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229" w:type="dxa"/>
                  <w:vMerge w:val="continue"/>
                  <w:tcBorders>
                    <w:top w:val="nil"/>
                    <w:bottom w:val="nil"/>
                  </w:tcBorders>
                  <w:vAlign w:val="center"/>
                </w:tcPr>
                <w:p w14:paraId="45D90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p>
              </w:tc>
              <w:tc>
                <w:tcPr>
                  <w:tcW w:w="1292" w:type="dxa"/>
                  <w:vAlign w:val="center"/>
                </w:tcPr>
                <w:p w14:paraId="77C00C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H</w:t>
                  </w:r>
                  <w:r>
                    <w:rPr>
                      <w:rFonts w:hint="default" w:ascii="Times New Roman" w:hAnsi="Times New Roman" w:eastAsia="宋体" w:cs="Times New Roman"/>
                      <w:b w:val="0"/>
                      <w:bCs w:val="0"/>
                      <w:color w:val="auto"/>
                      <w:sz w:val="21"/>
                      <w:szCs w:val="21"/>
                      <w:vertAlign w:val="subscript"/>
                    </w:rPr>
                    <w:t>2</w:t>
                  </w:r>
                  <w:r>
                    <w:rPr>
                      <w:rFonts w:hint="default" w:ascii="Times New Roman" w:hAnsi="Times New Roman" w:eastAsia="宋体" w:cs="Times New Roman"/>
                      <w:b w:val="0"/>
                      <w:bCs w:val="0"/>
                      <w:color w:val="auto"/>
                      <w:sz w:val="21"/>
                      <w:szCs w:val="21"/>
                    </w:rPr>
                    <w:t>S</w:t>
                  </w:r>
                </w:p>
              </w:tc>
              <w:tc>
                <w:tcPr>
                  <w:tcW w:w="1165" w:type="dxa"/>
                  <w:vMerge w:val="continue"/>
                  <w:tcBorders>
                    <w:top w:val="nil"/>
                    <w:bottom w:val="nil"/>
                  </w:tcBorders>
                  <w:vAlign w:val="center"/>
                </w:tcPr>
                <w:p w14:paraId="5F4919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p>
              </w:tc>
              <w:tc>
                <w:tcPr>
                  <w:tcW w:w="3771" w:type="dxa"/>
                  <w:vMerge w:val="continue"/>
                  <w:tcBorders>
                    <w:top w:val="nil"/>
                    <w:bottom w:val="nil"/>
                  </w:tcBorders>
                  <w:vAlign w:val="center"/>
                </w:tcPr>
                <w:p w14:paraId="7EDF3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p>
              </w:tc>
            </w:tr>
            <w:tr w14:paraId="2E71588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541" w:type="dxa"/>
                  <w:vAlign w:val="center"/>
                </w:tcPr>
                <w:p w14:paraId="761FFD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229" w:type="dxa"/>
                  <w:vMerge w:val="continue"/>
                  <w:tcBorders>
                    <w:top w:val="nil"/>
                  </w:tcBorders>
                  <w:vAlign w:val="center"/>
                </w:tcPr>
                <w:p w14:paraId="50481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p>
              </w:tc>
              <w:tc>
                <w:tcPr>
                  <w:tcW w:w="1292" w:type="dxa"/>
                  <w:vAlign w:val="center"/>
                </w:tcPr>
                <w:p w14:paraId="1AD2F0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臭气浓度</w:t>
                  </w:r>
                </w:p>
              </w:tc>
              <w:tc>
                <w:tcPr>
                  <w:tcW w:w="1165" w:type="dxa"/>
                  <w:vMerge w:val="continue"/>
                  <w:tcBorders>
                    <w:top w:val="nil"/>
                  </w:tcBorders>
                  <w:vAlign w:val="center"/>
                </w:tcPr>
                <w:p w14:paraId="64AB4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p>
              </w:tc>
              <w:tc>
                <w:tcPr>
                  <w:tcW w:w="3771" w:type="dxa"/>
                  <w:vMerge w:val="continue"/>
                  <w:tcBorders>
                    <w:top w:val="nil"/>
                  </w:tcBorders>
                  <w:vAlign w:val="center"/>
                </w:tcPr>
                <w:p w14:paraId="21DF8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p>
              </w:tc>
            </w:tr>
          </w:tbl>
          <w:p w14:paraId="70C65F0C">
            <w:pPr>
              <w:bidi w:val="0"/>
              <w:rPr>
                <w:rFonts w:hint="default" w:ascii="Times New Roman" w:hAnsi="Times New Roman" w:eastAsia="宋体" w:cs="Times New Roman"/>
                <w:b w:val="0"/>
                <w:bCs w:val="0"/>
                <w:color w:val="auto"/>
                <w:spacing w:val="0"/>
                <w:w w:val="100"/>
                <w:position w:val="0"/>
                <w:sz w:val="24"/>
                <w:szCs w:val="24"/>
                <w:lang w:val="en-US" w:eastAsia="zh-CN"/>
              </w:rPr>
            </w:pPr>
            <w:r>
              <w:rPr>
                <w:rFonts w:hint="default" w:ascii="Times New Roman" w:hAnsi="Times New Roman" w:eastAsia="宋体" w:cs="Times New Roman"/>
                <w:b w:val="0"/>
                <w:bCs w:val="0"/>
                <w:color w:val="auto"/>
                <w:spacing w:val="0"/>
                <w:w w:val="100"/>
                <w:position w:val="0"/>
                <w:sz w:val="24"/>
                <w:szCs w:val="24"/>
                <w:lang w:val="en-US" w:eastAsia="zh-CN"/>
              </w:rPr>
              <w:t>（</w:t>
            </w:r>
            <w:r>
              <w:rPr>
                <w:rFonts w:hint="eastAsia" w:ascii="Times New Roman" w:hAnsi="Times New Roman" w:eastAsia="宋体" w:cs="Times New Roman"/>
                <w:b w:val="0"/>
                <w:bCs w:val="0"/>
                <w:color w:val="auto"/>
                <w:spacing w:val="0"/>
                <w:w w:val="100"/>
                <w:position w:val="0"/>
                <w:sz w:val="24"/>
                <w:szCs w:val="24"/>
                <w:lang w:val="en-US" w:eastAsia="zh-CN"/>
              </w:rPr>
              <w:t>5</w:t>
            </w:r>
            <w:r>
              <w:rPr>
                <w:rFonts w:hint="default" w:ascii="Times New Roman" w:hAnsi="Times New Roman" w:eastAsia="宋体" w:cs="Times New Roman"/>
                <w:b w:val="0"/>
                <w:bCs w:val="0"/>
                <w:color w:val="auto"/>
                <w:spacing w:val="0"/>
                <w:w w:val="100"/>
                <w:position w:val="0"/>
                <w:sz w:val="24"/>
                <w:szCs w:val="24"/>
                <w:lang w:val="en-US" w:eastAsia="zh-CN"/>
              </w:rPr>
              <w:t>）大气环境影响分析结论</w:t>
            </w:r>
          </w:p>
          <w:p w14:paraId="27D8049A">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color w:val="auto"/>
                <w:lang w:val="en-US" w:eastAsia="zh-CN"/>
              </w:rPr>
              <w:t>项目</w:t>
            </w:r>
            <w:r>
              <w:rPr>
                <w:rFonts w:hint="default"/>
                <w:color w:val="auto"/>
                <w:lang w:val="en-US" w:eastAsia="zh-CN"/>
              </w:rPr>
              <w:t>废气污染物采取的污染防治措施为可行技术，经污染防治措施处理后的</w:t>
            </w:r>
            <w:r>
              <w:rPr>
                <w:rFonts w:hint="eastAsia"/>
                <w:color w:val="auto"/>
                <w:lang w:val="en-US" w:eastAsia="zh-CN"/>
              </w:rPr>
              <w:t>废</w:t>
            </w:r>
            <w:r>
              <w:rPr>
                <w:rFonts w:hint="default"/>
                <w:color w:val="auto"/>
                <w:lang w:val="en-US" w:eastAsia="zh-CN"/>
              </w:rPr>
              <w:t>气污染物</w:t>
            </w:r>
            <w:r>
              <w:rPr>
                <w:rFonts w:hint="eastAsia"/>
                <w:color w:val="auto"/>
                <w:lang w:val="en-US" w:eastAsia="zh-CN"/>
              </w:rPr>
              <w:t>排放</w:t>
            </w:r>
            <w:r>
              <w:rPr>
                <w:rFonts w:hint="default"/>
                <w:color w:val="auto"/>
                <w:lang w:val="en-US" w:eastAsia="zh-CN"/>
              </w:rPr>
              <w:t>可</w:t>
            </w:r>
            <w:r>
              <w:rPr>
                <w:rFonts w:hint="eastAsia"/>
                <w:color w:val="auto"/>
                <w:lang w:val="en-US" w:eastAsia="zh-CN"/>
              </w:rPr>
              <w:t>以</w:t>
            </w:r>
            <w:r>
              <w:rPr>
                <w:rFonts w:hint="default"/>
                <w:color w:val="auto"/>
                <w:lang w:val="en-US" w:eastAsia="zh-CN"/>
              </w:rPr>
              <w:t>满足</w:t>
            </w:r>
            <w:r>
              <w:rPr>
                <w:rFonts w:hint="eastAsia"/>
                <w:color w:val="auto"/>
                <w:lang w:val="en-US" w:eastAsia="zh-CN"/>
              </w:rPr>
              <w:t>相应的标准</w:t>
            </w:r>
            <w:r>
              <w:rPr>
                <w:rFonts w:hint="default"/>
                <w:color w:val="auto"/>
                <w:lang w:val="en-US" w:eastAsia="zh-CN"/>
              </w:rPr>
              <w:t>要求，项目废气排放对大气环境影响</w:t>
            </w:r>
            <w:r>
              <w:rPr>
                <w:rFonts w:hint="eastAsia"/>
                <w:color w:val="auto"/>
                <w:lang w:val="en-US" w:eastAsia="zh-CN"/>
              </w:rPr>
              <w:t>可接受</w:t>
            </w:r>
            <w:r>
              <w:rPr>
                <w:rFonts w:hint="default" w:ascii="Times New Roman" w:hAnsi="Times New Roman" w:eastAsia="宋体" w:cs="Times New Roman"/>
                <w:color w:val="auto"/>
                <w:spacing w:val="0"/>
                <w:w w:val="100"/>
                <w:position w:val="0"/>
                <w:sz w:val="24"/>
                <w:szCs w:val="24"/>
              </w:rPr>
              <w:t>。</w:t>
            </w:r>
          </w:p>
          <w:p w14:paraId="4C4591DD">
            <w:pPr>
              <w:keepNext w:val="0"/>
              <w:keepLines w:val="0"/>
              <w:pageBreakBefore w:val="0"/>
              <w:numPr>
                <w:ilvl w:val="0"/>
                <w:numId w:val="0"/>
              </w:numPr>
              <w:kinsoku/>
              <w:wordWrap/>
              <w:overflowPunct/>
              <w:topLinePunct w:val="0"/>
              <w:autoSpaceDE/>
              <w:autoSpaceDN/>
              <w:bidi w:val="0"/>
              <w:adjustRightInd w:val="0"/>
              <w:snapToGrid w:val="0"/>
              <w:spacing w:line="360" w:lineRule="auto"/>
              <w:ind w:left="0" w:right="0" w:firstLine="482" w:firstLineChars="200"/>
              <w:jc w:val="both"/>
              <w:textAlignment w:val="auto"/>
              <w:rPr>
                <w:rFonts w:hint="default" w:ascii="Times New Roman" w:hAnsi="Times New Roman" w:eastAsia="宋体" w:cs="Times New Roman"/>
                <w:b/>
                <w:bCs/>
                <w:color w:val="auto"/>
                <w:spacing w:val="0"/>
                <w:w w:val="100"/>
                <w:position w:val="0"/>
                <w:sz w:val="24"/>
                <w:szCs w:val="24"/>
                <w:lang w:val="en-US" w:eastAsia="zh-CN"/>
              </w:rPr>
            </w:pPr>
            <w:r>
              <w:rPr>
                <w:rFonts w:hint="default" w:ascii="Times New Roman" w:hAnsi="Times New Roman" w:eastAsia="宋体" w:cs="Times New Roman"/>
                <w:b/>
                <w:bCs/>
                <w:color w:val="auto"/>
                <w:spacing w:val="0"/>
                <w:w w:val="100"/>
                <w:position w:val="0"/>
                <w:sz w:val="24"/>
                <w:szCs w:val="24"/>
                <w:lang w:val="en-US" w:eastAsia="zh-CN"/>
              </w:rPr>
              <w:t>2、废水</w:t>
            </w:r>
          </w:p>
          <w:p w14:paraId="6366D3BA">
            <w:pPr>
              <w:bidi w:val="0"/>
              <w:rPr>
                <w:rFonts w:hint="default" w:ascii="Times New Roman" w:hAnsi="Times New Roman" w:eastAsia="宋体" w:cs="Times New Roman"/>
                <w:b w:val="0"/>
                <w:bCs w:val="0"/>
                <w:color w:val="auto"/>
                <w:spacing w:val="0"/>
                <w:w w:val="100"/>
                <w:position w:val="0"/>
                <w:sz w:val="24"/>
                <w:szCs w:val="24"/>
                <w:lang w:val="en-US" w:eastAsia="zh-CN"/>
              </w:rPr>
            </w:pPr>
            <w:r>
              <w:rPr>
                <w:rFonts w:hint="eastAsia" w:ascii="Times New Roman" w:hAnsi="Times New Roman" w:eastAsia="宋体" w:cs="Times New Roman"/>
                <w:b w:val="0"/>
                <w:bCs w:val="0"/>
                <w:color w:val="auto"/>
                <w:spacing w:val="0"/>
                <w:w w:val="100"/>
                <w:position w:val="0"/>
                <w:sz w:val="24"/>
                <w:szCs w:val="24"/>
                <w:lang w:val="en-US" w:eastAsia="zh-CN"/>
              </w:rPr>
              <w:t>（1）废水达标可行性分析</w:t>
            </w:r>
          </w:p>
          <w:p w14:paraId="51933E10">
            <w:pPr>
              <w:pStyle w:val="134"/>
              <w:spacing w:after="0"/>
              <w:rPr>
                <w:rFonts w:hint="default" w:ascii="Times New Roman" w:hAnsi="Times New Roman" w:eastAsia="宋体" w:cs="Times New Roman"/>
                <w:color w:val="auto"/>
                <w:spacing w:val="0"/>
                <w:w w:val="100"/>
                <w:position w:val="0"/>
                <w:sz w:val="24"/>
                <w:szCs w:val="24"/>
              </w:rPr>
            </w:pPr>
            <w:r>
              <w:rPr>
                <w:color w:val="auto"/>
              </w:rPr>
              <w:t>医</w:t>
            </w:r>
            <w:r>
              <w:rPr>
                <w:rFonts w:hint="eastAsia"/>
                <w:color w:val="auto"/>
                <w:lang w:eastAsia="zh-CN"/>
              </w:rPr>
              <w:t>疗</w:t>
            </w:r>
            <w:r>
              <w:rPr>
                <w:color w:val="auto"/>
              </w:rPr>
              <w:t>废水水质参照《医院废水处理工程技术规范》</w:t>
            </w:r>
            <w:r>
              <w:rPr>
                <w:rFonts w:hint="eastAsia"/>
                <w:color w:val="auto"/>
              </w:rPr>
              <w:t>（</w:t>
            </w:r>
            <w:r>
              <w:rPr>
                <w:color w:val="auto"/>
              </w:rPr>
              <w:t>HJ2029-2013</w:t>
            </w:r>
            <w:r>
              <w:rPr>
                <w:rFonts w:hint="eastAsia"/>
                <w:color w:val="auto"/>
              </w:rPr>
              <w:t>）</w:t>
            </w:r>
            <w:r>
              <w:rPr>
                <w:rFonts w:hint="eastAsia"/>
                <w:color w:val="auto"/>
                <w:lang w:eastAsia="zh-CN"/>
              </w:rPr>
              <w:t>表</w:t>
            </w:r>
            <w:r>
              <w:rPr>
                <w:rFonts w:hint="eastAsia"/>
                <w:color w:val="auto"/>
                <w:lang w:val="en-US" w:eastAsia="zh-CN"/>
              </w:rPr>
              <w:t>1</w:t>
            </w:r>
            <w:r>
              <w:rPr>
                <w:rFonts w:hint="eastAsia"/>
                <w:color w:val="auto"/>
                <w:lang w:eastAsia="zh-CN"/>
              </w:rPr>
              <w:t>，</w:t>
            </w:r>
            <w:r>
              <w:rPr>
                <w:color w:val="auto"/>
              </w:rPr>
              <w:t>确定水质为：COD浓度为150-300mg/L（以300mg/L计算）、BOD</w:t>
            </w:r>
            <w:r>
              <w:rPr>
                <w:color w:val="auto"/>
                <w:vertAlign w:val="subscript"/>
              </w:rPr>
              <w:t>5</w:t>
            </w:r>
            <w:r>
              <w:rPr>
                <w:color w:val="auto"/>
              </w:rPr>
              <w:t>浓度为80-150mg/L（以150mg/L计算）、SS浓度为40-120mg/L（以1</w:t>
            </w:r>
            <w:r>
              <w:rPr>
                <w:rFonts w:hint="eastAsia"/>
                <w:color w:val="auto"/>
              </w:rPr>
              <w:t>2</w:t>
            </w:r>
            <w:r>
              <w:rPr>
                <w:color w:val="auto"/>
              </w:rPr>
              <w:t>0mg/L计算），</w:t>
            </w:r>
            <w:r>
              <w:rPr>
                <w:rFonts w:hint="eastAsia"/>
                <w:color w:val="auto"/>
                <w:lang w:eastAsia="zh-CN"/>
              </w:rPr>
              <w:t>氨氮</w:t>
            </w:r>
            <w:r>
              <w:rPr>
                <w:color w:val="auto"/>
              </w:rPr>
              <w:t>浓度为10-</w:t>
            </w:r>
            <w:r>
              <w:rPr>
                <w:rFonts w:hint="eastAsia"/>
                <w:color w:val="auto"/>
              </w:rPr>
              <w:t>3</w:t>
            </w:r>
            <w:r>
              <w:rPr>
                <w:color w:val="auto"/>
              </w:rPr>
              <w:t>0mg/L（以</w:t>
            </w:r>
            <w:r>
              <w:rPr>
                <w:rFonts w:hint="eastAsia"/>
                <w:color w:val="auto"/>
              </w:rPr>
              <w:t>3</w:t>
            </w:r>
            <w:r>
              <w:rPr>
                <w:color w:val="auto"/>
              </w:rPr>
              <w:t>0mg/L计算），粪大肠杆菌数浓度为1.0×10</w:t>
            </w:r>
            <w:r>
              <w:rPr>
                <w:color w:val="auto"/>
                <w:vertAlign w:val="superscript"/>
              </w:rPr>
              <w:t>6</w:t>
            </w:r>
            <w:r>
              <w:rPr>
                <w:color w:val="auto"/>
              </w:rPr>
              <w:t>~3.0×10</w:t>
            </w:r>
            <w:r>
              <w:rPr>
                <w:color w:val="auto"/>
                <w:vertAlign w:val="superscript"/>
              </w:rPr>
              <w:t>8</w:t>
            </w:r>
            <w:r>
              <w:rPr>
                <w:color w:val="auto"/>
              </w:rPr>
              <w:t>个/L（以</w:t>
            </w:r>
            <w:r>
              <w:rPr>
                <w:rFonts w:hint="eastAsia"/>
                <w:color w:val="auto"/>
              </w:rPr>
              <w:t>3.0</w:t>
            </w:r>
            <w:r>
              <w:rPr>
                <w:color w:val="auto"/>
              </w:rPr>
              <w:t>×10</w:t>
            </w:r>
            <w:r>
              <w:rPr>
                <w:color w:val="auto"/>
                <w:vertAlign w:val="superscript"/>
              </w:rPr>
              <w:t>8</w:t>
            </w:r>
            <w:r>
              <w:rPr>
                <w:color w:val="auto"/>
              </w:rPr>
              <w:t>个/L计算），动植物油水质参照城市生活污水水质</w:t>
            </w:r>
            <w:r>
              <w:rPr>
                <w:rFonts w:hint="eastAsia"/>
                <w:color w:val="auto"/>
                <w:lang w:eastAsia="zh-CN"/>
              </w:rPr>
              <w:t>，</w:t>
            </w:r>
            <w:r>
              <w:rPr>
                <w:rFonts w:hint="eastAsia"/>
                <w:color w:val="auto"/>
                <w:lang w:val="en-US" w:eastAsia="zh-CN"/>
              </w:rPr>
              <w:t>25</w:t>
            </w:r>
            <w:r>
              <w:rPr>
                <w:color w:val="auto"/>
              </w:rPr>
              <w:t>mg/L</w:t>
            </w:r>
            <w:r>
              <w:rPr>
                <w:rFonts w:hint="eastAsia"/>
                <w:color w:val="auto"/>
              </w:rPr>
              <w:t>。</w:t>
            </w:r>
            <w:r>
              <w:rPr>
                <w:rFonts w:hint="eastAsia"/>
                <w:color w:val="auto"/>
                <w:lang w:eastAsia="zh-CN"/>
              </w:rPr>
              <w:t>总余氯类比《本溪何氏眼科医院建设项目竣工环境保护验收监测报告》，总余氯浓度为3.08mg/L；</w:t>
            </w:r>
            <w:r>
              <w:rPr>
                <w:rFonts w:hint="eastAsia"/>
                <w:color w:val="auto"/>
              </w:rPr>
              <w:t>阴离子表面活性剂</w:t>
            </w:r>
            <w:r>
              <w:rPr>
                <w:rFonts w:hint="eastAsia"/>
                <w:color w:val="auto"/>
                <w:lang w:eastAsia="zh-CN"/>
              </w:rPr>
              <w:t>类比</w:t>
            </w:r>
            <w:r>
              <w:rPr>
                <w:rFonts w:hint="eastAsia" w:ascii="Times New Roman" w:hAnsi="Times New Roman" w:cs="Times New Roman"/>
                <w:color w:val="auto"/>
                <w:spacing w:val="0"/>
                <w:w w:val="100"/>
                <w:position w:val="0"/>
                <w:sz w:val="24"/>
                <w:szCs w:val="24"/>
                <w:lang w:eastAsia="zh-CN"/>
              </w:rPr>
              <w:t>《</w:t>
            </w:r>
            <w:r>
              <w:rPr>
                <w:color w:val="auto"/>
              </w:rPr>
              <w:t>天台罗伟荣眼科医院有限公司建设项目</w:t>
            </w:r>
            <w:r>
              <w:rPr>
                <w:rFonts w:hint="eastAsia" w:ascii="Times New Roman" w:hAnsi="Times New Roman" w:cs="Times New Roman"/>
                <w:color w:val="auto"/>
                <w:spacing w:val="0"/>
                <w:w w:val="100"/>
                <w:position w:val="0"/>
                <w:sz w:val="24"/>
                <w:szCs w:val="24"/>
                <w:lang w:eastAsia="zh-CN"/>
              </w:rPr>
              <w:t>竣工环境保护验收监测报告表》</w:t>
            </w:r>
            <w:r>
              <w:rPr>
                <w:rFonts w:hint="eastAsia"/>
                <w:color w:val="auto"/>
                <w:lang w:eastAsia="zh-CN"/>
              </w:rPr>
              <w:t>，</w:t>
            </w:r>
            <w:r>
              <w:rPr>
                <w:rFonts w:hint="eastAsia"/>
                <w:color w:val="auto"/>
              </w:rPr>
              <w:t>阴离子表面活性剂浓度为</w:t>
            </w:r>
            <w:r>
              <w:rPr>
                <w:rFonts w:hint="eastAsia"/>
                <w:color w:val="auto"/>
                <w:lang w:val="en-US" w:eastAsia="zh-CN"/>
              </w:rPr>
              <w:t>0.103</w:t>
            </w:r>
            <w:r>
              <w:rPr>
                <w:rFonts w:hint="eastAsia"/>
                <w:color w:val="auto"/>
              </w:rPr>
              <w:t>mg/L</w:t>
            </w:r>
            <w:r>
              <w:rPr>
                <w:rFonts w:hint="eastAsia"/>
                <w:color w:val="auto"/>
                <w:lang w:eastAsia="zh-CN"/>
              </w:rPr>
              <w:t>。</w:t>
            </w:r>
          </w:p>
        </w:tc>
      </w:tr>
    </w:tbl>
    <w:p w14:paraId="2B9CFFCB">
      <w:pPr>
        <w:rPr>
          <w:color w:val="auto"/>
        </w:rPr>
        <w:sectPr>
          <w:pgSz w:w="11905" w:h="16838"/>
          <w:pgMar w:top="1440" w:right="1800" w:bottom="1440" w:left="1800"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428"/>
      </w:tblGrid>
      <w:tr w14:paraId="546F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6" w:type="dxa"/>
            <w:vAlign w:val="center"/>
          </w:tcPr>
          <w:p w14:paraId="6A67AF9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vertAlign w:val="baseline"/>
              </w:rPr>
            </w:pPr>
            <w:r>
              <w:rPr>
                <w:rFonts w:hint="default" w:ascii="Times New Roman" w:hAnsi="Times New Roman" w:eastAsia="宋体" w:cs="Times New Roman"/>
                <w:b/>
                <w:bCs/>
                <w:color w:val="auto"/>
                <w:spacing w:val="0"/>
                <w:w w:val="100"/>
                <w:position w:val="0"/>
                <w:sz w:val="24"/>
                <w:szCs w:val="24"/>
              </w:rPr>
              <w:t>运营期环境影响和保护措施</w:t>
            </w:r>
          </w:p>
        </w:tc>
        <w:tc>
          <w:tcPr>
            <w:tcW w:w="13428" w:type="dxa"/>
          </w:tcPr>
          <w:p w14:paraId="094B036B">
            <w:pPr>
              <w:bidi w:val="0"/>
              <w:spacing w:line="240" w:lineRule="auto"/>
              <w:jc w:val="center"/>
              <w:rPr>
                <w:rFonts w:hint="default"/>
                <w:b/>
                <w:bCs/>
                <w:sz w:val="21"/>
                <w:szCs w:val="21"/>
                <w:lang w:eastAsia="zh-CN"/>
              </w:rPr>
            </w:pPr>
            <w:r>
              <w:rPr>
                <w:rFonts w:hint="default"/>
                <w:b/>
                <w:bCs/>
                <w:sz w:val="21"/>
                <w:szCs w:val="21"/>
                <w:lang w:val="en-US" w:eastAsia="zh-CN"/>
              </w:rPr>
              <w:t>表4-</w:t>
            </w:r>
            <w:r>
              <w:rPr>
                <w:rFonts w:hint="eastAsia"/>
                <w:b/>
                <w:bCs/>
                <w:sz w:val="21"/>
                <w:szCs w:val="21"/>
                <w:lang w:val="en-US" w:eastAsia="zh-CN"/>
              </w:rPr>
              <w:t>5</w:t>
            </w:r>
            <w:r>
              <w:rPr>
                <w:rFonts w:hint="default"/>
                <w:b/>
                <w:bCs/>
                <w:sz w:val="21"/>
                <w:szCs w:val="21"/>
                <w:lang w:eastAsia="zh-CN"/>
              </w:rPr>
              <w:t>废水污染源产排情况一览表</w:t>
            </w:r>
          </w:p>
          <w:tbl>
            <w:tblPr>
              <w:tblStyle w:val="28"/>
              <w:tblW w:w="1321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3"/>
              <w:gridCol w:w="753"/>
              <w:gridCol w:w="1348"/>
              <w:gridCol w:w="1579"/>
              <w:gridCol w:w="1203"/>
              <w:gridCol w:w="1044"/>
              <w:gridCol w:w="1009"/>
              <w:gridCol w:w="1336"/>
              <w:gridCol w:w="2491"/>
              <w:gridCol w:w="1057"/>
              <w:gridCol w:w="849"/>
            </w:tblGrid>
            <w:tr w14:paraId="6E631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 w:hRule="atLeast"/>
                <w:jc w:val="center"/>
              </w:trPr>
              <w:tc>
                <w:tcPr>
                  <w:tcW w:w="5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B569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F236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w:t>
                  </w:r>
                </w:p>
              </w:tc>
              <w:tc>
                <w:tcPr>
                  <w:tcW w:w="13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055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废水产生量（m</w:t>
                  </w:r>
                  <w:r>
                    <w:rPr>
                      <w:rStyle w:val="145"/>
                      <w:rFonts w:hint="default" w:ascii="Times New Roman" w:hAnsi="Times New Roman" w:eastAsia="宋体" w:cs="Times New Roman"/>
                      <w:b/>
                      <w:bCs/>
                      <w:color w:val="auto"/>
                      <w:sz w:val="21"/>
                      <w:szCs w:val="21"/>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/a）</w:t>
                  </w:r>
                </w:p>
              </w:tc>
              <w:tc>
                <w:tcPr>
                  <w:tcW w:w="1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EF96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主要污染物</w:t>
                  </w:r>
                </w:p>
              </w:tc>
              <w:tc>
                <w:tcPr>
                  <w:tcW w:w="224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8C4C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产生情况</w:t>
                  </w:r>
                </w:p>
              </w:tc>
              <w:tc>
                <w:tcPr>
                  <w:tcW w:w="10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8E04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治理措施</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018B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废水排放量（m</w:t>
                  </w:r>
                  <w:r>
                    <w:rPr>
                      <w:rStyle w:val="145"/>
                      <w:rFonts w:hint="default" w:ascii="Times New Roman" w:hAnsi="Times New Roman" w:eastAsia="宋体" w:cs="Times New Roman"/>
                      <w:b/>
                      <w:bCs/>
                      <w:color w:val="auto"/>
                      <w:sz w:val="21"/>
                      <w:szCs w:val="21"/>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/a）</w:t>
                  </w:r>
                </w:p>
              </w:tc>
              <w:tc>
                <w:tcPr>
                  <w:tcW w:w="43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BA18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排放情况</w:t>
                  </w:r>
                </w:p>
              </w:tc>
            </w:tr>
            <w:tr w14:paraId="4C731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A7A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A6F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457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1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C38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DB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浓度（mg/L）</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6F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Fonts w:hint="eastAsia"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CA9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DA1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8E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浓度（mg/L）</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CC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w:t>
                  </w:r>
                  <w:r>
                    <w:rPr>
                      <w:rFonts w:hint="eastAsia"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2E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排放去向</w:t>
                  </w:r>
                </w:p>
              </w:tc>
            </w:tr>
            <w:tr w14:paraId="69FBC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jc w:val="center"/>
              </w:trPr>
              <w:tc>
                <w:tcPr>
                  <w:tcW w:w="5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E6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C908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医疗废水</w:t>
                  </w:r>
                </w:p>
              </w:tc>
              <w:tc>
                <w:tcPr>
                  <w:tcW w:w="13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D036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10611.17</w:t>
                  </w: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4E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C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4F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C73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一体化生化处理设备+二氧化氯消毒</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29D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10611.17</w:t>
                  </w: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FA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8B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c>
                <w:tcPr>
                  <w:tcW w:w="849" w:type="dxa"/>
                  <w:vMerge w:val="restart"/>
                  <w:tcBorders>
                    <w:top w:val="single" w:color="000000" w:sz="4" w:space="0"/>
                    <w:left w:val="single" w:color="000000" w:sz="4" w:space="0"/>
                    <w:right w:val="single" w:color="000000" w:sz="4" w:space="0"/>
                  </w:tcBorders>
                  <w:shd w:val="clear" w:color="auto" w:fill="auto"/>
                  <w:vAlign w:val="center"/>
                </w:tcPr>
                <w:p w14:paraId="4BE357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泗县污水处理厂</w:t>
                  </w:r>
                </w:p>
              </w:tc>
            </w:tr>
            <w:tr w14:paraId="2FDF9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jc w:val="center"/>
              </w:trPr>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3CA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4DB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499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right w:val="single" w:color="000000" w:sz="4" w:space="0"/>
                  </w:tcBorders>
                  <w:shd w:val="clear" w:color="auto" w:fill="auto"/>
                  <w:vAlign w:val="center"/>
                </w:tcPr>
                <w:p w14:paraId="207D58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203" w:type="dxa"/>
                  <w:tcBorders>
                    <w:top w:val="single" w:color="000000" w:sz="4" w:space="0"/>
                    <w:left w:val="single" w:color="000000" w:sz="4" w:space="0"/>
                    <w:right w:val="single" w:color="000000" w:sz="4" w:space="0"/>
                  </w:tcBorders>
                  <w:shd w:val="clear" w:color="auto" w:fill="auto"/>
                  <w:vAlign w:val="center"/>
                </w:tcPr>
                <w:p w14:paraId="5E828F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1044" w:type="dxa"/>
                  <w:tcBorders>
                    <w:top w:val="single" w:color="000000" w:sz="4" w:space="0"/>
                    <w:left w:val="single" w:color="000000" w:sz="4" w:space="0"/>
                    <w:right w:val="single" w:color="000000" w:sz="4" w:space="0"/>
                  </w:tcBorders>
                  <w:shd w:val="clear" w:color="auto" w:fill="auto"/>
                  <w:vAlign w:val="center"/>
                </w:tcPr>
                <w:p w14:paraId="4EFE4B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3.18</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CBF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D3B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8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135</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05E6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1.43</w:t>
                  </w:r>
                </w:p>
              </w:tc>
              <w:tc>
                <w:tcPr>
                  <w:tcW w:w="849" w:type="dxa"/>
                  <w:vMerge w:val="continue"/>
                  <w:tcBorders>
                    <w:left w:val="single" w:color="000000" w:sz="4" w:space="0"/>
                    <w:right w:val="single" w:color="000000" w:sz="4" w:space="0"/>
                  </w:tcBorders>
                  <w:shd w:val="clear" w:color="auto" w:fill="auto"/>
                  <w:vAlign w:val="center"/>
                </w:tcPr>
                <w:p w14:paraId="06C917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47945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jc w:val="center"/>
              </w:trPr>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7C0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E83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B83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right w:val="single" w:color="000000" w:sz="4" w:space="0"/>
                  </w:tcBorders>
                  <w:shd w:val="clear" w:color="auto" w:fill="auto"/>
                  <w:vAlign w:val="center"/>
                </w:tcPr>
                <w:p w14:paraId="2FAF83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Style w:val="146"/>
                      <w:rFonts w:hint="default" w:ascii="Times New Roman" w:hAnsi="Times New Roman" w:eastAsia="宋体" w:cs="Times New Roman"/>
                      <w:color w:val="auto"/>
                      <w:sz w:val="21"/>
                      <w:szCs w:val="21"/>
                      <w:lang w:val="en-US" w:eastAsia="zh-CN" w:bidi="ar"/>
                    </w:rPr>
                    <w:t>5</w:t>
                  </w:r>
                </w:p>
              </w:tc>
              <w:tc>
                <w:tcPr>
                  <w:tcW w:w="1203" w:type="dxa"/>
                  <w:tcBorders>
                    <w:top w:val="single" w:color="000000" w:sz="4" w:space="0"/>
                    <w:left w:val="single" w:color="000000" w:sz="4" w:space="0"/>
                    <w:right w:val="single" w:color="000000" w:sz="4" w:space="0"/>
                  </w:tcBorders>
                  <w:shd w:val="clear" w:color="auto" w:fill="auto"/>
                  <w:vAlign w:val="center"/>
                </w:tcPr>
                <w:p w14:paraId="2CA46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044" w:type="dxa"/>
                  <w:tcBorders>
                    <w:top w:val="single" w:color="000000" w:sz="4" w:space="0"/>
                    <w:left w:val="single" w:color="000000" w:sz="4" w:space="0"/>
                    <w:right w:val="single" w:color="000000" w:sz="4" w:space="0"/>
                  </w:tcBorders>
                  <w:shd w:val="clear" w:color="auto" w:fill="auto"/>
                  <w:vAlign w:val="center"/>
                </w:tcPr>
                <w:p w14:paraId="47AA82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1.59</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95A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069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928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75</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548A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0.80</w:t>
                  </w:r>
                </w:p>
              </w:tc>
              <w:tc>
                <w:tcPr>
                  <w:tcW w:w="849" w:type="dxa"/>
                  <w:vMerge w:val="continue"/>
                  <w:tcBorders>
                    <w:left w:val="single" w:color="000000" w:sz="4" w:space="0"/>
                    <w:right w:val="single" w:color="000000" w:sz="4" w:space="0"/>
                  </w:tcBorders>
                  <w:shd w:val="clear" w:color="auto" w:fill="auto"/>
                  <w:vAlign w:val="center"/>
                </w:tcPr>
                <w:p w14:paraId="0F1FB9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0EBF4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jc w:val="center"/>
              </w:trPr>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4AB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861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A01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right w:val="single" w:color="000000" w:sz="4" w:space="0"/>
                  </w:tcBorders>
                  <w:shd w:val="clear" w:color="auto" w:fill="auto"/>
                  <w:vAlign w:val="center"/>
                </w:tcPr>
                <w:p w14:paraId="7FF88E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氨氮</w:t>
                  </w:r>
                </w:p>
              </w:tc>
              <w:tc>
                <w:tcPr>
                  <w:tcW w:w="1203" w:type="dxa"/>
                  <w:tcBorders>
                    <w:top w:val="single" w:color="000000" w:sz="4" w:space="0"/>
                    <w:left w:val="single" w:color="000000" w:sz="4" w:space="0"/>
                    <w:right w:val="single" w:color="000000" w:sz="4" w:space="0"/>
                  </w:tcBorders>
                  <w:shd w:val="clear" w:color="auto" w:fill="auto"/>
                  <w:vAlign w:val="center"/>
                </w:tcPr>
                <w:p w14:paraId="3C8113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044" w:type="dxa"/>
                  <w:tcBorders>
                    <w:top w:val="single" w:color="000000" w:sz="4" w:space="0"/>
                    <w:left w:val="single" w:color="000000" w:sz="4" w:space="0"/>
                    <w:right w:val="single" w:color="000000" w:sz="4" w:space="0"/>
                  </w:tcBorders>
                  <w:shd w:val="clear" w:color="auto" w:fill="auto"/>
                  <w:vAlign w:val="center"/>
                </w:tcPr>
                <w:p w14:paraId="6D871A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0.32</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3BA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F47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3A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9</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3A33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0.10</w:t>
                  </w:r>
                </w:p>
              </w:tc>
              <w:tc>
                <w:tcPr>
                  <w:tcW w:w="849" w:type="dxa"/>
                  <w:vMerge w:val="continue"/>
                  <w:tcBorders>
                    <w:left w:val="single" w:color="000000" w:sz="4" w:space="0"/>
                    <w:right w:val="single" w:color="000000" w:sz="4" w:space="0"/>
                  </w:tcBorders>
                  <w:shd w:val="clear" w:color="auto" w:fill="auto"/>
                  <w:vAlign w:val="center"/>
                </w:tcPr>
                <w:p w14:paraId="492B32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79F19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jc w:val="center"/>
              </w:trPr>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0D5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77A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8B5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right w:val="single" w:color="000000" w:sz="4" w:space="0"/>
                  </w:tcBorders>
                  <w:shd w:val="clear" w:color="auto" w:fill="auto"/>
                  <w:vAlign w:val="center"/>
                </w:tcPr>
                <w:p w14:paraId="2DFD66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203" w:type="dxa"/>
                  <w:tcBorders>
                    <w:top w:val="single" w:color="000000" w:sz="4" w:space="0"/>
                    <w:left w:val="single" w:color="000000" w:sz="4" w:space="0"/>
                    <w:right w:val="single" w:color="000000" w:sz="4" w:space="0"/>
                  </w:tcBorders>
                  <w:shd w:val="clear" w:color="auto" w:fill="auto"/>
                  <w:vAlign w:val="center"/>
                </w:tcPr>
                <w:p w14:paraId="0D32F9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044" w:type="dxa"/>
                  <w:tcBorders>
                    <w:top w:val="single" w:color="000000" w:sz="4" w:space="0"/>
                    <w:left w:val="single" w:color="000000" w:sz="4" w:space="0"/>
                    <w:right w:val="single" w:color="000000" w:sz="4" w:space="0"/>
                  </w:tcBorders>
                  <w:shd w:val="clear" w:color="auto" w:fill="auto"/>
                  <w:vAlign w:val="center"/>
                </w:tcPr>
                <w:p w14:paraId="6CBE47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1.27</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513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BB4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0E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4FF2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0.38</w:t>
                  </w:r>
                </w:p>
              </w:tc>
              <w:tc>
                <w:tcPr>
                  <w:tcW w:w="849" w:type="dxa"/>
                  <w:vMerge w:val="continue"/>
                  <w:tcBorders>
                    <w:left w:val="single" w:color="000000" w:sz="4" w:space="0"/>
                    <w:right w:val="single" w:color="000000" w:sz="4" w:space="0"/>
                  </w:tcBorders>
                  <w:shd w:val="clear" w:color="auto" w:fill="auto"/>
                  <w:vAlign w:val="center"/>
                </w:tcPr>
                <w:p w14:paraId="278614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3067E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jc w:val="center"/>
              </w:trPr>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B39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9BA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81F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2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A5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DE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0.27</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36B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09C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5F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0F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0.13</w:t>
                  </w:r>
                </w:p>
              </w:tc>
              <w:tc>
                <w:tcPr>
                  <w:tcW w:w="849" w:type="dxa"/>
                  <w:vMerge w:val="continue"/>
                  <w:tcBorders>
                    <w:left w:val="single" w:color="000000" w:sz="4" w:space="0"/>
                    <w:right w:val="single" w:color="000000" w:sz="4" w:space="0"/>
                  </w:tcBorders>
                  <w:shd w:val="clear" w:color="auto" w:fill="auto"/>
                  <w:vAlign w:val="center"/>
                </w:tcPr>
                <w:p w14:paraId="4FB87B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4327F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jc w:val="center"/>
              </w:trPr>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311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4DA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C8B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DF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粪大肠菌群数（</w:t>
                  </w:r>
                  <w:r>
                    <w:rPr>
                      <w:rStyle w:val="147"/>
                      <w:rFonts w:hint="default" w:ascii="Times New Roman" w:hAnsi="Times New Roman" w:eastAsia="宋体" w:cs="Times New Roman"/>
                      <w:color w:val="auto"/>
                      <w:sz w:val="21"/>
                      <w:szCs w:val="21"/>
                      <w:lang w:val="en-US" w:eastAsia="zh-CN" w:bidi="ar"/>
                    </w:rPr>
                    <w:t>MPN/L</w:t>
                  </w:r>
                  <w:r>
                    <w:rPr>
                      <w:rFonts w:hint="default" w:ascii="Times New Roman" w:hAnsi="Times New Roman" w:eastAsia="宋体" w:cs="Times New Roman"/>
                      <w:i w:val="0"/>
                      <w:iCs w:val="0"/>
                      <w:color w:val="auto"/>
                      <w:kern w:val="0"/>
                      <w:sz w:val="21"/>
                      <w:szCs w:val="21"/>
                      <w:u w:val="none"/>
                      <w:lang w:val="en-US" w:eastAsia="zh-CN" w:bidi="ar"/>
                    </w:rPr>
                    <w:t>）</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7CD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3.0×10</w:t>
                  </w:r>
                  <w:r>
                    <w:rPr>
                      <w:rStyle w:val="148"/>
                      <w:rFonts w:hint="default" w:ascii="Times New Roman" w:hAnsi="Times New Roman" w:eastAsia="宋体" w:cs="Times New Roman"/>
                      <w:color w:val="auto"/>
                      <w:sz w:val="21"/>
                      <w:szCs w:val="21"/>
                      <w:lang w:val="en-US" w:eastAsia="zh-CN" w:bidi="ar"/>
                    </w:rPr>
                    <w:t>8</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E5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kern w:val="0"/>
                      <w:sz w:val="21"/>
                      <w:szCs w:val="21"/>
                      <w:u w:val="none"/>
                      <w:lang w:val="en-US" w:eastAsia="zh-CN" w:bidi="ar"/>
                    </w:rPr>
                    <w:t>/</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4EE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552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C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3000</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0B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kern w:val="0"/>
                      <w:sz w:val="21"/>
                      <w:szCs w:val="21"/>
                      <w:u w:val="none"/>
                      <w:lang w:val="en-US" w:eastAsia="zh-CN" w:bidi="ar"/>
                    </w:rPr>
                    <w:t>/</w:t>
                  </w:r>
                </w:p>
              </w:tc>
              <w:tc>
                <w:tcPr>
                  <w:tcW w:w="849" w:type="dxa"/>
                  <w:vMerge w:val="continue"/>
                  <w:tcBorders>
                    <w:left w:val="single" w:color="000000" w:sz="4" w:space="0"/>
                    <w:right w:val="single" w:color="000000" w:sz="4" w:space="0"/>
                  </w:tcBorders>
                  <w:shd w:val="clear" w:color="auto" w:fill="auto"/>
                  <w:vAlign w:val="center"/>
                </w:tcPr>
                <w:p w14:paraId="685D94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44174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A8E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473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247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2EB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阴离子表面活性剂</w:t>
                  </w:r>
                </w:p>
              </w:tc>
              <w:tc>
                <w:tcPr>
                  <w:tcW w:w="1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22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0.103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55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8F1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44D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56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103</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EB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1</w:t>
                  </w:r>
                </w:p>
              </w:tc>
              <w:tc>
                <w:tcPr>
                  <w:tcW w:w="849" w:type="dxa"/>
                  <w:vMerge w:val="continue"/>
                  <w:tcBorders>
                    <w:left w:val="single" w:color="000000" w:sz="4" w:space="0"/>
                    <w:right w:val="single" w:color="000000" w:sz="4" w:space="0"/>
                  </w:tcBorders>
                  <w:shd w:val="clear" w:color="auto" w:fill="auto"/>
                  <w:vAlign w:val="center"/>
                </w:tcPr>
                <w:p w14:paraId="23908F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0DAD3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jc w:val="center"/>
              </w:trPr>
              <w:tc>
                <w:tcPr>
                  <w:tcW w:w="5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FB9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D5B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D4F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11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总余氯</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BF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3.08</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494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3</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D52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715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6F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31</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8E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33</w:t>
                  </w:r>
                </w:p>
              </w:tc>
              <w:tc>
                <w:tcPr>
                  <w:tcW w:w="849" w:type="dxa"/>
                  <w:vMerge w:val="continue"/>
                  <w:tcBorders>
                    <w:left w:val="single" w:color="000000" w:sz="4" w:space="0"/>
                    <w:right w:val="single" w:color="000000" w:sz="4" w:space="0"/>
                  </w:tcBorders>
                  <w:shd w:val="clear" w:color="auto" w:fill="auto"/>
                  <w:vAlign w:val="center"/>
                </w:tcPr>
                <w:p w14:paraId="670122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6A0E3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jc w:val="center"/>
              </w:trPr>
              <w:tc>
                <w:tcPr>
                  <w:tcW w:w="543" w:type="dxa"/>
                  <w:vMerge w:val="restart"/>
                  <w:tcBorders>
                    <w:top w:val="single" w:color="000000" w:sz="4" w:space="0"/>
                    <w:left w:val="single" w:color="000000" w:sz="4" w:space="0"/>
                    <w:right w:val="single" w:color="000000" w:sz="4" w:space="0"/>
                  </w:tcBorders>
                  <w:shd w:val="clear" w:color="auto" w:fill="auto"/>
                  <w:vAlign w:val="center"/>
                </w:tcPr>
                <w:p w14:paraId="24B599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w:t>
                  </w:r>
                </w:p>
              </w:tc>
              <w:tc>
                <w:tcPr>
                  <w:tcW w:w="753" w:type="dxa"/>
                  <w:vMerge w:val="restart"/>
                  <w:tcBorders>
                    <w:top w:val="single" w:color="000000" w:sz="4" w:space="0"/>
                    <w:left w:val="single" w:color="000000" w:sz="4" w:space="0"/>
                    <w:right w:val="single" w:color="000000" w:sz="4" w:space="0"/>
                  </w:tcBorders>
                  <w:shd w:val="clear" w:color="auto" w:fill="auto"/>
                  <w:vAlign w:val="center"/>
                </w:tcPr>
                <w:p w14:paraId="73CE41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食堂废水</w:t>
                  </w:r>
                </w:p>
              </w:tc>
              <w:tc>
                <w:tcPr>
                  <w:tcW w:w="1348" w:type="dxa"/>
                  <w:vMerge w:val="restart"/>
                  <w:tcBorders>
                    <w:top w:val="single" w:color="000000" w:sz="4" w:space="0"/>
                    <w:left w:val="single" w:color="000000" w:sz="4" w:space="0"/>
                    <w:right w:val="single" w:color="000000" w:sz="4" w:space="0"/>
                  </w:tcBorders>
                  <w:shd w:val="clear" w:color="auto" w:fill="auto"/>
                  <w:vAlign w:val="center"/>
                </w:tcPr>
                <w:p w14:paraId="0B85FF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698.063</w:t>
                  </w: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25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66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C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0.21</w:t>
                  </w:r>
                </w:p>
              </w:tc>
              <w:tc>
                <w:tcPr>
                  <w:tcW w:w="1009" w:type="dxa"/>
                  <w:vMerge w:val="restart"/>
                  <w:tcBorders>
                    <w:top w:val="single" w:color="000000" w:sz="4" w:space="0"/>
                    <w:left w:val="single" w:color="000000" w:sz="4" w:space="0"/>
                    <w:right w:val="single" w:color="000000" w:sz="4" w:space="0"/>
                  </w:tcBorders>
                  <w:shd w:val="clear" w:color="auto" w:fill="auto"/>
                  <w:vAlign w:val="center"/>
                </w:tcPr>
                <w:p w14:paraId="2FEF9C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隔油池+一体化生化处理设备+二氧化氯消毒</w:t>
                  </w:r>
                </w:p>
              </w:tc>
              <w:tc>
                <w:tcPr>
                  <w:tcW w:w="1336" w:type="dxa"/>
                  <w:vMerge w:val="restart"/>
                  <w:tcBorders>
                    <w:top w:val="single" w:color="000000" w:sz="4" w:space="0"/>
                    <w:left w:val="single" w:color="000000" w:sz="4" w:space="0"/>
                    <w:right w:val="single" w:color="000000" w:sz="4" w:space="0"/>
                  </w:tcBorders>
                  <w:shd w:val="clear" w:color="auto" w:fill="auto"/>
                  <w:vAlign w:val="center"/>
                </w:tcPr>
                <w:p w14:paraId="6EADC0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698.063</w:t>
                  </w: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03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135</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CF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0.09</w:t>
                  </w:r>
                </w:p>
              </w:tc>
              <w:tc>
                <w:tcPr>
                  <w:tcW w:w="849" w:type="dxa"/>
                  <w:vMerge w:val="continue"/>
                  <w:tcBorders>
                    <w:left w:val="single" w:color="000000" w:sz="4" w:space="0"/>
                    <w:right w:val="single" w:color="000000" w:sz="4" w:space="0"/>
                  </w:tcBorders>
                  <w:shd w:val="clear" w:color="auto" w:fill="auto"/>
                  <w:vAlign w:val="center"/>
                </w:tcPr>
                <w:p w14:paraId="0AF308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3D6FE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jc w:val="center"/>
              </w:trPr>
              <w:tc>
                <w:tcPr>
                  <w:tcW w:w="543" w:type="dxa"/>
                  <w:vMerge w:val="continue"/>
                  <w:tcBorders>
                    <w:left w:val="single" w:color="000000" w:sz="4" w:space="0"/>
                    <w:right w:val="single" w:color="000000" w:sz="4" w:space="0"/>
                  </w:tcBorders>
                  <w:shd w:val="clear" w:color="auto" w:fill="auto"/>
                  <w:vAlign w:val="center"/>
                </w:tcPr>
                <w:p w14:paraId="2394DB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left w:val="single" w:color="000000" w:sz="4" w:space="0"/>
                    <w:right w:val="single" w:color="000000" w:sz="4" w:space="0"/>
                  </w:tcBorders>
                  <w:shd w:val="clear" w:color="auto" w:fill="auto"/>
                  <w:vAlign w:val="center"/>
                </w:tcPr>
                <w:p w14:paraId="027598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cs="Times New Roman"/>
                      <w:i w:val="0"/>
                      <w:iCs w:val="0"/>
                      <w:color w:val="auto"/>
                      <w:sz w:val="21"/>
                      <w:szCs w:val="21"/>
                      <w:u w:val="none"/>
                      <w:lang w:val="en-US" w:eastAsia="zh-CN"/>
                    </w:rPr>
                  </w:pPr>
                </w:p>
              </w:tc>
              <w:tc>
                <w:tcPr>
                  <w:tcW w:w="1348" w:type="dxa"/>
                  <w:vMerge w:val="continue"/>
                  <w:tcBorders>
                    <w:left w:val="single" w:color="000000" w:sz="4" w:space="0"/>
                    <w:right w:val="single" w:color="000000" w:sz="4" w:space="0"/>
                  </w:tcBorders>
                  <w:shd w:val="clear" w:color="auto" w:fill="auto"/>
                  <w:vAlign w:val="center"/>
                </w:tcPr>
                <w:p w14:paraId="1B519C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C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Style w:val="146"/>
                      <w:rFonts w:hint="default" w:ascii="Times New Roman" w:hAnsi="Times New Roman" w:eastAsia="宋体" w:cs="Times New Roman"/>
                      <w:color w:val="auto"/>
                      <w:sz w:val="21"/>
                      <w:szCs w:val="21"/>
                      <w:lang w:val="en-US" w:eastAsia="zh-CN" w:bidi="ar"/>
                    </w:rPr>
                    <w:t>5</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B09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68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0.10</w:t>
                  </w:r>
                </w:p>
              </w:tc>
              <w:tc>
                <w:tcPr>
                  <w:tcW w:w="1009" w:type="dxa"/>
                  <w:vMerge w:val="continue"/>
                  <w:tcBorders>
                    <w:left w:val="single" w:color="000000" w:sz="4" w:space="0"/>
                    <w:right w:val="single" w:color="000000" w:sz="4" w:space="0"/>
                  </w:tcBorders>
                  <w:shd w:val="clear" w:color="auto" w:fill="auto"/>
                  <w:vAlign w:val="center"/>
                </w:tcPr>
                <w:p w14:paraId="1E06A5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left w:val="single" w:color="000000" w:sz="4" w:space="0"/>
                    <w:right w:val="single" w:color="000000" w:sz="4" w:space="0"/>
                  </w:tcBorders>
                  <w:shd w:val="clear" w:color="auto" w:fill="auto"/>
                  <w:vAlign w:val="center"/>
                </w:tcPr>
                <w:p w14:paraId="6895DA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4D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75</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90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0.05</w:t>
                  </w:r>
                </w:p>
              </w:tc>
              <w:tc>
                <w:tcPr>
                  <w:tcW w:w="849" w:type="dxa"/>
                  <w:vMerge w:val="continue"/>
                  <w:tcBorders>
                    <w:left w:val="single" w:color="000000" w:sz="4" w:space="0"/>
                    <w:right w:val="single" w:color="000000" w:sz="4" w:space="0"/>
                  </w:tcBorders>
                  <w:shd w:val="clear" w:color="auto" w:fill="auto"/>
                  <w:vAlign w:val="center"/>
                </w:tcPr>
                <w:p w14:paraId="4A6D9C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47D3A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jc w:val="center"/>
              </w:trPr>
              <w:tc>
                <w:tcPr>
                  <w:tcW w:w="543" w:type="dxa"/>
                  <w:vMerge w:val="continue"/>
                  <w:tcBorders>
                    <w:left w:val="single" w:color="000000" w:sz="4" w:space="0"/>
                    <w:right w:val="single" w:color="000000" w:sz="4" w:space="0"/>
                  </w:tcBorders>
                  <w:shd w:val="clear" w:color="auto" w:fill="auto"/>
                  <w:vAlign w:val="center"/>
                </w:tcPr>
                <w:p w14:paraId="799017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left w:val="single" w:color="000000" w:sz="4" w:space="0"/>
                    <w:right w:val="single" w:color="000000" w:sz="4" w:space="0"/>
                  </w:tcBorders>
                  <w:shd w:val="clear" w:color="auto" w:fill="auto"/>
                  <w:vAlign w:val="center"/>
                </w:tcPr>
                <w:p w14:paraId="0E885A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cs="Times New Roman"/>
                      <w:i w:val="0"/>
                      <w:iCs w:val="0"/>
                      <w:color w:val="auto"/>
                      <w:sz w:val="21"/>
                      <w:szCs w:val="21"/>
                      <w:u w:val="none"/>
                      <w:lang w:val="en-US" w:eastAsia="zh-CN"/>
                    </w:rPr>
                  </w:pPr>
                </w:p>
              </w:tc>
              <w:tc>
                <w:tcPr>
                  <w:tcW w:w="1348" w:type="dxa"/>
                  <w:vMerge w:val="continue"/>
                  <w:tcBorders>
                    <w:left w:val="single" w:color="000000" w:sz="4" w:space="0"/>
                    <w:right w:val="single" w:color="000000" w:sz="4" w:space="0"/>
                  </w:tcBorders>
                  <w:shd w:val="clear" w:color="auto" w:fill="auto"/>
                  <w:vAlign w:val="center"/>
                </w:tcPr>
                <w:p w14:paraId="7CA213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CD8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氨氮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97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E44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w:t>
                  </w:r>
                </w:p>
              </w:tc>
              <w:tc>
                <w:tcPr>
                  <w:tcW w:w="1009" w:type="dxa"/>
                  <w:vMerge w:val="continue"/>
                  <w:tcBorders>
                    <w:left w:val="single" w:color="000000" w:sz="4" w:space="0"/>
                    <w:right w:val="single" w:color="000000" w:sz="4" w:space="0"/>
                  </w:tcBorders>
                  <w:shd w:val="clear" w:color="auto" w:fill="auto"/>
                  <w:vAlign w:val="center"/>
                </w:tcPr>
                <w:p w14:paraId="2997D4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left w:val="single" w:color="000000" w:sz="4" w:space="0"/>
                    <w:right w:val="single" w:color="000000" w:sz="4" w:space="0"/>
                  </w:tcBorders>
                  <w:shd w:val="clear" w:color="auto" w:fill="auto"/>
                  <w:vAlign w:val="center"/>
                </w:tcPr>
                <w:p w14:paraId="5A2006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93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9</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F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0.006</w:t>
                  </w:r>
                </w:p>
              </w:tc>
              <w:tc>
                <w:tcPr>
                  <w:tcW w:w="849" w:type="dxa"/>
                  <w:vMerge w:val="continue"/>
                  <w:tcBorders>
                    <w:left w:val="single" w:color="000000" w:sz="4" w:space="0"/>
                    <w:right w:val="single" w:color="000000" w:sz="4" w:space="0"/>
                  </w:tcBorders>
                  <w:shd w:val="clear" w:color="auto" w:fill="auto"/>
                  <w:vAlign w:val="center"/>
                </w:tcPr>
                <w:p w14:paraId="7CCE6B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5A991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jc w:val="center"/>
              </w:trPr>
              <w:tc>
                <w:tcPr>
                  <w:tcW w:w="543" w:type="dxa"/>
                  <w:vMerge w:val="continue"/>
                  <w:tcBorders>
                    <w:left w:val="single" w:color="000000" w:sz="4" w:space="0"/>
                    <w:right w:val="single" w:color="000000" w:sz="4" w:space="0"/>
                  </w:tcBorders>
                  <w:shd w:val="clear" w:color="auto" w:fill="auto"/>
                  <w:vAlign w:val="center"/>
                </w:tcPr>
                <w:p w14:paraId="4E3CB6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left w:val="single" w:color="000000" w:sz="4" w:space="0"/>
                    <w:right w:val="single" w:color="000000" w:sz="4" w:space="0"/>
                  </w:tcBorders>
                  <w:shd w:val="clear" w:color="auto" w:fill="auto"/>
                  <w:vAlign w:val="center"/>
                </w:tcPr>
                <w:p w14:paraId="190B92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cs="Times New Roman"/>
                      <w:i w:val="0"/>
                      <w:iCs w:val="0"/>
                      <w:color w:val="auto"/>
                      <w:sz w:val="21"/>
                      <w:szCs w:val="21"/>
                      <w:u w:val="none"/>
                      <w:lang w:val="en-US" w:eastAsia="zh-CN"/>
                    </w:rPr>
                  </w:pPr>
                </w:p>
              </w:tc>
              <w:tc>
                <w:tcPr>
                  <w:tcW w:w="1348" w:type="dxa"/>
                  <w:vMerge w:val="continue"/>
                  <w:tcBorders>
                    <w:left w:val="single" w:color="000000" w:sz="4" w:space="0"/>
                    <w:right w:val="single" w:color="000000" w:sz="4" w:space="0"/>
                  </w:tcBorders>
                  <w:shd w:val="clear" w:color="auto" w:fill="auto"/>
                  <w:vAlign w:val="center"/>
                </w:tcPr>
                <w:p w14:paraId="746F0A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77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F7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5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w:t>
                  </w:r>
                </w:p>
              </w:tc>
              <w:tc>
                <w:tcPr>
                  <w:tcW w:w="1009" w:type="dxa"/>
                  <w:vMerge w:val="continue"/>
                  <w:tcBorders>
                    <w:left w:val="single" w:color="000000" w:sz="4" w:space="0"/>
                    <w:right w:val="single" w:color="000000" w:sz="4" w:space="0"/>
                  </w:tcBorders>
                  <w:shd w:val="clear" w:color="auto" w:fill="auto"/>
                  <w:vAlign w:val="center"/>
                </w:tcPr>
                <w:p w14:paraId="0867E6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left w:val="single" w:color="000000" w:sz="4" w:space="0"/>
                    <w:right w:val="single" w:color="000000" w:sz="4" w:space="0"/>
                  </w:tcBorders>
                  <w:shd w:val="clear" w:color="auto" w:fill="auto"/>
                  <w:vAlign w:val="center"/>
                </w:tcPr>
                <w:p w14:paraId="547A4C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A3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666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0.025</w:t>
                  </w:r>
                </w:p>
              </w:tc>
              <w:tc>
                <w:tcPr>
                  <w:tcW w:w="849" w:type="dxa"/>
                  <w:vMerge w:val="continue"/>
                  <w:tcBorders>
                    <w:left w:val="single" w:color="000000" w:sz="4" w:space="0"/>
                    <w:right w:val="single" w:color="000000" w:sz="4" w:space="0"/>
                  </w:tcBorders>
                  <w:shd w:val="clear" w:color="auto" w:fill="auto"/>
                  <w:vAlign w:val="center"/>
                </w:tcPr>
                <w:p w14:paraId="69CAE1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5A7CF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 w:hRule="atLeast"/>
                <w:jc w:val="center"/>
              </w:trPr>
              <w:tc>
                <w:tcPr>
                  <w:tcW w:w="543" w:type="dxa"/>
                  <w:vMerge w:val="continue"/>
                  <w:tcBorders>
                    <w:left w:val="single" w:color="000000" w:sz="4" w:space="0"/>
                    <w:bottom w:val="single" w:color="000000" w:sz="4" w:space="0"/>
                    <w:right w:val="single" w:color="000000" w:sz="4" w:space="0"/>
                  </w:tcBorders>
                  <w:shd w:val="clear" w:color="auto" w:fill="auto"/>
                  <w:vAlign w:val="center"/>
                </w:tcPr>
                <w:p w14:paraId="2F8762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3" w:type="dxa"/>
                  <w:vMerge w:val="continue"/>
                  <w:tcBorders>
                    <w:left w:val="single" w:color="000000" w:sz="4" w:space="0"/>
                    <w:bottom w:val="single" w:color="000000" w:sz="4" w:space="0"/>
                    <w:right w:val="single" w:color="000000" w:sz="4" w:space="0"/>
                  </w:tcBorders>
                  <w:shd w:val="clear" w:color="auto" w:fill="auto"/>
                  <w:vAlign w:val="center"/>
                </w:tcPr>
                <w:p w14:paraId="26FDE0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cs="Times New Roman"/>
                      <w:i w:val="0"/>
                      <w:iCs w:val="0"/>
                      <w:color w:val="auto"/>
                      <w:sz w:val="21"/>
                      <w:szCs w:val="21"/>
                      <w:u w:val="none"/>
                      <w:lang w:val="en-US" w:eastAsia="zh-CN"/>
                    </w:rPr>
                  </w:pPr>
                </w:p>
              </w:tc>
              <w:tc>
                <w:tcPr>
                  <w:tcW w:w="1348" w:type="dxa"/>
                  <w:vMerge w:val="continue"/>
                  <w:tcBorders>
                    <w:left w:val="single" w:color="000000" w:sz="4" w:space="0"/>
                    <w:bottom w:val="single" w:color="000000" w:sz="4" w:space="0"/>
                    <w:right w:val="single" w:color="000000" w:sz="4" w:space="0"/>
                  </w:tcBorders>
                  <w:shd w:val="clear" w:color="auto" w:fill="auto"/>
                  <w:vAlign w:val="center"/>
                </w:tcPr>
                <w:p w14:paraId="3A63B7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762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24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25</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2B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0.02</w:t>
                  </w:r>
                </w:p>
              </w:tc>
              <w:tc>
                <w:tcPr>
                  <w:tcW w:w="1009" w:type="dxa"/>
                  <w:vMerge w:val="continue"/>
                  <w:tcBorders>
                    <w:left w:val="single" w:color="000000" w:sz="4" w:space="0"/>
                    <w:bottom w:val="single" w:color="000000" w:sz="4" w:space="0"/>
                    <w:right w:val="single" w:color="000000" w:sz="4" w:space="0"/>
                  </w:tcBorders>
                  <w:shd w:val="clear" w:color="auto" w:fill="auto"/>
                  <w:vAlign w:val="center"/>
                </w:tcPr>
                <w:p w14:paraId="0931FB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left w:val="single" w:color="000000" w:sz="4" w:space="0"/>
                    <w:bottom w:val="single" w:color="000000" w:sz="4" w:space="0"/>
                    <w:right w:val="single" w:color="000000" w:sz="4" w:space="0"/>
                  </w:tcBorders>
                  <w:shd w:val="clear" w:color="auto" w:fill="auto"/>
                  <w:vAlign w:val="center"/>
                </w:tcPr>
                <w:p w14:paraId="1648A4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B3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8B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0.009</w:t>
                  </w:r>
                </w:p>
              </w:tc>
              <w:tc>
                <w:tcPr>
                  <w:tcW w:w="849" w:type="dxa"/>
                  <w:vMerge w:val="continue"/>
                  <w:tcBorders>
                    <w:left w:val="single" w:color="000000" w:sz="4" w:space="0"/>
                    <w:bottom w:val="single" w:color="000000" w:sz="4" w:space="0"/>
                    <w:right w:val="single" w:color="000000" w:sz="4" w:space="0"/>
                  </w:tcBorders>
                  <w:shd w:val="clear" w:color="auto" w:fill="auto"/>
                  <w:vAlign w:val="center"/>
                </w:tcPr>
                <w:p w14:paraId="66DF77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17D4B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jc w:val="center"/>
              </w:trPr>
              <w:tc>
                <w:tcPr>
                  <w:tcW w:w="12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87A7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污水总排口</w:t>
                  </w:r>
                </w:p>
              </w:tc>
              <w:tc>
                <w:tcPr>
                  <w:tcW w:w="13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D985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11309.233</w:t>
                  </w: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D2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A7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13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0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7398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泗县污水处理厂</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3661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11309.233</w:t>
                  </w: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B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C2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8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DCC8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石梁河</w:t>
                  </w:r>
                </w:p>
              </w:tc>
            </w:tr>
            <w:tr w14:paraId="6CF2B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12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E5B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9F1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F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5A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135</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7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1.52</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207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266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C4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D4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57</w:t>
                  </w: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229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06959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26B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2F9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6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BOD</w:t>
                  </w:r>
                  <w:r>
                    <w:rPr>
                      <w:rStyle w:val="146"/>
                      <w:rFonts w:hint="default" w:ascii="Times New Roman" w:hAnsi="Times New Roman" w:eastAsia="宋体" w:cs="Times New Roman"/>
                      <w:color w:val="auto"/>
                      <w:sz w:val="21"/>
                      <w:szCs w:val="21"/>
                      <w:lang w:val="en-US" w:eastAsia="zh-CN" w:bidi="ar"/>
                    </w:rPr>
                    <w:t>5</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FA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75</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7D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85</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6B8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82E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73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E4A1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0.11</w:t>
                  </w: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667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21CFD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12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CFA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69E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A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B3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9</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FB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106</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28A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10A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04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A7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11</w:t>
                  </w: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09B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09463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12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14A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8A7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C3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氨氮</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C70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1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0.405</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179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975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19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82F2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0.06</w:t>
                  </w: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31C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40D9B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 w:hRule="atLeast"/>
                <w:jc w:val="center"/>
              </w:trPr>
              <w:tc>
                <w:tcPr>
                  <w:tcW w:w="12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359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D46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347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1F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CA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0.139</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E5F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104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BA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BC2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w:t>
                  </w: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5D6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67FC9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jc w:val="center"/>
              </w:trPr>
              <w:tc>
                <w:tcPr>
                  <w:tcW w:w="12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3D0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2FD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4D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粪大肠菌群数（</w:t>
                  </w:r>
                  <w:r>
                    <w:rPr>
                      <w:rStyle w:val="147"/>
                      <w:rFonts w:hint="default" w:ascii="Times New Roman" w:hAnsi="Times New Roman" w:eastAsia="宋体" w:cs="Times New Roman"/>
                      <w:color w:val="auto"/>
                      <w:sz w:val="21"/>
                      <w:szCs w:val="21"/>
                      <w:lang w:val="en-US" w:eastAsia="zh-CN" w:bidi="ar"/>
                    </w:rPr>
                    <w:t>MPN/L</w:t>
                  </w:r>
                  <w:r>
                    <w:rPr>
                      <w:rFonts w:hint="default" w:ascii="Times New Roman" w:hAnsi="Times New Roman" w:eastAsia="宋体" w:cs="Times New Roman"/>
                      <w:i w:val="0"/>
                      <w:iCs w:val="0"/>
                      <w:color w:val="auto"/>
                      <w:kern w:val="0"/>
                      <w:sz w:val="21"/>
                      <w:szCs w:val="21"/>
                      <w:u w:val="none"/>
                      <w:lang w:val="en-US" w:eastAsia="zh-CN" w:bidi="ar"/>
                    </w:rPr>
                    <w:t>）</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5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sz w:val="21"/>
                      <w:szCs w:val="21"/>
                      <w:u w:val="none"/>
                      <w:lang w:val="en-US" w:eastAsia="zh-CN"/>
                    </w:rPr>
                    <w:t>3000</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C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69B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566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81F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1000</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1E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kern w:val="0"/>
                      <w:sz w:val="21"/>
                      <w:szCs w:val="21"/>
                      <w:u w:val="none"/>
                      <w:lang w:val="en-US" w:eastAsia="zh-CN" w:bidi="ar"/>
                    </w:rPr>
                    <w:t>11.309</w:t>
                  </w: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2E6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7E60F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12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6CC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853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052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阴离子表面活性剂</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AF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103</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D2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cs="Times New Roman"/>
                      <w:i w:val="0"/>
                      <w:iCs w:val="0"/>
                      <w:color w:val="auto"/>
                      <w:kern w:val="0"/>
                      <w:sz w:val="21"/>
                      <w:szCs w:val="21"/>
                      <w:u w:val="none"/>
                      <w:lang w:val="en-US" w:eastAsia="zh-CN" w:bidi="ar"/>
                    </w:rPr>
                    <w:t>1</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96C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478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372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103</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71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01</w:t>
                  </w: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6EB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23DF4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12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4F5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E72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4A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总余氯</w:t>
                  </w:r>
                </w:p>
              </w:tc>
              <w:tc>
                <w:tcPr>
                  <w:tcW w:w="12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6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w:t>
                  </w:r>
                  <w:r>
                    <w:rPr>
                      <w:rFonts w:hint="eastAsia" w:cs="Times New Roman"/>
                      <w:i w:val="0"/>
                      <w:iCs w:val="0"/>
                      <w:color w:val="auto"/>
                      <w:kern w:val="0"/>
                      <w:sz w:val="21"/>
                      <w:szCs w:val="21"/>
                      <w:u w:val="none"/>
                      <w:lang w:val="en-US" w:eastAsia="zh-CN" w:bidi="ar"/>
                    </w:rPr>
                    <w:t>1</w:t>
                  </w: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4D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33</w:t>
                  </w: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5E3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3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54E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5B4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w:t>
                  </w:r>
                  <w:r>
                    <w:rPr>
                      <w:rFonts w:hint="eastAsia" w:cs="Times New Roman"/>
                      <w:i w:val="0"/>
                      <w:iCs w:val="0"/>
                      <w:color w:val="auto"/>
                      <w:kern w:val="0"/>
                      <w:sz w:val="21"/>
                      <w:szCs w:val="21"/>
                      <w:u w:val="none"/>
                      <w:lang w:val="en-US" w:eastAsia="zh-CN" w:bidi="ar"/>
                    </w:rPr>
                    <w:t>1</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75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w:t>
                  </w:r>
                  <w:r>
                    <w:rPr>
                      <w:rFonts w:hint="eastAsia" w:cs="Times New Roman"/>
                      <w:i w:val="0"/>
                      <w:iCs w:val="0"/>
                      <w:color w:val="auto"/>
                      <w:kern w:val="0"/>
                      <w:sz w:val="21"/>
                      <w:szCs w:val="21"/>
                      <w:u w:val="none"/>
                      <w:lang w:val="en-US" w:eastAsia="zh-CN" w:bidi="ar"/>
                    </w:rPr>
                    <w:t>5</w:t>
                  </w:r>
                </w:p>
              </w:tc>
              <w:tc>
                <w:tcPr>
                  <w:tcW w:w="8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92C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bl>
          <w:p w14:paraId="4C885B24">
            <w:pPr>
              <w:ind w:left="0" w:leftChars="0" w:firstLine="0" w:firstLineChars="0"/>
              <w:rPr>
                <w:rFonts w:hint="eastAsia"/>
                <w:color w:val="auto"/>
                <w:vertAlign w:val="baseline"/>
              </w:rPr>
            </w:pPr>
          </w:p>
        </w:tc>
      </w:tr>
    </w:tbl>
    <w:p w14:paraId="088A635C">
      <w:pPr>
        <w:ind w:left="0" w:leftChars="0" w:firstLine="0" w:firstLineChars="0"/>
        <w:rPr>
          <w:rFonts w:hint="eastAsia"/>
          <w:color w:val="auto"/>
        </w:rPr>
        <w:sectPr>
          <w:pgSz w:w="16838" w:h="11905" w:orient="landscape"/>
          <w:pgMar w:top="1800" w:right="1440" w:bottom="1800" w:left="1440"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9"/>
        <w:tblW w:w="88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103"/>
      </w:tblGrid>
      <w:tr w14:paraId="2BF8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74" w:hRule="atLeast"/>
          <w:jc w:val="center"/>
        </w:trPr>
        <w:tc>
          <w:tcPr>
            <w:tcW w:w="718" w:type="dxa"/>
            <w:vAlign w:val="center"/>
          </w:tcPr>
          <w:p w14:paraId="07530E0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vertAlign w:val="baseline"/>
              </w:rPr>
            </w:pPr>
            <w:r>
              <w:rPr>
                <w:rFonts w:hint="default" w:ascii="Times New Roman" w:hAnsi="Times New Roman" w:eastAsia="宋体" w:cs="Times New Roman"/>
                <w:b/>
                <w:bCs/>
                <w:color w:val="auto"/>
                <w:spacing w:val="0"/>
                <w:w w:val="100"/>
                <w:position w:val="0"/>
                <w:sz w:val="24"/>
                <w:szCs w:val="24"/>
              </w:rPr>
              <w:t>运营期环境影响和保护措施</w:t>
            </w:r>
          </w:p>
        </w:tc>
        <w:tc>
          <w:tcPr>
            <w:tcW w:w="8103" w:type="dxa"/>
          </w:tcPr>
          <w:p w14:paraId="48E7284F">
            <w:pPr>
              <w:pStyle w:val="51"/>
              <w:spacing w:line="360" w:lineRule="auto"/>
              <w:ind w:firstLine="480" w:firstLineChars="200"/>
              <w:jc w:val="both"/>
              <w:outlineLvl w:val="9"/>
              <w:rPr>
                <w:rFonts w:hint="default" w:eastAsia="宋体"/>
                <w:b w:val="0"/>
                <w:bCs/>
                <w:color w:val="auto"/>
                <w:sz w:val="24"/>
                <w:szCs w:val="24"/>
                <w:lang w:val="en-US" w:eastAsia="zh-CN"/>
              </w:rPr>
            </w:pPr>
            <w:r>
              <w:rPr>
                <w:rFonts w:hint="eastAsia" w:ascii="Times New Roman" w:hAnsi="Times New Roman" w:cs="Times New Roman"/>
                <w:b w:val="0"/>
                <w:bCs/>
                <w:color w:val="auto"/>
                <w:sz w:val="24"/>
                <w:szCs w:val="24"/>
              </w:rPr>
              <w:t>根据上表4-</w:t>
            </w:r>
            <w:r>
              <w:rPr>
                <w:rFonts w:hint="eastAsia" w:cs="Times New Roman"/>
                <w:b w:val="0"/>
                <w:bCs/>
                <w:color w:val="auto"/>
                <w:sz w:val="24"/>
                <w:szCs w:val="24"/>
                <w:lang w:val="en-US" w:eastAsia="zh-CN"/>
              </w:rPr>
              <w:t>5</w:t>
            </w:r>
            <w:r>
              <w:rPr>
                <w:rFonts w:hint="eastAsia" w:ascii="Times New Roman" w:hAnsi="Times New Roman" w:cs="Times New Roman"/>
                <w:b w:val="0"/>
                <w:bCs/>
                <w:color w:val="auto"/>
                <w:sz w:val="24"/>
                <w:szCs w:val="24"/>
                <w:lang w:val="en-US" w:eastAsia="zh-CN"/>
              </w:rPr>
              <w:t>可知</w:t>
            </w:r>
            <w:r>
              <w:rPr>
                <w:rFonts w:hint="eastAsia" w:ascii="Times New Roman" w:hAnsi="Times New Roman" w:cs="Times New Roman"/>
                <w:b w:val="0"/>
                <w:bCs/>
                <w:color w:val="auto"/>
                <w:sz w:val="24"/>
                <w:szCs w:val="24"/>
              </w:rPr>
              <w:t>，</w:t>
            </w:r>
            <w:r>
              <w:rPr>
                <w:rFonts w:hint="eastAsia" w:cs="Times New Roman"/>
                <w:b w:val="0"/>
                <w:bCs/>
                <w:color w:val="auto"/>
                <w:sz w:val="24"/>
                <w:szCs w:val="24"/>
                <w:lang w:val="en-US" w:eastAsia="zh-CN"/>
              </w:rPr>
              <w:t>食堂废水和</w:t>
            </w:r>
            <w:r>
              <w:rPr>
                <w:rFonts w:hint="eastAsia" w:ascii="Times New Roman" w:hAnsi="Times New Roman" w:cs="Times New Roman"/>
                <w:b w:val="0"/>
                <w:bCs/>
                <w:color w:val="auto"/>
                <w:sz w:val="24"/>
                <w:szCs w:val="24"/>
                <w:lang w:eastAsia="zh-CN"/>
              </w:rPr>
              <w:t>医疗废水</w:t>
            </w:r>
            <w:r>
              <w:rPr>
                <w:rFonts w:hint="eastAsia" w:ascii="Times New Roman" w:hAnsi="Times New Roman" w:cs="Times New Roman"/>
                <w:b w:val="0"/>
                <w:bCs/>
                <w:color w:val="auto"/>
                <w:sz w:val="24"/>
                <w:szCs w:val="24"/>
                <w:lang w:val="en-US" w:eastAsia="zh-CN"/>
              </w:rPr>
              <w:t>经</w:t>
            </w:r>
            <w:r>
              <w:rPr>
                <w:rFonts w:hint="eastAsia" w:cs="Times New Roman"/>
                <w:b w:val="0"/>
                <w:bCs/>
                <w:color w:val="auto"/>
                <w:sz w:val="24"/>
                <w:szCs w:val="24"/>
                <w:lang w:val="en-US" w:eastAsia="zh-CN"/>
              </w:rPr>
              <w:t>院区污水处理站</w:t>
            </w:r>
            <w:r>
              <w:rPr>
                <w:rFonts w:hint="eastAsia" w:ascii="Times New Roman" w:hAnsi="Times New Roman" w:cs="Times New Roman"/>
                <w:b w:val="0"/>
                <w:bCs/>
                <w:color w:val="auto"/>
                <w:sz w:val="24"/>
                <w:szCs w:val="24"/>
              </w:rPr>
              <w:t>处理后能满足</w:t>
            </w:r>
            <w:r>
              <w:rPr>
                <w:rFonts w:hint="eastAsia" w:ascii="Times New Roman" w:hAnsi="Times New Roman" w:eastAsia="宋体" w:cs="Times New Roman"/>
                <w:b w:val="0"/>
                <w:bCs w:val="0"/>
                <w:color w:val="auto"/>
                <w:sz w:val="24"/>
                <w:szCs w:val="32"/>
                <w:highlight w:val="none"/>
                <w:lang w:eastAsia="zh-CN"/>
              </w:rPr>
              <w:t>泗县</w:t>
            </w:r>
            <w:r>
              <w:rPr>
                <w:rFonts w:hint="default" w:ascii="Times New Roman" w:hAnsi="Times New Roman" w:eastAsia="宋体" w:cs="Times New Roman"/>
                <w:b w:val="0"/>
                <w:bCs w:val="0"/>
                <w:color w:val="auto"/>
                <w:sz w:val="24"/>
                <w:szCs w:val="32"/>
                <w:highlight w:val="none"/>
                <w:lang w:eastAsia="zh-CN"/>
              </w:rPr>
              <w:t>污水处理厂接管标准及《医疗机构水污染物排放标准》(GB18466-2005</w:t>
            </w:r>
            <w:r>
              <w:rPr>
                <w:rFonts w:hint="eastAsia" w:cs="Times New Roman"/>
                <w:b w:val="0"/>
                <w:bCs w:val="0"/>
                <w:color w:val="auto"/>
                <w:sz w:val="24"/>
                <w:szCs w:val="32"/>
                <w:highlight w:val="none"/>
                <w:lang w:eastAsia="zh-CN"/>
              </w:rPr>
              <w:t>）</w:t>
            </w:r>
            <w:r>
              <w:rPr>
                <w:rFonts w:hint="eastAsia" w:ascii="Times New Roman" w:hAnsi="Times New Roman" w:eastAsia="宋体" w:cs="Times New Roman"/>
                <w:b w:val="0"/>
                <w:bCs w:val="0"/>
                <w:color w:val="auto"/>
                <w:sz w:val="24"/>
                <w:szCs w:val="32"/>
                <w:highlight w:val="none"/>
                <w:lang w:eastAsia="zh-CN"/>
              </w:rPr>
              <w:t>表</w:t>
            </w:r>
            <w:r>
              <w:rPr>
                <w:rFonts w:hint="eastAsia" w:ascii="Times New Roman" w:hAnsi="Times New Roman" w:eastAsia="宋体" w:cs="Times New Roman"/>
                <w:b w:val="0"/>
                <w:bCs w:val="0"/>
                <w:color w:val="auto"/>
                <w:sz w:val="24"/>
                <w:szCs w:val="32"/>
                <w:highlight w:val="none"/>
                <w:lang w:val="en-US" w:eastAsia="zh-CN"/>
              </w:rPr>
              <w:t>2</w:t>
            </w:r>
            <w:r>
              <w:rPr>
                <w:rFonts w:hint="default" w:ascii="Times New Roman" w:hAnsi="Times New Roman" w:eastAsia="宋体" w:cs="Times New Roman"/>
                <w:b w:val="0"/>
                <w:bCs w:val="0"/>
                <w:color w:val="auto"/>
                <w:sz w:val="24"/>
                <w:szCs w:val="32"/>
                <w:highlight w:val="none"/>
                <w:lang w:eastAsia="zh-CN"/>
              </w:rPr>
              <w:t>中</w:t>
            </w:r>
            <w:r>
              <w:rPr>
                <w:rFonts w:hint="eastAsia"/>
                <w:b w:val="0"/>
                <w:bCs/>
                <w:color w:val="auto"/>
              </w:rPr>
              <w:t>综合医疗机构和其他医疗机构水污染物排放标准限值</w:t>
            </w:r>
            <w:r>
              <w:rPr>
                <w:rFonts w:hint="eastAsia" w:ascii="Times New Roman" w:hAnsi="Times New Roman" w:cs="Times New Roman"/>
                <w:b w:val="0"/>
                <w:bCs/>
                <w:color w:val="auto"/>
                <w:sz w:val="24"/>
                <w:szCs w:val="24"/>
              </w:rPr>
              <w:t>，污水处理厂尾水排放执行《城镇污水处理厂污染物排放标准》（GB18918-2002）一级A标准</w:t>
            </w:r>
            <w:r>
              <w:rPr>
                <w:rFonts w:hint="eastAsia" w:ascii="Times New Roman" w:hAnsi="Times New Roman" w:cs="Times New Roman"/>
                <w:b w:val="0"/>
                <w:bCs/>
                <w:color w:val="auto"/>
                <w:sz w:val="24"/>
                <w:szCs w:val="24"/>
                <w:lang w:eastAsia="zh-CN"/>
              </w:rPr>
              <w:t>。</w:t>
            </w:r>
          </w:p>
          <w:p w14:paraId="0B5E6B58">
            <w:pPr>
              <w:pStyle w:val="6"/>
              <w:ind w:firstLine="480" w:firstLineChars="200"/>
              <w:rPr>
                <w:rFonts w:hint="eastAsia" w:ascii="Times New Roman" w:hAnsi="Times New Roman" w:cs="Times New Roman"/>
                <w:b w:val="0"/>
                <w:bCs/>
                <w:color w:val="auto"/>
                <w:sz w:val="24"/>
                <w:szCs w:val="24"/>
              </w:rPr>
            </w:pPr>
            <w:r>
              <w:rPr>
                <w:rFonts w:hint="eastAsia" w:ascii="Times New Roman" w:hAnsi="Times New Roman" w:cs="Times New Roman"/>
                <w:b w:val="0"/>
                <w:bCs/>
                <w:color w:val="auto"/>
                <w:sz w:val="24"/>
                <w:szCs w:val="24"/>
              </w:rPr>
              <w:t>因此，项目废水中各污染物能达标排放，对受纳水体影响较小。</w:t>
            </w:r>
          </w:p>
          <w:p w14:paraId="2C1E578C">
            <w:pPr>
              <w:bidi w:val="0"/>
              <w:rPr>
                <w:rFonts w:hint="default" w:ascii="Times New Roman" w:hAnsi="Times New Roman" w:eastAsia="宋体" w:cs="Times New Roman"/>
                <w:b w:val="0"/>
                <w:bCs w:val="0"/>
                <w:color w:val="auto"/>
                <w:spacing w:val="0"/>
                <w:w w:val="100"/>
                <w:position w:val="0"/>
                <w:sz w:val="24"/>
                <w:szCs w:val="24"/>
                <w:lang w:val="en-US" w:eastAsia="zh-CN"/>
              </w:rPr>
            </w:pPr>
            <w:r>
              <w:rPr>
                <w:rFonts w:hint="default" w:ascii="Times New Roman" w:hAnsi="Times New Roman" w:eastAsia="宋体" w:cs="Times New Roman"/>
                <w:b w:val="0"/>
                <w:bCs w:val="0"/>
                <w:color w:val="auto"/>
                <w:spacing w:val="0"/>
                <w:w w:val="100"/>
                <w:position w:val="0"/>
                <w:sz w:val="24"/>
                <w:szCs w:val="24"/>
                <w:lang w:val="en-US" w:eastAsia="zh-CN"/>
              </w:rPr>
              <w:t>（</w:t>
            </w:r>
            <w:r>
              <w:rPr>
                <w:rFonts w:hint="eastAsia" w:ascii="Times New Roman" w:hAnsi="Times New Roman" w:eastAsia="宋体" w:cs="Times New Roman"/>
                <w:b w:val="0"/>
                <w:bCs w:val="0"/>
                <w:color w:val="auto"/>
                <w:spacing w:val="0"/>
                <w:w w:val="100"/>
                <w:position w:val="0"/>
                <w:sz w:val="24"/>
                <w:szCs w:val="24"/>
                <w:lang w:val="en-US" w:eastAsia="zh-CN"/>
              </w:rPr>
              <w:t>2</w:t>
            </w:r>
            <w:r>
              <w:rPr>
                <w:rFonts w:hint="default" w:ascii="Times New Roman" w:hAnsi="Times New Roman" w:eastAsia="宋体" w:cs="Times New Roman"/>
                <w:b w:val="0"/>
                <w:bCs w:val="0"/>
                <w:color w:val="auto"/>
                <w:spacing w:val="0"/>
                <w:w w:val="100"/>
                <w:position w:val="0"/>
                <w:sz w:val="24"/>
                <w:szCs w:val="24"/>
                <w:lang w:val="en-US" w:eastAsia="zh-CN"/>
              </w:rPr>
              <w:t>）废水污染防治措施可行性分析</w:t>
            </w:r>
          </w:p>
          <w:p w14:paraId="2C507703">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eastAsia" w:ascii="Times New Roman" w:hAnsi="Times New Roman" w:eastAsia="宋体" w:cs="Times New Roman"/>
                <w:color w:val="auto"/>
                <w:spacing w:val="0"/>
                <w:w w:val="100"/>
                <w:position w:val="0"/>
                <w:sz w:val="24"/>
                <w:szCs w:val="24"/>
                <w:lang w:eastAsia="zh-CN"/>
              </w:rPr>
            </w:pPr>
            <w:r>
              <w:rPr>
                <w:rFonts w:hint="eastAsia" w:cs="宋体"/>
                <w:color w:val="auto"/>
                <w:spacing w:val="0"/>
                <w:w w:val="100"/>
                <w:position w:val="0"/>
                <w:sz w:val="24"/>
                <w:szCs w:val="24"/>
                <w:lang w:val="en-US" w:eastAsia="zh-CN"/>
              </w:rPr>
              <w:t>1）</w:t>
            </w:r>
            <w:r>
              <w:rPr>
                <w:rFonts w:hint="eastAsia" w:ascii="Times New Roman" w:hAnsi="Times New Roman" w:eastAsia="宋体" w:cs="Times New Roman"/>
                <w:color w:val="auto"/>
                <w:spacing w:val="0"/>
                <w:w w:val="100"/>
                <w:position w:val="0"/>
                <w:sz w:val="24"/>
                <w:szCs w:val="24"/>
                <w:lang w:eastAsia="zh-CN"/>
              </w:rPr>
              <w:t>污水处理措施</w:t>
            </w:r>
          </w:p>
          <w:p w14:paraId="4AF6763A">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lang w:val="en-US"/>
              </w:rPr>
            </w:pPr>
            <w:r>
              <w:rPr>
                <w:rFonts w:hint="eastAsia" w:ascii="Times New Roman" w:hAnsi="Times New Roman" w:eastAsia="宋体" w:cs="Times New Roman"/>
                <w:color w:val="auto"/>
                <w:spacing w:val="0"/>
                <w:w w:val="100"/>
                <w:position w:val="0"/>
                <w:sz w:val="24"/>
                <w:szCs w:val="24"/>
                <w:lang w:val="en-US" w:eastAsia="zh-CN"/>
              </w:rPr>
              <w:t>根据《医疗机构污水处理工程技术标准》（</w:t>
            </w:r>
            <w:r>
              <w:rPr>
                <w:rFonts w:hint="default" w:ascii="Times New Roman" w:hAnsi="Times New Roman" w:eastAsia="宋体" w:cs="Times New Roman"/>
                <w:color w:val="auto"/>
                <w:spacing w:val="0"/>
                <w:w w:val="100"/>
                <w:position w:val="0"/>
                <w:sz w:val="24"/>
                <w:szCs w:val="24"/>
                <w:lang w:val="en-US" w:eastAsia="zh-CN"/>
              </w:rPr>
              <w:t>GB51459-2024</w:t>
            </w:r>
            <w:r>
              <w:rPr>
                <w:rFonts w:hint="eastAsia" w:ascii="Times New Roman" w:hAnsi="Times New Roman" w:eastAsia="宋体" w:cs="Times New Roman"/>
                <w:color w:val="auto"/>
                <w:spacing w:val="0"/>
                <w:w w:val="100"/>
                <w:position w:val="0"/>
                <w:sz w:val="24"/>
                <w:szCs w:val="24"/>
                <w:lang w:val="en-US" w:eastAsia="zh-CN"/>
              </w:rPr>
              <w:t>）：“当非传染病医疗机构污水处理出水排入城镇污水管网，且管网终端建有正常运行的二级污水处理厂时，可采用一级强化处理工艺”。</w:t>
            </w:r>
            <w:r>
              <w:rPr>
                <w:rFonts w:hint="eastAsia" w:ascii="Times New Roman" w:hAnsi="Times New Roman" w:cs="Times New Roman"/>
                <w:color w:val="auto"/>
                <w:spacing w:val="0"/>
                <w:w w:val="100"/>
                <w:position w:val="0"/>
                <w:sz w:val="24"/>
                <w:szCs w:val="24"/>
                <w:lang w:val="en-US" w:eastAsia="zh-CN"/>
              </w:rPr>
              <w:t>本项目属于非传染医疗机构，本项目污水处理站依托于原泗县新城中西医结合医院的“一体化生化处理设备”，即采用“格栅+化粪池+调节池+缺氧/好氧/沉淀池+二氧化氯消毒”工艺，优于一级强化处理工艺。污水处理站为地埋式，废水经处理达标后排入泗县污水处理厂集中处理。</w:t>
            </w:r>
          </w:p>
          <w:p w14:paraId="58A01498">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污水处理工艺流程见图4-1。</w:t>
            </w:r>
          </w:p>
          <w:p w14:paraId="4CE8CC2F">
            <w:pPr>
              <w:pStyle w:val="141"/>
              <w:keepNext w:val="0"/>
              <w:keepLines w:val="0"/>
              <w:pageBreakBefore w:val="0"/>
              <w:kinsoku/>
              <w:wordWrap/>
              <w:overflowPunct/>
              <w:topLinePunct w:val="0"/>
              <w:autoSpaceDE/>
              <w:autoSpaceDN/>
              <w:bidi w:val="0"/>
              <w:spacing w:line="360" w:lineRule="auto"/>
              <w:ind w:left="0" w:leftChars="0" w:right="0" w:firstLine="0" w:firstLineChars="0"/>
              <w:jc w:val="both"/>
              <w:textAlignment w:val="auto"/>
              <w:rPr>
                <w:rFonts w:hint="eastAsia" w:ascii="Times New Roman" w:hAnsi="Times New Roman" w:eastAsia="宋体" w:cs="Times New Roman"/>
                <w:color w:val="auto"/>
                <w:spacing w:val="0"/>
                <w:w w:val="100"/>
                <w:position w:val="0"/>
                <w:sz w:val="24"/>
                <w:szCs w:val="24"/>
                <w:lang w:eastAsia="zh-CN"/>
              </w:rPr>
            </w:pPr>
            <w:r>
              <w:rPr>
                <w:rFonts w:hint="eastAsia" w:ascii="Times New Roman" w:hAnsi="Times New Roman" w:eastAsia="宋体" w:cs="Times New Roman"/>
                <w:color w:val="auto"/>
                <w:spacing w:val="0"/>
                <w:w w:val="100"/>
                <w:position w:val="0"/>
                <w:sz w:val="24"/>
                <w:szCs w:val="24"/>
                <w:lang w:eastAsia="zh-CN"/>
              </w:rPr>
              <w:drawing>
                <wp:inline distT="0" distB="0" distL="114300" distR="114300">
                  <wp:extent cx="4996180" cy="1736090"/>
                  <wp:effectExtent l="0" t="0" r="13970" b="16510"/>
                  <wp:docPr id="11" name="F360BE8B-6686-4F3D-AEAF-501FE73E4058-3" descr="C:/Users/Administrator/AppData/Local/Temp/绘图1(59).png绘图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60BE8B-6686-4F3D-AEAF-501FE73E4058-3" descr="C:/Users/Administrator/AppData/Local/Temp/绘图1(59).png绘图1(59)"/>
                          <pic:cNvPicPr>
                            <a:picLocks noChangeAspect="1"/>
                          </pic:cNvPicPr>
                        </pic:nvPicPr>
                        <pic:blipFill>
                          <a:blip r:embed="rId16"/>
                          <a:stretch>
                            <a:fillRect/>
                          </a:stretch>
                        </pic:blipFill>
                        <pic:spPr>
                          <a:xfrm>
                            <a:off x="0" y="0"/>
                            <a:ext cx="4996180" cy="1736090"/>
                          </a:xfrm>
                          <a:prstGeom prst="rect">
                            <a:avLst/>
                          </a:prstGeom>
                        </pic:spPr>
                      </pic:pic>
                    </a:graphicData>
                  </a:graphic>
                </wp:inline>
              </w:drawing>
            </w:r>
          </w:p>
          <w:p w14:paraId="4388D8BB">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图4-1 污水处理工艺流程图</w:t>
            </w:r>
          </w:p>
          <w:p w14:paraId="735B7F4F">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Times New Roman" w:hAnsi="Times New Roman" w:cs="Times New Roman"/>
                <w:color w:val="auto"/>
                <w:spacing w:val="0"/>
                <w:w w:val="100"/>
                <w:position w:val="0"/>
                <w:sz w:val="24"/>
                <w:szCs w:val="24"/>
                <w:lang w:val="en-US" w:eastAsia="zh-CN"/>
              </w:rPr>
              <w:t>2）</w:t>
            </w:r>
            <w:r>
              <w:rPr>
                <w:rFonts w:hint="eastAsia" w:ascii="Times New Roman" w:hAnsi="Times New Roman" w:eastAsia="宋体" w:cs="Times New Roman"/>
                <w:color w:val="auto"/>
                <w:spacing w:val="0"/>
                <w:w w:val="100"/>
                <w:position w:val="0"/>
                <w:sz w:val="24"/>
                <w:szCs w:val="24"/>
                <w:lang w:eastAsia="zh-CN"/>
              </w:rPr>
              <w:t>污染防治</w:t>
            </w:r>
            <w:r>
              <w:rPr>
                <w:rFonts w:hint="default" w:ascii="Times New Roman" w:hAnsi="Times New Roman" w:eastAsia="宋体" w:cs="Times New Roman"/>
                <w:color w:val="auto"/>
                <w:spacing w:val="0"/>
                <w:w w:val="100"/>
                <w:position w:val="0"/>
                <w:sz w:val="24"/>
                <w:szCs w:val="24"/>
              </w:rPr>
              <w:t>措施可行性分析</w:t>
            </w:r>
          </w:p>
          <w:p w14:paraId="0030985B">
            <w:pPr>
              <w:keepNext w:val="0"/>
              <w:keepLines w:val="0"/>
              <w:suppressLineNumbers w:val="0"/>
              <w:tabs>
                <w:tab w:val="left" w:pos="851"/>
                <w:tab w:val="left" w:pos="6477"/>
              </w:tabs>
              <w:spacing w:before="0" w:beforeAutospacing="0" w:after="0" w:afterAutospacing="0" w:line="360" w:lineRule="auto"/>
              <w:ind w:left="0" w:right="0" w:firstLine="480" w:firstLineChars="200"/>
              <w:contextualSpacing/>
              <w:rPr>
                <w:rFonts w:hint="eastAsia" w:ascii="Times New Roman" w:hAnsi="Times New Roman" w:eastAsia="宋体" w:cs="Times New Roman"/>
                <w:color w:val="auto"/>
                <w:sz w:val="24"/>
                <w:szCs w:val="24"/>
                <w:lang w:eastAsia="zh-CN"/>
              </w:rPr>
            </w:pPr>
            <w:r>
              <w:rPr>
                <w:rFonts w:hint="eastAsia" w:ascii="宋体" w:hAnsi="宋体" w:eastAsia="宋体" w:cs="宋体"/>
                <w:color w:val="auto"/>
                <w:sz w:val="24"/>
                <w:szCs w:val="24"/>
              </w:rPr>
              <w:t>①</w:t>
            </w:r>
            <w:r>
              <w:rPr>
                <w:rFonts w:hint="eastAsia" w:ascii="Times New Roman" w:hAnsi="Times New Roman" w:cs="Times New Roman"/>
                <w:color w:val="auto"/>
                <w:sz w:val="24"/>
                <w:szCs w:val="24"/>
                <w:lang w:eastAsia="zh-CN"/>
              </w:rPr>
              <w:t>与《</w:t>
            </w:r>
            <w:r>
              <w:rPr>
                <w:rFonts w:hint="default" w:ascii="Times New Roman" w:hAnsi="Times New Roman" w:cs="Times New Roman"/>
                <w:color w:val="auto"/>
                <w:sz w:val="24"/>
                <w:szCs w:val="24"/>
              </w:rPr>
              <w:t>医院</w:t>
            </w:r>
            <w:r>
              <w:rPr>
                <w:rFonts w:hint="eastAsia" w:ascii="Times New Roman" w:hAnsi="Times New Roman" w:cs="Times New Roman"/>
                <w:color w:val="auto"/>
                <w:sz w:val="24"/>
                <w:szCs w:val="24"/>
                <w:lang w:eastAsia="zh-CN"/>
              </w:rPr>
              <w:t>污水处理工程技术规范》相符性</w:t>
            </w:r>
          </w:p>
          <w:p w14:paraId="137E6334">
            <w:pPr>
              <w:bidi w:val="0"/>
              <w:spacing w:line="240" w:lineRule="auto"/>
              <w:jc w:val="center"/>
              <w:rPr>
                <w:rFonts w:hint="eastAsia"/>
                <w:b/>
                <w:bCs/>
                <w:sz w:val="21"/>
                <w:szCs w:val="21"/>
                <w:lang w:val="en-US" w:eastAsia="zh-CN"/>
              </w:rPr>
            </w:pPr>
            <w:r>
              <w:rPr>
                <w:rFonts w:hint="default"/>
                <w:b/>
                <w:bCs/>
                <w:sz w:val="21"/>
                <w:szCs w:val="21"/>
                <w:lang w:val="en-US" w:eastAsia="zh-CN"/>
              </w:rPr>
              <w:t>表4-</w:t>
            </w:r>
            <w:r>
              <w:rPr>
                <w:rFonts w:hint="eastAsia"/>
                <w:b/>
                <w:bCs/>
                <w:sz w:val="21"/>
                <w:szCs w:val="21"/>
                <w:lang w:val="en-US" w:eastAsia="zh-CN"/>
              </w:rPr>
              <w:t>6  与《</w:t>
            </w:r>
            <w:r>
              <w:rPr>
                <w:rFonts w:hint="default"/>
                <w:b/>
                <w:bCs/>
                <w:sz w:val="21"/>
                <w:szCs w:val="21"/>
                <w:lang w:val="en-US" w:eastAsia="zh-CN"/>
              </w:rPr>
              <w:t>医院</w:t>
            </w:r>
            <w:r>
              <w:rPr>
                <w:rFonts w:hint="eastAsia"/>
                <w:b/>
                <w:bCs/>
                <w:sz w:val="21"/>
                <w:szCs w:val="21"/>
                <w:lang w:val="en-US" w:eastAsia="zh-CN"/>
              </w:rPr>
              <w:t>污水处理工程技术规范》相符性分析</w:t>
            </w:r>
          </w:p>
          <w:tbl>
            <w:tblPr>
              <w:tblStyle w:val="29"/>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3685"/>
              <w:gridCol w:w="2732"/>
              <w:gridCol w:w="826"/>
            </w:tblGrid>
            <w:tr w14:paraId="6324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5" w:type="dxa"/>
                  <w:vAlign w:val="center"/>
                </w:tcPr>
                <w:p w14:paraId="5A92445D">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3685" w:type="dxa"/>
                  <w:vAlign w:val="center"/>
                </w:tcPr>
                <w:p w14:paraId="5A5EC7C2">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要求</w:t>
                  </w:r>
                </w:p>
              </w:tc>
              <w:tc>
                <w:tcPr>
                  <w:tcW w:w="2732" w:type="dxa"/>
                  <w:vAlign w:val="center"/>
                </w:tcPr>
                <w:p w14:paraId="1C08A57B">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本项目情况</w:t>
                  </w:r>
                </w:p>
              </w:tc>
              <w:tc>
                <w:tcPr>
                  <w:tcW w:w="826" w:type="dxa"/>
                  <w:vAlign w:val="center"/>
                </w:tcPr>
                <w:p w14:paraId="03B6A4DB">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相符性</w:t>
                  </w:r>
                </w:p>
              </w:tc>
            </w:tr>
            <w:tr w14:paraId="6820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5" w:type="dxa"/>
                  <w:vAlign w:val="center"/>
                </w:tcPr>
                <w:p w14:paraId="380BC561">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3685" w:type="dxa"/>
                  <w:vAlign w:val="center"/>
                </w:tcPr>
                <w:p w14:paraId="0B4FCA0D">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污水处理工程的建设规模，应考虑医院发展统筹规划，近、远期结合，</w:t>
                  </w:r>
                  <w:r>
                    <w:rPr>
                      <w:rFonts w:hint="eastAsia" w:ascii="Times New Roman" w:hAnsi="Times New Roman" w:cs="Times New Roman"/>
                      <w:color w:val="auto"/>
                      <w:sz w:val="21"/>
                      <w:szCs w:val="21"/>
                      <w:vertAlign w:val="baseline"/>
                      <w:lang w:val="en-US" w:eastAsia="zh-CN"/>
                    </w:rPr>
                    <w:t>以</w:t>
                  </w:r>
                  <w:r>
                    <w:rPr>
                      <w:rFonts w:hint="default" w:ascii="Times New Roman" w:hAnsi="Times New Roman" w:cs="Times New Roman"/>
                      <w:color w:val="auto"/>
                      <w:sz w:val="21"/>
                      <w:szCs w:val="21"/>
                      <w:vertAlign w:val="baseline"/>
                      <w:lang w:val="en-US" w:eastAsia="zh-CN"/>
                    </w:rPr>
                    <w:t>近期为主。</w:t>
                  </w:r>
                  <w:r>
                    <w:rPr>
                      <w:rFonts w:hint="default" w:ascii="Times New Roman" w:hAnsi="Times New Roman" w:cs="Times New Roman"/>
                      <w:color w:val="auto"/>
                      <w:sz w:val="21"/>
                      <w:szCs w:val="21"/>
                    </w:rPr>
                    <w:t>医院污水处理工程设计水量应在实测或测算的基础上留有设计裕量，设计裕量宜取实测值或测算值的10%~20%</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vertAlign w:val="baseline"/>
                      <w:lang w:val="en-US" w:eastAsia="zh-CN"/>
                    </w:rPr>
                    <w:t>污水处理工程排水宜采用重力流排放，必要时可设排水泵站。</w:t>
                  </w:r>
                </w:p>
              </w:tc>
              <w:tc>
                <w:tcPr>
                  <w:tcW w:w="2732" w:type="dxa"/>
                  <w:vAlign w:val="center"/>
                </w:tcPr>
                <w:p w14:paraId="13FA5C5E">
                  <w:pPr>
                    <w:bidi w:val="0"/>
                    <w:spacing w:line="240" w:lineRule="auto"/>
                    <w:ind w:left="0" w:leftChars="0" w:firstLine="0" w:firstLineChars="0"/>
                    <w:jc w:val="center"/>
                    <w:rPr>
                      <w:rFonts w:hint="default" w:ascii="Times New Roman" w:hAnsi="Times New Roman" w:eastAsia="宋体" w:cs="Times New Roman"/>
                      <w:color w:val="auto"/>
                      <w:szCs w:val="21"/>
                      <w:vertAlign w:val="baseline"/>
                      <w:lang w:val="en-US" w:eastAsia="zh-CN"/>
                    </w:rPr>
                  </w:pPr>
                  <w:r>
                    <w:rPr>
                      <w:rFonts w:hint="default" w:ascii="Times New Roman" w:hAnsi="Times New Roman" w:cs="Times New Roman"/>
                      <w:sz w:val="21"/>
                      <w:szCs w:val="21"/>
                    </w:rPr>
                    <w:t>根据工程分析，项目</w:t>
                  </w:r>
                  <w:r>
                    <w:rPr>
                      <w:rFonts w:hint="default" w:ascii="Times New Roman" w:hAnsi="Times New Roman" w:cs="Times New Roman"/>
                      <w:sz w:val="21"/>
                      <w:szCs w:val="21"/>
                      <w:lang w:eastAsia="zh-CN"/>
                    </w:rPr>
                    <w:t>医疗废水日排放量为</w:t>
                  </w:r>
                  <w:r>
                    <w:rPr>
                      <w:rFonts w:hint="default" w:ascii="Times New Roman" w:hAnsi="Times New Roman" w:cs="Times New Roman"/>
                      <w:sz w:val="21"/>
                      <w:szCs w:val="21"/>
                      <w:lang w:val="en-US" w:eastAsia="zh-CN"/>
                    </w:rPr>
                    <w:t>30.984</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r>
                    <w:rPr>
                      <w:rFonts w:hint="default" w:ascii="Times New Roman" w:hAnsi="Times New Roman" w:cs="Times New Roman"/>
                      <w:sz w:val="21"/>
                      <w:szCs w:val="21"/>
                      <w:lang w:eastAsia="zh-CN"/>
                    </w:rPr>
                    <w:t>，则</w:t>
                  </w:r>
                  <w:r>
                    <w:rPr>
                      <w:rFonts w:hint="default" w:ascii="Times New Roman" w:hAnsi="Times New Roman" w:cs="Times New Roman"/>
                      <w:sz w:val="21"/>
                      <w:szCs w:val="21"/>
                    </w:rPr>
                    <w:t>污水处理设施的处理规模</w:t>
                  </w:r>
                  <w:r>
                    <w:rPr>
                      <w:rFonts w:hint="default" w:ascii="Times New Roman" w:hAnsi="Times New Roman" w:cs="Times New Roman"/>
                      <w:sz w:val="21"/>
                      <w:szCs w:val="21"/>
                      <w:lang w:eastAsia="zh-CN"/>
                    </w:rPr>
                    <w:t>宜</w:t>
                  </w:r>
                  <w:r>
                    <w:rPr>
                      <w:rFonts w:hint="default" w:ascii="Times New Roman" w:hAnsi="Times New Roman" w:cs="Times New Roman"/>
                      <w:sz w:val="21"/>
                      <w:szCs w:val="21"/>
                      <w:lang w:val="en-US" w:eastAsia="zh-CN"/>
                    </w:rPr>
                    <w:t>为34.082</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r>
                    <w:rPr>
                      <w:rFonts w:hint="default" w:ascii="Times New Roman" w:hAnsi="Times New Roman" w:cs="Times New Roman"/>
                      <w:sz w:val="21"/>
                      <w:szCs w:val="21"/>
                      <w:lang w:val="en-US" w:eastAsia="zh-CN"/>
                    </w:rPr>
                    <w:t>~37.181</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r>
                    <w:rPr>
                      <w:rFonts w:hint="default" w:ascii="Times New Roman" w:hAnsi="Times New Roman" w:cs="Times New Roman"/>
                      <w:sz w:val="21"/>
                      <w:szCs w:val="21"/>
                      <w:lang w:eastAsia="zh-CN"/>
                    </w:rPr>
                    <w:t>，</w:t>
                  </w:r>
                  <w:r>
                    <w:rPr>
                      <w:rFonts w:hint="default" w:ascii="Times New Roman" w:hAnsi="Times New Roman" w:cs="Times New Roman"/>
                      <w:sz w:val="21"/>
                      <w:szCs w:val="21"/>
                    </w:rPr>
                    <w:t>本项目</w:t>
                  </w:r>
                  <w:r>
                    <w:rPr>
                      <w:rFonts w:hint="default" w:ascii="Times New Roman" w:hAnsi="Times New Roman" w:cs="Times New Roman"/>
                      <w:sz w:val="21"/>
                      <w:szCs w:val="21"/>
                      <w:lang w:eastAsia="zh-CN"/>
                    </w:rPr>
                    <w:t>利用原</w:t>
                  </w:r>
                  <w:r>
                    <w:rPr>
                      <w:rFonts w:hint="default" w:ascii="Times New Roman" w:hAnsi="Times New Roman" w:cs="Times New Roman"/>
                      <w:sz w:val="21"/>
                      <w:szCs w:val="21"/>
                    </w:rPr>
                    <w:t>泗县新城中西医结合医院污水处理设施</w:t>
                  </w:r>
                  <w:r>
                    <w:rPr>
                      <w:rFonts w:hint="default" w:ascii="Times New Roman" w:hAnsi="Times New Roman" w:cs="Times New Roman"/>
                      <w:sz w:val="21"/>
                      <w:szCs w:val="21"/>
                      <w:lang w:eastAsia="zh-CN"/>
                    </w:rPr>
                    <w:t>，</w:t>
                  </w:r>
                  <w:r>
                    <w:rPr>
                      <w:rFonts w:hint="default" w:ascii="Times New Roman" w:hAnsi="Times New Roman" w:cs="Times New Roman"/>
                      <w:sz w:val="21"/>
                      <w:szCs w:val="21"/>
                    </w:rPr>
                    <w:t>处理规模为</w:t>
                  </w:r>
                  <w:r>
                    <w:rPr>
                      <w:rFonts w:hint="default" w:ascii="Times New Roman" w:hAnsi="Times New Roman" w:cs="Times New Roman"/>
                      <w:sz w:val="21"/>
                      <w:szCs w:val="21"/>
                      <w:lang w:val="en-US" w:eastAsia="zh-CN"/>
                    </w:rPr>
                    <w:t>90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/d</w:t>
                  </w:r>
                  <w:r>
                    <w:rPr>
                      <w:rFonts w:hint="default" w:ascii="Times New Roman" w:hAnsi="Times New Roman" w:cs="Times New Roman"/>
                      <w:sz w:val="21"/>
                      <w:szCs w:val="21"/>
                      <w:lang w:eastAsia="zh-CN"/>
                    </w:rPr>
                    <w:t>，可以满足</w:t>
                  </w:r>
                  <w:r>
                    <w:rPr>
                      <w:rFonts w:hint="default" w:ascii="Times New Roman" w:hAnsi="Times New Roman" w:cs="Times New Roman"/>
                      <w:sz w:val="21"/>
                      <w:szCs w:val="21"/>
                      <w:lang w:val="en-US" w:eastAsia="zh-CN"/>
                    </w:rPr>
                    <w:t>本项目</w:t>
                  </w:r>
                  <w:r>
                    <w:rPr>
                      <w:rFonts w:hint="default" w:ascii="Times New Roman" w:hAnsi="Times New Roman" w:cs="Times New Roman"/>
                      <w:sz w:val="21"/>
                      <w:szCs w:val="21"/>
                      <w:lang w:eastAsia="zh-CN"/>
                    </w:rPr>
                    <w:t>医疗废水处理要求，且排水方式为</w:t>
                  </w:r>
                  <w:r>
                    <w:rPr>
                      <w:rFonts w:hint="default" w:ascii="Times New Roman" w:hAnsi="Times New Roman" w:cs="Times New Roman"/>
                      <w:sz w:val="21"/>
                      <w:szCs w:val="21"/>
                      <w:lang w:val="en-US" w:eastAsia="zh-CN"/>
                    </w:rPr>
                    <w:t>重力流排放。</w:t>
                  </w:r>
                </w:p>
              </w:tc>
              <w:tc>
                <w:tcPr>
                  <w:tcW w:w="826" w:type="dxa"/>
                  <w:vAlign w:val="center"/>
                </w:tcPr>
                <w:p w14:paraId="4F894B6C">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2D25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5" w:type="dxa"/>
                  <w:vAlign w:val="center"/>
                </w:tcPr>
                <w:p w14:paraId="317F125E">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3685" w:type="dxa"/>
                  <w:vAlign w:val="center"/>
                </w:tcPr>
                <w:p w14:paraId="1096B40D">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污水处理构筑物应采取防腐防渗防冻等技术措施；各种构筑物宜加盖密封，并设通气装置。</w:t>
                  </w:r>
                </w:p>
              </w:tc>
              <w:tc>
                <w:tcPr>
                  <w:tcW w:w="2732" w:type="dxa"/>
                  <w:vAlign w:val="center"/>
                </w:tcPr>
                <w:p w14:paraId="1BC6820B">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污水站构筑物已采取防腐防渗防冻措施；污水站为地</w:t>
                  </w:r>
                  <w:r>
                    <w:rPr>
                      <w:rFonts w:hint="eastAsia" w:ascii="Times New Roman" w:hAnsi="Times New Roman" w:cs="Times New Roman"/>
                      <w:color w:val="auto"/>
                      <w:sz w:val="21"/>
                      <w:szCs w:val="21"/>
                      <w:vertAlign w:val="baseline"/>
                      <w:lang w:val="en-US" w:eastAsia="zh-CN"/>
                    </w:rPr>
                    <w:t>埋式</w:t>
                  </w:r>
                  <w:r>
                    <w:rPr>
                      <w:rFonts w:hint="default" w:ascii="Times New Roman" w:hAnsi="Times New Roman" w:cs="Times New Roman"/>
                      <w:color w:val="auto"/>
                      <w:sz w:val="21"/>
                      <w:szCs w:val="21"/>
                      <w:vertAlign w:val="baseline"/>
                      <w:lang w:val="en-US" w:eastAsia="zh-CN"/>
                    </w:rPr>
                    <w:t>结构，各构筑物已加盖密封。</w:t>
                  </w:r>
                </w:p>
              </w:tc>
              <w:tc>
                <w:tcPr>
                  <w:tcW w:w="826" w:type="dxa"/>
                  <w:vAlign w:val="center"/>
                </w:tcPr>
                <w:p w14:paraId="6FAEC389">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5CAA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5" w:type="dxa"/>
                  <w:vAlign w:val="center"/>
                </w:tcPr>
                <w:p w14:paraId="50F56D1F">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3685" w:type="dxa"/>
                  <w:vAlign w:val="center"/>
                </w:tcPr>
                <w:p w14:paraId="5B6599E0">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水处理站构筑物的位置宜设在医院主体建筑物当地夏季主导风向的下风向；污水处理工贸工程在设计中，应根据总体规划适当预留空地，以利扩建、施工、运行和维护；医院污水处理工程与病房、居民区等建筑物之间应设绿化防护带或隔离地带，以减少臭气和噪音对病人或居民的干扰。</w:t>
                  </w:r>
                </w:p>
              </w:tc>
              <w:tc>
                <w:tcPr>
                  <w:tcW w:w="2732" w:type="dxa"/>
                  <w:vAlign w:val="center"/>
                </w:tcPr>
                <w:p w14:paraId="3A6A075F">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本项目污水处理站为地埋式，</w:t>
                  </w:r>
                  <w:r>
                    <w:rPr>
                      <w:rFonts w:hint="default" w:ascii="Times New Roman" w:hAnsi="Times New Roman" w:cs="Times New Roman"/>
                      <w:color w:val="auto"/>
                      <w:sz w:val="21"/>
                      <w:szCs w:val="21"/>
                      <w:vertAlign w:val="baseline"/>
                      <w:lang w:val="en-US" w:eastAsia="zh-CN"/>
                    </w:rPr>
                    <w:t>污水处理站</w:t>
                  </w:r>
                  <w:r>
                    <w:rPr>
                      <w:rFonts w:hint="eastAsia" w:ascii="Times New Roman" w:hAnsi="Times New Roman" w:cs="Times New Roman"/>
                      <w:color w:val="auto"/>
                      <w:sz w:val="21"/>
                      <w:szCs w:val="21"/>
                      <w:vertAlign w:val="baseline"/>
                      <w:lang w:val="en-US" w:eastAsia="zh-CN"/>
                    </w:rPr>
                    <w:t>南</w:t>
                  </w:r>
                  <w:r>
                    <w:rPr>
                      <w:rFonts w:hint="default" w:ascii="Times New Roman" w:hAnsi="Times New Roman" w:cs="Times New Roman"/>
                      <w:color w:val="auto"/>
                      <w:sz w:val="21"/>
                      <w:szCs w:val="21"/>
                      <w:vertAlign w:val="baseline"/>
                      <w:lang w:val="en-US" w:eastAsia="zh-CN"/>
                    </w:rPr>
                    <w:t>侧、西侧均为空地，满足扩建、施工、运行和维护；医院污水处理工程与病房、居民区等建筑物之间有设置绿化带。</w:t>
                  </w:r>
                </w:p>
              </w:tc>
              <w:tc>
                <w:tcPr>
                  <w:tcW w:w="826" w:type="dxa"/>
                  <w:vAlign w:val="center"/>
                </w:tcPr>
                <w:p w14:paraId="4B0A7FD2">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65D7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5" w:type="dxa"/>
                  <w:vAlign w:val="center"/>
                </w:tcPr>
                <w:p w14:paraId="704B1D77">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3685" w:type="dxa"/>
                  <w:vAlign w:val="center"/>
                </w:tcPr>
                <w:p w14:paraId="005E2531">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非传染病医院废水，若出水直接或间接排入地表水体或海域时，应采用二级处理+消毒工艺或二级处理+深度处理+消毒工艺；若出水排入终端已建有正常运行的二级污水处理厂的城市污水管网时，可采用一级强化处理+消毒工艺。</w:t>
                  </w:r>
                </w:p>
              </w:tc>
              <w:tc>
                <w:tcPr>
                  <w:tcW w:w="2732" w:type="dxa"/>
                  <w:vAlign w:val="center"/>
                </w:tcPr>
                <w:p w14:paraId="189BBCD8">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w:t>
                  </w:r>
                  <w:r>
                    <w:rPr>
                      <w:rFonts w:hint="eastAsia" w:ascii="Times New Roman" w:hAnsi="Times New Roman" w:cs="Times New Roman"/>
                      <w:color w:val="auto"/>
                      <w:sz w:val="21"/>
                      <w:szCs w:val="21"/>
                      <w:vertAlign w:val="baseline"/>
                      <w:lang w:val="en-US" w:eastAsia="zh-CN"/>
                    </w:rPr>
                    <w:t>不涉及传染病</w:t>
                  </w:r>
                  <w:r>
                    <w:rPr>
                      <w:rFonts w:hint="default" w:ascii="Times New Roman" w:hAnsi="Times New Roman" w:cs="Times New Roman"/>
                      <w:color w:val="auto"/>
                      <w:sz w:val="21"/>
                      <w:szCs w:val="21"/>
                      <w:vertAlign w:val="baseline"/>
                      <w:lang w:val="en-US" w:eastAsia="zh-CN"/>
                    </w:rPr>
                    <w:t>，医疗废水经</w:t>
                  </w:r>
                  <w:r>
                    <w:rPr>
                      <w:rFonts w:hint="eastAsia" w:ascii="Times New Roman" w:hAnsi="Times New Roman" w:cs="Times New Roman"/>
                      <w:color w:val="auto"/>
                      <w:sz w:val="21"/>
                      <w:szCs w:val="21"/>
                      <w:vertAlign w:val="baseline"/>
                      <w:lang w:val="en-US" w:eastAsia="zh-CN"/>
                    </w:rPr>
                    <w:t>院区</w:t>
                  </w:r>
                  <w:r>
                    <w:rPr>
                      <w:rFonts w:hint="default" w:ascii="Times New Roman" w:hAnsi="Times New Roman" w:cs="Times New Roman"/>
                      <w:color w:val="auto"/>
                      <w:sz w:val="21"/>
                      <w:szCs w:val="21"/>
                      <w:vertAlign w:val="baseline"/>
                      <w:lang w:val="en-US" w:eastAsia="zh-CN"/>
                    </w:rPr>
                    <w:t>污水处理站处理后排入</w:t>
                  </w:r>
                  <w:r>
                    <w:rPr>
                      <w:rFonts w:hint="eastAsia" w:ascii="Times New Roman" w:hAnsi="Times New Roman" w:cs="Times New Roman"/>
                      <w:color w:val="auto"/>
                      <w:sz w:val="21"/>
                      <w:szCs w:val="21"/>
                      <w:vertAlign w:val="baseline"/>
                      <w:lang w:val="en-US" w:eastAsia="zh-CN"/>
                    </w:rPr>
                    <w:t>泗县</w:t>
                  </w:r>
                  <w:r>
                    <w:rPr>
                      <w:rFonts w:hint="default" w:ascii="Times New Roman" w:hAnsi="Times New Roman" w:cs="Times New Roman"/>
                      <w:color w:val="auto"/>
                      <w:sz w:val="21"/>
                      <w:szCs w:val="21"/>
                      <w:vertAlign w:val="baseline"/>
                      <w:lang w:val="en-US" w:eastAsia="zh-CN"/>
                    </w:rPr>
                    <w:t>污水处理厂处理，</w:t>
                  </w:r>
                  <w:r>
                    <w:rPr>
                      <w:rFonts w:hint="eastAsia" w:ascii="Times New Roman" w:hAnsi="Times New Roman" w:cs="Times New Roman"/>
                      <w:color w:val="auto"/>
                      <w:sz w:val="21"/>
                      <w:szCs w:val="21"/>
                      <w:lang w:eastAsia="zh-CN"/>
                    </w:rPr>
                    <w:t>院区</w:t>
                  </w:r>
                  <w:r>
                    <w:rPr>
                      <w:rFonts w:hint="default" w:ascii="Times New Roman" w:hAnsi="Times New Roman" w:cs="Times New Roman"/>
                      <w:color w:val="auto"/>
                      <w:sz w:val="21"/>
                      <w:szCs w:val="21"/>
                      <w:lang w:eastAsia="zh-CN"/>
                    </w:rPr>
                    <w:t>污水处理站的处理工艺为</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pacing w:val="0"/>
                      <w:w w:val="100"/>
                      <w:position w:val="0"/>
                      <w:sz w:val="21"/>
                      <w:szCs w:val="21"/>
                      <w:lang w:val="en-US" w:eastAsia="zh-CN"/>
                    </w:rPr>
                    <w:t>一体化生化污水处理设备+二氧化氯消毒</w:t>
                  </w:r>
                  <w:r>
                    <w:rPr>
                      <w:rFonts w:hint="eastAsia"/>
                      <w:lang w:eastAsia="zh-CN"/>
                    </w:rPr>
                    <w:t>”</w:t>
                  </w:r>
                  <w:r>
                    <w:rPr>
                      <w:rFonts w:hint="default" w:ascii="Times New Roman" w:hAnsi="Times New Roman" w:cs="Times New Roman"/>
                      <w:color w:val="auto"/>
                      <w:sz w:val="21"/>
                      <w:szCs w:val="21"/>
                      <w:lang w:eastAsia="zh-CN"/>
                    </w:rPr>
                    <w:t>。</w:t>
                  </w:r>
                </w:p>
              </w:tc>
              <w:tc>
                <w:tcPr>
                  <w:tcW w:w="826" w:type="dxa"/>
                  <w:vAlign w:val="center"/>
                </w:tcPr>
                <w:p w14:paraId="344CD5F1">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w:t>
                  </w:r>
                </w:p>
              </w:tc>
            </w:tr>
            <w:tr w14:paraId="4E61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5" w:type="dxa"/>
                  <w:vAlign w:val="center"/>
                </w:tcPr>
                <w:p w14:paraId="7429608D">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3685" w:type="dxa"/>
                  <w:vAlign w:val="center"/>
                </w:tcPr>
                <w:p w14:paraId="7D74923D">
                  <w:pPr>
                    <w:pStyle w:val="9"/>
                    <w:keepNext w:val="0"/>
                    <w:keepLines w:val="0"/>
                    <w:pageBreakBefore w:val="0"/>
                    <w:widowControl w:val="0"/>
                    <w:suppressLineNumbers w:val="0"/>
                    <w:kinsoku/>
                    <w:wordWrap/>
                    <w:overflowPunct/>
                    <w:topLinePunct w:val="0"/>
                    <w:bidi w:val="0"/>
                    <w:snapToGrid/>
                    <w:spacing w:beforeAutospacing="0" w:after="0" w:afterLines="0" w:afterAutospacing="0" w:line="240" w:lineRule="auto"/>
                    <w:ind w:left="0" w:leftChars="0" w:right="0" w:firstLine="0" w:firstLineChars="0"/>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特殊性质废水应分类收集，足量后单独预处理，再排入医院污水处理系统。预处理方法分别为：（1）</w:t>
                  </w:r>
                  <w:r>
                    <w:rPr>
                      <w:rFonts w:hint="default" w:ascii="Times New Roman" w:hAnsi="Times New Roman" w:eastAsia="宋体" w:cs="Times New Roman"/>
                      <w:color w:val="auto"/>
                      <w:kern w:val="0"/>
                      <w:sz w:val="21"/>
                      <w:szCs w:val="21"/>
                    </w:rPr>
                    <w:t>酸性废液：医院检验或制作化学清洗剂</w:t>
                  </w:r>
                  <w:r>
                    <w:rPr>
                      <w:rFonts w:hint="eastAsia" w:ascii="Times New Roman" w:hAnsi="Times New Roman" w:cs="Times New Roman"/>
                      <w:color w:val="auto"/>
                      <w:kern w:val="0"/>
                      <w:sz w:val="21"/>
                      <w:szCs w:val="21"/>
                      <w:lang w:eastAsia="zh-CN"/>
                    </w:rPr>
                    <w:t>时</w:t>
                  </w:r>
                  <w:r>
                    <w:rPr>
                      <w:rFonts w:hint="default" w:ascii="Times New Roman" w:hAnsi="Times New Roman" w:eastAsia="宋体" w:cs="Times New Roman"/>
                      <w:color w:val="auto"/>
                      <w:kern w:val="0"/>
                      <w:sz w:val="21"/>
                      <w:szCs w:val="21"/>
                    </w:rPr>
                    <w:t>使用硝酸、盐酸、过氯酸、三氯乙酸等</w:t>
                  </w:r>
                  <w:r>
                    <w:rPr>
                      <w:rFonts w:hint="default" w:ascii="Times New Roman" w:hAnsi="Times New Roman" w:eastAsia="宋体" w:cs="Times New Roman"/>
                      <w:color w:val="auto"/>
                      <w:kern w:val="0"/>
                      <w:sz w:val="21"/>
                      <w:szCs w:val="21"/>
                      <w:lang w:eastAsia="zh-CN"/>
                    </w:rPr>
                    <w:t>酸性物质而产生的废水</w:t>
                  </w:r>
                  <w:r>
                    <w:rPr>
                      <w:rFonts w:hint="default" w:ascii="Times New Roman" w:hAnsi="Times New Roman" w:eastAsia="宋体" w:cs="Times New Roman"/>
                      <w:color w:val="auto"/>
                      <w:kern w:val="0"/>
                      <w:sz w:val="21"/>
                      <w:szCs w:val="21"/>
                    </w:rPr>
                    <w:t>。</w:t>
                  </w:r>
                  <w:r>
                    <w:rPr>
                      <w:rFonts w:hint="default" w:ascii="Times New Roman" w:hAnsi="Times New Roman" w:cs="Times New Roman"/>
                      <w:color w:val="auto"/>
                      <w:sz w:val="21"/>
                      <w:szCs w:val="21"/>
                      <w:lang w:eastAsia="zh-CN"/>
                    </w:rPr>
                    <w:t>宜采取中合法。中和剂可选用氢氧化钠、石灰等，中和至</w:t>
                  </w:r>
                  <w:r>
                    <w:rPr>
                      <w:rFonts w:hint="default" w:ascii="Times New Roman" w:hAnsi="Times New Roman" w:cs="Times New Roman"/>
                      <w:color w:val="auto"/>
                      <w:sz w:val="21"/>
                      <w:szCs w:val="21"/>
                      <w:lang w:val="en-US" w:eastAsia="zh-CN"/>
                    </w:rPr>
                    <w:t>pH值7-8后排入医院污水处理系统。（2）</w:t>
                  </w:r>
                  <w:r>
                    <w:rPr>
                      <w:rFonts w:hint="default" w:ascii="Times New Roman" w:hAnsi="Times New Roman" w:eastAsia="宋体" w:cs="Times New Roman"/>
                      <w:color w:val="auto"/>
                      <w:kern w:val="0"/>
                      <w:sz w:val="21"/>
                      <w:szCs w:val="21"/>
                    </w:rPr>
                    <w:t>含氰废液：在血液、血清、细菌和化学检查分析</w:t>
                  </w:r>
                  <w:r>
                    <w:rPr>
                      <w:rFonts w:hint="default" w:ascii="Times New Roman" w:hAnsi="Times New Roman" w:eastAsia="宋体" w:cs="Times New Roman"/>
                      <w:color w:val="auto"/>
                      <w:kern w:val="0"/>
                      <w:sz w:val="21"/>
                      <w:szCs w:val="21"/>
                      <w:lang w:eastAsia="zh-CN"/>
                    </w:rPr>
                    <w:t>时</w:t>
                  </w:r>
                  <w:r>
                    <w:rPr>
                      <w:rFonts w:hint="default" w:ascii="Times New Roman" w:hAnsi="Times New Roman" w:eastAsia="宋体" w:cs="Times New Roman"/>
                      <w:color w:val="auto"/>
                      <w:kern w:val="0"/>
                      <w:sz w:val="21"/>
                      <w:szCs w:val="21"/>
                    </w:rPr>
                    <w:t>使用氰化钾、氰化钠、铁氰化钾等含氰化合物</w:t>
                  </w:r>
                  <w:r>
                    <w:rPr>
                      <w:rFonts w:hint="default" w:ascii="Times New Roman" w:hAnsi="Times New Roman" w:eastAsia="宋体" w:cs="Times New Roman"/>
                      <w:color w:val="auto"/>
                      <w:kern w:val="0"/>
                      <w:sz w:val="21"/>
                      <w:szCs w:val="21"/>
                      <w:lang w:eastAsia="zh-CN"/>
                    </w:rPr>
                    <w:t>而</w:t>
                  </w:r>
                  <w:r>
                    <w:rPr>
                      <w:rFonts w:hint="default" w:ascii="Times New Roman" w:hAnsi="Times New Roman" w:eastAsia="宋体" w:cs="Times New Roman"/>
                      <w:color w:val="auto"/>
                      <w:kern w:val="0"/>
                      <w:sz w:val="21"/>
                      <w:szCs w:val="21"/>
                    </w:rPr>
                    <w:t>产生</w:t>
                  </w:r>
                  <w:r>
                    <w:rPr>
                      <w:rFonts w:hint="default" w:ascii="Times New Roman" w:hAnsi="Times New Roman" w:eastAsia="宋体" w:cs="Times New Roman"/>
                      <w:color w:val="auto"/>
                      <w:kern w:val="0"/>
                      <w:sz w:val="21"/>
                      <w:szCs w:val="21"/>
                      <w:lang w:eastAsia="zh-CN"/>
                    </w:rPr>
                    <w:t>的</w:t>
                  </w:r>
                  <w:r>
                    <w:rPr>
                      <w:rFonts w:hint="default" w:ascii="Times New Roman" w:hAnsi="Times New Roman" w:eastAsia="宋体" w:cs="Times New Roman"/>
                      <w:color w:val="auto"/>
                      <w:kern w:val="0"/>
                      <w:sz w:val="21"/>
                      <w:szCs w:val="21"/>
                    </w:rPr>
                    <w:t>废水。</w:t>
                  </w:r>
                  <w:r>
                    <w:rPr>
                      <w:rFonts w:hint="default" w:ascii="Times New Roman" w:hAnsi="Times New Roman" w:cs="Times New Roman"/>
                      <w:color w:val="auto"/>
                      <w:sz w:val="21"/>
                      <w:szCs w:val="21"/>
                      <w:lang w:eastAsia="zh-CN"/>
                    </w:rPr>
                    <w:t>宜采用碱式氯化法。含</w:t>
                  </w:r>
                  <w:r>
                    <w:rPr>
                      <w:rFonts w:hint="default" w:ascii="Times New Roman" w:hAnsi="Times New Roman" w:eastAsia="宋体" w:cs="Times New Roman"/>
                      <w:color w:val="auto"/>
                      <w:kern w:val="0"/>
                      <w:sz w:val="21"/>
                      <w:szCs w:val="21"/>
                    </w:rPr>
                    <w:t>氰</w:t>
                  </w:r>
                  <w:r>
                    <w:rPr>
                      <w:rFonts w:hint="default" w:ascii="Times New Roman" w:hAnsi="Times New Roman" w:cs="Times New Roman"/>
                      <w:color w:val="auto"/>
                      <w:sz w:val="21"/>
                      <w:szCs w:val="21"/>
                      <w:lang w:eastAsia="zh-CN"/>
                    </w:rPr>
                    <w:t>废水处理槽有效容积应能容纳不小于半年的污水量。（</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kern w:val="0"/>
                      <w:sz w:val="21"/>
                      <w:szCs w:val="21"/>
                    </w:rPr>
                    <w:t>含汞废液：</w:t>
                  </w:r>
                  <w:r>
                    <w:rPr>
                      <w:rFonts w:hint="default" w:ascii="Times New Roman" w:hAnsi="Times New Roman" w:eastAsia="宋体" w:cs="Times New Roman"/>
                      <w:color w:val="auto"/>
                      <w:kern w:val="0"/>
                      <w:sz w:val="21"/>
                      <w:szCs w:val="21"/>
                      <w:lang w:eastAsia="zh-CN"/>
                    </w:rPr>
                    <w:t>医院</w:t>
                  </w:r>
                  <w:r>
                    <w:rPr>
                      <w:rFonts w:hint="eastAsia" w:ascii="Times New Roman" w:hAnsi="Times New Roman" w:cs="Times New Roman"/>
                      <w:color w:val="auto"/>
                      <w:kern w:val="0"/>
                      <w:sz w:val="21"/>
                      <w:szCs w:val="21"/>
                      <w:lang w:eastAsia="zh-CN"/>
                    </w:rPr>
                    <w:t>各种</w:t>
                  </w:r>
                  <w:r>
                    <w:rPr>
                      <w:rFonts w:hint="default" w:ascii="Times New Roman" w:hAnsi="Times New Roman" w:eastAsia="宋体" w:cs="Times New Roman"/>
                      <w:color w:val="auto"/>
                      <w:kern w:val="0"/>
                      <w:sz w:val="21"/>
                      <w:szCs w:val="21"/>
                      <w:lang w:eastAsia="zh-CN"/>
                    </w:rPr>
                    <w:t>口腔门诊治疗、含汞监测仪器破损、分析检查和诊断中使用氯化高汞、硝酸高汞的过剧毒物质而产生的污水</w:t>
                  </w:r>
                  <w:r>
                    <w:rPr>
                      <w:rFonts w:hint="default" w:ascii="Times New Roman" w:hAnsi="Times New Roman" w:eastAsia="宋体" w:cs="Times New Roman"/>
                      <w:color w:val="auto"/>
                      <w:kern w:val="0"/>
                      <w:sz w:val="21"/>
                      <w:szCs w:val="21"/>
                    </w:rPr>
                    <w:t>。</w:t>
                  </w:r>
                  <w:r>
                    <w:rPr>
                      <w:rFonts w:hint="default" w:ascii="Times New Roman" w:hAnsi="Times New Roman" w:cs="Times New Roman"/>
                      <w:color w:val="auto"/>
                      <w:kern w:val="0"/>
                      <w:sz w:val="21"/>
                      <w:szCs w:val="21"/>
                      <w:lang w:eastAsia="zh-CN"/>
                    </w:rPr>
                    <w:t>宜</w:t>
                  </w:r>
                  <w:r>
                    <w:rPr>
                      <w:rFonts w:hint="default" w:ascii="Times New Roman" w:hAnsi="Times New Roman" w:eastAsia="宋体" w:cs="Times New Roman"/>
                      <w:color w:val="auto"/>
                      <w:kern w:val="0"/>
                      <w:sz w:val="21"/>
                      <w:szCs w:val="21"/>
                      <w:lang w:eastAsia="zh-CN"/>
                    </w:rPr>
                    <w:t>采用硫化钠沉淀</w:t>
                  </w:r>
                  <w:r>
                    <w:rPr>
                      <w:rFonts w:hint="default" w:ascii="Times New Roman" w:hAnsi="Times New Roman" w:eastAsia="宋体" w:cs="Times New Roman"/>
                      <w:color w:val="auto"/>
                      <w:kern w:val="0"/>
                      <w:sz w:val="21"/>
                      <w:szCs w:val="21"/>
                      <w:lang w:val="en-US" w:eastAsia="zh-CN"/>
                    </w:rPr>
                    <w:t>+活性炭吸附法。在经活性炭吸附后的出水汞浓度符合相关排放标准后方可进入医院污水处理系统。含量小于0.02mg/L。</w:t>
                  </w:r>
                  <w:r>
                    <w:rPr>
                      <w:rFonts w:hint="default" w:ascii="Times New Roman" w:hAnsi="Times New Roman"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含铬废液：医院在病理、血液检查和化验等工作中使用重铬酸钾、三氧化铬、铬酸钾</w:t>
                  </w:r>
                  <w:r>
                    <w:rPr>
                      <w:rFonts w:hint="default" w:ascii="Times New Roman" w:hAnsi="Times New Roman" w:eastAsia="宋体" w:cs="Times New Roman"/>
                      <w:color w:val="auto"/>
                      <w:kern w:val="0"/>
                      <w:sz w:val="21"/>
                      <w:szCs w:val="21"/>
                      <w:lang w:eastAsia="zh-CN"/>
                    </w:rPr>
                    <w:t>等化学品产生的污水</w:t>
                  </w:r>
                  <w:r>
                    <w:rPr>
                      <w:rFonts w:hint="default" w:ascii="Times New Roman" w:hAnsi="Times New Roman" w:eastAsia="宋体" w:cs="Times New Roman"/>
                      <w:color w:val="auto"/>
                      <w:kern w:val="0"/>
                      <w:sz w:val="21"/>
                      <w:szCs w:val="21"/>
                    </w:rPr>
                    <w:t>。</w:t>
                  </w:r>
                  <w:r>
                    <w:rPr>
                      <w:rFonts w:hint="default" w:ascii="Times New Roman" w:hAnsi="Times New Roman" w:cs="Times New Roman"/>
                      <w:color w:val="auto"/>
                      <w:kern w:val="0"/>
                      <w:sz w:val="21"/>
                      <w:szCs w:val="21"/>
                      <w:lang w:eastAsia="zh-CN"/>
                    </w:rPr>
                    <w:t>宜</w:t>
                  </w:r>
                  <w:r>
                    <w:rPr>
                      <w:rFonts w:hint="default" w:ascii="Times New Roman" w:hAnsi="Times New Roman" w:eastAsia="宋体" w:cs="Times New Roman"/>
                      <w:color w:val="auto"/>
                      <w:kern w:val="0"/>
                      <w:sz w:val="21"/>
                      <w:szCs w:val="21"/>
                      <w:lang w:eastAsia="zh-CN"/>
                    </w:rPr>
                    <w:t>采用化学还原沉淀法。处理后出水中六价铬浓度符合相关排放标准后方可</w:t>
                  </w:r>
                  <w:r>
                    <w:rPr>
                      <w:rFonts w:hint="default" w:ascii="Times New Roman" w:hAnsi="Times New Roman" w:eastAsia="宋体" w:cs="Times New Roman"/>
                      <w:color w:val="auto"/>
                      <w:kern w:val="0"/>
                      <w:sz w:val="21"/>
                      <w:szCs w:val="21"/>
                      <w:lang w:val="en-US" w:eastAsia="zh-CN"/>
                    </w:rPr>
                    <w:t>进入医院污水处理系统。含量小于0.5mg/L。</w:t>
                  </w:r>
                  <w:r>
                    <w:rPr>
                      <w:rFonts w:hint="default" w:ascii="Times New Roman" w:hAnsi="Times New Roman" w:cs="Times New Roman"/>
                      <w:color w:val="auto"/>
                      <w:kern w:val="0"/>
                      <w:sz w:val="21"/>
                      <w:szCs w:val="21"/>
                      <w:lang w:val="en-US" w:eastAsia="zh-CN"/>
                    </w:rPr>
                    <w:t>（5）洗印污水：来源于医院放射科照片胶片洗印加工产生的洗印污水和废液。洗印废水收集后应交由专业处理危险固体废物的单位处理。（6）放射性废水：来源于同位素治疗和诊断产生的放射性废水，反射性废水经衰变池处理后直接排放，不进入医院污水综合处理系统。</w:t>
                  </w:r>
                </w:p>
              </w:tc>
              <w:tc>
                <w:tcPr>
                  <w:tcW w:w="2732" w:type="dxa"/>
                  <w:vAlign w:val="center"/>
                </w:tcPr>
                <w:p w14:paraId="037B8903">
                  <w:pPr>
                    <w:pStyle w:val="35"/>
                    <w:keepNext w:val="0"/>
                    <w:keepLines w:val="0"/>
                    <w:pageBreakBefore w:val="0"/>
                    <w:widowControl w:val="0"/>
                    <w:numPr>
                      <w:ilvl w:val="0"/>
                      <w:numId w:val="0"/>
                    </w:numPr>
                    <w:suppressLineNumbers w:val="0"/>
                    <w:kinsoku/>
                    <w:wordWrap/>
                    <w:overflowPunct/>
                    <w:topLinePunct w:val="0"/>
                    <w:bidi w:val="0"/>
                    <w:snapToGrid/>
                    <w:spacing w:before="0" w:beforeLines="0" w:beforeAutospacing="0" w:after="0" w:afterLines="0" w:afterAutospacing="0" w:line="240" w:lineRule="auto"/>
                    <w:ind w:left="0" w:leftChars="0" w:right="0"/>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经建设单位核实</w:t>
                  </w:r>
                  <w:r>
                    <w:rPr>
                      <w:rFonts w:hint="default" w:ascii="Times New Roman" w:hAnsi="Times New Roman" w:cs="Times New Roman"/>
                      <w:b w:val="0"/>
                      <w:bCs w:val="0"/>
                      <w:color w:val="auto"/>
                      <w:sz w:val="21"/>
                      <w:szCs w:val="21"/>
                      <w:lang w:val="en-US" w:eastAsia="zh-CN"/>
                    </w:rPr>
                    <w:t>，本项目检验室不使用</w:t>
                  </w:r>
                  <w:r>
                    <w:rPr>
                      <w:rFonts w:hint="default" w:ascii="Times New Roman" w:hAnsi="Times New Roman" w:eastAsia="宋体" w:cs="Times New Roman"/>
                      <w:b w:val="0"/>
                      <w:bCs w:val="0"/>
                      <w:color w:val="auto"/>
                      <w:kern w:val="0"/>
                      <w:sz w:val="21"/>
                      <w:szCs w:val="21"/>
                    </w:rPr>
                    <w:t>硝酸、盐酸、过氯酸、三氯乙酸</w:t>
                  </w:r>
                  <w:r>
                    <w:rPr>
                      <w:rFonts w:hint="default" w:ascii="Times New Roman" w:hAnsi="Times New Roman" w:eastAsia="宋体" w:cs="Times New Roman"/>
                      <w:b w:val="0"/>
                      <w:bCs w:val="0"/>
                      <w:color w:val="auto"/>
                      <w:kern w:val="0"/>
                      <w:sz w:val="21"/>
                      <w:szCs w:val="21"/>
                      <w:lang w:eastAsia="zh-CN"/>
                    </w:rPr>
                    <w:t>等化学品，不产生酸性废水；</w:t>
                  </w:r>
                  <w:r>
                    <w:rPr>
                      <w:rFonts w:hint="default" w:ascii="Times New Roman" w:hAnsi="Times New Roman" w:eastAsia="宋体" w:cs="Times New Roman"/>
                      <w:b w:val="0"/>
                      <w:bCs w:val="0"/>
                      <w:color w:val="auto"/>
                      <w:kern w:val="0"/>
                      <w:sz w:val="21"/>
                      <w:szCs w:val="21"/>
                    </w:rPr>
                    <w:t>本项目检验科利用全自动生化分析仪或检验试纸进行常规生化检验，不涉及含氰废水及含铬废水</w:t>
                  </w:r>
                  <w:r>
                    <w:rPr>
                      <w:rFonts w:hint="eastAsia" w:ascii="Times New Roman" w:hAnsi="Times New Roman" w:cs="Times New Roman"/>
                      <w:b w:val="0"/>
                      <w:bCs w:val="0"/>
                      <w:color w:val="auto"/>
                      <w:sz w:val="21"/>
                      <w:szCs w:val="21"/>
                      <w:lang w:eastAsia="zh-CN"/>
                    </w:rPr>
                    <w:t>；本项目影印照片采用数码打印，无影印废水产生；</w:t>
                  </w:r>
                  <w:r>
                    <w:rPr>
                      <w:rFonts w:hint="default" w:ascii="Times New Roman" w:hAnsi="Times New Roman" w:cs="Times New Roman"/>
                      <w:b w:val="0"/>
                      <w:bCs w:val="0"/>
                      <w:color w:val="auto"/>
                      <w:sz w:val="21"/>
                      <w:szCs w:val="21"/>
                      <w:lang w:eastAsia="zh-CN"/>
                    </w:rPr>
                    <w:t>本次评价不包括放射科。</w:t>
                  </w:r>
                </w:p>
                <w:p w14:paraId="599B48B2">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p>
              </w:tc>
              <w:tc>
                <w:tcPr>
                  <w:tcW w:w="826" w:type="dxa"/>
                  <w:vAlign w:val="center"/>
                </w:tcPr>
                <w:p w14:paraId="5ED72463">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7BEF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5" w:type="dxa"/>
                  <w:vAlign w:val="center"/>
                </w:tcPr>
                <w:p w14:paraId="26AF838D">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w:t>
                  </w:r>
                </w:p>
              </w:tc>
              <w:tc>
                <w:tcPr>
                  <w:tcW w:w="3685" w:type="dxa"/>
                  <w:vAlign w:val="center"/>
                </w:tcPr>
                <w:p w14:paraId="61006946">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医院污水消毒可采用的消毒方法有液氯消毒、二氧化氯消毒、次氯酸钠消毒、臭氧消毒和紫外线消毒。</w:t>
                  </w:r>
                </w:p>
              </w:tc>
              <w:tc>
                <w:tcPr>
                  <w:tcW w:w="2732" w:type="dxa"/>
                  <w:vAlign w:val="center"/>
                </w:tcPr>
                <w:p w14:paraId="02D0FD33">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本项目污水处理站采用二氧化氯消毒。</w:t>
                  </w:r>
                </w:p>
              </w:tc>
              <w:tc>
                <w:tcPr>
                  <w:tcW w:w="826" w:type="dxa"/>
                  <w:vAlign w:val="center"/>
                </w:tcPr>
                <w:p w14:paraId="0937DC11">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r w14:paraId="21A2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5" w:type="dxa"/>
                  <w:vAlign w:val="center"/>
                </w:tcPr>
                <w:p w14:paraId="439DB782">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w:t>
                  </w:r>
                </w:p>
              </w:tc>
              <w:tc>
                <w:tcPr>
                  <w:tcW w:w="3685" w:type="dxa"/>
                  <w:vAlign w:val="center"/>
                </w:tcPr>
                <w:p w14:paraId="5B01161E">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医院污泥应按危险废物处理处置要求，由具有危险废物处理处置资质的单位进行集中处理。</w:t>
                  </w:r>
                </w:p>
              </w:tc>
              <w:tc>
                <w:tcPr>
                  <w:tcW w:w="2732" w:type="dxa"/>
                  <w:vAlign w:val="center"/>
                </w:tcPr>
                <w:p w14:paraId="430C1947">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both"/>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污水站污泥委托有资质单位处理。</w:t>
                  </w:r>
                </w:p>
              </w:tc>
              <w:tc>
                <w:tcPr>
                  <w:tcW w:w="826" w:type="dxa"/>
                  <w:vAlign w:val="center"/>
                </w:tcPr>
                <w:p w14:paraId="11F4D60F">
                  <w:pPr>
                    <w:pStyle w:val="9"/>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Lines="0" w:afterAutospacing="0" w:line="240" w:lineRule="auto"/>
                    <w:ind w:left="0" w:leftChars="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符合</w:t>
                  </w:r>
                </w:p>
              </w:tc>
            </w:tr>
          </w:tbl>
          <w:p w14:paraId="7F6C4AA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rPr>
            </w:pPr>
            <w:r>
              <w:rPr>
                <w:rFonts w:hint="eastAsia" w:ascii="宋体" w:hAnsi="宋体" w:eastAsia="宋体" w:cs="宋体"/>
                <w:color w:val="auto"/>
                <w:sz w:val="24"/>
                <w:szCs w:val="24"/>
              </w:rPr>
              <w:t>②</w:t>
            </w:r>
            <w:r>
              <w:rPr>
                <w:rFonts w:hint="default" w:ascii="Times New Roman" w:hAnsi="Times New Roman" w:cs="Times New Roman"/>
                <w:color w:val="auto"/>
                <w:sz w:val="24"/>
                <w:szCs w:val="24"/>
              </w:rPr>
              <w:t>污水处理规模合理性分析</w:t>
            </w:r>
          </w:p>
          <w:p w14:paraId="5339DDFC">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pacing w:val="0"/>
                <w:w w:val="100"/>
                <w:position w:val="0"/>
                <w:sz w:val="24"/>
                <w:szCs w:val="24"/>
                <w:lang w:val="en-US" w:eastAsia="zh-CN"/>
              </w:rPr>
            </w:pPr>
            <w:r>
              <w:rPr>
                <w:rFonts w:hint="default" w:ascii="Times New Roman" w:hAnsi="Times New Roman" w:cs="Times New Roman"/>
                <w:color w:val="auto"/>
                <w:sz w:val="24"/>
                <w:szCs w:val="24"/>
              </w:rPr>
              <w:t>根据前述工程分析，项目医疗废水</w:t>
            </w:r>
            <w:r>
              <w:rPr>
                <w:rFonts w:hint="eastAsia" w:ascii="Times New Roman" w:hAnsi="Times New Roman" w:cs="Times New Roman"/>
                <w:color w:val="auto"/>
                <w:sz w:val="24"/>
                <w:szCs w:val="24"/>
                <w:lang w:eastAsia="zh-CN"/>
              </w:rPr>
              <w:t>日排放</w:t>
            </w:r>
            <w:r>
              <w:rPr>
                <w:rFonts w:hint="default" w:ascii="Times New Roman" w:hAnsi="Times New Roman" w:cs="Times New Roman"/>
                <w:color w:val="auto"/>
                <w:sz w:val="24"/>
                <w:szCs w:val="24"/>
                <w:lang w:eastAsia="zh-CN"/>
              </w:rPr>
              <w:t>量为</w:t>
            </w:r>
            <w:r>
              <w:rPr>
                <w:rFonts w:hint="eastAsia" w:cs="Times New Roman"/>
                <w:color w:val="auto"/>
                <w:sz w:val="24"/>
                <w:szCs w:val="24"/>
                <w:lang w:val="en-US" w:eastAsia="zh-CN"/>
              </w:rPr>
              <w:t>30.984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eastAsia="宋体" w:cs="Times New Roman"/>
                <w:color w:val="auto"/>
                <w:spacing w:val="0"/>
                <w:w w:val="100"/>
                <w:position w:val="0"/>
                <w:sz w:val="24"/>
                <w:szCs w:val="24"/>
              </w:rPr>
              <w:t>根据《医院污水处理工程技术规范》（HJ2029-2013）中 4.2.4“医院污水处理工程设计水量应在实测或测算的基础上留有设计余量，设计余量宜取实测值或测算值的10%~20%</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w:t>
            </w:r>
            <w:r>
              <w:rPr>
                <w:rFonts w:hint="default" w:ascii="Times New Roman" w:hAnsi="Times New Roman" w:cs="Times New Roman"/>
                <w:color w:val="auto"/>
                <w:sz w:val="24"/>
                <w:szCs w:val="24"/>
                <w:lang w:eastAsia="zh-CN"/>
              </w:rPr>
              <w:t>则</w:t>
            </w:r>
            <w:r>
              <w:rPr>
                <w:rFonts w:hint="default" w:ascii="Times New Roman" w:hAnsi="Times New Roman" w:cs="Times New Roman"/>
                <w:color w:val="auto"/>
                <w:sz w:val="24"/>
                <w:szCs w:val="24"/>
              </w:rPr>
              <w:t>污水处理设施的处理规模</w:t>
            </w:r>
            <w:r>
              <w:rPr>
                <w:rFonts w:hint="default" w:ascii="Times New Roman" w:hAnsi="Times New Roman" w:cs="Times New Roman"/>
                <w:color w:val="auto"/>
                <w:sz w:val="24"/>
                <w:szCs w:val="24"/>
                <w:lang w:eastAsia="zh-CN"/>
              </w:rPr>
              <w:t>宜为</w:t>
            </w:r>
            <w:r>
              <w:rPr>
                <w:rFonts w:hint="eastAsia" w:cs="Times New Roman"/>
                <w:color w:val="auto"/>
                <w:sz w:val="24"/>
                <w:szCs w:val="24"/>
                <w:lang w:val="en-US" w:eastAsia="zh-CN"/>
              </w:rPr>
              <w:t>34.082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37.181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eastAsia="宋体" w:cs="Times New Roman"/>
                <w:color w:val="auto"/>
                <w:spacing w:val="0"/>
                <w:w w:val="100"/>
                <w:position w:val="0"/>
                <w:sz w:val="24"/>
                <w:szCs w:val="24"/>
              </w:rPr>
              <w:t>。</w:t>
            </w: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利用原</w:t>
            </w:r>
            <w:r>
              <w:rPr>
                <w:rFonts w:hint="default" w:ascii="Times New Roman" w:hAnsi="Times New Roman" w:cs="Times New Roman"/>
                <w:sz w:val="24"/>
                <w:szCs w:val="24"/>
              </w:rPr>
              <w:t>泗县新城中西医结合医院</w:t>
            </w:r>
            <w:r>
              <w:rPr>
                <w:rFonts w:hint="default" w:ascii="Times New Roman" w:hAnsi="Times New Roman" w:cs="Times New Roman"/>
                <w:color w:val="auto"/>
                <w:sz w:val="24"/>
                <w:szCs w:val="24"/>
              </w:rPr>
              <w:t>污水处理设施</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处理规模为</w:t>
            </w:r>
            <w:r>
              <w:rPr>
                <w:rFonts w:hint="eastAsia" w:cs="Times New Roman"/>
                <w:color w:val="auto"/>
                <w:sz w:val="24"/>
                <w:szCs w:val="24"/>
                <w:lang w:val="en-US" w:eastAsia="zh-CN"/>
              </w:rPr>
              <w:t>90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eastAsia="zh-CN"/>
              </w:rPr>
              <w:t>，可以满足</w:t>
            </w:r>
            <w:r>
              <w:rPr>
                <w:rFonts w:hint="eastAsia" w:cs="Times New Roman"/>
                <w:color w:val="auto"/>
                <w:sz w:val="24"/>
                <w:szCs w:val="24"/>
                <w:lang w:val="en-US" w:eastAsia="zh-CN"/>
              </w:rPr>
              <w:t>本项目</w:t>
            </w:r>
            <w:r>
              <w:rPr>
                <w:rFonts w:hint="default" w:ascii="Times New Roman" w:hAnsi="Times New Roman" w:cs="Times New Roman"/>
                <w:color w:val="auto"/>
                <w:sz w:val="24"/>
                <w:szCs w:val="24"/>
                <w:lang w:eastAsia="zh-CN"/>
              </w:rPr>
              <w:t>医疗废水处理要求</w:t>
            </w:r>
            <w:r>
              <w:rPr>
                <w:rFonts w:hint="default" w:ascii="Times New Roman" w:hAnsi="Times New Roman" w:cs="Times New Roman"/>
                <w:color w:val="auto"/>
                <w:sz w:val="24"/>
                <w:szCs w:val="24"/>
                <w:vertAlign w:val="baseline"/>
                <w:lang w:val="en-US" w:eastAsia="zh-CN"/>
              </w:rPr>
              <w:t>。</w:t>
            </w:r>
          </w:p>
          <w:p w14:paraId="0ED6F93C">
            <w:pPr>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rPr>
              <w:t>⑤</w:t>
            </w:r>
            <w:r>
              <w:rPr>
                <w:rFonts w:hint="default" w:ascii="Times New Roman" w:hAnsi="Times New Roman" w:cs="Times New Roman"/>
                <w:color w:val="auto"/>
                <w:sz w:val="24"/>
                <w:szCs w:val="24"/>
              </w:rPr>
              <w:t>污水处理站消毒</w:t>
            </w:r>
          </w:p>
          <w:p w14:paraId="4EDBFE72">
            <w:pPr>
              <w:rPr>
                <w:rFonts w:hint="default" w:ascii="Times New Roman" w:hAnsi="Times New Roman" w:cs="Times New Roman"/>
                <w:color w:val="auto"/>
              </w:rPr>
            </w:pPr>
            <w:r>
              <w:rPr>
                <w:rFonts w:hint="eastAsia" w:ascii="宋体" w:hAnsi="宋体" w:eastAsia="宋体" w:cs="宋体"/>
                <w:color w:val="auto"/>
                <w:kern w:val="0"/>
                <w:sz w:val="24"/>
                <w:szCs w:val="24"/>
                <w:lang w:val="en-US" w:eastAsia="zh-CN" w:bidi="ar"/>
              </w:rPr>
              <w:t>医院污水消毒是医院污水处理的重要工艺过程，其目的是杀灭污水中的各种致病菌。</w:t>
            </w:r>
            <w:r>
              <w:rPr>
                <w:rFonts w:hint="default" w:ascii="Times New Roman" w:hAnsi="Times New Roman" w:eastAsia="宋体" w:cs="Times New Roman"/>
                <w:color w:val="auto"/>
                <w:kern w:val="0"/>
                <w:sz w:val="24"/>
                <w:szCs w:val="24"/>
                <w:lang w:val="en-US" w:eastAsia="zh-CN" w:bidi="ar"/>
              </w:rPr>
              <w:t>医院污水消毒剂按照《医院污水处理技术指南》（环发（2003）197 号）、《医院污水处理工程技术规范》（HJ2029-2013）</w:t>
            </w:r>
            <w:r>
              <w:rPr>
                <w:rFonts w:hint="eastAsia" w:ascii="宋体" w:hAnsi="宋体" w:eastAsia="宋体" w:cs="宋体"/>
                <w:color w:val="auto"/>
                <w:kern w:val="0"/>
                <w:sz w:val="24"/>
                <w:szCs w:val="24"/>
                <w:lang w:val="en-US" w:eastAsia="zh-CN" w:bidi="ar"/>
              </w:rPr>
              <w:t>等相关规定，污水消毒常用的有氯消毒（如氯气、次氯酸钠、二氧化氯、漂白粉等），氧化剂消毒（如臭氧等），辐射消毒（如紫外线）。</w:t>
            </w:r>
            <w:r>
              <w:rPr>
                <w:rFonts w:hint="default" w:ascii="Times New Roman" w:hAnsi="Times New Roman" w:cs="Times New Roman"/>
                <w:color w:val="auto"/>
                <w:sz w:val="24"/>
                <w:szCs w:val="24"/>
              </w:rPr>
              <w:t>各种方法简介见表</w:t>
            </w:r>
            <w:r>
              <w:rPr>
                <w:rFonts w:hint="eastAsia" w:ascii="Times New Roman" w:hAnsi="Times New Roman" w:cs="Times New Roman"/>
                <w:color w:val="auto"/>
                <w:sz w:val="24"/>
                <w:szCs w:val="24"/>
                <w:lang w:val="en-US" w:eastAsia="zh-CN"/>
              </w:rPr>
              <w:t>4-</w:t>
            </w:r>
            <w:r>
              <w:rPr>
                <w:rFonts w:hint="eastAsia" w:cs="Times New Roman"/>
                <w:color w:val="auto"/>
                <w:sz w:val="24"/>
                <w:szCs w:val="24"/>
                <w:lang w:val="en-US" w:eastAsia="zh-CN"/>
              </w:rPr>
              <w:t>7</w:t>
            </w:r>
            <w:r>
              <w:rPr>
                <w:rFonts w:hint="default" w:ascii="Times New Roman" w:hAnsi="Times New Roman" w:cs="Times New Roman"/>
                <w:color w:val="auto"/>
                <w:sz w:val="24"/>
                <w:szCs w:val="24"/>
              </w:rPr>
              <w:t>：</w:t>
            </w:r>
          </w:p>
          <w:p w14:paraId="58554D16">
            <w:pPr>
              <w:numPr>
                <w:ilvl w:val="0"/>
                <w:numId w:val="0"/>
              </w:numPr>
              <w:bidi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 xml:space="preserve">7  </w:t>
            </w:r>
            <w:r>
              <w:rPr>
                <w:rFonts w:hint="default" w:ascii="Times New Roman" w:hAnsi="Times New Roman" w:eastAsia="宋体" w:cs="Times New Roman"/>
                <w:b/>
                <w:bCs/>
                <w:sz w:val="21"/>
                <w:szCs w:val="21"/>
                <w:lang w:eastAsia="zh-CN"/>
              </w:rPr>
              <w:t>各种常用消毒方法一览表</w:t>
            </w:r>
          </w:p>
          <w:tbl>
            <w:tblPr>
              <w:tblStyle w:val="28"/>
              <w:tblW w:w="7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849"/>
              <w:gridCol w:w="6379"/>
            </w:tblGrid>
            <w:tr w14:paraId="313A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31" w:type="dxa"/>
                  <w:vAlign w:val="center"/>
                </w:tcPr>
                <w:p w14:paraId="587EC27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49" w:type="dxa"/>
                  <w:tcMar>
                    <w:left w:w="0" w:type="dxa"/>
                    <w:right w:w="0" w:type="dxa"/>
                  </w:tcMar>
                  <w:vAlign w:val="center"/>
                </w:tcPr>
                <w:p w14:paraId="2B3460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消毒方法</w:t>
                  </w:r>
                </w:p>
              </w:tc>
              <w:tc>
                <w:tcPr>
                  <w:tcW w:w="6379" w:type="dxa"/>
                  <w:tcMar>
                    <w:left w:w="57" w:type="dxa"/>
                    <w:right w:w="57" w:type="dxa"/>
                  </w:tcMar>
                  <w:vAlign w:val="center"/>
                </w:tcPr>
                <w:p w14:paraId="0621EFE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方法简介</w:t>
                  </w:r>
                </w:p>
              </w:tc>
            </w:tr>
            <w:tr w14:paraId="5A93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631" w:type="dxa"/>
                  <w:vAlign w:val="center"/>
                </w:tcPr>
                <w:p w14:paraId="55CCD31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849" w:type="dxa"/>
                  <w:vAlign w:val="center"/>
                </w:tcPr>
                <w:p w14:paraId="4DA768A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bscript"/>
                    </w:rPr>
                    <w:t>2</w:t>
                  </w:r>
                </w:p>
              </w:tc>
              <w:tc>
                <w:tcPr>
                  <w:tcW w:w="6379" w:type="dxa"/>
                  <w:tcMar>
                    <w:left w:w="57" w:type="dxa"/>
                    <w:right w:w="57" w:type="dxa"/>
                  </w:tcMar>
                  <w:vAlign w:val="center"/>
                </w:tcPr>
                <w:p w14:paraId="430496A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氯是一种强氧化剂和广谱杀菌剂，既能杀菌又能降解有机物，且价格低廉，但液氯法对水质、水温、菌种及接触时间均有影响，必须定比投加，投量不足不能保证消毒效果，过多又会造成二次污染，且在安全方面，液氯存在较大危险性，储存、运输极不方便，故液氯法在医院污水处理中已较少采用。</w:t>
                  </w:r>
                </w:p>
              </w:tc>
            </w:tr>
            <w:tr w14:paraId="2EFE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631" w:type="dxa"/>
                  <w:vAlign w:val="center"/>
                </w:tcPr>
                <w:p w14:paraId="4C0DE3E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849" w:type="dxa"/>
                  <w:vAlign w:val="center"/>
                </w:tcPr>
                <w:p w14:paraId="14B1778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NaClO</w:t>
                  </w:r>
                </w:p>
              </w:tc>
              <w:tc>
                <w:tcPr>
                  <w:tcW w:w="6379" w:type="dxa"/>
                  <w:tcMar>
                    <w:left w:w="57" w:type="dxa"/>
                    <w:right w:w="57" w:type="dxa"/>
                  </w:tcMar>
                  <w:vAlign w:val="center"/>
                </w:tcPr>
                <w:p w14:paraId="036C855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次氯酸钠消毒是利用商品次氯酸钠溶液或现场制备的次氯酸钠溶液作为消毒剂，利用其溶解后产生的次氯酸对水中的病原菌具有良好的杀灭效果，对污水进行消毒。</w:t>
                  </w:r>
                </w:p>
                <w:p w14:paraId="3FC7897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次氯酸钠是很小的中性分子，它能扩散到带负电荷的细菌表面，并穿透至细菌内部，从而氧化和破坏细菌的酶系统。次氯酸钠法消毒效果可满足医院污水的排放要求，处理过程无臭无味，且国产次氯酸钠发生器性能目前较为稳定可靠。缺点是电耗、盐耗较大，设备体积大，安装复杂，劳动强度较大。但如果有条件能就近购得现成的次氯酸钠溶液，则可降低投资和运行成本。</w:t>
                  </w:r>
                </w:p>
              </w:tc>
            </w:tr>
            <w:tr w14:paraId="2657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jc w:val="center"/>
              </w:trPr>
              <w:tc>
                <w:tcPr>
                  <w:tcW w:w="631" w:type="dxa"/>
                  <w:vAlign w:val="center"/>
                </w:tcPr>
                <w:p w14:paraId="184A067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849" w:type="dxa"/>
                  <w:vAlign w:val="center"/>
                </w:tcPr>
                <w:p w14:paraId="689994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ClO</w:t>
                  </w:r>
                  <w:r>
                    <w:rPr>
                      <w:rFonts w:hint="default" w:ascii="Times New Roman" w:hAnsi="Times New Roman" w:cs="Times New Roman"/>
                      <w:color w:val="auto"/>
                      <w:sz w:val="21"/>
                      <w:szCs w:val="21"/>
                      <w:vertAlign w:val="subscript"/>
                    </w:rPr>
                    <w:t>2</w:t>
                  </w:r>
                </w:p>
              </w:tc>
              <w:tc>
                <w:tcPr>
                  <w:tcW w:w="6379" w:type="dxa"/>
                  <w:tcMar>
                    <w:left w:w="57" w:type="dxa"/>
                    <w:right w:w="57" w:type="dxa"/>
                  </w:tcMar>
                  <w:vAlign w:val="center"/>
                </w:tcPr>
                <w:p w14:paraId="547AB43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氯具有高效氧化剂、消毒剂以及漂白剂的功能。作为强化氧化剂，它所氧化的产物中无有机氯化物；作为消毒剂，它具有广谱性的消毒效果。二氧化氯杀菌力极强，一般为自由氯的215倍，是次氯酸钠的3～5倍，是国际上公认的含氯消毒中唯一的高效消毒剂，且能降低水中的色、浊度，去臭杀藻，而不产生氯代有机物，甚至能降解水中微量致癌有机物，现正逐步取代液氯法、次氯酸钠法。但二氧化氯不能储存，须现用现制，且要严格控制余氯，使之不超过0.5mg/L。每公斤二氧化氯混合气体一般可处理医院污水20～30t。</w:t>
                  </w:r>
                </w:p>
              </w:tc>
            </w:tr>
            <w:tr w14:paraId="37A2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5" w:hRule="atLeast"/>
                <w:jc w:val="center"/>
              </w:trPr>
              <w:tc>
                <w:tcPr>
                  <w:tcW w:w="631" w:type="dxa"/>
                  <w:vAlign w:val="center"/>
                </w:tcPr>
                <w:p w14:paraId="7E8E85B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849" w:type="dxa"/>
                  <w:vAlign w:val="center"/>
                </w:tcPr>
                <w:p w14:paraId="53CEA86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6379" w:type="dxa"/>
                  <w:tcMar>
                    <w:left w:w="57" w:type="dxa"/>
                    <w:right w:w="57" w:type="dxa"/>
                  </w:tcMar>
                  <w:vAlign w:val="center"/>
                </w:tcPr>
                <w:p w14:paraId="1F5588C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臭氧</w:t>
                  </w:r>
                  <w:r>
                    <w:rPr>
                      <w:rFonts w:hint="eastAsia" w:cs="Times New Roman"/>
                      <w:color w:val="auto"/>
                      <w:sz w:val="21"/>
                      <w:szCs w:val="21"/>
                      <w:lang w:eastAsia="zh-CN"/>
                    </w:rPr>
                    <w:t>（</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r>
                    <w:rPr>
                      <w:rFonts w:hint="eastAsia" w:cs="Times New Roman"/>
                      <w:color w:val="auto"/>
                      <w:sz w:val="21"/>
                      <w:szCs w:val="21"/>
                      <w:vertAlign w:val="subscript"/>
                      <w:lang w:eastAsia="zh-CN"/>
                    </w:rPr>
                    <w:t>）</w:t>
                  </w:r>
                  <w:r>
                    <w:rPr>
                      <w:rFonts w:hint="default" w:ascii="Times New Roman" w:hAnsi="Times New Roman" w:cs="Times New Roman"/>
                      <w:color w:val="auto"/>
                      <w:sz w:val="21"/>
                      <w:szCs w:val="21"/>
                    </w:rPr>
                    <w:t>是仅次于氟的强氧化剂，在水中极不稳定，很快分解，反应式：O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 xml:space="preserve"> + [O] + 268kJ</w:t>
                  </w:r>
                </w:p>
                <w:p w14:paraId="24CED9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解产物单原子[O]有很强的氧化性，能分解氧化细菌的酶系统，可以与细菌、病毒直接作用，导致其丧失生长繁殖能力。臭氧杀灭细菌速度比氯快600～3000倍，不产生有毒的副产品，并能有效地清除水的色、臭味、Fe、Mn及有机物污染，还能氧化杀虫剂。臭氧法在欧美等发达国家日益受到青睐。但臭氧法产生的尾气及管道的臭氧泄漏均会对空气造成二次污染，虽然臭氧尾气经尾气塔内的霍加拉特吸附剂吸附，但实践证明其吸附效果并不理想。另外，臭氧在水中易挥发，无持续消毒能力。臭氧法的基建、运行费用均是次氯酸钠法的数倍，且国产的臭氧发生器成套设备质量目前不太过关，维修量大。</w:t>
                  </w:r>
                </w:p>
              </w:tc>
            </w:tr>
            <w:tr w14:paraId="77AF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jc w:val="center"/>
              </w:trPr>
              <w:tc>
                <w:tcPr>
                  <w:tcW w:w="631" w:type="dxa"/>
                  <w:vAlign w:val="center"/>
                </w:tcPr>
                <w:p w14:paraId="7CA2B01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849" w:type="dxa"/>
                  <w:vAlign w:val="center"/>
                </w:tcPr>
                <w:p w14:paraId="4850690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紫外线</w:t>
                  </w:r>
                </w:p>
              </w:tc>
              <w:tc>
                <w:tcPr>
                  <w:tcW w:w="6379" w:type="dxa"/>
                  <w:tcMar>
                    <w:left w:w="57" w:type="dxa"/>
                    <w:right w:w="57" w:type="dxa"/>
                  </w:tcMar>
                  <w:vAlign w:val="center"/>
                </w:tcPr>
                <w:p w14:paraId="13AE36B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毒使用的紫外线是C波紫外线，其波长范围是200～275nm，杀菌作用最强的波段是250～270nm。紫外线消毒技术是利用特殊设计的高功率、高强度和长寿命的C波段紫外光发生装置产生的强紫外光照射流水，使水中的各种细菌、病毒、寄生虫、水藻以及其他病原体受到一定剂量的紫外C光辐射后，其细胞组织中的DNA结构受到破坏而失去活性，从而杀灭水中的细菌、病毒以及其它致病体，达到消毒杀菌和净化的目的。紫外线杀菌速度快，效果好，不产生任何二次污染，属于国际上新一代的消毒技术。但要求水中悬浮物浓度较低，以保证良好的透光性，出水悬浮物浓度小于10mg/L的污水处理系统可采用紫外消毒方式。</w:t>
                  </w:r>
                </w:p>
              </w:tc>
            </w:tr>
          </w:tbl>
          <w:p w14:paraId="4B775C6E">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360" w:lineRule="auto"/>
              <w:ind w:left="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各种常用消毒方法的比较见表</w:t>
            </w:r>
            <w:r>
              <w:rPr>
                <w:rFonts w:hint="eastAsia" w:ascii="Times New Roman" w:hAnsi="Times New Roman" w:cs="Times New Roman"/>
                <w:color w:val="auto"/>
                <w:sz w:val="24"/>
                <w:szCs w:val="24"/>
                <w:lang w:val="en-US" w:eastAsia="zh-CN"/>
              </w:rPr>
              <w:t>4-</w:t>
            </w:r>
            <w:r>
              <w:rPr>
                <w:rFonts w:hint="eastAsia" w:cs="Times New Roman"/>
                <w:color w:val="auto"/>
                <w:sz w:val="24"/>
                <w:szCs w:val="24"/>
                <w:lang w:val="en-US" w:eastAsia="zh-CN"/>
              </w:rPr>
              <w:t>8</w:t>
            </w:r>
            <w:r>
              <w:rPr>
                <w:rFonts w:hint="default" w:ascii="Times New Roman" w:hAnsi="Times New Roman" w:cs="Times New Roman"/>
                <w:color w:val="auto"/>
                <w:sz w:val="24"/>
                <w:szCs w:val="24"/>
              </w:rPr>
              <w:t>。</w:t>
            </w:r>
          </w:p>
          <w:p w14:paraId="4067E039">
            <w:pPr>
              <w:numPr>
                <w:ilvl w:val="0"/>
                <w:numId w:val="0"/>
              </w:numPr>
              <w:bidi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8</w:t>
            </w:r>
            <w:r>
              <w:rPr>
                <w:rFonts w:hint="default" w:ascii="Times New Roman" w:hAnsi="Times New Roman" w:eastAsia="宋体" w:cs="Times New Roman"/>
                <w:b/>
                <w:bCs/>
                <w:color w:val="auto"/>
                <w:kern w:val="2"/>
                <w:sz w:val="21"/>
                <w:szCs w:val="21"/>
                <w:lang w:val="en-US" w:eastAsia="zh-CN" w:bidi="ar-SA"/>
              </w:rPr>
              <w:t>常用消毒方法比较</w:t>
            </w:r>
          </w:p>
          <w:tbl>
            <w:tblPr>
              <w:tblStyle w:val="28"/>
              <w:tblW w:w="7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622"/>
              <w:gridCol w:w="3178"/>
              <w:gridCol w:w="1300"/>
            </w:tblGrid>
            <w:tr w14:paraId="07CE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38" w:type="dxa"/>
                  <w:vAlign w:val="center"/>
                </w:tcPr>
                <w:p w14:paraId="0EBDD9E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消毒方法</w:t>
                  </w:r>
                </w:p>
              </w:tc>
              <w:tc>
                <w:tcPr>
                  <w:tcW w:w="2622" w:type="dxa"/>
                  <w:vAlign w:val="center"/>
                </w:tcPr>
                <w:p w14:paraId="47F0116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优点</w:t>
                  </w:r>
                </w:p>
              </w:tc>
              <w:tc>
                <w:tcPr>
                  <w:tcW w:w="3178" w:type="dxa"/>
                  <w:vAlign w:val="center"/>
                </w:tcPr>
                <w:p w14:paraId="42D6CED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缺点</w:t>
                  </w:r>
                </w:p>
              </w:tc>
              <w:tc>
                <w:tcPr>
                  <w:tcW w:w="1300" w:type="dxa"/>
                  <w:vAlign w:val="center"/>
                </w:tcPr>
                <w:p w14:paraId="4A4368C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消毒效果</w:t>
                  </w:r>
                </w:p>
              </w:tc>
            </w:tr>
            <w:tr w14:paraId="18F6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38" w:type="dxa"/>
                  <w:vAlign w:val="center"/>
                </w:tcPr>
                <w:p w14:paraId="7395D68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bscript"/>
                    </w:rPr>
                    <w:t>2</w:t>
                  </w:r>
                </w:p>
              </w:tc>
              <w:tc>
                <w:tcPr>
                  <w:tcW w:w="2622" w:type="dxa"/>
                  <w:vAlign w:val="center"/>
                </w:tcPr>
                <w:p w14:paraId="253586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具有持续消毒作用；工艺简单，技术成熟；操作简单，投量准确。</w:t>
                  </w:r>
                </w:p>
              </w:tc>
              <w:tc>
                <w:tcPr>
                  <w:tcW w:w="3178" w:type="dxa"/>
                  <w:vAlign w:val="center"/>
                </w:tcPr>
                <w:p w14:paraId="53BA51B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产生具致癌、致畸作用的有机氯化物</w:t>
                  </w:r>
                  <w:r>
                    <w:rPr>
                      <w:rFonts w:hint="eastAsia" w:cs="Times New Roman"/>
                      <w:color w:val="auto"/>
                      <w:sz w:val="21"/>
                      <w:szCs w:val="21"/>
                      <w:lang w:eastAsia="zh-CN"/>
                    </w:rPr>
                    <w:t>（</w:t>
                  </w:r>
                  <w:r>
                    <w:rPr>
                      <w:rFonts w:hint="default" w:ascii="Times New Roman" w:hAnsi="Times New Roman" w:cs="Times New Roman"/>
                      <w:color w:val="auto"/>
                      <w:sz w:val="21"/>
                      <w:szCs w:val="21"/>
                    </w:rPr>
                    <w:t>THMs)；处理水有氯或氯酚味；氯气腐蚀性强；运行管理有一定的危险性。</w:t>
                  </w:r>
                </w:p>
              </w:tc>
              <w:tc>
                <w:tcPr>
                  <w:tcW w:w="1300" w:type="dxa"/>
                  <w:vAlign w:val="center"/>
                </w:tcPr>
                <w:p w14:paraId="062BF82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能有效杀菌，但杀灭病毒效果较差。</w:t>
                  </w:r>
                </w:p>
              </w:tc>
            </w:tr>
            <w:tr w14:paraId="72C7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38" w:type="dxa"/>
                  <w:vAlign w:val="center"/>
                </w:tcPr>
                <w:p w14:paraId="5BC549E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NaClO</w:t>
                  </w:r>
                </w:p>
              </w:tc>
              <w:tc>
                <w:tcPr>
                  <w:tcW w:w="2622" w:type="dxa"/>
                  <w:vAlign w:val="center"/>
                </w:tcPr>
                <w:p w14:paraId="5072FEC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无毒，运行、管理无危险性。</w:t>
                  </w:r>
                </w:p>
              </w:tc>
              <w:tc>
                <w:tcPr>
                  <w:tcW w:w="3178" w:type="dxa"/>
                  <w:vAlign w:val="center"/>
                </w:tcPr>
                <w:p w14:paraId="7277F3D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产生具致癌、致畸作用的有机氯化物</w:t>
                  </w:r>
                  <w:r>
                    <w:rPr>
                      <w:rFonts w:hint="eastAsia" w:cs="Times New Roman"/>
                      <w:color w:val="auto"/>
                      <w:sz w:val="21"/>
                      <w:szCs w:val="21"/>
                      <w:lang w:eastAsia="zh-CN"/>
                    </w:rPr>
                    <w:t>（</w:t>
                  </w:r>
                  <w:r>
                    <w:rPr>
                      <w:rFonts w:hint="default" w:ascii="Times New Roman" w:hAnsi="Times New Roman" w:cs="Times New Roman"/>
                      <w:color w:val="auto"/>
                      <w:sz w:val="21"/>
                      <w:szCs w:val="21"/>
                    </w:rPr>
                    <w:t>THMs)；使水的pH值升高。</w:t>
                  </w:r>
                </w:p>
              </w:tc>
              <w:tc>
                <w:tcPr>
                  <w:tcW w:w="1300" w:type="dxa"/>
                  <w:vAlign w:val="center"/>
                </w:tcPr>
                <w:p w14:paraId="483B12D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与Cl</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杀菌效果相同。</w:t>
                  </w:r>
                </w:p>
              </w:tc>
            </w:tr>
            <w:tr w14:paraId="25F6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38" w:type="dxa"/>
                  <w:vAlign w:val="center"/>
                </w:tcPr>
                <w:p w14:paraId="66F6B23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ClO</w:t>
                  </w:r>
                  <w:r>
                    <w:rPr>
                      <w:rFonts w:hint="default" w:ascii="Times New Roman" w:hAnsi="Times New Roman" w:cs="Times New Roman"/>
                      <w:color w:val="auto"/>
                      <w:sz w:val="21"/>
                      <w:szCs w:val="21"/>
                      <w:vertAlign w:val="subscript"/>
                    </w:rPr>
                    <w:t>2</w:t>
                  </w:r>
                </w:p>
              </w:tc>
              <w:tc>
                <w:tcPr>
                  <w:tcW w:w="2622" w:type="dxa"/>
                  <w:vAlign w:val="center"/>
                </w:tcPr>
                <w:p w14:paraId="44C3A34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具有强烈的氧化作用，不产生有机氯化物</w:t>
                  </w:r>
                  <w:r>
                    <w:rPr>
                      <w:rFonts w:hint="eastAsia" w:cs="Times New Roman"/>
                      <w:color w:val="auto"/>
                      <w:sz w:val="21"/>
                      <w:szCs w:val="21"/>
                      <w:lang w:eastAsia="zh-CN"/>
                    </w:rPr>
                    <w:t>（</w:t>
                  </w:r>
                  <w:r>
                    <w:rPr>
                      <w:rFonts w:hint="default" w:ascii="Times New Roman" w:hAnsi="Times New Roman" w:cs="Times New Roman"/>
                      <w:color w:val="auto"/>
                      <w:sz w:val="21"/>
                      <w:szCs w:val="21"/>
                    </w:rPr>
                    <w:t>THMs)；投放简单方便；不受pH影响。</w:t>
                  </w:r>
                </w:p>
              </w:tc>
              <w:tc>
                <w:tcPr>
                  <w:tcW w:w="3178" w:type="dxa"/>
                  <w:vAlign w:val="center"/>
                </w:tcPr>
                <w:p w14:paraId="34A283E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ClO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运行、管理有一定的危险性；只能就地生产，就地使用；制取设备复杂；操作管理要求高。</w:t>
                  </w:r>
                </w:p>
              </w:tc>
              <w:tc>
                <w:tcPr>
                  <w:tcW w:w="1300" w:type="dxa"/>
                  <w:vAlign w:val="center"/>
                </w:tcPr>
                <w:p w14:paraId="042AE1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较Cl</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杀菌效果好。</w:t>
                  </w:r>
                </w:p>
              </w:tc>
            </w:tr>
            <w:tr w14:paraId="4154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38" w:type="dxa"/>
                  <w:vAlign w:val="center"/>
                </w:tcPr>
                <w:p w14:paraId="2488835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2622" w:type="dxa"/>
                  <w:vAlign w:val="center"/>
                </w:tcPr>
                <w:p w14:paraId="680A6B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有强氧化能力，接触时间短；不产生有机氯化物；不受pH影响；能增加水中溶解氧。</w:t>
                  </w:r>
                </w:p>
              </w:tc>
              <w:tc>
                <w:tcPr>
                  <w:tcW w:w="3178" w:type="dxa"/>
                  <w:vAlign w:val="center"/>
                </w:tcPr>
                <w:p w14:paraId="596BFFE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臭氧运行、管理有一定的危险性；操作复杂；制取臭氧的产率低；电能消耗大；基建投资较大；运行成本高。</w:t>
                  </w:r>
                </w:p>
              </w:tc>
              <w:tc>
                <w:tcPr>
                  <w:tcW w:w="1300" w:type="dxa"/>
                  <w:vAlign w:val="center"/>
                </w:tcPr>
                <w:p w14:paraId="522DDE2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杀菌和杀灭病毒的效果均很好。</w:t>
                  </w:r>
                </w:p>
              </w:tc>
            </w:tr>
            <w:tr w14:paraId="600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738" w:type="dxa"/>
                  <w:vAlign w:val="center"/>
                </w:tcPr>
                <w:p w14:paraId="4B4418A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紫外线</w:t>
                  </w:r>
                </w:p>
              </w:tc>
              <w:tc>
                <w:tcPr>
                  <w:tcW w:w="2622" w:type="dxa"/>
                  <w:vAlign w:val="center"/>
                </w:tcPr>
                <w:p w14:paraId="0E288CD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无有害的残余物质；无臭味；操作简单，易实现自动化；运行管理和维修费用低。</w:t>
                  </w:r>
                </w:p>
              </w:tc>
              <w:tc>
                <w:tcPr>
                  <w:tcW w:w="3178" w:type="dxa"/>
                  <w:vAlign w:val="center"/>
                </w:tcPr>
                <w:p w14:paraId="0A0E99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电耗大；紫外灯管和石英套管需定期更换；对处理水的水质要求较高；无后续杀菌作用。</w:t>
                  </w:r>
                </w:p>
              </w:tc>
              <w:tc>
                <w:tcPr>
                  <w:tcW w:w="1300" w:type="dxa"/>
                  <w:vAlign w:val="center"/>
                </w:tcPr>
                <w:p w14:paraId="15E4BDB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效果好，但对悬浮物浓度有要求。</w:t>
                  </w:r>
                </w:p>
              </w:tc>
            </w:tr>
          </w:tbl>
          <w:p w14:paraId="6FE08616">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cs="宋体"/>
                <w:color w:val="auto"/>
                <w:kern w:val="0"/>
                <w:sz w:val="24"/>
                <w:szCs w:val="24"/>
                <w:lang w:val="en-US" w:eastAsia="zh-CN" w:bidi="ar"/>
              </w:rPr>
            </w:pPr>
            <w:r>
              <w:rPr>
                <w:rFonts w:hint="default" w:ascii="Times New Roman" w:hAnsi="Times New Roman" w:cs="Times New Roman"/>
                <w:color w:val="auto"/>
                <w:sz w:val="24"/>
                <w:szCs w:val="24"/>
              </w:rPr>
              <w:t>由表</w:t>
            </w:r>
            <w:r>
              <w:rPr>
                <w:rFonts w:hint="eastAsia" w:cs="Times New Roman"/>
                <w:color w:val="auto"/>
                <w:sz w:val="24"/>
                <w:szCs w:val="24"/>
                <w:lang w:val="en-US" w:eastAsia="zh-CN"/>
              </w:rPr>
              <w:t>4</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8</w:t>
            </w:r>
            <w:r>
              <w:rPr>
                <w:rFonts w:hint="default" w:ascii="Times New Roman" w:hAnsi="Times New Roman" w:cs="Times New Roman"/>
                <w:color w:val="auto"/>
                <w:sz w:val="24"/>
                <w:szCs w:val="24"/>
              </w:rPr>
              <w:t>，从杀菌和杀灭病毒的效果来看，二氧化氯消毒、臭氧消毒和紫外线消毒的效果较好，但臭氧消毒的运行成本高，紫外线消毒的电耗大，并且消毒效果受处理水的水质制约</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二氧化氯消毒的运行、管理有一定的危险性。综合考虑消毒效果</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运行管理</w:t>
            </w:r>
            <w:r>
              <w:rPr>
                <w:rFonts w:hint="eastAsia" w:ascii="Times New Roman" w:hAnsi="Times New Roman" w:cs="Times New Roman"/>
                <w:color w:val="auto"/>
                <w:sz w:val="24"/>
                <w:szCs w:val="24"/>
                <w:lang w:eastAsia="zh-CN"/>
              </w:rPr>
              <w:t>和经济</w:t>
            </w:r>
            <w:r>
              <w:rPr>
                <w:rFonts w:hint="default" w:ascii="Times New Roman" w:hAnsi="Times New Roman" w:cs="Times New Roman"/>
                <w:color w:val="auto"/>
                <w:sz w:val="24"/>
                <w:szCs w:val="24"/>
              </w:rPr>
              <w:t>等因素，</w:t>
            </w:r>
            <w:r>
              <w:rPr>
                <w:rFonts w:hint="eastAsia" w:ascii="Times New Roman" w:hAnsi="Times New Roman" w:cs="Times New Roman"/>
                <w:color w:val="auto"/>
                <w:sz w:val="24"/>
                <w:szCs w:val="24"/>
                <w:lang w:eastAsia="zh-CN"/>
              </w:rPr>
              <w:t>本</w:t>
            </w:r>
            <w:r>
              <w:rPr>
                <w:rFonts w:hint="eastAsia" w:ascii="宋体" w:hAnsi="宋体" w:eastAsia="宋体" w:cs="宋体"/>
                <w:color w:val="auto"/>
                <w:kern w:val="0"/>
                <w:sz w:val="24"/>
                <w:szCs w:val="24"/>
                <w:lang w:val="en-US" w:eastAsia="zh-CN" w:bidi="ar"/>
              </w:rPr>
              <w:t>项目采用二氧化氯消毒工艺</w:t>
            </w:r>
            <w:r>
              <w:rPr>
                <w:rFonts w:hint="eastAsia" w:ascii="宋体" w:hAnsi="宋体" w:cs="宋体"/>
                <w:color w:val="auto"/>
                <w:kern w:val="0"/>
                <w:sz w:val="24"/>
                <w:szCs w:val="24"/>
                <w:lang w:val="en-US" w:eastAsia="zh-CN" w:bidi="ar"/>
              </w:rPr>
              <w:t>。</w:t>
            </w:r>
          </w:p>
          <w:p w14:paraId="463A3933">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经二氧化氯发生器发生化学反应产生二氧化氯气体，再经水射器混合形成二氧化氯水溶液，然后投加到被消毒的污水中进入消毒接触池消毒。二氧化氯具有高效氧化剂、消毒剂以及漂白剂的功能。作为强化氧化剂，它所氧化的产物中无有机氯化物；作为消毒剂，它具有广谱性的消毒效果。该方法较氯气、次氯酸钠处理工艺效果好，较臭氧、紫外线消毒工艺投资低，目前在污水处理厂已得到广泛</w:t>
            </w:r>
            <w:r>
              <w:rPr>
                <w:rFonts w:hint="eastAsia" w:ascii="宋体" w:hAnsi="宋体" w:cs="宋体"/>
                <w:color w:val="auto"/>
                <w:kern w:val="0"/>
                <w:sz w:val="24"/>
                <w:szCs w:val="24"/>
                <w:lang w:val="en-US" w:eastAsia="zh-CN" w:bidi="ar"/>
              </w:rPr>
              <w:t>的</w:t>
            </w:r>
            <w:r>
              <w:rPr>
                <w:rFonts w:hint="eastAsia" w:ascii="宋体" w:hAnsi="宋体" w:eastAsia="宋体" w:cs="宋体"/>
                <w:color w:val="auto"/>
                <w:kern w:val="0"/>
                <w:sz w:val="24"/>
                <w:szCs w:val="24"/>
                <w:lang w:val="en-US" w:eastAsia="zh-CN" w:bidi="ar"/>
              </w:rPr>
              <w:t>应用。</w:t>
            </w:r>
          </w:p>
          <w:p w14:paraId="515B3665">
            <w:pPr>
              <w:rPr>
                <w:rFonts w:hint="eastAsia"/>
                <w:color w:val="auto"/>
                <w:lang w:val="en-US" w:eastAsia="zh-CN"/>
              </w:rPr>
            </w:pPr>
            <w:r>
              <w:rPr>
                <w:rFonts w:hint="eastAsia"/>
                <w:b/>
                <w:bCs/>
                <w:color w:val="auto"/>
                <w:sz w:val="24"/>
              </w:rPr>
              <w:t>二氧化氯</w:t>
            </w:r>
            <w:r>
              <w:rPr>
                <w:rFonts w:hint="eastAsia"/>
                <w:b/>
                <w:bCs/>
                <w:color w:val="auto"/>
                <w:sz w:val="24"/>
                <w:lang w:eastAsia="zh-CN"/>
              </w:rPr>
              <w:t>消毒原理</w:t>
            </w:r>
          </w:p>
          <w:p w14:paraId="1C80A8A8">
            <w:pPr>
              <w:rPr>
                <w:rFonts w:hint="eastAsia" w:eastAsia="宋体"/>
                <w:color w:val="auto"/>
                <w:sz w:val="24"/>
                <w:lang w:val="en-US" w:eastAsia="zh-CN"/>
              </w:rPr>
            </w:pPr>
            <w:r>
              <w:rPr>
                <w:rFonts w:hint="eastAsia"/>
                <w:color w:val="auto"/>
                <w:sz w:val="24"/>
              </w:rPr>
              <w:t>二氧化氯发生器总体结构：发生器由供料系统、反应系统、控制系统和安全系统构成：发生器外壳为PVC材料</w:t>
            </w:r>
            <w:r>
              <w:rPr>
                <w:rFonts w:hint="eastAsia"/>
                <w:color w:val="auto"/>
                <w:sz w:val="24"/>
                <w:lang w:eastAsia="zh-CN"/>
              </w:rPr>
              <w:t>。</w:t>
            </w:r>
          </w:p>
          <w:p w14:paraId="5D924D2E">
            <w:pPr>
              <w:rPr>
                <w:rFonts w:hint="eastAsia"/>
                <w:color w:val="auto"/>
                <w:sz w:val="24"/>
              </w:rPr>
            </w:pPr>
            <w:r>
              <w:rPr>
                <w:rFonts w:hint="eastAsia"/>
                <w:color w:val="auto"/>
                <w:sz w:val="24"/>
              </w:rPr>
              <w:t>工作原理：由计量泵将</w:t>
            </w:r>
            <w:r>
              <w:rPr>
                <w:rFonts w:hint="eastAsia"/>
                <w:color w:val="auto"/>
                <w:sz w:val="24"/>
                <w:lang w:eastAsia="zh-CN"/>
              </w:rPr>
              <w:t>亚</w:t>
            </w:r>
            <w:r>
              <w:rPr>
                <w:rFonts w:hint="eastAsia"/>
                <w:color w:val="auto"/>
                <w:sz w:val="24"/>
              </w:rPr>
              <w:t>氯酸钠水溶液与盐酸溶液输入到反应器中，在一定温度和负压下进行充分反应，产出二氧化氯，经水射器吸收与水充分混合后形成消毒液后，通入被消毒水中。</w:t>
            </w:r>
          </w:p>
          <w:p w14:paraId="509AFD7A">
            <w:pPr>
              <w:ind w:left="0" w:leftChars="0" w:firstLine="0" w:firstLineChars="0"/>
              <w:jc w:val="center"/>
              <w:rPr>
                <w:rFonts w:hint="default" w:eastAsia="宋体"/>
                <w:color w:val="auto"/>
                <w:sz w:val="24"/>
                <w:lang w:val="en-US" w:eastAsia="zh-CN"/>
              </w:rPr>
            </w:pPr>
            <w:r>
              <w:rPr>
                <w:rFonts w:hint="eastAsia"/>
                <w:color w:val="auto"/>
                <w:sz w:val="24"/>
                <w:lang w:val="en-US" w:eastAsia="zh-CN"/>
              </w:rPr>
              <w:t>5NaClO</w:t>
            </w:r>
            <w:r>
              <w:rPr>
                <w:rFonts w:hint="eastAsia"/>
                <w:color w:val="auto"/>
                <w:sz w:val="24"/>
                <w:vertAlign w:val="subscript"/>
                <w:lang w:val="en-US" w:eastAsia="zh-CN"/>
              </w:rPr>
              <w:t>2</w:t>
            </w:r>
            <w:r>
              <w:rPr>
                <w:rFonts w:hint="eastAsia"/>
                <w:color w:val="auto"/>
                <w:sz w:val="24"/>
                <w:lang w:val="en-US" w:eastAsia="zh-CN"/>
              </w:rPr>
              <w:t>+4HCl=4ClO</w:t>
            </w:r>
            <w:r>
              <w:rPr>
                <w:rFonts w:hint="eastAsia"/>
                <w:color w:val="auto"/>
                <w:sz w:val="24"/>
                <w:vertAlign w:val="subscript"/>
                <w:lang w:val="en-US" w:eastAsia="zh-CN"/>
              </w:rPr>
              <w:t>2</w:t>
            </w:r>
            <w:r>
              <w:rPr>
                <w:rFonts w:hint="eastAsia"/>
                <w:color w:val="auto"/>
                <w:sz w:val="24"/>
                <w:lang w:val="en-US" w:eastAsia="zh-CN"/>
              </w:rPr>
              <w:t>+5NaCl+2H</w:t>
            </w:r>
            <w:r>
              <w:rPr>
                <w:rFonts w:hint="eastAsia"/>
                <w:color w:val="auto"/>
                <w:sz w:val="24"/>
                <w:vertAlign w:val="subscript"/>
                <w:lang w:val="en-US" w:eastAsia="zh-CN"/>
              </w:rPr>
              <w:t>2</w:t>
            </w:r>
            <w:r>
              <w:rPr>
                <w:rFonts w:hint="eastAsia"/>
                <w:color w:val="auto"/>
                <w:sz w:val="24"/>
                <w:lang w:val="en-US" w:eastAsia="zh-CN"/>
              </w:rPr>
              <w:t>O</w:t>
            </w:r>
          </w:p>
          <w:p w14:paraId="2B83B0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olor w:val="auto"/>
                <w:lang w:val="en-US" w:eastAsia="zh-CN"/>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750570</wp:posOffset>
                      </wp:positionH>
                      <wp:positionV relativeFrom="paragraph">
                        <wp:posOffset>1852295</wp:posOffset>
                      </wp:positionV>
                      <wp:extent cx="476250" cy="260350"/>
                      <wp:effectExtent l="0" t="0" r="0" b="0"/>
                      <wp:wrapNone/>
                      <wp:docPr id="25" name="文本框 25"/>
                      <wp:cNvGraphicFramePr/>
                      <a:graphic xmlns:a="http://schemas.openxmlformats.org/drawingml/2006/main">
                        <a:graphicData uri="http://schemas.microsoft.com/office/word/2010/wordprocessingShape">
                          <wps:wsp>
                            <wps:cNvSpPr txBox="1"/>
                            <wps:spPr>
                              <a:xfrm>
                                <a:off x="2174875" y="7881620"/>
                                <a:ext cx="476250" cy="260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B9503">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黑体" w:hAnsi="黑体" w:eastAsia="黑体" w:cs="黑体"/>
                                      <w:sz w:val="15"/>
                                      <w:szCs w:val="15"/>
                                      <w:lang w:eastAsia="zh-CN"/>
                                    </w:rPr>
                                  </w:pPr>
                                  <w:r>
                                    <w:rPr>
                                      <w:rFonts w:hint="eastAsia" w:ascii="黑体" w:hAnsi="黑体" w:eastAsia="黑体" w:cs="黑体"/>
                                      <w:sz w:val="15"/>
                                      <w:szCs w:val="15"/>
                                      <w:lang w:eastAsia="zh-CN"/>
                                    </w:rPr>
                                    <w:t>盐酸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1pt;margin-top:145.85pt;height:20.5pt;width:37.5pt;z-index:251661312;mso-width-relative:page;mso-height-relative:page;" filled="f" stroked="f" coordsize="21600,21600" o:gfxdata="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1rAhzaAAAACwEAAA8AAAAAAAAAAQAg&#10;AAAAIgAAAGRycy9kb3ducmV2LnhtbFBLAQIUABQAAAAIAIdO4kCEhxyjRQIAAHMEAAAOAAAAAAAA&#10;AAEAIAAAACkBAABkcnMvZTJvRG9jLnhtbFBLBQYAAAAABgAGAFkBAADgBQAAAAA=&#10;">
                      <v:fill on="f" focussize="0,0"/>
                      <v:stroke on="f" weight="0.5pt"/>
                      <v:imagedata o:title=""/>
                      <o:lock v:ext="edit" aspectratio="f"/>
                      <v:textbox>
                        <w:txbxContent>
                          <w:p w14:paraId="73AB9503">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黑体" w:hAnsi="黑体" w:eastAsia="黑体" w:cs="黑体"/>
                                <w:sz w:val="15"/>
                                <w:szCs w:val="15"/>
                                <w:lang w:eastAsia="zh-CN"/>
                              </w:rPr>
                            </w:pPr>
                            <w:r>
                              <w:rPr>
                                <w:rFonts w:hint="eastAsia" w:ascii="黑体" w:hAnsi="黑体" w:eastAsia="黑体" w:cs="黑体"/>
                                <w:sz w:val="15"/>
                                <w:szCs w:val="15"/>
                                <w:lang w:eastAsia="zh-CN"/>
                              </w:rPr>
                              <w:t>盐酸</w:t>
                            </w:r>
                          </w:p>
                        </w:txbxContent>
                      </v:textbox>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2924175</wp:posOffset>
                      </wp:positionH>
                      <wp:positionV relativeFrom="paragraph">
                        <wp:posOffset>1889125</wp:posOffset>
                      </wp:positionV>
                      <wp:extent cx="571500" cy="23812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71500"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B5DFB">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黑体" w:hAnsi="黑体" w:eastAsia="黑体" w:cs="黑体"/>
                                      <w:sz w:val="15"/>
                                      <w:szCs w:val="15"/>
                                      <w:lang w:eastAsia="zh-CN"/>
                                    </w:rPr>
                                  </w:pPr>
                                  <w:r>
                                    <w:rPr>
                                      <w:rFonts w:hint="eastAsia" w:ascii="黑体" w:hAnsi="黑体" w:eastAsia="黑体" w:cs="黑体"/>
                                      <w:sz w:val="15"/>
                                      <w:szCs w:val="15"/>
                                      <w:lang w:eastAsia="zh-CN"/>
                                    </w:rPr>
                                    <w:t>亚氯酸钠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25pt;margin-top:148.75pt;height:18.75pt;width:45pt;z-index:251662336;mso-width-relative:page;mso-height-relative:page;" filled="f" stroked="f" coordsize="21600,21600" o:gfxdata="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S8uT2wAAAAsBAAAPAAAAAAAAAAEAIAAAACIAAABk&#10;cnMvZG93bnJldi54bWxQSwECFAAUAAAACACHTuJATdhERDwCAABnBAAADgAAAAAAAAABACAAAAAq&#10;AQAAZHJzL2Uyb0RvYy54bWxQSwUGAAAAAAYABgBZAQAA2AUAAAAA&#10;">
                      <v:fill on="f" focussize="0,0"/>
                      <v:stroke on="f" weight="0.5pt"/>
                      <v:imagedata o:title=""/>
                      <o:lock v:ext="edit" aspectratio="f"/>
                      <v:textbox>
                        <w:txbxContent>
                          <w:p w14:paraId="51CB5DFB">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黑体" w:hAnsi="黑体" w:eastAsia="黑体" w:cs="黑体"/>
                                <w:sz w:val="15"/>
                                <w:szCs w:val="15"/>
                                <w:lang w:eastAsia="zh-CN"/>
                              </w:rPr>
                            </w:pPr>
                            <w:r>
                              <w:rPr>
                                <w:rFonts w:hint="eastAsia" w:ascii="黑体" w:hAnsi="黑体" w:eastAsia="黑体" w:cs="黑体"/>
                                <w:sz w:val="15"/>
                                <w:szCs w:val="15"/>
                                <w:lang w:eastAsia="zh-CN"/>
                              </w:rPr>
                              <w:t>亚氯酸钠</w:t>
                            </w:r>
                          </w:p>
                        </w:txbxContent>
                      </v:textbox>
                    </v:shape>
                  </w:pict>
                </mc:Fallback>
              </mc:AlternateContent>
            </w:r>
            <w:r>
              <w:rPr>
                <w:rFonts w:hint="eastAsia"/>
                <w:color w:val="auto"/>
                <w:lang w:val="en-US" w:eastAsia="zh-CN"/>
              </w:rPr>
              <w:drawing>
                <wp:inline distT="0" distB="0" distL="114300" distR="114300">
                  <wp:extent cx="5006975" cy="2967355"/>
                  <wp:effectExtent l="0" t="0" r="3175" b="4445"/>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17"/>
                          <a:stretch>
                            <a:fillRect/>
                          </a:stretch>
                        </pic:blipFill>
                        <pic:spPr>
                          <a:xfrm>
                            <a:off x="0" y="0"/>
                            <a:ext cx="5006975" cy="2967355"/>
                          </a:xfrm>
                          <a:prstGeom prst="rect">
                            <a:avLst/>
                          </a:prstGeom>
                        </pic:spPr>
                      </pic:pic>
                    </a:graphicData>
                  </a:graphic>
                </wp:inline>
              </w:drawing>
            </w:r>
          </w:p>
          <w:p w14:paraId="4211BF11">
            <w:pPr>
              <w:pStyle w:val="139"/>
              <w:bidi w:val="0"/>
              <w:jc w:val="center"/>
              <w:rPr>
                <w:rFonts w:hint="eastAsia"/>
                <w:b/>
                <w:bCs/>
                <w:color w:val="auto"/>
                <w:sz w:val="21"/>
                <w:szCs w:val="21"/>
                <w:lang w:val="en-US" w:eastAsia="zh-CN"/>
              </w:rPr>
            </w:pPr>
            <w:r>
              <w:rPr>
                <w:rFonts w:hint="eastAsia"/>
                <w:b/>
                <w:bCs/>
                <w:color w:val="auto"/>
                <w:sz w:val="21"/>
                <w:szCs w:val="21"/>
              </w:rPr>
              <w:t>图</w:t>
            </w:r>
            <w:r>
              <w:rPr>
                <w:rFonts w:hint="eastAsia"/>
                <w:b/>
                <w:bCs/>
                <w:color w:val="auto"/>
                <w:sz w:val="21"/>
                <w:szCs w:val="21"/>
                <w:lang w:val="en-US" w:eastAsia="zh-CN"/>
              </w:rPr>
              <w:t>4-2</w:t>
            </w:r>
            <w:r>
              <w:rPr>
                <w:rFonts w:hint="eastAsia"/>
                <w:b/>
                <w:bCs/>
                <w:color w:val="auto"/>
                <w:sz w:val="21"/>
                <w:szCs w:val="21"/>
              </w:rPr>
              <w:t xml:space="preserve"> 二氧化氯发生器工作原理图</w:t>
            </w:r>
          </w:p>
          <w:p w14:paraId="3F1D2370">
            <w:pPr>
              <w:keepNext w:val="0"/>
              <w:keepLines w:val="0"/>
              <w:widowControl/>
              <w:suppressLineNumbers w:val="0"/>
              <w:jc w:val="left"/>
              <w:rPr>
                <w:rFonts w:hint="eastAsia"/>
                <w:color w:val="auto"/>
                <w:lang w:val="en-US" w:eastAsia="zh-CN"/>
              </w:rPr>
            </w:pPr>
            <w:r>
              <w:rPr>
                <w:rFonts w:hint="eastAsia"/>
                <w:color w:val="auto"/>
                <w:lang w:val="en-US" w:eastAsia="zh-CN"/>
              </w:rPr>
              <w:t>参考</w:t>
            </w:r>
            <w:r>
              <w:rPr>
                <w:rFonts w:hint="default" w:ascii="Times New Roman" w:hAnsi="Times New Roman" w:eastAsia="宋体" w:cs="Times New Roman"/>
                <w:color w:val="auto"/>
                <w:spacing w:val="0"/>
                <w:w w:val="100"/>
                <w:position w:val="0"/>
                <w:sz w:val="24"/>
                <w:szCs w:val="24"/>
              </w:rPr>
              <w:t>《排污许可证申请与核发技术规范 医疗机构》（HJ1105-2020</w:t>
            </w:r>
            <w:r>
              <w:rPr>
                <w:rFonts w:hint="eastAsia" w:cs="Times New Roman"/>
                <w:color w:val="auto"/>
                <w:spacing w:val="0"/>
                <w:w w:val="100"/>
                <w:position w:val="0"/>
                <w:sz w:val="24"/>
                <w:szCs w:val="24"/>
                <w:lang w:eastAsia="zh-CN"/>
              </w:rPr>
              <w:t>）</w:t>
            </w:r>
            <w:r>
              <w:rPr>
                <w:rFonts w:hint="eastAsia" w:ascii="Times New Roman" w:hAnsi="Times New Roman" w:eastAsia="宋体" w:cs="Times New Roman"/>
                <w:color w:val="auto"/>
                <w:spacing w:val="0"/>
                <w:w w:val="100"/>
                <w:position w:val="0"/>
                <w:sz w:val="24"/>
                <w:szCs w:val="24"/>
                <w:lang w:eastAsia="zh-CN"/>
              </w:rPr>
              <w:t>，</w:t>
            </w:r>
            <w:r>
              <w:rPr>
                <w:rFonts w:hint="eastAsia"/>
                <w:color w:val="auto"/>
                <w:lang w:val="en-US" w:eastAsia="zh-CN"/>
              </w:rPr>
              <w:t>本行业废水防治可行技术如下表：</w:t>
            </w:r>
          </w:p>
          <w:p w14:paraId="4475111E">
            <w:pPr>
              <w:numPr>
                <w:ilvl w:val="0"/>
                <w:numId w:val="0"/>
              </w:numPr>
              <w:bidi w:val="0"/>
              <w:spacing w:line="240" w:lineRule="auto"/>
              <w:jc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9</w:t>
            </w:r>
            <w:r>
              <w:rPr>
                <w:rFonts w:hint="eastAsia" w:ascii="Times New Roman" w:hAnsi="Times New Roman" w:eastAsia="宋体" w:cs="Times New Roman"/>
                <w:b/>
                <w:bCs/>
                <w:color w:val="auto"/>
                <w:kern w:val="2"/>
                <w:sz w:val="21"/>
                <w:szCs w:val="21"/>
                <w:lang w:val="en-US" w:eastAsia="zh-CN" w:bidi="ar-SA"/>
              </w:rPr>
              <w:t>医疗机构排污单位污水治理可行技术参照表（部分）</w:t>
            </w:r>
          </w:p>
          <w:tbl>
            <w:tblPr>
              <w:tblStyle w:val="29"/>
              <w:tblW w:w="7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296"/>
              <w:gridCol w:w="1217"/>
              <w:gridCol w:w="3235"/>
            </w:tblGrid>
            <w:tr w14:paraId="0722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70" w:type="dxa"/>
                  <w:vAlign w:val="center"/>
                </w:tcPr>
                <w:p w14:paraId="34844F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废水类别</w:t>
                  </w:r>
                </w:p>
              </w:tc>
              <w:tc>
                <w:tcPr>
                  <w:tcW w:w="2296" w:type="dxa"/>
                  <w:vAlign w:val="center"/>
                </w:tcPr>
                <w:p w14:paraId="16D955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污染物种类</w:t>
                  </w:r>
                </w:p>
              </w:tc>
              <w:tc>
                <w:tcPr>
                  <w:tcW w:w="1217" w:type="dxa"/>
                  <w:vAlign w:val="center"/>
                </w:tcPr>
                <w:p w14:paraId="46C042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排放去向</w:t>
                  </w:r>
                </w:p>
              </w:tc>
              <w:tc>
                <w:tcPr>
                  <w:tcW w:w="3235" w:type="dxa"/>
                  <w:vAlign w:val="center"/>
                </w:tcPr>
                <w:p w14:paraId="083F0D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rFonts w:hint="eastAsia"/>
                      <w:b/>
                      <w:bCs/>
                      <w:color w:val="auto"/>
                      <w:sz w:val="21"/>
                      <w:szCs w:val="21"/>
                    </w:rPr>
                    <w:t>污染防治设施名称及工艺</w:t>
                  </w:r>
                </w:p>
              </w:tc>
            </w:tr>
            <w:tr w14:paraId="6D82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4" w:hRule="atLeast"/>
                <w:jc w:val="center"/>
              </w:trPr>
              <w:tc>
                <w:tcPr>
                  <w:tcW w:w="1070" w:type="dxa"/>
                  <w:vAlign w:val="center"/>
                </w:tcPr>
                <w:p w14:paraId="469EC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医疗废水</w:t>
                  </w:r>
                </w:p>
              </w:tc>
              <w:tc>
                <w:tcPr>
                  <w:tcW w:w="2296" w:type="dxa"/>
                  <w:vAlign w:val="center"/>
                </w:tcPr>
                <w:p w14:paraId="3CF17D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粪大肠菌群数、肠道致病菌、肠道病毒、化学需氧量、氨氮、pH 值、悬浮物、五日生化需氧量、动植物油、石油类、阴离子表面活性剂、挥发酚、色度、总氰化物、总余氯</w:t>
                  </w:r>
                </w:p>
              </w:tc>
              <w:tc>
                <w:tcPr>
                  <w:tcW w:w="1217" w:type="dxa"/>
                  <w:vAlign w:val="center"/>
                </w:tcPr>
                <w:p w14:paraId="6247DD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排入城镇污水处理厂</w:t>
                  </w:r>
                </w:p>
              </w:tc>
              <w:tc>
                <w:tcPr>
                  <w:tcW w:w="3235" w:type="dxa"/>
                  <w:vAlign w:val="center"/>
                </w:tcPr>
                <w:p w14:paraId="50128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eastAsia"/>
                      <w:color w:val="auto"/>
                      <w:sz w:val="21"/>
                      <w:szCs w:val="21"/>
                    </w:rPr>
                  </w:pPr>
                  <w:r>
                    <w:rPr>
                      <w:rFonts w:hint="eastAsia"/>
                      <w:color w:val="auto"/>
                      <w:sz w:val="21"/>
                      <w:szCs w:val="21"/>
                    </w:rPr>
                    <w:t>一级处理/一级强化处理+消毒工艺。</w:t>
                  </w:r>
                </w:p>
                <w:p w14:paraId="205ACB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eastAsia"/>
                      <w:color w:val="auto"/>
                      <w:sz w:val="21"/>
                      <w:szCs w:val="21"/>
                    </w:rPr>
                  </w:pPr>
                  <w:r>
                    <w:rPr>
                      <w:rFonts w:hint="eastAsia"/>
                      <w:color w:val="auto"/>
                      <w:sz w:val="21"/>
                      <w:szCs w:val="21"/>
                    </w:rPr>
                    <w:t>一级处理包括：筛滤法；沉淀法；气浮法；预曝气法。</w:t>
                  </w:r>
                </w:p>
                <w:p w14:paraId="669B40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eastAsia"/>
                      <w:color w:val="auto"/>
                      <w:sz w:val="21"/>
                      <w:szCs w:val="21"/>
                    </w:rPr>
                  </w:pPr>
                  <w:r>
                    <w:rPr>
                      <w:rFonts w:hint="eastAsia"/>
                      <w:color w:val="auto"/>
                      <w:sz w:val="21"/>
                      <w:szCs w:val="21"/>
                    </w:rPr>
                    <w:t>一级强化处理包括：化学混凝处理、机械过滤或不完全生物处理。</w:t>
                  </w:r>
                </w:p>
                <w:p w14:paraId="3D1FFB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eastAsia"/>
                      <w:color w:val="auto"/>
                      <w:sz w:val="21"/>
                      <w:szCs w:val="21"/>
                    </w:rPr>
                    <w:t>消毒工艺：加氯消毒，臭氧法消毒，次氯酸钠法、二氧化氯法消毒、紫外线消毒等。</w:t>
                  </w:r>
                </w:p>
              </w:tc>
            </w:tr>
          </w:tbl>
          <w:p w14:paraId="67BF1698">
            <w:pPr>
              <w:pStyle w:val="129"/>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jc w:val="both"/>
              <w:textAlignment w:val="auto"/>
              <w:rPr>
                <w:rFonts w:ascii="Times New Roman" w:hAnsi="Times New Roman" w:cs="Times New Roman"/>
                <w:b w:val="0"/>
                <w:bCs/>
                <w:color w:val="auto"/>
                <w:sz w:val="24"/>
                <w:szCs w:val="24"/>
              </w:rPr>
            </w:pPr>
            <w:r>
              <w:rPr>
                <w:rFonts w:hint="eastAsia"/>
                <w:b w:val="0"/>
                <w:bCs/>
                <w:color w:val="auto"/>
                <w:sz w:val="24"/>
                <w:szCs w:val="24"/>
                <w:lang w:val="en-US" w:eastAsia="zh-CN"/>
              </w:rPr>
              <w:t>本项目</w:t>
            </w:r>
            <w:r>
              <w:rPr>
                <w:rFonts w:hint="default"/>
                <w:b w:val="0"/>
                <w:bCs/>
                <w:color w:val="auto"/>
                <w:sz w:val="24"/>
                <w:szCs w:val="24"/>
                <w:lang w:val="en-US" w:eastAsia="zh-CN"/>
              </w:rPr>
              <w:t>废</w:t>
            </w:r>
            <w:r>
              <w:rPr>
                <w:rFonts w:hint="eastAsia"/>
                <w:b w:val="0"/>
                <w:bCs/>
                <w:color w:val="auto"/>
                <w:sz w:val="24"/>
                <w:szCs w:val="24"/>
                <w:lang w:val="en-US" w:eastAsia="zh-CN"/>
              </w:rPr>
              <w:t>水</w:t>
            </w:r>
            <w:r>
              <w:rPr>
                <w:rFonts w:hint="default"/>
                <w:b w:val="0"/>
                <w:bCs/>
                <w:color w:val="auto"/>
                <w:sz w:val="24"/>
                <w:szCs w:val="24"/>
                <w:lang w:val="en-US" w:eastAsia="zh-CN"/>
              </w:rPr>
              <w:t>污染防治措施汇总见</w:t>
            </w:r>
            <w:r>
              <w:rPr>
                <w:rFonts w:hint="eastAsia"/>
                <w:b w:val="0"/>
                <w:bCs/>
                <w:color w:val="auto"/>
                <w:sz w:val="24"/>
                <w:szCs w:val="24"/>
                <w:lang w:val="en-US" w:eastAsia="zh-CN"/>
              </w:rPr>
              <w:t>下表：</w:t>
            </w:r>
          </w:p>
          <w:p w14:paraId="5529FCD2">
            <w:pPr>
              <w:numPr>
                <w:ilvl w:val="0"/>
                <w:numId w:val="0"/>
              </w:numPr>
              <w:bidi w:val="0"/>
              <w:spacing w:line="240" w:lineRule="auto"/>
              <w:jc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10</w:t>
            </w:r>
            <w:r>
              <w:rPr>
                <w:rFonts w:hint="eastAsia" w:ascii="Times New Roman" w:hAnsi="Times New Roman" w:eastAsia="宋体" w:cs="Times New Roman"/>
                <w:b/>
                <w:bCs/>
                <w:color w:val="auto"/>
                <w:kern w:val="2"/>
                <w:sz w:val="21"/>
                <w:szCs w:val="21"/>
                <w:lang w:val="en-US" w:eastAsia="zh-CN" w:bidi="ar-SA"/>
              </w:rPr>
              <w:t>废水类别、污染物及污染治理设施信息一览表</w:t>
            </w:r>
          </w:p>
          <w:tbl>
            <w:tblPr>
              <w:tblStyle w:val="28"/>
              <w:tblW w:w="496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5"/>
              <w:gridCol w:w="471"/>
              <w:gridCol w:w="1415"/>
              <w:gridCol w:w="975"/>
              <w:gridCol w:w="717"/>
              <w:gridCol w:w="665"/>
              <w:gridCol w:w="643"/>
              <w:gridCol w:w="696"/>
              <w:gridCol w:w="675"/>
              <w:gridCol w:w="793"/>
              <w:gridCol w:w="387"/>
            </w:tblGrid>
            <w:tr w14:paraId="47854B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246" w:type="pct"/>
                  <w:vMerge w:val="restart"/>
                  <w:noWrap w:val="0"/>
                  <w:vAlign w:val="center"/>
                </w:tcPr>
                <w:p w14:paraId="522F6751">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序号</w:t>
                  </w:r>
                </w:p>
              </w:tc>
              <w:tc>
                <w:tcPr>
                  <w:tcW w:w="301" w:type="pct"/>
                  <w:vMerge w:val="restart"/>
                  <w:noWrap w:val="0"/>
                  <w:vAlign w:val="center"/>
                </w:tcPr>
                <w:p w14:paraId="01FAEE7E">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废水类别</w:t>
                  </w:r>
                </w:p>
              </w:tc>
              <w:tc>
                <w:tcPr>
                  <w:tcW w:w="904" w:type="pct"/>
                  <w:vMerge w:val="restart"/>
                  <w:noWrap w:val="0"/>
                  <w:vAlign w:val="center"/>
                </w:tcPr>
                <w:p w14:paraId="4BD5991B">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污染物种类</w:t>
                  </w:r>
                </w:p>
              </w:tc>
              <w:tc>
                <w:tcPr>
                  <w:tcW w:w="623" w:type="pct"/>
                  <w:vMerge w:val="restart"/>
                  <w:noWrap w:val="0"/>
                  <w:vAlign w:val="center"/>
                </w:tcPr>
                <w:p w14:paraId="275CF8BD">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排放去向</w:t>
                  </w:r>
                </w:p>
              </w:tc>
              <w:tc>
                <w:tcPr>
                  <w:tcW w:w="458" w:type="pct"/>
                  <w:vMerge w:val="restart"/>
                  <w:noWrap w:val="0"/>
                  <w:vAlign w:val="center"/>
                </w:tcPr>
                <w:p w14:paraId="6D40B10E">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排放规律</w:t>
                  </w:r>
                </w:p>
              </w:tc>
              <w:tc>
                <w:tcPr>
                  <w:tcW w:w="1281" w:type="pct"/>
                  <w:gridSpan w:val="3"/>
                  <w:noWrap w:val="0"/>
                  <w:vAlign w:val="center"/>
                </w:tcPr>
                <w:p w14:paraId="160BB0DD">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污染治理设施</w:t>
                  </w:r>
                </w:p>
              </w:tc>
              <w:tc>
                <w:tcPr>
                  <w:tcW w:w="431" w:type="pct"/>
                  <w:vMerge w:val="restart"/>
                  <w:noWrap w:val="0"/>
                  <w:vAlign w:val="center"/>
                </w:tcPr>
                <w:p w14:paraId="0E5F6FCD">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排放口编号</w:t>
                  </w:r>
                </w:p>
              </w:tc>
              <w:tc>
                <w:tcPr>
                  <w:tcW w:w="506" w:type="pct"/>
                  <w:vMerge w:val="restart"/>
                  <w:noWrap w:val="0"/>
                  <w:vAlign w:val="center"/>
                </w:tcPr>
                <w:p w14:paraId="4EA3087B">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排放口设置是否符合要求</w:t>
                  </w:r>
                </w:p>
              </w:tc>
              <w:tc>
                <w:tcPr>
                  <w:tcW w:w="247" w:type="pct"/>
                  <w:vMerge w:val="restart"/>
                  <w:noWrap w:val="0"/>
                  <w:vAlign w:val="center"/>
                </w:tcPr>
                <w:p w14:paraId="764AE8C9">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排放口类型</w:t>
                  </w:r>
                </w:p>
              </w:tc>
            </w:tr>
            <w:tr w14:paraId="052DA1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50" w:hRule="atLeast"/>
                <w:jc w:val="center"/>
              </w:trPr>
              <w:tc>
                <w:tcPr>
                  <w:tcW w:w="246" w:type="pct"/>
                  <w:vMerge w:val="continue"/>
                  <w:noWrap w:val="0"/>
                  <w:vAlign w:val="center"/>
                </w:tcPr>
                <w:p w14:paraId="65E0EC46">
                  <w:pPr>
                    <w:pStyle w:val="126"/>
                    <w:ind w:left="0" w:leftChars="0" w:firstLine="0" w:firstLineChars="0"/>
                    <w:jc w:val="center"/>
                    <w:rPr>
                      <w:rFonts w:hint="default"/>
                      <w:color w:val="auto"/>
                      <w:sz w:val="18"/>
                      <w:szCs w:val="18"/>
                      <w:lang w:val="en-US" w:eastAsia="zh-CN"/>
                    </w:rPr>
                  </w:pPr>
                </w:p>
              </w:tc>
              <w:tc>
                <w:tcPr>
                  <w:tcW w:w="301" w:type="pct"/>
                  <w:vMerge w:val="continue"/>
                  <w:noWrap w:val="0"/>
                  <w:vAlign w:val="center"/>
                </w:tcPr>
                <w:p w14:paraId="370364EA">
                  <w:pPr>
                    <w:pStyle w:val="126"/>
                    <w:ind w:left="0" w:leftChars="0" w:firstLine="0" w:firstLineChars="0"/>
                    <w:jc w:val="center"/>
                    <w:rPr>
                      <w:rFonts w:hint="default"/>
                      <w:color w:val="auto"/>
                      <w:sz w:val="18"/>
                      <w:szCs w:val="18"/>
                      <w:lang w:val="en-US" w:eastAsia="zh-CN"/>
                    </w:rPr>
                  </w:pPr>
                </w:p>
              </w:tc>
              <w:tc>
                <w:tcPr>
                  <w:tcW w:w="904" w:type="pct"/>
                  <w:vMerge w:val="continue"/>
                  <w:noWrap w:val="0"/>
                  <w:vAlign w:val="center"/>
                </w:tcPr>
                <w:p w14:paraId="639D8D91">
                  <w:pPr>
                    <w:pStyle w:val="126"/>
                    <w:ind w:left="0" w:leftChars="0" w:firstLine="0" w:firstLineChars="0"/>
                    <w:jc w:val="center"/>
                    <w:rPr>
                      <w:rFonts w:hint="default"/>
                      <w:color w:val="auto"/>
                      <w:sz w:val="18"/>
                      <w:szCs w:val="18"/>
                      <w:lang w:val="en-US" w:eastAsia="zh-CN"/>
                    </w:rPr>
                  </w:pPr>
                </w:p>
              </w:tc>
              <w:tc>
                <w:tcPr>
                  <w:tcW w:w="623" w:type="pct"/>
                  <w:vMerge w:val="continue"/>
                  <w:noWrap w:val="0"/>
                  <w:vAlign w:val="center"/>
                </w:tcPr>
                <w:p w14:paraId="219A50F2">
                  <w:pPr>
                    <w:pStyle w:val="126"/>
                    <w:ind w:left="0" w:leftChars="0" w:firstLine="0" w:firstLineChars="0"/>
                    <w:jc w:val="center"/>
                    <w:rPr>
                      <w:rFonts w:hint="default"/>
                      <w:color w:val="auto"/>
                      <w:sz w:val="18"/>
                      <w:szCs w:val="18"/>
                      <w:lang w:val="en-US" w:eastAsia="zh-CN"/>
                    </w:rPr>
                  </w:pPr>
                </w:p>
              </w:tc>
              <w:tc>
                <w:tcPr>
                  <w:tcW w:w="458" w:type="pct"/>
                  <w:vMerge w:val="continue"/>
                  <w:noWrap w:val="0"/>
                  <w:vAlign w:val="center"/>
                </w:tcPr>
                <w:p w14:paraId="3C2C043B">
                  <w:pPr>
                    <w:pStyle w:val="126"/>
                    <w:ind w:left="0" w:leftChars="0" w:firstLine="0" w:firstLineChars="0"/>
                    <w:jc w:val="center"/>
                    <w:rPr>
                      <w:rFonts w:hint="default"/>
                      <w:color w:val="auto"/>
                      <w:sz w:val="18"/>
                      <w:szCs w:val="18"/>
                      <w:lang w:val="en-US" w:eastAsia="zh-CN"/>
                    </w:rPr>
                  </w:pPr>
                </w:p>
              </w:tc>
              <w:tc>
                <w:tcPr>
                  <w:tcW w:w="425" w:type="pct"/>
                  <w:noWrap w:val="0"/>
                  <w:vAlign w:val="center"/>
                </w:tcPr>
                <w:p w14:paraId="7B002C8D">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污染治理设施编号</w:t>
                  </w:r>
                </w:p>
              </w:tc>
              <w:tc>
                <w:tcPr>
                  <w:tcW w:w="411" w:type="pct"/>
                  <w:noWrap w:val="0"/>
                  <w:vAlign w:val="center"/>
                </w:tcPr>
                <w:p w14:paraId="7F0C438A">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污染治理设施名称</w:t>
                  </w:r>
                </w:p>
              </w:tc>
              <w:tc>
                <w:tcPr>
                  <w:tcW w:w="444" w:type="pct"/>
                  <w:noWrap w:val="0"/>
                  <w:vAlign w:val="center"/>
                </w:tcPr>
                <w:p w14:paraId="40A4C0D6">
                  <w:pPr>
                    <w:pStyle w:val="126"/>
                    <w:ind w:left="0" w:leftChars="0" w:firstLine="0" w:firstLineChars="0"/>
                    <w:jc w:val="center"/>
                    <w:rPr>
                      <w:rFonts w:hint="default"/>
                      <w:b/>
                      <w:bCs/>
                      <w:color w:val="auto"/>
                      <w:sz w:val="18"/>
                      <w:szCs w:val="18"/>
                      <w:lang w:val="en-US" w:eastAsia="zh-CN"/>
                    </w:rPr>
                  </w:pPr>
                  <w:r>
                    <w:rPr>
                      <w:rFonts w:hint="default"/>
                      <w:b/>
                      <w:bCs/>
                      <w:color w:val="auto"/>
                      <w:sz w:val="18"/>
                      <w:szCs w:val="18"/>
                      <w:lang w:val="en-US" w:eastAsia="zh-CN"/>
                    </w:rPr>
                    <w:t>污染治理设施工艺</w:t>
                  </w:r>
                </w:p>
              </w:tc>
              <w:tc>
                <w:tcPr>
                  <w:tcW w:w="431" w:type="pct"/>
                  <w:vMerge w:val="continue"/>
                  <w:noWrap w:val="0"/>
                  <w:vAlign w:val="center"/>
                </w:tcPr>
                <w:p w14:paraId="022D57C3">
                  <w:pPr>
                    <w:pStyle w:val="126"/>
                    <w:ind w:left="0" w:leftChars="0" w:firstLine="0" w:firstLineChars="0"/>
                    <w:jc w:val="center"/>
                    <w:rPr>
                      <w:rFonts w:hint="default"/>
                      <w:color w:val="auto"/>
                      <w:sz w:val="18"/>
                      <w:szCs w:val="18"/>
                      <w:lang w:val="en-US" w:eastAsia="zh-CN"/>
                    </w:rPr>
                  </w:pPr>
                </w:p>
              </w:tc>
              <w:tc>
                <w:tcPr>
                  <w:tcW w:w="506" w:type="pct"/>
                  <w:vMerge w:val="continue"/>
                  <w:noWrap w:val="0"/>
                  <w:vAlign w:val="center"/>
                </w:tcPr>
                <w:p w14:paraId="1ADBBB8E">
                  <w:pPr>
                    <w:pStyle w:val="126"/>
                    <w:ind w:left="0" w:leftChars="0" w:firstLine="0" w:firstLineChars="0"/>
                    <w:jc w:val="center"/>
                    <w:rPr>
                      <w:rFonts w:hint="default"/>
                      <w:color w:val="auto"/>
                      <w:sz w:val="18"/>
                      <w:szCs w:val="18"/>
                      <w:lang w:val="en-US" w:eastAsia="zh-CN"/>
                    </w:rPr>
                  </w:pPr>
                </w:p>
              </w:tc>
              <w:tc>
                <w:tcPr>
                  <w:tcW w:w="247" w:type="pct"/>
                  <w:vMerge w:val="continue"/>
                  <w:noWrap w:val="0"/>
                  <w:vAlign w:val="center"/>
                </w:tcPr>
                <w:p w14:paraId="013FB38F">
                  <w:pPr>
                    <w:pStyle w:val="126"/>
                    <w:ind w:left="0" w:leftChars="0" w:firstLine="0" w:firstLineChars="0"/>
                    <w:jc w:val="center"/>
                    <w:rPr>
                      <w:rFonts w:hint="default"/>
                      <w:color w:val="auto"/>
                      <w:sz w:val="18"/>
                      <w:szCs w:val="18"/>
                      <w:lang w:val="en-US" w:eastAsia="zh-CN"/>
                    </w:rPr>
                  </w:pPr>
                </w:p>
              </w:tc>
            </w:tr>
            <w:tr w14:paraId="35412B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52" w:hRule="atLeast"/>
                <w:jc w:val="center"/>
              </w:trPr>
              <w:tc>
                <w:tcPr>
                  <w:tcW w:w="246" w:type="pct"/>
                  <w:noWrap w:val="0"/>
                  <w:vAlign w:val="center"/>
                </w:tcPr>
                <w:p w14:paraId="02A93248">
                  <w:pPr>
                    <w:pStyle w:val="126"/>
                    <w:ind w:left="0" w:leftChars="0" w:firstLine="0" w:firstLineChars="0"/>
                    <w:jc w:val="center"/>
                    <w:rPr>
                      <w:rFonts w:hint="default"/>
                      <w:color w:val="auto"/>
                      <w:sz w:val="18"/>
                      <w:szCs w:val="18"/>
                      <w:lang w:val="en-US" w:eastAsia="zh-CN"/>
                    </w:rPr>
                  </w:pPr>
                  <w:r>
                    <w:rPr>
                      <w:rFonts w:hint="default"/>
                      <w:color w:val="auto"/>
                      <w:sz w:val="18"/>
                      <w:szCs w:val="18"/>
                      <w:lang w:val="en-US" w:eastAsia="zh-CN"/>
                    </w:rPr>
                    <w:t>1</w:t>
                  </w:r>
                </w:p>
              </w:tc>
              <w:tc>
                <w:tcPr>
                  <w:tcW w:w="301" w:type="pct"/>
                  <w:noWrap w:val="0"/>
                  <w:vAlign w:val="center"/>
                </w:tcPr>
                <w:p w14:paraId="7EC56070">
                  <w:pPr>
                    <w:pStyle w:val="126"/>
                    <w:ind w:left="0" w:leftChars="0" w:firstLine="0" w:firstLineChars="0"/>
                    <w:jc w:val="center"/>
                    <w:rPr>
                      <w:rFonts w:hint="default"/>
                      <w:color w:val="auto"/>
                      <w:sz w:val="18"/>
                      <w:szCs w:val="18"/>
                      <w:lang w:val="en-US" w:eastAsia="zh-CN"/>
                    </w:rPr>
                  </w:pPr>
                  <w:r>
                    <w:rPr>
                      <w:rFonts w:hint="eastAsia"/>
                      <w:color w:val="auto"/>
                      <w:sz w:val="18"/>
                      <w:szCs w:val="18"/>
                      <w:lang w:val="en-US" w:eastAsia="zh-CN"/>
                    </w:rPr>
                    <w:t>医疗废水</w:t>
                  </w:r>
                </w:p>
              </w:tc>
              <w:tc>
                <w:tcPr>
                  <w:tcW w:w="904" w:type="pct"/>
                  <w:noWrap w:val="0"/>
                  <w:vAlign w:val="center"/>
                </w:tcPr>
                <w:p w14:paraId="5E2EBB4F">
                  <w:pPr>
                    <w:pStyle w:val="126"/>
                    <w:ind w:left="0" w:leftChars="0" w:firstLine="0" w:firstLineChars="0"/>
                    <w:jc w:val="center"/>
                    <w:rPr>
                      <w:rFonts w:hint="default"/>
                      <w:color w:val="auto"/>
                      <w:sz w:val="18"/>
                      <w:szCs w:val="18"/>
                      <w:lang w:val="en-US" w:eastAsia="zh-CN"/>
                    </w:rPr>
                  </w:pPr>
                  <w:r>
                    <w:rPr>
                      <w:rFonts w:hint="default"/>
                      <w:color w:val="auto"/>
                      <w:sz w:val="18"/>
                      <w:szCs w:val="18"/>
                      <w:lang w:val="en-US" w:eastAsia="zh-CN"/>
                    </w:rPr>
                    <w:t>pH</w:t>
                  </w:r>
                  <w:r>
                    <w:rPr>
                      <w:rFonts w:hint="eastAsia"/>
                      <w:color w:val="auto"/>
                      <w:sz w:val="18"/>
                      <w:szCs w:val="18"/>
                      <w:lang w:val="en-US" w:eastAsia="zh-CN"/>
                    </w:rPr>
                    <w:t>、</w:t>
                  </w:r>
                  <w:r>
                    <w:rPr>
                      <w:rFonts w:hint="default"/>
                      <w:color w:val="auto"/>
                      <w:sz w:val="18"/>
                      <w:szCs w:val="18"/>
                      <w:lang w:val="en-US" w:eastAsia="zh-CN"/>
                    </w:rPr>
                    <w:t>COD</w:t>
                  </w:r>
                  <w:r>
                    <w:rPr>
                      <w:rFonts w:hint="eastAsia"/>
                      <w:color w:val="auto"/>
                      <w:sz w:val="18"/>
                      <w:szCs w:val="18"/>
                      <w:lang w:val="en-US" w:eastAsia="zh-CN"/>
                    </w:rPr>
                    <w:t>、</w:t>
                  </w:r>
                  <w:r>
                    <w:rPr>
                      <w:rFonts w:hint="default"/>
                      <w:color w:val="auto"/>
                      <w:sz w:val="18"/>
                      <w:szCs w:val="18"/>
                      <w:lang w:val="en-US" w:eastAsia="zh-CN"/>
                    </w:rPr>
                    <w:t>BOD</w:t>
                  </w:r>
                  <w:r>
                    <w:rPr>
                      <w:rFonts w:hint="default"/>
                      <w:color w:val="auto"/>
                      <w:sz w:val="18"/>
                      <w:szCs w:val="18"/>
                      <w:vertAlign w:val="subscript"/>
                      <w:lang w:val="en-US" w:eastAsia="zh-CN"/>
                    </w:rPr>
                    <w:t>5</w:t>
                  </w:r>
                  <w:r>
                    <w:rPr>
                      <w:rFonts w:hint="eastAsia"/>
                      <w:color w:val="auto"/>
                      <w:sz w:val="18"/>
                      <w:szCs w:val="18"/>
                      <w:lang w:val="en-US" w:eastAsia="zh-CN"/>
                    </w:rPr>
                    <w:t>、</w:t>
                  </w:r>
                  <w:r>
                    <w:rPr>
                      <w:rFonts w:hint="default"/>
                      <w:color w:val="auto"/>
                      <w:sz w:val="18"/>
                      <w:szCs w:val="18"/>
                      <w:lang w:val="en-US" w:eastAsia="zh-CN"/>
                    </w:rPr>
                    <w:t>SS</w:t>
                  </w:r>
                  <w:r>
                    <w:rPr>
                      <w:rFonts w:hint="eastAsia"/>
                      <w:color w:val="auto"/>
                      <w:sz w:val="18"/>
                      <w:szCs w:val="18"/>
                      <w:lang w:val="en-US" w:eastAsia="zh-CN"/>
                    </w:rPr>
                    <w:t>、</w:t>
                  </w:r>
                  <w:r>
                    <w:rPr>
                      <w:rFonts w:hint="default"/>
                      <w:color w:val="auto"/>
                      <w:sz w:val="18"/>
                      <w:szCs w:val="18"/>
                      <w:lang w:val="en-US" w:eastAsia="zh-CN"/>
                    </w:rPr>
                    <w:t>氨氮</w:t>
                  </w:r>
                  <w:r>
                    <w:rPr>
                      <w:rFonts w:hint="eastAsia"/>
                      <w:color w:val="auto"/>
                      <w:sz w:val="18"/>
                      <w:szCs w:val="18"/>
                      <w:lang w:val="en-US" w:eastAsia="zh-CN"/>
                    </w:rPr>
                    <w:t>、</w:t>
                  </w:r>
                  <w:r>
                    <w:rPr>
                      <w:rFonts w:hint="default"/>
                      <w:color w:val="auto"/>
                      <w:sz w:val="18"/>
                      <w:szCs w:val="18"/>
                      <w:lang w:val="en-US" w:eastAsia="zh-CN"/>
                    </w:rPr>
                    <w:t>动植物油</w:t>
                  </w:r>
                  <w:r>
                    <w:rPr>
                      <w:rFonts w:hint="eastAsia"/>
                      <w:color w:val="auto"/>
                      <w:sz w:val="18"/>
                      <w:szCs w:val="18"/>
                      <w:lang w:val="en-US" w:eastAsia="zh-CN"/>
                    </w:rPr>
                    <w:t>、</w:t>
                  </w:r>
                  <w:r>
                    <w:rPr>
                      <w:rFonts w:hint="default"/>
                      <w:color w:val="auto"/>
                      <w:sz w:val="18"/>
                      <w:szCs w:val="18"/>
                      <w:lang w:val="en-US" w:eastAsia="zh-CN"/>
                    </w:rPr>
                    <w:t>粪大肠菌群数（MPN/L）</w:t>
                  </w:r>
                  <w:r>
                    <w:rPr>
                      <w:rFonts w:hint="eastAsia"/>
                      <w:color w:val="auto"/>
                      <w:sz w:val="18"/>
                      <w:szCs w:val="18"/>
                      <w:lang w:val="en-US" w:eastAsia="zh-CN"/>
                    </w:rPr>
                    <w:t>、</w:t>
                  </w:r>
                  <w:r>
                    <w:rPr>
                      <w:rFonts w:hint="default"/>
                      <w:color w:val="auto"/>
                      <w:sz w:val="18"/>
                      <w:szCs w:val="18"/>
                      <w:lang w:val="en-US" w:eastAsia="zh-CN"/>
                    </w:rPr>
                    <w:t>阴离子表面活性剂</w:t>
                  </w:r>
                  <w:r>
                    <w:rPr>
                      <w:rFonts w:hint="eastAsia"/>
                      <w:color w:val="auto"/>
                      <w:sz w:val="18"/>
                      <w:szCs w:val="18"/>
                      <w:lang w:val="en-US" w:eastAsia="zh-CN"/>
                    </w:rPr>
                    <w:t>、</w:t>
                  </w:r>
                  <w:r>
                    <w:rPr>
                      <w:rFonts w:hint="default"/>
                      <w:color w:val="auto"/>
                      <w:sz w:val="18"/>
                      <w:szCs w:val="18"/>
                      <w:lang w:val="en-US" w:eastAsia="zh-CN"/>
                    </w:rPr>
                    <w:t>总余氯</w:t>
                  </w:r>
                </w:p>
              </w:tc>
              <w:tc>
                <w:tcPr>
                  <w:tcW w:w="623" w:type="pct"/>
                  <w:noWrap w:val="0"/>
                  <w:vAlign w:val="center"/>
                </w:tcPr>
                <w:p w14:paraId="3C3CD963">
                  <w:pPr>
                    <w:pStyle w:val="126"/>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院区污水处理站处理后排入市政管网再进入泗县污水处理厂处理</w:t>
                  </w:r>
                </w:p>
              </w:tc>
              <w:tc>
                <w:tcPr>
                  <w:tcW w:w="458" w:type="pct"/>
                  <w:vMerge w:val="restart"/>
                  <w:noWrap w:val="0"/>
                  <w:vAlign w:val="center"/>
                </w:tcPr>
                <w:p w14:paraId="21CFC7CD">
                  <w:pPr>
                    <w:pStyle w:val="126"/>
                    <w:ind w:left="0" w:leftChars="0" w:firstLine="0" w:firstLineChars="0"/>
                    <w:jc w:val="center"/>
                    <w:rPr>
                      <w:rFonts w:hint="default"/>
                      <w:color w:val="auto"/>
                      <w:sz w:val="18"/>
                      <w:szCs w:val="18"/>
                      <w:lang w:val="en-US" w:eastAsia="zh-CN"/>
                    </w:rPr>
                  </w:pPr>
                  <w:r>
                    <w:rPr>
                      <w:rFonts w:hint="eastAsia"/>
                      <w:color w:val="auto"/>
                      <w:sz w:val="18"/>
                      <w:szCs w:val="18"/>
                      <w:lang w:val="en-US" w:eastAsia="zh-CN"/>
                    </w:rPr>
                    <w:t>间接排放，不连续</w:t>
                  </w:r>
                </w:p>
              </w:tc>
              <w:tc>
                <w:tcPr>
                  <w:tcW w:w="425" w:type="pct"/>
                  <w:vMerge w:val="restart"/>
                  <w:noWrap w:val="0"/>
                  <w:vAlign w:val="center"/>
                </w:tcPr>
                <w:p w14:paraId="5328A19E">
                  <w:pPr>
                    <w:pStyle w:val="126"/>
                    <w:ind w:left="0" w:leftChars="0" w:firstLine="0" w:firstLineChars="0"/>
                    <w:jc w:val="center"/>
                    <w:rPr>
                      <w:rFonts w:hint="default"/>
                      <w:color w:val="auto"/>
                      <w:sz w:val="18"/>
                      <w:szCs w:val="18"/>
                      <w:lang w:val="en-US" w:eastAsia="zh-CN"/>
                    </w:rPr>
                  </w:pPr>
                  <w:r>
                    <w:rPr>
                      <w:rFonts w:hint="eastAsia"/>
                      <w:color w:val="auto"/>
                      <w:sz w:val="18"/>
                      <w:szCs w:val="18"/>
                      <w:lang w:val="en-US" w:eastAsia="zh-CN"/>
                    </w:rPr>
                    <w:t>TW001</w:t>
                  </w:r>
                </w:p>
              </w:tc>
              <w:tc>
                <w:tcPr>
                  <w:tcW w:w="411" w:type="pct"/>
                  <w:noWrap w:val="0"/>
                  <w:vAlign w:val="center"/>
                </w:tcPr>
                <w:p w14:paraId="75A6F8EA">
                  <w:pPr>
                    <w:pStyle w:val="126"/>
                    <w:ind w:left="0" w:leftChars="0" w:firstLine="0" w:firstLineChars="0"/>
                    <w:jc w:val="center"/>
                    <w:rPr>
                      <w:rFonts w:hint="eastAsia"/>
                      <w:color w:val="auto"/>
                      <w:sz w:val="18"/>
                      <w:szCs w:val="18"/>
                      <w:lang w:val="en-US" w:eastAsia="zh-CN"/>
                    </w:rPr>
                  </w:pPr>
                  <w:r>
                    <w:rPr>
                      <w:rFonts w:hint="eastAsia"/>
                      <w:color w:val="auto"/>
                      <w:sz w:val="18"/>
                      <w:szCs w:val="18"/>
                      <w:highlight w:val="none"/>
                      <w:lang w:val="en-US" w:eastAsia="zh-CN"/>
                    </w:rPr>
                    <w:t>院区污水处理站</w:t>
                  </w:r>
                </w:p>
              </w:tc>
              <w:tc>
                <w:tcPr>
                  <w:tcW w:w="444" w:type="pct"/>
                  <w:noWrap w:val="0"/>
                  <w:vAlign w:val="center"/>
                </w:tcPr>
                <w:p w14:paraId="2248131A">
                  <w:pPr>
                    <w:pStyle w:val="126"/>
                    <w:ind w:left="0" w:leftChars="0" w:firstLine="0" w:firstLineChars="0"/>
                    <w:jc w:val="center"/>
                    <w:rPr>
                      <w:rFonts w:hint="default"/>
                      <w:color w:val="auto"/>
                      <w:sz w:val="18"/>
                      <w:szCs w:val="18"/>
                      <w:lang w:val="en-US" w:eastAsia="zh-CN"/>
                    </w:rPr>
                  </w:pPr>
                  <w:r>
                    <w:rPr>
                      <w:rFonts w:hint="eastAsia" w:ascii="Times New Roman" w:hAnsi="Times New Roman" w:cs="Times New Roman"/>
                      <w:color w:val="auto"/>
                      <w:spacing w:val="0"/>
                      <w:w w:val="100"/>
                      <w:position w:val="0"/>
                      <w:sz w:val="21"/>
                      <w:szCs w:val="21"/>
                      <w:lang w:val="en-US" w:eastAsia="zh-CN"/>
                    </w:rPr>
                    <w:t>一体化生化污水处理设备</w:t>
                  </w:r>
                  <w:r>
                    <w:rPr>
                      <w:rFonts w:hint="eastAsia" w:cs="Times New Roman"/>
                      <w:color w:val="auto"/>
                      <w:sz w:val="18"/>
                      <w:szCs w:val="18"/>
                      <w:lang w:val="en-US" w:eastAsia="zh-CN"/>
                    </w:rPr>
                    <w:t>+二氧化氯消毒</w:t>
                  </w:r>
                </w:p>
              </w:tc>
              <w:tc>
                <w:tcPr>
                  <w:tcW w:w="431" w:type="pct"/>
                  <w:vMerge w:val="restart"/>
                  <w:noWrap w:val="0"/>
                  <w:vAlign w:val="center"/>
                </w:tcPr>
                <w:p w14:paraId="6EED150F">
                  <w:pPr>
                    <w:pStyle w:val="126"/>
                    <w:ind w:left="0" w:leftChars="0" w:firstLine="0" w:firstLineChars="0"/>
                    <w:jc w:val="center"/>
                    <w:rPr>
                      <w:rFonts w:hint="default"/>
                      <w:color w:val="auto"/>
                      <w:sz w:val="18"/>
                      <w:szCs w:val="18"/>
                      <w:lang w:val="en-US" w:eastAsia="zh-CN"/>
                    </w:rPr>
                  </w:pPr>
                  <w:r>
                    <w:rPr>
                      <w:rFonts w:hint="eastAsia"/>
                      <w:color w:val="auto"/>
                      <w:sz w:val="18"/>
                      <w:szCs w:val="18"/>
                      <w:lang w:val="en-US" w:eastAsia="zh-CN"/>
                    </w:rPr>
                    <w:t>DW001</w:t>
                  </w:r>
                </w:p>
              </w:tc>
              <w:tc>
                <w:tcPr>
                  <w:tcW w:w="506" w:type="pct"/>
                  <w:vMerge w:val="restart"/>
                  <w:noWrap w:val="0"/>
                  <w:vAlign w:val="center"/>
                </w:tcPr>
                <w:p w14:paraId="3CBCF2A8">
                  <w:pPr>
                    <w:pStyle w:val="126"/>
                    <w:ind w:left="0" w:leftChars="0" w:firstLine="0" w:firstLineChars="0"/>
                    <w:jc w:val="center"/>
                    <w:rPr>
                      <w:rFonts w:hint="eastAsia"/>
                      <w:color w:val="auto"/>
                      <w:sz w:val="18"/>
                      <w:szCs w:val="18"/>
                      <w:lang w:val="en-US" w:eastAsia="zh-CN"/>
                    </w:rPr>
                  </w:pPr>
                  <w:r>
                    <w:rPr>
                      <w:rFonts w:hint="eastAsia"/>
                      <w:color w:val="auto"/>
                      <w:sz w:val="18"/>
                      <w:szCs w:val="18"/>
                      <w:lang w:val="en-US" w:eastAsia="zh-CN"/>
                    </w:rPr>
                    <w:t>是</w:t>
                  </w:r>
                </w:p>
              </w:tc>
              <w:tc>
                <w:tcPr>
                  <w:tcW w:w="247" w:type="pct"/>
                  <w:vMerge w:val="restart"/>
                  <w:noWrap w:val="0"/>
                  <w:vAlign w:val="center"/>
                </w:tcPr>
                <w:p w14:paraId="6E3BC77A">
                  <w:pPr>
                    <w:pStyle w:val="126"/>
                    <w:ind w:left="0" w:leftChars="0" w:firstLine="0" w:firstLineChars="0"/>
                    <w:jc w:val="center"/>
                    <w:rPr>
                      <w:rFonts w:hint="default"/>
                      <w:color w:val="auto"/>
                      <w:sz w:val="18"/>
                      <w:szCs w:val="18"/>
                      <w:lang w:val="en-US" w:eastAsia="zh-CN"/>
                    </w:rPr>
                  </w:pPr>
                  <w:r>
                    <w:rPr>
                      <w:rFonts w:hint="eastAsia"/>
                      <w:color w:val="auto"/>
                      <w:sz w:val="18"/>
                      <w:szCs w:val="18"/>
                      <w:lang w:val="en-US" w:eastAsia="zh-CN"/>
                    </w:rPr>
                    <w:t>一般排放口</w:t>
                  </w:r>
                </w:p>
              </w:tc>
            </w:tr>
            <w:tr w14:paraId="2BD875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52" w:hRule="atLeast"/>
                <w:jc w:val="center"/>
              </w:trPr>
              <w:tc>
                <w:tcPr>
                  <w:tcW w:w="246" w:type="pct"/>
                  <w:noWrap w:val="0"/>
                  <w:vAlign w:val="center"/>
                </w:tcPr>
                <w:p w14:paraId="05AED194">
                  <w:pPr>
                    <w:pStyle w:val="126"/>
                    <w:ind w:left="0" w:leftChars="0" w:firstLine="0" w:firstLineChars="0"/>
                    <w:jc w:val="center"/>
                    <w:rPr>
                      <w:rFonts w:hint="default"/>
                      <w:color w:val="auto"/>
                      <w:sz w:val="18"/>
                      <w:szCs w:val="18"/>
                      <w:lang w:val="en-US" w:eastAsia="zh-CN"/>
                    </w:rPr>
                  </w:pPr>
                  <w:r>
                    <w:rPr>
                      <w:rFonts w:hint="eastAsia"/>
                      <w:color w:val="auto"/>
                      <w:sz w:val="18"/>
                      <w:szCs w:val="18"/>
                      <w:lang w:val="en-US" w:eastAsia="zh-CN"/>
                    </w:rPr>
                    <w:t>2</w:t>
                  </w:r>
                </w:p>
              </w:tc>
              <w:tc>
                <w:tcPr>
                  <w:tcW w:w="301" w:type="pct"/>
                  <w:noWrap w:val="0"/>
                  <w:vAlign w:val="center"/>
                </w:tcPr>
                <w:p w14:paraId="76E04FCD">
                  <w:pPr>
                    <w:pStyle w:val="126"/>
                    <w:ind w:left="0" w:leftChars="0" w:firstLine="0" w:firstLineChars="0"/>
                    <w:jc w:val="center"/>
                    <w:rPr>
                      <w:rFonts w:hint="default"/>
                      <w:color w:val="auto"/>
                      <w:sz w:val="18"/>
                      <w:szCs w:val="18"/>
                      <w:lang w:val="en-US" w:eastAsia="zh-CN"/>
                    </w:rPr>
                  </w:pPr>
                  <w:r>
                    <w:rPr>
                      <w:rFonts w:hint="eastAsia"/>
                      <w:color w:val="auto"/>
                      <w:sz w:val="18"/>
                      <w:szCs w:val="18"/>
                      <w:lang w:val="en-US" w:eastAsia="zh-CN"/>
                    </w:rPr>
                    <w:t>食堂废水</w:t>
                  </w:r>
                </w:p>
              </w:tc>
              <w:tc>
                <w:tcPr>
                  <w:tcW w:w="904" w:type="pct"/>
                  <w:noWrap w:val="0"/>
                  <w:vAlign w:val="center"/>
                </w:tcPr>
                <w:p w14:paraId="6DE30BA9">
                  <w:pPr>
                    <w:pStyle w:val="126"/>
                    <w:ind w:left="0" w:leftChars="0" w:firstLine="0" w:firstLineChars="0"/>
                    <w:jc w:val="center"/>
                    <w:rPr>
                      <w:rFonts w:hint="default"/>
                      <w:color w:val="auto"/>
                      <w:sz w:val="18"/>
                      <w:szCs w:val="18"/>
                      <w:lang w:val="en-US" w:eastAsia="zh-CN"/>
                    </w:rPr>
                  </w:pPr>
                  <w:r>
                    <w:rPr>
                      <w:rFonts w:hint="default"/>
                      <w:color w:val="auto"/>
                      <w:sz w:val="18"/>
                      <w:szCs w:val="18"/>
                      <w:lang w:val="en-US" w:eastAsia="zh-CN"/>
                    </w:rPr>
                    <w:t>pH</w:t>
                  </w:r>
                  <w:r>
                    <w:rPr>
                      <w:rFonts w:hint="eastAsia"/>
                      <w:color w:val="auto"/>
                      <w:sz w:val="18"/>
                      <w:szCs w:val="18"/>
                      <w:lang w:val="en-US" w:eastAsia="zh-CN"/>
                    </w:rPr>
                    <w:t>、</w:t>
                  </w:r>
                  <w:r>
                    <w:rPr>
                      <w:rFonts w:hint="default"/>
                      <w:color w:val="auto"/>
                      <w:sz w:val="18"/>
                      <w:szCs w:val="18"/>
                      <w:lang w:val="en-US" w:eastAsia="zh-CN"/>
                    </w:rPr>
                    <w:t>COD</w:t>
                  </w:r>
                  <w:r>
                    <w:rPr>
                      <w:rFonts w:hint="eastAsia"/>
                      <w:color w:val="auto"/>
                      <w:sz w:val="18"/>
                      <w:szCs w:val="18"/>
                      <w:lang w:val="en-US" w:eastAsia="zh-CN"/>
                    </w:rPr>
                    <w:t>、</w:t>
                  </w:r>
                  <w:r>
                    <w:rPr>
                      <w:rFonts w:hint="default"/>
                      <w:color w:val="auto"/>
                      <w:sz w:val="18"/>
                      <w:szCs w:val="18"/>
                      <w:lang w:val="en-US" w:eastAsia="zh-CN"/>
                    </w:rPr>
                    <w:t>BOD</w:t>
                  </w:r>
                  <w:r>
                    <w:rPr>
                      <w:rFonts w:hint="default"/>
                      <w:color w:val="auto"/>
                      <w:sz w:val="18"/>
                      <w:szCs w:val="18"/>
                      <w:vertAlign w:val="subscript"/>
                      <w:lang w:val="en-US" w:eastAsia="zh-CN"/>
                    </w:rPr>
                    <w:t>5</w:t>
                  </w:r>
                  <w:r>
                    <w:rPr>
                      <w:rFonts w:hint="eastAsia"/>
                      <w:color w:val="auto"/>
                      <w:sz w:val="18"/>
                      <w:szCs w:val="18"/>
                      <w:lang w:val="en-US" w:eastAsia="zh-CN"/>
                    </w:rPr>
                    <w:t>、</w:t>
                  </w:r>
                  <w:r>
                    <w:rPr>
                      <w:rFonts w:hint="default"/>
                      <w:color w:val="auto"/>
                      <w:sz w:val="18"/>
                      <w:szCs w:val="18"/>
                      <w:lang w:val="en-US" w:eastAsia="zh-CN"/>
                    </w:rPr>
                    <w:t>SS</w:t>
                  </w:r>
                  <w:r>
                    <w:rPr>
                      <w:rFonts w:hint="eastAsia"/>
                      <w:color w:val="auto"/>
                      <w:sz w:val="18"/>
                      <w:szCs w:val="18"/>
                      <w:lang w:val="en-US" w:eastAsia="zh-CN"/>
                    </w:rPr>
                    <w:t>、</w:t>
                  </w:r>
                  <w:r>
                    <w:rPr>
                      <w:rFonts w:hint="default"/>
                      <w:color w:val="auto"/>
                      <w:sz w:val="18"/>
                      <w:szCs w:val="18"/>
                      <w:lang w:val="en-US" w:eastAsia="zh-CN"/>
                    </w:rPr>
                    <w:t>氨氮</w:t>
                  </w:r>
                  <w:r>
                    <w:rPr>
                      <w:rFonts w:hint="eastAsia"/>
                      <w:color w:val="auto"/>
                      <w:sz w:val="18"/>
                      <w:szCs w:val="18"/>
                      <w:lang w:val="en-US" w:eastAsia="zh-CN"/>
                    </w:rPr>
                    <w:t>、</w:t>
                  </w:r>
                  <w:r>
                    <w:rPr>
                      <w:rFonts w:hint="default"/>
                      <w:color w:val="auto"/>
                      <w:sz w:val="18"/>
                      <w:szCs w:val="18"/>
                      <w:lang w:val="en-US" w:eastAsia="zh-CN"/>
                    </w:rPr>
                    <w:t>动植物油</w:t>
                  </w:r>
                </w:p>
              </w:tc>
              <w:tc>
                <w:tcPr>
                  <w:tcW w:w="623" w:type="pct"/>
                  <w:noWrap w:val="0"/>
                  <w:vAlign w:val="center"/>
                </w:tcPr>
                <w:p w14:paraId="35CC6B73">
                  <w:pPr>
                    <w:pStyle w:val="126"/>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经隔油池和院区污水处理站处理后排入市政管网再进入泗县污水处理厂处理</w:t>
                  </w:r>
                </w:p>
              </w:tc>
              <w:tc>
                <w:tcPr>
                  <w:tcW w:w="458" w:type="pct"/>
                  <w:vMerge w:val="continue"/>
                  <w:noWrap w:val="0"/>
                  <w:vAlign w:val="center"/>
                </w:tcPr>
                <w:p w14:paraId="5E47345F">
                  <w:pPr>
                    <w:pStyle w:val="126"/>
                    <w:ind w:left="0" w:leftChars="0" w:firstLine="0" w:firstLineChars="0"/>
                    <w:jc w:val="center"/>
                    <w:rPr>
                      <w:rFonts w:hint="eastAsia"/>
                      <w:color w:val="auto"/>
                      <w:sz w:val="18"/>
                      <w:szCs w:val="18"/>
                      <w:lang w:val="en-US" w:eastAsia="zh-CN"/>
                    </w:rPr>
                  </w:pPr>
                </w:p>
              </w:tc>
              <w:tc>
                <w:tcPr>
                  <w:tcW w:w="425" w:type="pct"/>
                  <w:vMerge w:val="continue"/>
                  <w:noWrap w:val="0"/>
                  <w:vAlign w:val="center"/>
                </w:tcPr>
                <w:p w14:paraId="2F565067">
                  <w:pPr>
                    <w:pStyle w:val="126"/>
                    <w:ind w:left="0" w:leftChars="0" w:firstLine="0" w:firstLineChars="0"/>
                    <w:jc w:val="center"/>
                    <w:rPr>
                      <w:rFonts w:hint="eastAsia"/>
                      <w:color w:val="auto"/>
                      <w:sz w:val="18"/>
                      <w:szCs w:val="18"/>
                      <w:lang w:val="en-US" w:eastAsia="zh-CN"/>
                    </w:rPr>
                  </w:pPr>
                </w:p>
              </w:tc>
              <w:tc>
                <w:tcPr>
                  <w:tcW w:w="411" w:type="pct"/>
                  <w:noWrap w:val="0"/>
                  <w:vAlign w:val="center"/>
                </w:tcPr>
                <w:p w14:paraId="7DD89134">
                  <w:pPr>
                    <w:pStyle w:val="126"/>
                    <w:ind w:left="0" w:leftChars="0"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隔油池+院区污水处理站</w:t>
                  </w:r>
                </w:p>
              </w:tc>
              <w:tc>
                <w:tcPr>
                  <w:tcW w:w="444" w:type="pct"/>
                  <w:noWrap w:val="0"/>
                  <w:vAlign w:val="center"/>
                </w:tcPr>
                <w:p w14:paraId="784746C7">
                  <w:pPr>
                    <w:pStyle w:val="126"/>
                    <w:ind w:left="0" w:leftChars="0" w:firstLine="0" w:firstLineChars="0"/>
                    <w:jc w:val="center"/>
                    <w:rPr>
                      <w:rFonts w:hint="default" w:cs="Times New Roman"/>
                      <w:color w:val="auto"/>
                      <w:sz w:val="18"/>
                      <w:szCs w:val="18"/>
                      <w:lang w:val="en-US" w:eastAsia="zh-CN"/>
                    </w:rPr>
                  </w:pPr>
                  <w:r>
                    <w:rPr>
                      <w:rFonts w:hint="eastAsia" w:cs="Times New Roman"/>
                      <w:color w:val="auto"/>
                      <w:sz w:val="18"/>
                      <w:szCs w:val="18"/>
                      <w:lang w:val="en-US" w:eastAsia="zh-CN"/>
                    </w:rPr>
                    <w:t>隔油池+</w:t>
                  </w:r>
                  <w:r>
                    <w:rPr>
                      <w:rFonts w:hint="eastAsia" w:ascii="Times New Roman" w:hAnsi="Times New Roman" w:cs="Times New Roman"/>
                      <w:color w:val="auto"/>
                      <w:spacing w:val="0"/>
                      <w:w w:val="100"/>
                      <w:position w:val="0"/>
                      <w:sz w:val="21"/>
                      <w:szCs w:val="21"/>
                      <w:lang w:val="en-US" w:eastAsia="zh-CN"/>
                    </w:rPr>
                    <w:t>一体化生化污水处理设备</w:t>
                  </w:r>
                  <w:r>
                    <w:rPr>
                      <w:rFonts w:hint="eastAsia" w:cs="Times New Roman"/>
                      <w:color w:val="auto"/>
                      <w:sz w:val="18"/>
                      <w:szCs w:val="18"/>
                      <w:lang w:val="en-US" w:eastAsia="zh-CN"/>
                    </w:rPr>
                    <w:t>+二氧化氯消毒</w:t>
                  </w:r>
                </w:p>
              </w:tc>
              <w:tc>
                <w:tcPr>
                  <w:tcW w:w="431" w:type="pct"/>
                  <w:vMerge w:val="continue"/>
                  <w:noWrap w:val="0"/>
                  <w:vAlign w:val="center"/>
                </w:tcPr>
                <w:p w14:paraId="29B0DCCB">
                  <w:pPr>
                    <w:pStyle w:val="126"/>
                    <w:ind w:left="0" w:leftChars="0" w:firstLine="0" w:firstLineChars="0"/>
                    <w:jc w:val="center"/>
                    <w:rPr>
                      <w:rFonts w:hint="eastAsia"/>
                      <w:color w:val="auto"/>
                      <w:sz w:val="18"/>
                      <w:szCs w:val="18"/>
                      <w:lang w:val="en-US" w:eastAsia="zh-CN"/>
                    </w:rPr>
                  </w:pPr>
                </w:p>
              </w:tc>
              <w:tc>
                <w:tcPr>
                  <w:tcW w:w="506" w:type="pct"/>
                  <w:vMerge w:val="continue"/>
                  <w:noWrap w:val="0"/>
                  <w:vAlign w:val="center"/>
                </w:tcPr>
                <w:p w14:paraId="20110A4F">
                  <w:pPr>
                    <w:pStyle w:val="126"/>
                    <w:ind w:left="0" w:leftChars="0" w:firstLine="0" w:firstLineChars="0"/>
                    <w:jc w:val="center"/>
                    <w:rPr>
                      <w:rFonts w:hint="eastAsia"/>
                      <w:color w:val="auto"/>
                      <w:sz w:val="18"/>
                      <w:szCs w:val="18"/>
                      <w:lang w:val="en-US" w:eastAsia="zh-CN"/>
                    </w:rPr>
                  </w:pPr>
                </w:p>
              </w:tc>
              <w:tc>
                <w:tcPr>
                  <w:tcW w:w="247" w:type="pct"/>
                  <w:vMerge w:val="continue"/>
                  <w:noWrap w:val="0"/>
                  <w:vAlign w:val="center"/>
                </w:tcPr>
                <w:p w14:paraId="1BC6F971">
                  <w:pPr>
                    <w:pStyle w:val="126"/>
                    <w:ind w:left="0" w:leftChars="0" w:firstLine="0" w:firstLineChars="0"/>
                    <w:jc w:val="center"/>
                    <w:rPr>
                      <w:rFonts w:hint="eastAsia"/>
                      <w:color w:val="auto"/>
                      <w:sz w:val="18"/>
                      <w:szCs w:val="18"/>
                      <w:lang w:val="en-US" w:eastAsia="zh-CN"/>
                    </w:rPr>
                  </w:pPr>
                </w:p>
              </w:tc>
            </w:tr>
          </w:tbl>
          <w:p w14:paraId="1D99E2AD">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综上，污水处理设施采取的污水处理工艺技术上可行。</w:t>
            </w:r>
          </w:p>
          <w:p w14:paraId="6B86DD2E">
            <w:pPr>
              <w:bidi w:val="0"/>
              <w:jc w:val="both"/>
              <w:rPr>
                <w:rFonts w:hint="default" w:ascii="Times New Roman" w:hAnsi="Times New Roman" w:eastAsia="宋体" w:cs="Times New Roman"/>
                <w:b w:val="0"/>
                <w:bCs w:val="0"/>
                <w:color w:val="auto"/>
                <w:spacing w:val="0"/>
                <w:w w:val="100"/>
                <w:position w:val="0"/>
                <w:sz w:val="24"/>
                <w:szCs w:val="24"/>
                <w:lang w:val="en-US" w:eastAsia="zh-CN"/>
              </w:rPr>
            </w:pPr>
            <w:r>
              <w:rPr>
                <w:rFonts w:hint="default" w:ascii="Times New Roman" w:hAnsi="Times New Roman" w:eastAsia="宋体" w:cs="Times New Roman"/>
                <w:b w:val="0"/>
                <w:bCs w:val="0"/>
                <w:color w:val="auto"/>
                <w:spacing w:val="0"/>
                <w:w w:val="100"/>
                <w:position w:val="0"/>
                <w:sz w:val="24"/>
                <w:szCs w:val="24"/>
                <w:lang w:val="en-US" w:eastAsia="zh-CN"/>
              </w:rPr>
              <w:t>（</w:t>
            </w:r>
            <w:r>
              <w:rPr>
                <w:rFonts w:hint="eastAsia" w:ascii="Times New Roman" w:hAnsi="Times New Roman" w:eastAsia="宋体" w:cs="Times New Roman"/>
                <w:b w:val="0"/>
                <w:bCs w:val="0"/>
                <w:color w:val="auto"/>
                <w:spacing w:val="0"/>
                <w:w w:val="100"/>
                <w:position w:val="0"/>
                <w:sz w:val="24"/>
                <w:szCs w:val="24"/>
                <w:lang w:val="en-US" w:eastAsia="zh-CN"/>
              </w:rPr>
              <w:t>3</w:t>
            </w:r>
            <w:r>
              <w:rPr>
                <w:rFonts w:hint="default" w:ascii="Times New Roman" w:hAnsi="Times New Roman" w:eastAsia="宋体" w:cs="Times New Roman"/>
                <w:b w:val="0"/>
                <w:bCs w:val="0"/>
                <w:color w:val="auto"/>
                <w:spacing w:val="0"/>
                <w:w w:val="100"/>
                <w:position w:val="0"/>
                <w:sz w:val="24"/>
                <w:szCs w:val="24"/>
                <w:lang w:val="en-US" w:eastAsia="zh-CN"/>
              </w:rPr>
              <w:t>）</w:t>
            </w:r>
            <w:r>
              <w:rPr>
                <w:rFonts w:hint="eastAsia" w:ascii="Times New Roman" w:hAnsi="Times New Roman" w:eastAsia="宋体" w:cs="Times New Roman"/>
                <w:b w:val="0"/>
                <w:bCs w:val="0"/>
                <w:color w:val="auto"/>
                <w:spacing w:val="0"/>
                <w:w w:val="100"/>
                <w:position w:val="0"/>
                <w:sz w:val="24"/>
                <w:szCs w:val="24"/>
                <w:lang w:val="en-US" w:eastAsia="zh-CN"/>
              </w:rPr>
              <w:t>依托泗县污水处理厂入厂进一步处理可行性分析</w:t>
            </w:r>
          </w:p>
          <w:p w14:paraId="44C5BECA">
            <w:pPr>
              <w:keepNext w:val="0"/>
              <w:keepLines w:val="0"/>
              <w:widowControl/>
              <w:suppressLineNumbers w:val="0"/>
              <w:jc w:val="both"/>
              <w:rPr>
                <w:rFonts w:hint="default" w:ascii="Times New Roman" w:hAnsi="Times New Roman" w:eastAsia="宋体" w:cs="Times New Roman"/>
                <w:color w:val="auto"/>
                <w:spacing w:val="0"/>
                <w:sz w:val="24"/>
                <w:szCs w:val="24"/>
              </w:rPr>
            </w:pPr>
            <w:r>
              <w:rPr>
                <w:rFonts w:hint="eastAsia" w:ascii="宋体" w:hAnsi="宋体" w:eastAsia="宋体" w:cs="宋体"/>
                <w:color w:val="auto"/>
                <w:spacing w:val="0"/>
                <w:sz w:val="24"/>
                <w:szCs w:val="24"/>
              </w:rPr>
              <w:t>①</w:t>
            </w:r>
            <w:r>
              <w:rPr>
                <w:rFonts w:hint="default" w:ascii="Times New Roman" w:hAnsi="Times New Roman" w:eastAsia="宋体" w:cs="Times New Roman"/>
                <w:color w:val="auto"/>
                <w:spacing w:val="0"/>
                <w:sz w:val="24"/>
                <w:szCs w:val="24"/>
              </w:rPr>
              <w:t>从接管时间及规模上分析：</w:t>
            </w:r>
            <w:r>
              <w:rPr>
                <w:rFonts w:hint="eastAsia"/>
                <w:color w:val="auto"/>
              </w:rPr>
              <w:t>泗县污水处理厂位于泗县南关南柳路南、石梁河西，于2008年正式运营，</w:t>
            </w:r>
            <w:r>
              <w:rPr>
                <w:color w:val="auto"/>
              </w:rPr>
              <w:t>日处理量约</w:t>
            </w:r>
            <w:r>
              <w:rPr>
                <w:rFonts w:hint="eastAsia"/>
                <w:color w:val="auto"/>
              </w:rPr>
              <w:t>4</w:t>
            </w:r>
            <w:r>
              <w:rPr>
                <w:color w:val="auto"/>
              </w:rPr>
              <w:t>万m</w:t>
            </w:r>
            <w:r>
              <w:rPr>
                <w:color w:val="auto"/>
                <w:vertAlign w:val="superscript"/>
              </w:rPr>
              <w:t>3</w:t>
            </w:r>
            <w:r>
              <w:rPr>
                <w:color w:val="auto"/>
              </w:rPr>
              <w:t>/d，</w:t>
            </w:r>
            <w:r>
              <w:rPr>
                <w:rFonts w:hint="eastAsia"/>
                <w:color w:val="auto"/>
              </w:rPr>
              <w:t>目前已接管水量约</w:t>
            </w:r>
            <w:r>
              <w:rPr>
                <w:rFonts w:hint="eastAsia"/>
                <w:color w:val="auto"/>
                <w:lang w:val="en-US" w:eastAsia="zh-CN"/>
              </w:rPr>
              <w:t>3.8</w:t>
            </w:r>
            <w:r>
              <w:rPr>
                <w:color w:val="auto"/>
              </w:rPr>
              <w:t>万m</w:t>
            </w:r>
            <w:r>
              <w:rPr>
                <w:color w:val="auto"/>
                <w:vertAlign w:val="superscript"/>
              </w:rPr>
              <w:t>3</w:t>
            </w:r>
            <w:r>
              <w:rPr>
                <w:color w:val="auto"/>
              </w:rPr>
              <w:t>/d</w:t>
            </w:r>
            <w:r>
              <w:rPr>
                <w:rFonts w:hint="eastAsia"/>
                <w:color w:val="auto"/>
              </w:rPr>
              <w:t>，</w:t>
            </w:r>
            <w:r>
              <w:rPr>
                <w:color w:val="auto"/>
              </w:rPr>
              <w:t>本项目建成后</w:t>
            </w:r>
            <w:r>
              <w:rPr>
                <w:rFonts w:hint="eastAsia"/>
                <w:color w:val="auto"/>
                <w:lang w:val="en-US" w:eastAsia="zh-CN"/>
              </w:rPr>
              <w:t>外排废水</w:t>
            </w:r>
            <w:r>
              <w:rPr>
                <w:color w:val="auto"/>
              </w:rPr>
              <w:t>量为</w:t>
            </w:r>
            <w:r>
              <w:rPr>
                <w:rFonts w:hint="eastAsia"/>
                <w:color w:val="auto"/>
                <w:lang w:val="en-US" w:eastAsia="zh-CN"/>
              </w:rPr>
              <w:t>30.984</w:t>
            </w:r>
            <w:r>
              <w:rPr>
                <w:color w:val="auto"/>
              </w:rPr>
              <w:t>m</w:t>
            </w:r>
            <w:r>
              <w:rPr>
                <w:color w:val="auto"/>
                <w:vertAlign w:val="superscript"/>
              </w:rPr>
              <w:t>3</w:t>
            </w:r>
            <w:r>
              <w:rPr>
                <w:color w:val="auto"/>
              </w:rPr>
              <w:t>/d，</w:t>
            </w:r>
            <w:r>
              <w:rPr>
                <w:rFonts w:hint="eastAsia"/>
                <w:color w:val="auto"/>
              </w:rPr>
              <w:t>仅</w:t>
            </w:r>
            <w:r>
              <w:rPr>
                <w:color w:val="auto"/>
              </w:rPr>
              <w:t>占</w:t>
            </w:r>
            <w:r>
              <w:rPr>
                <w:rFonts w:hint="eastAsia"/>
                <w:color w:val="auto"/>
                <w:lang w:eastAsia="zh-CN"/>
              </w:rPr>
              <w:t>污水处理厂</w:t>
            </w:r>
            <w:r>
              <w:rPr>
                <w:rFonts w:hint="eastAsia"/>
                <w:color w:val="auto"/>
              </w:rPr>
              <w:t>剩余</w:t>
            </w:r>
            <w:r>
              <w:rPr>
                <w:color w:val="auto"/>
              </w:rPr>
              <w:t>处理规模的</w:t>
            </w:r>
            <w:r>
              <w:rPr>
                <w:rFonts w:hint="eastAsia"/>
                <w:color w:val="auto"/>
                <w:lang w:val="en-US" w:eastAsia="zh-CN"/>
              </w:rPr>
              <w:t>0.08</w:t>
            </w:r>
            <w:r>
              <w:rPr>
                <w:rFonts w:hint="eastAsia"/>
                <w:color w:val="auto"/>
              </w:rPr>
              <w:t>%左右</w:t>
            </w:r>
            <w:r>
              <w:rPr>
                <w:color w:val="auto"/>
              </w:rPr>
              <w:t>。从水量接管上讲，</w:t>
            </w:r>
            <w:r>
              <w:rPr>
                <w:rFonts w:hint="eastAsia"/>
                <w:color w:val="auto"/>
                <w:lang w:eastAsia="zh-CN"/>
              </w:rPr>
              <w:t>泗县</w:t>
            </w:r>
            <w:r>
              <w:rPr>
                <w:rFonts w:hint="eastAsia"/>
                <w:color w:val="auto"/>
              </w:rPr>
              <w:t>污水处理厂</w:t>
            </w:r>
            <w:r>
              <w:rPr>
                <w:color w:val="auto"/>
              </w:rPr>
              <w:t>有能力接纳本项目的废水，建设项目的废水进入</w:t>
            </w:r>
            <w:r>
              <w:rPr>
                <w:rFonts w:hint="eastAsia"/>
                <w:color w:val="auto"/>
                <w:lang w:eastAsia="zh-CN"/>
              </w:rPr>
              <w:t>泗县</w:t>
            </w:r>
            <w:r>
              <w:rPr>
                <w:rFonts w:hint="eastAsia"/>
                <w:color w:val="auto"/>
              </w:rPr>
              <w:t>污水处理厂</w:t>
            </w:r>
            <w:r>
              <w:rPr>
                <w:color w:val="auto"/>
              </w:rPr>
              <w:t>是可行的</w:t>
            </w:r>
            <w:r>
              <w:rPr>
                <w:rFonts w:hint="default" w:ascii="Times New Roman" w:hAnsi="Times New Roman" w:eastAsia="宋体" w:cs="Times New Roman"/>
                <w:color w:val="auto"/>
                <w:spacing w:val="0"/>
                <w:sz w:val="24"/>
                <w:szCs w:val="24"/>
              </w:rPr>
              <w:t>。因此从接管时间和规模上看是可行的。</w:t>
            </w:r>
          </w:p>
          <w:p w14:paraId="1DACF809">
            <w:pPr>
              <w:pStyle w:val="106"/>
              <w:keepNext w:val="0"/>
              <w:keepLines w:val="0"/>
              <w:pageBreakBefore w:val="0"/>
              <w:widowControl w:val="0"/>
              <w:numPr>
                <w:ilvl w:val="0"/>
                <w:numId w:val="0"/>
              </w:numPr>
              <w:suppressLineNumbers w:val="0"/>
              <w:tabs>
                <w:tab w:val="left" w:pos="1647"/>
              </w:tabs>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spacing w:val="0"/>
                <w:sz w:val="24"/>
                <w:szCs w:val="24"/>
              </w:rPr>
            </w:pPr>
            <w:r>
              <w:rPr>
                <w:rFonts w:hint="eastAsia" w:ascii="宋体" w:hAnsi="宋体" w:eastAsia="宋体" w:cs="宋体"/>
                <w:color w:val="auto"/>
                <w:spacing w:val="0"/>
                <w:sz w:val="24"/>
                <w:szCs w:val="24"/>
              </w:rPr>
              <w:t>②</w:t>
            </w:r>
            <w:r>
              <w:rPr>
                <w:rFonts w:hint="default" w:ascii="Times New Roman" w:hAnsi="Times New Roman" w:eastAsia="宋体" w:cs="Times New Roman"/>
                <w:color w:val="auto"/>
                <w:spacing w:val="0"/>
                <w:sz w:val="24"/>
                <w:szCs w:val="24"/>
              </w:rPr>
              <w:t>从服务范围分析：</w:t>
            </w:r>
            <w:r>
              <w:rPr>
                <w:color w:val="auto"/>
              </w:rPr>
              <w:t>泗县污水处理厂收水范围</w:t>
            </w:r>
            <w:r>
              <w:rPr>
                <w:rFonts w:hint="eastAsia"/>
                <w:color w:val="auto"/>
              </w:rPr>
              <w:t>为整个</w:t>
            </w:r>
            <w:r>
              <w:rPr>
                <w:color w:val="auto"/>
              </w:rPr>
              <w:t>泗县</w:t>
            </w:r>
            <w:r>
              <w:rPr>
                <w:rFonts w:hint="eastAsia"/>
                <w:color w:val="auto"/>
              </w:rPr>
              <w:t>县城城区</w:t>
            </w:r>
            <w:r>
              <w:rPr>
                <w:rFonts w:hint="default" w:ascii="Times New Roman" w:hAnsi="Times New Roman" w:eastAsia="宋体" w:cs="Times New Roman"/>
                <w:color w:val="auto"/>
                <w:spacing w:val="0"/>
                <w:sz w:val="24"/>
                <w:szCs w:val="24"/>
              </w:rPr>
              <w:t>。</w:t>
            </w:r>
            <w:r>
              <w:rPr>
                <w:color w:val="auto"/>
              </w:rPr>
              <w:t>本项目位于</w:t>
            </w:r>
            <w:r>
              <w:rPr>
                <w:rFonts w:hint="eastAsia" w:cs="宋体"/>
                <w:kern w:val="0"/>
                <w:sz w:val="24"/>
              </w:rPr>
              <w:t>泗县经济开发区</w:t>
            </w:r>
            <w:r>
              <w:rPr>
                <w:rFonts w:hint="eastAsia" w:cs="宋体"/>
                <w:kern w:val="0"/>
                <w:sz w:val="24"/>
                <w:lang w:val="en-US" w:eastAsia="zh-CN"/>
              </w:rPr>
              <w:t>朝阳路与汴河大道交叉口东侧</w:t>
            </w:r>
            <w:r>
              <w:rPr>
                <w:rFonts w:hint="default" w:ascii="Times New Roman" w:hAnsi="Times New Roman" w:cs="Times New Roman"/>
                <w:kern w:val="0"/>
                <w:sz w:val="24"/>
                <w:lang w:val="en-US" w:eastAsia="zh-CN"/>
              </w:rPr>
              <w:t>200m</w:t>
            </w:r>
            <w:r>
              <w:rPr>
                <w:color w:val="auto"/>
              </w:rPr>
              <w:t>，在</w:t>
            </w:r>
            <w:r>
              <w:rPr>
                <w:rFonts w:hint="eastAsia"/>
                <w:color w:val="auto"/>
              </w:rPr>
              <w:t>泗县污水处理厂</w:t>
            </w:r>
            <w:r>
              <w:rPr>
                <w:color w:val="auto"/>
              </w:rPr>
              <w:t>收水范围</w:t>
            </w:r>
            <w:r>
              <w:rPr>
                <w:rFonts w:hint="eastAsia"/>
                <w:color w:val="auto"/>
                <w:lang w:eastAsia="zh-CN"/>
              </w:rPr>
              <w:t>内</w:t>
            </w:r>
            <w:r>
              <w:rPr>
                <w:color w:val="auto"/>
              </w:rPr>
              <w:t>，废水通过污水管网进入</w:t>
            </w:r>
            <w:r>
              <w:rPr>
                <w:rFonts w:hint="eastAsia"/>
                <w:color w:val="auto"/>
              </w:rPr>
              <w:t>泗县污水处理厂</w:t>
            </w:r>
            <w:r>
              <w:rPr>
                <w:rFonts w:hint="eastAsia" w:ascii="Times New Roman" w:hAnsi="Times New Roman" w:eastAsia="宋体" w:cs="Times New Roman"/>
                <w:color w:val="auto"/>
                <w:spacing w:val="0"/>
                <w:sz w:val="24"/>
                <w:szCs w:val="24"/>
              </w:rPr>
              <w:t>。</w:t>
            </w:r>
            <w:r>
              <w:rPr>
                <w:rFonts w:hint="default" w:ascii="Times New Roman" w:hAnsi="Times New Roman" w:eastAsia="宋体" w:cs="Times New Roman"/>
                <w:color w:val="auto"/>
                <w:spacing w:val="0"/>
                <w:sz w:val="24"/>
                <w:szCs w:val="24"/>
              </w:rPr>
              <w:t>因此本项目的</w:t>
            </w:r>
            <w:r>
              <w:rPr>
                <w:rFonts w:hint="eastAsia" w:cs="Times New Roman"/>
                <w:color w:val="auto"/>
                <w:spacing w:val="0"/>
                <w:sz w:val="24"/>
                <w:szCs w:val="24"/>
                <w:lang w:eastAsia="zh-CN"/>
              </w:rPr>
              <w:t>医疗</w:t>
            </w:r>
            <w:r>
              <w:rPr>
                <w:rFonts w:hint="eastAsia" w:ascii="Times New Roman" w:hAnsi="Times New Roman" w:eastAsia="宋体" w:cs="Times New Roman"/>
                <w:color w:val="auto"/>
                <w:spacing w:val="0"/>
                <w:sz w:val="24"/>
                <w:szCs w:val="24"/>
                <w:lang w:eastAsia="zh-CN"/>
              </w:rPr>
              <w:t>废水</w:t>
            </w:r>
            <w:r>
              <w:rPr>
                <w:rFonts w:hint="default" w:ascii="Times New Roman" w:hAnsi="Times New Roman" w:eastAsia="宋体" w:cs="Times New Roman"/>
                <w:color w:val="auto"/>
                <w:spacing w:val="0"/>
                <w:sz w:val="24"/>
                <w:szCs w:val="24"/>
              </w:rPr>
              <w:t>可纳入</w:t>
            </w:r>
            <w:r>
              <w:rPr>
                <w:rFonts w:hint="eastAsia" w:ascii="Times New Roman" w:hAnsi="Times New Roman" w:eastAsia="宋体" w:cs="Times New Roman"/>
                <w:color w:val="auto"/>
                <w:spacing w:val="0"/>
                <w:sz w:val="24"/>
                <w:szCs w:val="24"/>
                <w:lang w:eastAsia="zh-CN"/>
              </w:rPr>
              <w:t>泗县</w:t>
            </w:r>
            <w:r>
              <w:rPr>
                <w:rFonts w:hint="default" w:ascii="Times New Roman" w:hAnsi="Times New Roman" w:eastAsia="宋体" w:cs="Times New Roman"/>
                <w:color w:val="auto"/>
                <w:spacing w:val="0"/>
                <w:sz w:val="24"/>
                <w:szCs w:val="24"/>
              </w:rPr>
              <w:t>污水处理厂的市政污水管网。</w:t>
            </w:r>
          </w:p>
          <w:p w14:paraId="0EEACCDB">
            <w:pPr>
              <w:adjustRightInd w:val="0"/>
              <w:snapToGrid w:val="0"/>
              <w:ind w:left="0" w:leftChars="0" w:firstLine="480" w:firstLineChars="200"/>
              <w:jc w:val="both"/>
              <w:rPr>
                <w:rFonts w:hint="eastAsia" w:ascii="Times New Roman" w:hAnsi="Times New Roman" w:eastAsia="宋体" w:cs="Times New Roman"/>
                <w:color w:val="auto"/>
                <w:spacing w:val="0"/>
                <w:sz w:val="24"/>
                <w:szCs w:val="24"/>
              </w:rPr>
            </w:pPr>
            <w:r>
              <w:rPr>
                <w:rFonts w:hint="eastAsia" w:ascii="宋体" w:hAnsi="宋体" w:eastAsia="宋体" w:cs="宋体"/>
                <w:color w:val="auto"/>
                <w:spacing w:val="0"/>
                <w:sz w:val="24"/>
                <w:szCs w:val="24"/>
              </w:rPr>
              <w:t>③</w:t>
            </w:r>
            <w:r>
              <w:rPr>
                <w:rFonts w:hint="default" w:ascii="Times New Roman" w:hAnsi="Times New Roman" w:eastAsia="宋体" w:cs="Times New Roman"/>
                <w:color w:val="auto"/>
                <w:spacing w:val="0"/>
                <w:sz w:val="24"/>
                <w:szCs w:val="24"/>
              </w:rPr>
              <w:t>从工艺上分析：</w:t>
            </w:r>
            <w:r>
              <w:rPr>
                <w:rFonts w:hint="eastAsia" w:ascii="Times New Roman" w:hAnsi="Times New Roman" w:eastAsia="宋体" w:cs="Times New Roman"/>
                <w:color w:val="auto"/>
                <w:spacing w:val="0"/>
                <w:sz w:val="24"/>
                <w:szCs w:val="24"/>
                <w:lang w:eastAsia="zh-CN"/>
              </w:rPr>
              <w:t>泗县</w:t>
            </w:r>
            <w:r>
              <w:rPr>
                <w:rFonts w:hint="eastAsia" w:ascii="Times New Roman" w:hAnsi="Times New Roman" w:eastAsia="宋体" w:cs="Times New Roman"/>
                <w:color w:val="auto"/>
                <w:spacing w:val="0"/>
                <w:sz w:val="24"/>
                <w:szCs w:val="24"/>
              </w:rPr>
              <w:t>污水处理厂污水处理工艺采用</w:t>
            </w:r>
            <w:r>
              <w:rPr>
                <w:color w:val="auto"/>
              </w:rPr>
              <w:t>“</w:t>
            </w:r>
            <w:r>
              <w:rPr>
                <w:rFonts w:hint="eastAsia"/>
                <w:color w:val="auto"/>
              </w:rPr>
              <w:t>卡鲁赛尔氧化沟</w:t>
            </w:r>
            <w:r>
              <w:rPr>
                <w:color w:val="auto"/>
              </w:rPr>
              <w:t>+</w:t>
            </w:r>
            <w:r>
              <w:rPr>
                <w:rFonts w:hint="eastAsia"/>
                <w:color w:val="auto"/>
              </w:rPr>
              <w:t>加氯消毒</w:t>
            </w:r>
            <w:r>
              <w:rPr>
                <w:color w:val="auto"/>
              </w:rPr>
              <w:t>+</w:t>
            </w:r>
            <w:r>
              <w:rPr>
                <w:rFonts w:hint="eastAsia"/>
                <w:color w:val="auto"/>
              </w:rPr>
              <w:t>板框脱泥工艺</w:t>
            </w:r>
            <w:r>
              <w:rPr>
                <w:color w:val="auto"/>
              </w:rPr>
              <w:t>”，</w:t>
            </w:r>
            <w:r>
              <w:rPr>
                <w:rFonts w:hint="eastAsia" w:ascii="Times New Roman" w:hAnsi="Times New Roman" w:eastAsia="宋体" w:cs="Times New Roman"/>
                <w:color w:val="auto"/>
                <w:spacing w:val="0"/>
                <w:sz w:val="24"/>
                <w:szCs w:val="24"/>
              </w:rPr>
              <w:t>设计出水水质达到《城镇污水处理厂污染物排放标准》（GB18918-2002）的一级 A 标准，尾水排</w:t>
            </w:r>
            <w:r>
              <w:rPr>
                <w:rFonts w:hint="eastAsia" w:cs="Times New Roman"/>
                <w:color w:val="auto"/>
                <w:spacing w:val="0"/>
                <w:sz w:val="24"/>
                <w:szCs w:val="24"/>
                <w:lang w:eastAsia="zh-CN"/>
              </w:rPr>
              <w:t>入</w:t>
            </w:r>
            <w:r>
              <w:rPr>
                <w:rFonts w:hint="eastAsia" w:ascii="Times New Roman" w:hAnsi="Times New Roman" w:eastAsia="宋体" w:cs="Times New Roman"/>
                <w:color w:val="auto"/>
                <w:spacing w:val="0"/>
                <w:sz w:val="24"/>
                <w:szCs w:val="24"/>
              </w:rPr>
              <w:t>石梁河。</w:t>
            </w:r>
          </w:p>
          <w:p w14:paraId="69CD54EC">
            <w:pPr>
              <w:adjustRightInd w:val="0"/>
              <w:snapToGrid w:val="0"/>
              <w:ind w:left="0" w:leftChars="0" w:firstLine="0" w:firstLineChars="0"/>
              <w:rPr>
                <w:rFonts w:hint="eastAsia" w:ascii="Times New Roman" w:hAnsi="Times New Roman" w:eastAsia="宋体" w:cs="Times New Roman"/>
                <w:color w:val="auto"/>
                <w:spacing w:val="0"/>
                <w:sz w:val="24"/>
                <w:szCs w:val="24"/>
                <w:lang w:eastAsia="zh-CN"/>
              </w:rPr>
            </w:pPr>
            <w:r>
              <w:rPr>
                <w:rFonts w:hint="eastAsia" w:ascii="Times New Roman" w:hAnsi="Times New Roman" w:eastAsia="宋体" w:cs="Times New Roman"/>
                <w:color w:val="auto"/>
                <w:spacing w:val="0"/>
                <w:sz w:val="24"/>
                <w:szCs w:val="24"/>
                <w:lang w:eastAsia="zh-CN"/>
              </w:rPr>
              <w:drawing>
                <wp:inline distT="0" distB="0" distL="114300" distR="114300">
                  <wp:extent cx="5003800" cy="1670685"/>
                  <wp:effectExtent l="0" t="0" r="6350" b="5715"/>
                  <wp:docPr id="13" name="F360BE8B-6686-4F3D-AEAF-501FE73E4058-4" descr="绘图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60BE8B-6686-4F3D-AEAF-501FE73E4058-4" descr="绘图1(18)"/>
                          <pic:cNvPicPr>
                            <a:picLocks noChangeAspect="1"/>
                          </pic:cNvPicPr>
                        </pic:nvPicPr>
                        <pic:blipFill>
                          <a:blip r:embed="rId18"/>
                          <a:stretch>
                            <a:fillRect/>
                          </a:stretch>
                        </pic:blipFill>
                        <pic:spPr>
                          <a:xfrm>
                            <a:off x="0" y="0"/>
                            <a:ext cx="5003800" cy="1670685"/>
                          </a:xfrm>
                          <a:prstGeom prst="rect">
                            <a:avLst/>
                          </a:prstGeom>
                        </pic:spPr>
                      </pic:pic>
                    </a:graphicData>
                  </a:graphic>
                </wp:inline>
              </w:drawing>
            </w:r>
          </w:p>
          <w:p w14:paraId="7ED7C609">
            <w:pPr>
              <w:adjustRightInd w:val="0"/>
              <w:snapToGrid w:val="0"/>
              <w:spacing w:line="240" w:lineRule="auto"/>
              <w:ind w:left="0" w:leftChars="0" w:firstLine="0" w:firstLineChars="0"/>
              <w:jc w:val="center"/>
              <w:rPr>
                <w:rFonts w:hint="default"/>
                <w:b/>
                <w:bCs/>
                <w:color w:val="auto"/>
                <w:sz w:val="21"/>
                <w:szCs w:val="21"/>
                <w:lang w:val="en-US" w:eastAsia="zh-CN"/>
              </w:rPr>
            </w:pPr>
            <w:r>
              <w:rPr>
                <w:rFonts w:hint="eastAsia"/>
                <w:b/>
                <w:bCs/>
                <w:color w:val="auto"/>
                <w:sz w:val="21"/>
                <w:szCs w:val="21"/>
                <w:lang w:val="en-US" w:eastAsia="zh-CN"/>
              </w:rPr>
              <w:t>图4-3 泗县污水处理厂工艺流程图</w:t>
            </w:r>
          </w:p>
          <w:p w14:paraId="52FF2298">
            <w:pPr>
              <w:bidi w:val="0"/>
              <w:rPr>
                <w:rFonts w:hint="eastAsia" w:ascii="Times New Roman" w:hAnsi="Times New Roman" w:eastAsia="宋体" w:cs="Times New Roman"/>
                <w:b w:val="0"/>
                <w:bCs w:val="0"/>
                <w:color w:val="auto"/>
                <w:spacing w:val="0"/>
                <w:w w:val="100"/>
                <w:position w:val="0"/>
                <w:sz w:val="24"/>
                <w:szCs w:val="24"/>
                <w:lang w:val="en-US" w:eastAsia="zh-CN"/>
              </w:rPr>
            </w:pPr>
            <w:r>
              <w:rPr>
                <w:rFonts w:hint="eastAsia" w:ascii="Times New Roman" w:hAnsi="Times New Roman" w:eastAsia="宋体" w:cs="Times New Roman"/>
                <w:b w:val="0"/>
                <w:bCs w:val="0"/>
                <w:color w:val="auto"/>
                <w:spacing w:val="0"/>
                <w:w w:val="100"/>
                <w:position w:val="0"/>
                <w:sz w:val="24"/>
                <w:szCs w:val="24"/>
                <w:lang w:val="en-US" w:eastAsia="zh-CN"/>
              </w:rPr>
              <w:t>（4）环境监测计划</w:t>
            </w:r>
          </w:p>
          <w:p w14:paraId="13C91867">
            <w:pPr>
              <w:adjustRightInd w:val="0"/>
              <w:snapToGrid w:val="0"/>
              <w:ind w:firstLine="480" w:firstLineChars="200"/>
              <w:rPr>
                <w:rFonts w:hint="default"/>
                <w:b w:val="0"/>
                <w:bCs w:val="0"/>
                <w:color w:val="auto"/>
                <w:lang w:val="en-US" w:eastAsia="zh-CN"/>
              </w:rPr>
            </w:pPr>
            <w:r>
              <w:rPr>
                <w:rFonts w:hint="eastAsia"/>
                <w:b w:val="0"/>
                <w:bCs w:val="0"/>
                <w:color w:val="auto"/>
                <w:lang w:val="en-US" w:eastAsia="zh-CN"/>
              </w:rPr>
              <w:t>根据</w:t>
            </w:r>
            <w:r>
              <w:rPr>
                <w:rFonts w:hint="default" w:ascii="Times New Roman" w:hAnsi="Times New Roman" w:eastAsia="宋体" w:cs="Times New Roman"/>
                <w:color w:val="auto"/>
                <w:spacing w:val="0"/>
                <w:w w:val="100"/>
                <w:position w:val="0"/>
                <w:sz w:val="24"/>
                <w:szCs w:val="24"/>
              </w:rPr>
              <w:t>《排污许可证申请与核发技术规范 医疗机构》（HJ1105-2020</w:t>
            </w:r>
            <w:r>
              <w:rPr>
                <w:rFonts w:hint="eastAsia" w:cs="Times New Roman"/>
                <w:color w:val="auto"/>
                <w:spacing w:val="0"/>
                <w:w w:val="100"/>
                <w:position w:val="0"/>
                <w:sz w:val="24"/>
                <w:szCs w:val="24"/>
                <w:lang w:eastAsia="zh-CN"/>
              </w:rPr>
              <w:t>）及《排污单位自行监测技术指南 总则》（HJ819-2017）</w:t>
            </w:r>
            <w:r>
              <w:rPr>
                <w:rFonts w:hint="eastAsia" w:cs="Times New Roman"/>
                <w:color w:val="auto"/>
                <w:lang w:eastAsia="zh-CN"/>
              </w:rPr>
              <w:t>，制定废水监测计划</w:t>
            </w:r>
            <w:r>
              <w:rPr>
                <w:rFonts w:hint="eastAsia"/>
                <w:b w:val="0"/>
                <w:bCs w:val="0"/>
                <w:color w:val="auto"/>
                <w:lang w:val="en-US" w:eastAsia="zh-CN"/>
              </w:rPr>
              <w:t>。</w:t>
            </w:r>
          </w:p>
          <w:p w14:paraId="16B54CBB">
            <w:pPr>
              <w:numPr>
                <w:ilvl w:val="0"/>
                <w:numId w:val="0"/>
              </w:numPr>
              <w:bidi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 xml:space="preserve">11  </w:t>
            </w:r>
            <w:r>
              <w:rPr>
                <w:rFonts w:hint="default" w:ascii="Times New Roman" w:hAnsi="Times New Roman" w:eastAsia="宋体" w:cs="Times New Roman"/>
                <w:b/>
                <w:bCs/>
                <w:color w:val="auto"/>
                <w:kern w:val="2"/>
                <w:sz w:val="21"/>
                <w:szCs w:val="21"/>
                <w:lang w:val="en-US" w:eastAsia="zh-CN" w:bidi="ar-SA"/>
              </w:rPr>
              <w:t>废水排污口监测指标及最低监测频次</w:t>
            </w:r>
          </w:p>
          <w:tbl>
            <w:tblPr>
              <w:tblStyle w:val="142"/>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0"/>
              <w:gridCol w:w="1186"/>
              <w:gridCol w:w="2209"/>
              <w:gridCol w:w="1050"/>
              <w:gridCol w:w="2612"/>
            </w:tblGrid>
            <w:tr w14:paraId="3283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840" w:type="dxa"/>
                  <w:vAlign w:val="center"/>
                </w:tcPr>
                <w:p w14:paraId="45867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186" w:type="dxa"/>
                  <w:vAlign w:val="center"/>
                </w:tcPr>
                <w:p w14:paraId="74CFB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2209" w:type="dxa"/>
                  <w:vAlign w:val="center"/>
                </w:tcPr>
                <w:p w14:paraId="31784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050" w:type="dxa"/>
                  <w:vAlign w:val="center"/>
                </w:tcPr>
                <w:p w14:paraId="745E2F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2612" w:type="dxa"/>
                  <w:vAlign w:val="center"/>
                </w:tcPr>
                <w:p w14:paraId="563B6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监测依据</w:t>
                  </w:r>
                </w:p>
              </w:tc>
            </w:tr>
            <w:tr w14:paraId="7CA2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jc w:val="center"/>
              </w:trPr>
              <w:tc>
                <w:tcPr>
                  <w:tcW w:w="840" w:type="dxa"/>
                  <w:vAlign w:val="center"/>
                </w:tcPr>
                <w:p w14:paraId="629F3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186" w:type="dxa"/>
                  <w:vMerge w:val="restart"/>
                  <w:vAlign w:val="center"/>
                </w:tcPr>
                <w:p w14:paraId="6F4AF5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污水总排口 DW001</w:t>
                  </w:r>
                </w:p>
              </w:tc>
              <w:tc>
                <w:tcPr>
                  <w:tcW w:w="2209" w:type="dxa"/>
                  <w:vAlign w:val="center"/>
                </w:tcPr>
                <w:p w14:paraId="2A65A2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流量</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pH</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化学需氧量、五日生化需氧量、</w:t>
                  </w:r>
                  <w:r>
                    <w:rPr>
                      <w:rFonts w:hint="eastAsia" w:cs="Times New Roman"/>
                      <w:b w:val="0"/>
                      <w:bCs w:val="0"/>
                      <w:color w:val="auto"/>
                      <w:sz w:val="21"/>
                      <w:szCs w:val="21"/>
                      <w:lang w:eastAsia="zh-CN"/>
                    </w:rPr>
                    <w:t>氨氮、</w:t>
                  </w:r>
                  <w:r>
                    <w:rPr>
                      <w:rFonts w:hint="default" w:ascii="Times New Roman" w:hAnsi="Times New Roman" w:eastAsia="宋体" w:cs="Times New Roman"/>
                      <w:b w:val="0"/>
                      <w:bCs w:val="0"/>
                      <w:color w:val="auto"/>
                      <w:sz w:val="21"/>
                      <w:szCs w:val="21"/>
                    </w:rPr>
                    <w:t>悬浮物</w:t>
                  </w:r>
                  <w:r>
                    <w:rPr>
                      <w:rFonts w:hint="eastAsia" w:cs="Times New Roman"/>
                      <w:b w:val="0"/>
                      <w:bCs w:val="0"/>
                      <w:color w:val="auto"/>
                      <w:sz w:val="21"/>
                      <w:szCs w:val="21"/>
                      <w:lang w:eastAsia="zh-CN"/>
                    </w:rPr>
                    <w:t>、总余氯</w:t>
                  </w:r>
                </w:p>
              </w:tc>
              <w:tc>
                <w:tcPr>
                  <w:tcW w:w="1050" w:type="dxa"/>
                  <w:vAlign w:val="center"/>
                </w:tcPr>
                <w:p w14:paraId="3F6B33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eastAsia="zh-CN"/>
                    </w:rPr>
                    <w:t>季</w:t>
                  </w:r>
                  <w:r>
                    <w:rPr>
                      <w:rFonts w:hint="default" w:ascii="Times New Roman" w:hAnsi="Times New Roman" w:eastAsia="宋体" w:cs="Times New Roman"/>
                      <w:b w:val="0"/>
                      <w:bCs w:val="0"/>
                      <w:color w:val="auto"/>
                      <w:sz w:val="21"/>
                      <w:szCs w:val="21"/>
                    </w:rPr>
                    <w:t>/次</w:t>
                  </w:r>
                </w:p>
              </w:tc>
              <w:tc>
                <w:tcPr>
                  <w:tcW w:w="2612" w:type="dxa"/>
                  <w:vMerge w:val="restart"/>
                  <w:vAlign w:val="center"/>
                </w:tcPr>
                <w:p w14:paraId="4FC52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《排污许可证申请</w:t>
                  </w:r>
                </w:p>
                <w:p w14:paraId="453D0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与核发技术规范 医疗机构》</w:t>
                  </w:r>
                </w:p>
                <w:p w14:paraId="39F50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val="0"/>
                      <w:bCs w:val="0"/>
                      <w:color w:val="auto"/>
                      <w:sz w:val="21"/>
                      <w:szCs w:val="21"/>
                    </w:rPr>
                    <w:t>（HJ1105-2020）</w:t>
                  </w:r>
                  <w:r>
                    <w:rPr>
                      <w:rFonts w:hint="eastAsia" w:cs="Times New Roman"/>
                      <w:b w:val="0"/>
                      <w:bCs w:val="0"/>
                      <w:color w:val="auto"/>
                      <w:sz w:val="21"/>
                      <w:szCs w:val="21"/>
                      <w:lang w:eastAsia="zh-CN"/>
                    </w:rPr>
                    <w:t xml:space="preserve">、《排污单位自行监测技术指南 总则》（HJ819-2017） </w:t>
                  </w:r>
                </w:p>
              </w:tc>
            </w:tr>
            <w:tr w14:paraId="06A6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840" w:type="dxa"/>
                  <w:vAlign w:val="center"/>
                </w:tcPr>
                <w:p w14:paraId="1846B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2</w:t>
                  </w:r>
                </w:p>
              </w:tc>
              <w:tc>
                <w:tcPr>
                  <w:tcW w:w="1186" w:type="dxa"/>
                  <w:vMerge w:val="continue"/>
                  <w:vAlign w:val="center"/>
                </w:tcPr>
                <w:p w14:paraId="76DAA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p>
              </w:tc>
              <w:tc>
                <w:tcPr>
                  <w:tcW w:w="2209" w:type="dxa"/>
                  <w:vAlign w:val="center"/>
                </w:tcPr>
                <w:p w14:paraId="769583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粪大肠菌群数</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动植物油、阴离子表面活性剂</w:t>
                  </w:r>
                </w:p>
              </w:tc>
              <w:tc>
                <w:tcPr>
                  <w:tcW w:w="1050" w:type="dxa"/>
                  <w:vAlign w:val="center"/>
                </w:tcPr>
                <w:p w14:paraId="744A7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eastAsia="zh-CN"/>
                    </w:rPr>
                    <w:t>年</w:t>
                  </w:r>
                  <w:r>
                    <w:rPr>
                      <w:rFonts w:hint="default" w:ascii="Times New Roman" w:hAnsi="Times New Roman" w:eastAsia="宋体" w:cs="Times New Roman"/>
                      <w:b w:val="0"/>
                      <w:bCs w:val="0"/>
                      <w:color w:val="auto"/>
                      <w:sz w:val="21"/>
                      <w:szCs w:val="21"/>
                    </w:rPr>
                    <w:t>/次</w:t>
                  </w:r>
                </w:p>
              </w:tc>
              <w:tc>
                <w:tcPr>
                  <w:tcW w:w="2612" w:type="dxa"/>
                  <w:vMerge w:val="continue"/>
                  <w:vAlign w:val="top"/>
                </w:tcPr>
                <w:p w14:paraId="0C8F35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p>
              </w:tc>
            </w:tr>
          </w:tbl>
          <w:p w14:paraId="5A0A61F2">
            <w:pPr>
              <w:bidi w:val="0"/>
              <w:rPr>
                <w:rFonts w:hint="default" w:ascii="Times New Roman" w:hAnsi="Times New Roman" w:eastAsia="宋体" w:cs="Times New Roman"/>
                <w:b w:val="0"/>
                <w:bCs w:val="0"/>
                <w:color w:val="auto"/>
                <w:spacing w:val="0"/>
                <w:w w:val="100"/>
                <w:position w:val="0"/>
                <w:sz w:val="24"/>
                <w:szCs w:val="24"/>
                <w:lang w:val="en-US" w:eastAsia="zh-CN"/>
              </w:rPr>
            </w:pPr>
            <w:r>
              <w:rPr>
                <w:rFonts w:hint="default" w:ascii="Times New Roman" w:hAnsi="Times New Roman" w:eastAsia="宋体" w:cs="Times New Roman"/>
                <w:b w:val="0"/>
                <w:bCs w:val="0"/>
                <w:color w:val="auto"/>
                <w:spacing w:val="0"/>
                <w:w w:val="100"/>
                <w:position w:val="0"/>
                <w:sz w:val="24"/>
                <w:szCs w:val="24"/>
                <w:lang w:val="en-US" w:eastAsia="zh-CN"/>
              </w:rPr>
              <w:t>（5）水环境影响分析</w:t>
            </w:r>
          </w:p>
          <w:p w14:paraId="53716F38">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cs="Times New Roman"/>
                <w:b w:val="0"/>
                <w:bCs w:val="0"/>
                <w:color w:val="auto"/>
                <w:szCs w:val="24"/>
                <w:lang w:val="en-US" w:eastAsia="zh-CN"/>
              </w:rPr>
              <w:t>综上所述，项目各项废水采取有效的处理措施后，项目的建设对周边地表水影响较小，不会改变地表水体功能，不会对地表水环境造成影响</w:t>
            </w:r>
            <w:r>
              <w:rPr>
                <w:rFonts w:hint="default" w:ascii="Times New Roman" w:hAnsi="Times New Roman" w:eastAsia="宋体" w:cs="Times New Roman"/>
                <w:color w:val="auto"/>
                <w:spacing w:val="0"/>
                <w:w w:val="100"/>
                <w:position w:val="0"/>
                <w:sz w:val="24"/>
                <w:szCs w:val="24"/>
              </w:rPr>
              <w:t>。</w:t>
            </w:r>
          </w:p>
          <w:p w14:paraId="2D8BEA67">
            <w:pPr>
              <w:pStyle w:val="141"/>
              <w:keepNext w:val="0"/>
              <w:keepLines w:val="0"/>
              <w:pageBreakBefore w:val="0"/>
              <w:kinsoku/>
              <w:wordWrap/>
              <w:overflowPunct/>
              <w:topLinePunct w:val="0"/>
              <w:autoSpaceDE/>
              <w:autoSpaceDN/>
              <w:bidi w:val="0"/>
              <w:spacing w:line="360" w:lineRule="auto"/>
              <w:ind w:left="0" w:leftChars="0" w:right="0" w:firstLine="482" w:firstLineChars="200"/>
              <w:textAlignment w:val="auto"/>
              <w:rPr>
                <w:rFonts w:hint="default" w:ascii="Times New Roman" w:hAnsi="Times New Roman" w:eastAsia="宋体" w:cs="Times New Roman"/>
                <w:b/>
                <w:bCs/>
                <w:color w:val="auto"/>
                <w:spacing w:val="0"/>
                <w:w w:val="100"/>
                <w:position w:val="0"/>
                <w:sz w:val="24"/>
                <w:szCs w:val="24"/>
              </w:rPr>
            </w:pPr>
            <w:r>
              <w:rPr>
                <w:rFonts w:hint="default" w:ascii="Times New Roman" w:hAnsi="Times New Roman" w:eastAsia="宋体" w:cs="Times New Roman"/>
                <w:b/>
                <w:bCs/>
                <w:color w:val="auto"/>
                <w:spacing w:val="0"/>
                <w:w w:val="100"/>
                <w:position w:val="0"/>
                <w:sz w:val="24"/>
                <w:szCs w:val="24"/>
              </w:rPr>
              <w:t>3、噪声</w:t>
            </w:r>
          </w:p>
          <w:p w14:paraId="522E93B4">
            <w:pPr>
              <w:bidi w:val="0"/>
              <w:rPr>
                <w:rFonts w:hint="default" w:ascii="Times New Roman" w:hAnsi="Times New Roman" w:eastAsia="宋体" w:cs="Times New Roman"/>
                <w:b w:val="0"/>
                <w:bCs w:val="0"/>
                <w:color w:val="auto"/>
                <w:spacing w:val="0"/>
                <w:w w:val="100"/>
                <w:position w:val="0"/>
                <w:sz w:val="24"/>
                <w:szCs w:val="24"/>
                <w:lang w:val="en-US" w:eastAsia="zh-CN"/>
              </w:rPr>
            </w:pPr>
            <w:r>
              <w:rPr>
                <w:rFonts w:hint="default" w:ascii="Times New Roman" w:hAnsi="Times New Roman" w:eastAsia="宋体" w:cs="Times New Roman"/>
                <w:b w:val="0"/>
                <w:bCs w:val="0"/>
                <w:color w:val="auto"/>
                <w:spacing w:val="0"/>
                <w:w w:val="100"/>
                <w:position w:val="0"/>
                <w:sz w:val="24"/>
                <w:szCs w:val="24"/>
                <w:lang w:val="en-US" w:eastAsia="zh-CN"/>
              </w:rPr>
              <w:t>（1）噪声源强</w:t>
            </w:r>
          </w:p>
          <w:p w14:paraId="5F57D1DC">
            <w:pPr>
              <w:adjustRightInd w:val="0"/>
              <w:snapToGrid w:val="0"/>
              <w:ind w:firstLine="480" w:firstLineChars="200"/>
              <w:rPr>
                <w:rFonts w:hint="default"/>
                <w:color w:val="auto"/>
                <w:lang w:val="en-US" w:eastAsia="zh-CN"/>
              </w:rPr>
            </w:pPr>
            <w:r>
              <w:rPr>
                <w:rFonts w:hint="eastAsia"/>
                <w:color w:val="auto"/>
              </w:rPr>
              <w:t>本</w:t>
            </w:r>
            <w:r>
              <w:rPr>
                <w:color w:val="auto"/>
              </w:rPr>
              <w:t>项目营运期噪声源主要</w:t>
            </w:r>
            <w:r>
              <w:rPr>
                <w:rFonts w:hint="eastAsia"/>
                <w:color w:val="auto"/>
                <w:lang w:eastAsia="zh-CN"/>
              </w:rPr>
              <w:t>来自</w:t>
            </w:r>
            <w:r>
              <w:rPr>
                <w:rFonts w:hint="eastAsia"/>
                <w:color w:val="auto"/>
              </w:rPr>
              <w:t>本项目营运期噪声源主要来自污水泵</w:t>
            </w:r>
            <w:r>
              <w:rPr>
                <w:rFonts w:hint="eastAsia"/>
                <w:color w:val="auto"/>
                <w:lang w:eastAsia="zh-CN"/>
              </w:rPr>
              <w:t>、</w:t>
            </w:r>
            <w:r>
              <w:rPr>
                <w:rFonts w:hint="eastAsia"/>
                <w:color w:val="auto"/>
                <w:lang w:val="en-US" w:eastAsia="zh-CN"/>
              </w:rPr>
              <w:t>柴油发电机和空调外机</w:t>
            </w:r>
            <w:r>
              <w:rPr>
                <w:rFonts w:hint="eastAsia"/>
                <w:color w:val="auto"/>
              </w:rPr>
              <w:t>运行噪声</w:t>
            </w:r>
            <w:r>
              <w:rPr>
                <w:rFonts w:hint="eastAsia"/>
                <w:color w:val="auto"/>
                <w:lang w:eastAsia="zh-CN"/>
              </w:rPr>
              <w:t>。</w:t>
            </w:r>
            <w:r>
              <w:rPr>
                <w:rFonts w:hint="eastAsia"/>
                <w:color w:val="auto"/>
                <w:lang w:val="en-US" w:eastAsia="zh-CN"/>
              </w:rPr>
              <w:t>噪声源强详见下表。</w:t>
            </w:r>
          </w:p>
          <w:p w14:paraId="36949708">
            <w:pPr>
              <w:bidi w:val="0"/>
              <w:spacing w:line="240" w:lineRule="auto"/>
              <w:jc w:val="center"/>
              <w:rPr>
                <w:rFonts w:hint="default"/>
                <w:b/>
                <w:bCs/>
                <w:color w:val="auto"/>
                <w:sz w:val="21"/>
                <w:szCs w:val="21"/>
                <w:lang w:val="en-US" w:eastAsia="zh-CN"/>
              </w:rPr>
            </w:pPr>
            <w:r>
              <w:rPr>
                <w:rFonts w:hint="eastAsia"/>
                <w:b/>
                <w:bCs/>
                <w:color w:val="auto"/>
                <w:sz w:val="21"/>
                <w:szCs w:val="21"/>
                <w:lang w:val="en-US" w:eastAsia="zh-CN"/>
              </w:rPr>
              <w:t>表4-12 工业企业噪声源强调查清单（室外声源）</w:t>
            </w:r>
          </w:p>
          <w:tbl>
            <w:tblPr>
              <w:tblStyle w:val="28"/>
              <w:tblW w:w="7977" w:type="dxa"/>
              <w:jc w:val="center"/>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644"/>
              <w:gridCol w:w="971"/>
              <w:gridCol w:w="651"/>
              <w:gridCol w:w="588"/>
              <w:gridCol w:w="676"/>
              <w:gridCol w:w="589"/>
              <w:gridCol w:w="1766"/>
              <w:gridCol w:w="1479"/>
              <w:gridCol w:w="613"/>
            </w:tblGrid>
            <w:tr w14:paraId="76703282">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2" w:hRule="atLeast"/>
                <w:jc w:val="center"/>
              </w:trPr>
              <w:tc>
                <w:tcPr>
                  <w:tcW w:w="644" w:type="dxa"/>
                  <w:vMerge w:val="restart"/>
                  <w:tcBorders>
                    <w:bottom w:val="single" w:color="auto" w:sz="4" w:space="0"/>
                    <w:right w:val="single" w:color="000000" w:sz="4" w:space="0"/>
                  </w:tcBorders>
                  <w:vAlign w:val="center"/>
                </w:tcPr>
                <w:p w14:paraId="2A406A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971" w:type="dxa"/>
                  <w:vMerge w:val="restart"/>
                  <w:tcBorders>
                    <w:left w:val="single" w:color="000000" w:sz="4" w:space="0"/>
                    <w:bottom w:val="single" w:color="auto" w:sz="4" w:space="0"/>
                    <w:right w:val="single" w:color="000000" w:sz="4" w:space="0"/>
                  </w:tcBorders>
                  <w:vAlign w:val="center"/>
                </w:tcPr>
                <w:p w14:paraId="124C92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声源名称</w:t>
                  </w:r>
                </w:p>
              </w:tc>
              <w:tc>
                <w:tcPr>
                  <w:tcW w:w="651" w:type="dxa"/>
                  <w:vMerge w:val="restart"/>
                  <w:tcBorders>
                    <w:left w:val="single" w:color="000000" w:sz="4" w:space="0"/>
                    <w:bottom w:val="single" w:color="auto" w:sz="4" w:space="0"/>
                    <w:right w:val="single" w:color="auto" w:sz="4" w:space="0"/>
                  </w:tcBorders>
                  <w:vAlign w:val="center"/>
                </w:tcPr>
                <w:p w14:paraId="5CEF15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数量</w:t>
                  </w:r>
                </w:p>
              </w:tc>
              <w:tc>
                <w:tcPr>
                  <w:tcW w:w="1853" w:type="dxa"/>
                  <w:gridSpan w:val="3"/>
                  <w:tcBorders>
                    <w:left w:val="single" w:color="auto" w:sz="4" w:space="0"/>
                    <w:bottom w:val="single" w:color="000000" w:sz="4" w:space="0"/>
                    <w:right w:val="single" w:color="000000" w:sz="4" w:space="0"/>
                  </w:tcBorders>
                  <w:vAlign w:val="center"/>
                </w:tcPr>
                <w:p w14:paraId="5C3802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空间相对位置/m</w:t>
                  </w:r>
                </w:p>
              </w:tc>
              <w:tc>
                <w:tcPr>
                  <w:tcW w:w="1766" w:type="dxa"/>
                  <w:tcBorders>
                    <w:left w:val="single" w:color="000000" w:sz="4" w:space="0"/>
                    <w:bottom w:val="single" w:color="000000" w:sz="4" w:space="0"/>
                    <w:right w:val="single" w:color="auto" w:sz="4" w:space="0"/>
                  </w:tcBorders>
                  <w:vAlign w:val="center"/>
                </w:tcPr>
                <w:p w14:paraId="687EB3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声源源强</w:t>
                  </w:r>
                </w:p>
              </w:tc>
              <w:tc>
                <w:tcPr>
                  <w:tcW w:w="1479" w:type="dxa"/>
                  <w:vMerge w:val="restart"/>
                  <w:tcBorders>
                    <w:top w:val="single" w:color="auto" w:sz="4" w:space="0"/>
                    <w:left w:val="single" w:color="auto" w:sz="4" w:space="0"/>
                    <w:bottom w:val="single" w:color="auto" w:sz="4" w:space="0"/>
                    <w:right w:val="single" w:color="000000" w:sz="4" w:space="0"/>
                  </w:tcBorders>
                  <w:vAlign w:val="center"/>
                </w:tcPr>
                <w:p w14:paraId="584539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声源控制措施</w:t>
                  </w:r>
                </w:p>
              </w:tc>
              <w:tc>
                <w:tcPr>
                  <w:tcW w:w="613" w:type="dxa"/>
                  <w:vMerge w:val="restart"/>
                  <w:tcBorders>
                    <w:top w:val="single" w:color="auto" w:sz="4" w:space="0"/>
                    <w:left w:val="single" w:color="000000" w:sz="4" w:space="0"/>
                    <w:bottom w:val="single" w:color="auto" w:sz="4" w:space="0"/>
                    <w:right w:val="single" w:color="auto" w:sz="4" w:space="0"/>
                  </w:tcBorders>
                  <w:vAlign w:val="center"/>
                </w:tcPr>
                <w:p w14:paraId="1EFA12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运行时段</w:t>
                  </w:r>
                </w:p>
              </w:tc>
            </w:tr>
            <w:tr w14:paraId="7976267A">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33" w:hRule="atLeast"/>
                <w:jc w:val="center"/>
              </w:trPr>
              <w:tc>
                <w:tcPr>
                  <w:tcW w:w="644" w:type="dxa"/>
                  <w:vMerge w:val="continue"/>
                  <w:tcBorders>
                    <w:top w:val="single" w:color="auto" w:sz="4" w:space="0"/>
                    <w:bottom w:val="single" w:color="auto" w:sz="4" w:space="0"/>
                    <w:right w:val="single" w:color="000000" w:sz="4" w:space="0"/>
                  </w:tcBorders>
                  <w:vAlign w:val="center"/>
                </w:tcPr>
                <w:p w14:paraId="143149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971" w:type="dxa"/>
                  <w:vMerge w:val="continue"/>
                  <w:tcBorders>
                    <w:top w:val="single" w:color="auto" w:sz="4" w:space="0"/>
                    <w:left w:val="single" w:color="000000" w:sz="4" w:space="0"/>
                    <w:bottom w:val="single" w:color="auto" w:sz="4" w:space="0"/>
                    <w:right w:val="single" w:color="000000" w:sz="4" w:space="0"/>
                  </w:tcBorders>
                  <w:vAlign w:val="center"/>
                </w:tcPr>
                <w:p w14:paraId="71677D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51" w:type="dxa"/>
                  <w:vMerge w:val="continue"/>
                  <w:tcBorders>
                    <w:top w:val="single" w:color="auto" w:sz="4" w:space="0"/>
                    <w:left w:val="single" w:color="000000" w:sz="4" w:space="0"/>
                    <w:bottom w:val="single" w:color="auto" w:sz="4" w:space="0"/>
                    <w:right w:val="single" w:color="auto" w:sz="4" w:space="0"/>
                  </w:tcBorders>
                  <w:vAlign w:val="center"/>
                </w:tcPr>
                <w:p w14:paraId="5C41FF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588" w:type="dxa"/>
                  <w:tcBorders>
                    <w:top w:val="single" w:color="000000" w:sz="4" w:space="0"/>
                    <w:left w:val="single" w:color="auto" w:sz="4" w:space="0"/>
                    <w:bottom w:val="single" w:color="000000" w:sz="4" w:space="0"/>
                    <w:right w:val="single" w:color="000000" w:sz="4" w:space="0"/>
                  </w:tcBorders>
                  <w:vAlign w:val="center"/>
                </w:tcPr>
                <w:p w14:paraId="4FA1F2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X</w:t>
                  </w:r>
                </w:p>
              </w:tc>
              <w:tc>
                <w:tcPr>
                  <w:tcW w:w="676" w:type="dxa"/>
                  <w:tcBorders>
                    <w:top w:val="single" w:color="000000" w:sz="4" w:space="0"/>
                    <w:left w:val="single" w:color="000000" w:sz="4" w:space="0"/>
                    <w:bottom w:val="single" w:color="000000" w:sz="4" w:space="0"/>
                    <w:right w:val="single" w:color="000000" w:sz="4" w:space="0"/>
                  </w:tcBorders>
                  <w:vAlign w:val="center"/>
                </w:tcPr>
                <w:p w14:paraId="2F79C6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Y</w:t>
                  </w:r>
                </w:p>
              </w:tc>
              <w:tc>
                <w:tcPr>
                  <w:tcW w:w="589" w:type="dxa"/>
                  <w:tcBorders>
                    <w:top w:val="single" w:color="000000" w:sz="4" w:space="0"/>
                    <w:left w:val="single" w:color="000000" w:sz="4" w:space="0"/>
                    <w:bottom w:val="single" w:color="000000" w:sz="4" w:space="0"/>
                    <w:right w:val="single" w:color="000000" w:sz="4" w:space="0"/>
                  </w:tcBorders>
                  <w:vAlign w:val="center"/>
                </w:tcPr>
                <w:p w14:paraId="72A1BC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Z</w:t>
                  </w:r>
                </w:p>
              </w:tc>
              <w:tc>
                <w:tcPr>
                  <w:tcW w:w="1766" w:type="dxa"/>
                  <w:tcBorders>
                    <w:top w:val="single" w:color="000000" w:sz="4" w:space="0"/>
                    <w:left w:val="single" w:color="000000" w:sz="4" w:space="0"/>
                    <w:bottom w:val="single" w:color="000000" w:sz="4" w:space="0"/>
                    <w:right w:val="single" w:color="auto" w:sz="4" w:space="0"/>
                  </w:tcBorders>
                  <w:vAlign w:val="center"/>
                </w:tcPr>
                <w:p w14:paraId="5F2186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声功率级/dB(A)</w:t>
                  </w:r>
                </w:p>
              </w:tc>
              <w:tc>
                <w:tcPr>
                  <w:tcW w:w="1479" w:type="dxa"/>
                  <w:vMerge w:val="continue"/>
                  <w:tcBorders>
                    <w:top w:val="single" w:color="auto" w:sz="4" w:space="0"/>
                    <w:left w:val="single" w:color="auto" w:sz="4" w:space="0"/>
                    <w:bottom w:val="single" w:color="auto" w:sz="4" w:space="0"/>
                    <w:right w:val="single" w:color="000000" w:sz="4" w:space="0"/>
                  </w:tcBorders>
                  <w:vAlign w:val="center"/>
                </w:tcPr>
                <w:p w14:paraId="6F0E6E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13" w:type="dxa"/>
                  <w:vMerge w:val="continue"/>
                  <w:tcBorders>
                    <w:top w:val="single" w:color="auto" w:sz="4" w:space="0"/>
                    <w:left w:val="single" w:color="000000" w:sz="4" w:space="0"/>
                    <w:bottom w:val="single" w:color="auto" w:sz="4" w:space="0"/>
                    <w:right w:val="single" w:color="auto" w:sz="4" w:space="0"/>
                  </w:tcBorders>
                  <w:vAlign w:val="center"/>
                </w:tcPr>
                <w:p w14:paraId="63ED25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2A370FFA">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4" w:hRule="atLeast"/>
                <w:jc w:val="center"/>
              </w:trPr>
              <w:tc>
                <w:tcPr>
                  <w:tcW w:w="644" w:type="dxa"/>
                  <w:tcBorders>
                    <w:top w:val="single" w:color="auto" w:sz="4" w:space="0"/>
                    <w:bottom w:val="single" w:color="auto" w:sz="4" w:space="0"/>
                    <w:right w:val="single" w:color="000000" w:sz="4" w:space="0"/>
                  </w:tcBorders>
                  <w:vAlign w:val="center"/>
                </w:tcPr>
                <w:p w14:paraId="60419D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c>
                <w:tcPr>
                  <w:tcW w:w="971" w:type="dxa"/>
                  <w:tcBorders>
                    <w:top w:val="single" w:color="auto" w:sz="4" w:space="0"/>
                    <w:left w:val="single" w:color="000000" w:sz="4" w:space="0"/>
                    <w:bottom w:val="single" w:color="auto" w:sz="4" w:space="0"/>
                    <w:right w:val="single" w:color="000000" w:sz="4" w:space="0"/>
                  </w:tcBorders>
                  <w:vAlign w:val="center"/>
                </w:tcPr>
                <w:p w14:paraId="53D62E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污水</w:t>
                  </w:r>
                  <w:r>
                    <w:rPr>
                      <w:rFonts w:hint="eastAsia" w:cs="Times New Roman"/>
                      <w:color w:val="auto"/>
                      <w:sz w:val="21"/>
                      <w:szCs w:val="21"/>
                      <w:lang w:eastAsia="zh-CN"/>
                    </w:rPr>
                    <w:t>泵</w:t>
                  </w:r>
                </w:p>
              </w:tc>
              <w:tc>
                <w:tcPr>
                  <w:tcW w:w="651" w:type="dxa"/>
                  <w:tcBorders>
                    <w:top w:val="single" w:color="auto" w:sz="4" w:space="0"/>
                    <w:left w:val="single" w:color="000000" w:sz="4" w:space="0"/>
                    <w:bottom w:val="single" w:color="auto" w:sz="4" w:space="0"/>
                    <w:right w:val="single" w:color="000000" w:sz="4" w:space="0"/>
                  </w:tcBorders>
                  <w:vAlign w:val="center"/>
                </w:tcPr>
                <w:p w14:paraId="0F2E7B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c>
                <w:tcPr>
                  <w:tcW w:w="588" w:type="dxa"/>
                  <w:tcBorders>
                    <w:top w:val="single" w:color="000000" w:sz="4" w:space="0"/>
                    <w:left w:val="single" w:color="000000" w:sz="4" w:space="0"/>
                    <w:bottom w:val="single" w:color="000000" w:sz="4" w:space="0"/>
                    <w:right w:val="single" w:color="000000" w:sz="4" w:space="0"/>
                  </w:tcBorders>
                  <w:vAlign w:val="center"/>
                </w:tcPr>
                <w:p w14:paraId="49C1A8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676" w:type="dxa"/>
                  <w:tcBorders>
                    <w:top w:val="single" w:color="000000" w:sz="4" w:space="0"/>
                    <w:left w:val="single" w:color="000000" w:sz="4" w:space="0"/>
                    <w:bottom w:val="single" w:color="000000" w:sz="4" w:space="0"/>
                    <w:right w:val="single" w:color="000000" w:sz="4" w:space="0"/>
                  </w:tcBorders>
                  <w:vAlign w:val="center"/>
                </w:tcPr>
                <w:p w14:paraId="1D3311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89" w:type="dxa"/>
                  <w:tcBorders>
                    <w:top w:val="single" w:color="000000" w:sz="4" w:space="0"/>
                    <w:left w:val="single" w:color="000000" w:sz="4" w:space="0"/>
                    <w:bottom w:val="single" w:color="000000" w:sz="4" w:space="0"/>
                    <w:right w:val="single" w:color="000000" w:sz="4" w:space="0"/>
                  </w:tcBorders>
                  <w:vAlign w:val="center"/>
                </w:tcPr>
                <w:p w14:paraId="04B5E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766" w:type="dxa"/>
                  <w:tcBorders>
                    <w:top w:val="single" w:color="000000" w:sz="4" w:space="0"/>
                    <w:left w:val="single" w:color="000000" w:sz="4" w:space="0"/>
                    <w:bottom w:val="single" w:color="000000" w:sz="4" w:space="0"/>
                    <w:right w:val="single" w:color="auto" w:sz="4" w:space="0"/>
                  </w:tcBorders>
                  <w:vAlign w:val="center"/>
                </w:tcPr>
                <w:p w14:paraId="3C1329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1479" w:type="dxa"/>
                  <w:tcBorders>
                    <w:top w:val="single" w:color="auto" w:sz="4" w:space="0"/>
                    <w:left w:val="single" w:color="auto" w:sz="4" w:space="0"/>
                    <w:bottom w:val="single" w:color="auto" w:sz="4" w:space="0"/>
                    <w:right w:val="single" w:color="000000" w:sz="4" w:space="0"/>
                  </w:tcBorders>
                  <w:vAlign w:val="center"/>
                </w:tcPr>
                <w:p w14:paraId="48D953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减震</w:t>
                  </w:r>
                  <w:r>
                    <w:rPr>
                      <w:rFonts w:hint="eastAsia" w:cs="Times New Roman"/>
                      <w:color w:val="auto"/>
                      <w:sz w:val="21"/>
                      <w:szCs w:val="21"/>
                      <w:highlight w:val="none"/>
                      <w:lang w:eastAsia="zh-CN"/>
                    </w:rPr>
                    <w:t>基座</w:t>
                  </w:r>
                </w:p>
              </w:tc>
              <w:tc>
                <w:tcPr>
                  <w:tcW w:w="613" w:type="dxa"/>
                  <w:tcBorders>
                    <w:top w:val="single" w:color="auto" w:sz="4" w:space="0"/>
                    <w:left w:val="single" w:color="000000" w:sz="4" w:space="0"/>
                    <w:bottom w:val="single" w:color="auto" w:sz="4" w:space="0"/>
                  </w:tcBorders>
                  <w:vAlign w:val="center"/>
                </w:tcPr>
                <w:p w14:paraId="2FE670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昼夜</w:t>
                  </w:r>
                </w:p>
              </w:tc>
            </w:tr>
            <w:tr w14:paraId="1FB08E2A">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644" w:type="dxa"/>
                  <w:tcBorders>
                    <w:top w:val="single" w:color="auto" w:sz="4" w:space="0"/>
                    <w:bottom w:val="single" w:color="auto" w:sz="4" w:space="0"/>
                    <w:right w:val="single" w:color="000000" w:sz="4" w:space="0"/>
                  </w:tcBorders>
                  <w:vAlign w:val="center"/>
                </w:tcPr>
                <w:p w14:paraId="26CEFC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971" w:type="dxa"/>
                  <w:tcBorders>
                    <w:top w:val="single" w:color="auto" w:sz="4" w:space="0"/>
                    <w:left w:val="single" w:color="000000" w:sz="4" w:space="0"/>
                    <w:bottom w:val="single" w:color="auto" w:sz="4" w:space="0"/>
                    <w:right w:val="single" w:color="000000" w:sz="4" w:space="0"/>
                  </w:tcBorders>
                  <w:vAlign w:val="center"/>
                </w:tcPr>
                <w:p w14:paraId="6FA0F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柴油发电机</w:t>
                  </w:r>
                </w:p>
              </w:tc>
              <w:tc>
                <w:tcPr>
                  <w:tcW w:w="651" w:type="dxa"/>
                  <w:tcBorders>
                    <w:top w:val="single" w:color="auto" w:sz="4" w:space="0"/>
                    <w:left w:val="single" w:color="000000" w:sz="4" w:space="0"/>
                    <w:bottom w:val="single" w:color="auto" w:sz="4" w:space="0"/>
                    <w:right w:val="single" w:color="000000" w:sz="4" w:space="0"/>
                  </w:tcBorders>
                  <w:vAlign w:val="center"/>
                </w:tcPr>
                <w:p w14:paraId="00A8A3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588" w:type="dxa"/>
                  <w:tcBorders>
                    <w:top w:val="single" w:color="000000" w:sz="4" w:space="0"/>
                    <w:left w:val="single" w:color="000000" w:sz="4" w:space="0"/>
                    <w:bottom w:val="single" w:color="000000" w:sz="4" w:space="0"/>
                    <w:right w:val="single" w:color="000000" w:sz="4" w:space="0"/>
                  </w:tcBorders>
                  <w:vAlign w:val="center"/>
                </w:tcPr>
                <w:p w14:paraId="74737F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w:t>
                  </w:r>
                </w:p>
              </w:tc>
              <w:tc>
                <w:tcPr>
                  <w:tcW w:w="676" w:type="dxa"/>
                  <w:tcBorders>
                    <w:top w:val="single" w:color="000000" w:sz="4" w:space="0"/>
                    <w:left w:val="single" w:color="000000" w:sz="4" w:space="0"/>
                    <w:bottom w:val="single" w:color="000000" w:sz="4" w:space="0"/>
                    <w:right w:val="single" w:color="000000" w:sz="4" w:space="0"/>
                  </w:tcBorders>
                  <w:vAlign w:val="center"/>
                </w:tcPr>
                <w:p w14:paraId="39FB5A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589" w:type="dxa"/>
                  <w:tcBorders>
                    <w:top w:val="single" w:color="000000" w:sz="4" w:space="0"/>
                    <w:left w:val="single" w:color="000000" w:sz="4" w:space="0"/>
                    <w:bottom w:val="single" w:color="000000" w:sz="4" w:space="0"/>
                    <w:right w:val="single" w:color="000000" w:sz="4" w:space="0"/>
                  </w:tcBorders>
                  <w:vAlign w:val="center"/>
                </w:tcPr>
                <w:p w14:paraId="20BD7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1766" w:type="dxa"/>
                  <w:tcBorders>
                    <w:top w:val="single" w:color="000000" w:sz="4" w:space="0"/>
                    <w:left w:val="single" w:color="000000" w:sz="4" w:space="0"/>
                    <w:bottom w:val="single" w:color="000000" w:sz="4" w:space="0"/>
                    <w:right w:val="single" w:color="auto" w:sz="4" w:space="0"/>
                  </w:tcBorders>
                  <w:vAlign w:val="center"/>
                </w:tcPr>
                <w:p w14:paraId="416DF7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p>
              </w:tc>
              <w:tc>
                <w:tcPr>
                  <w:tcW w:w="1479" w:type="dxa"/>
                  <w:tcBorders>
                    <w:top w:val="single" w:color="auto" w:sz="4" w:space="0"/>
                    <w:left w:val="single" w:color="auto" w:sz="4" w:space="0"/>
                    <w:bottom w:val="single" w:color="auto" w:sz="4" w:space="0"/>
                    <w:right w:val="single" w:color="000000" w:sz="4" w:space="0"/>
                  </w:tcBorders>
                  <w:vAlign w:val="center"/>
                </w:tcPr>
                <w:p w14:paraId="434477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减震</w:t>
                  </w:r>
                  <w:r>
                    <w:rPr>
                      <w:rFonts w:hint="eastAsia" w:cs="Times New Roman"/>
                      <w:color w:val="auto"/>
                      <w:sz w:val="21"/>
                      <w:szCs w:val="21"/>
                      <w:highlight w:val="none"/>
                      <w:lang w:eastAsia="zh-CN"/>
                    </w:rPr>
                    <w:t>基座</w:t>
                  </w:r>
                </w:p>
              </w:tc>
              <w:tc>
                <w:tcPr>
                  <w:tcW w:w="613" w:type="dxa"/>
                  <w:tcBorders>
                    <w:top w:val="single" w:color="auto" w:sz="4" w:space="0"/>
                    <w:left w:val="single" w:color="000000" w:sz="4" w:space="0"/>
                    <w:bottom w:val="single" w:color="auto" w:sz="4" w:space="0"/>
                  </w:tcBorders>
                  <w:vAlign w:val="center"/>
                </w:tcPr>
                <w:p w14:paraId="505D79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偶尔</w:t>
                  </w:r>
                </w:p>
              </w:tc>
            </w:tr>
            <w:tr w14:paraId="303752CF">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644" w:type="dxa"/>
                  <w:tcBorders>
                    <w:top w:val="single" w:color="auto" w:sz="4" w:space="0"/>
                    <w:bottom w:val="single" w:color="auto" w:sz="4" w:space="0"/>
                    <w:right w:val="single" w:color="000000" w:sz="4" w:space="0"/>
                  </w:tcBorders>
                  <w:vAlign w:val="center"/>
                </w:tcPr>
                <w:p w14:paraId="78F28A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971" w:type="dxa"/>
                  <w:tcBorders>
                    <w:top w:val="single" w:color="auto" w:sz="4" w:space="0"/>
                    <w:left w:val="single" w:color="000000" w:sz="4" w:space="0"/>
                    <w:bottom w:val="single" w:color="auto" w:sz="4" w:space="0"/>
                    <w:right w:val="single" w:color="000000" w:sz="4" w:space="0"/>
                  </w:tcBorders>
                  <w:vAlign w:val="center"/>
                </w:tcPr>
                <w:p w14:paraId="41B6E8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空调外机1F</w:t>
                  </w:r>
                </w:p>
              </w:tc>
              <w:tc>
                <w:tcPr>
                  <w:tcW w:w="651" w:type="dxa"/>
                  <w:tcBorders>
                    <w:top w:val="single" w:color="auto" w:sz="4" w:space="0"/>
                    <w:left w:val="single" w:color="000000" w:sz="4" w:space="0"/>
                    <w:bottom w:val="single" w:color="auto" w:sz="4" w:space="0"/>
                    <w:right w:val="single" w:color="000000" w:sz="4" w:space="0"/>
                  </w:tcBorders>
                  <w:vAlign w:val="center"/>
                </w:tcPr>
                <w:p w14:paraId="7F854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12</w:t>
                  </w:r>
                </w:p>
              </w:tc>
              <w:tc>
                <w:tcPr>
                  <w:tcW w:w="588" w:type="dxa"/>
                  <w:tcBorders>
                    <w:top w:val="single" w:color="000000" w:sz="4" w:space="0"/>
                    <w:left w:val="single" w:color="000000" w:sz="4" w:space="0"/>
                    <w:bottom w:val="single" w:color="000000" w:sz="4" w:space="0"/>
                    <w:right w:val="single" w:color="000000" w:sz="4" w:space="0"/>
                  </w:tcBorders>
                  <w:vAlign w:val="center"/>
                </w:tcPr>
                <w:p w14:paraId="2F6523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10-52</w:t>
                  </w:r>
                </w:p>
              </w:tc>
              <w:tc>
                <w:tcPr>
                  <w:tcW w:w="676" w:type="dxa"/>
                  <w:tcBorders>
                    <w:top w:val="single" w:color="000000" w:sz="4" w:space="0"/>
                    <w:left w:val="single" w:color="000000" w:sz="4" w:space="0"/>
                    <w:bottom w:val="single" w:color="000000" w:sz="4" w:space="0"/>
                    <w:right w:val="single" w:color="000000" w:sz="4" w:space="0"/>
                  </w:tcBorders>
                  <w:vAlign w:val="center"/>
                </w:tcPr>
                <w:p w14:paraId="464878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-5-0</w:t>
                  </w:r>
                </w:p>
              </w:tc>
              <w:tc>
                <w:tcPr>
                  <w:tcW w:w="589" w:type="dxa"/>
                  <w:tcBorders>
                    <w:top w:val="single" w:color="000000" w:sz="4" w:space="0"/>
                    <w:left w:val="single" w:color="000000" w:sz="4" w:space="0"/>
                    <w:bottom w:val="single" w:color="000000" w:sz="4" w:space="0"/>
                    <w:right w:val="single" w:color="000000" w:sz="4" w:space="0"/>
                  </w:tcBorders>
                  <w:vAlign w:val="center"/>
                </w:tcPr>
                <w:p w14:paraId="41192A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766" w:type="dxa"/>
                  <w:tcBorders>
                    <w:top w:val="single" w:color="000000" w:sz="4" w:space="0"/>
                    <w:left w:val="single" w:color="000000" w:sz="4" w:space="0"/>
                    <w:bottom w:val="single" w:color="000000" w:sz="4" w:space="0"/>
                    <w:right w:val="single" w:color="auto" w:sz="4" w:space="0"/>
                  </w:tcBorders>
                  <w:vAlign w:val="center"/>
                </w:tcPr>
                <w:p w14:paraId="48A71F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80</w:t>
                  </w:r>
                </w:p>
              </w:tc>
              <w:tc>
                <w:tcPr>
                  <w:tcW w:w="1479" w:type="dxa"/>
                  <w:tcBorders>
                    <w:top w:val="single" w:color="auto" w:sz="4" w:space="0"/>
                    <w:left w:val="single" w:color="auto" w:sz="4" w:space="0"/>
                    <w:bottom w:val="single" w:color="auto" w:sz="4" w:space="0"/>
                    <w:right w:val="single" w:color="000000" w:sz="4" w:space="0"/>
                  </w:tcBorders>
                  <w:vAlign w:val="center"/>
                </w:tcPr>
                <w:p w14:paraId="6E2719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减震</w:t>
                  </w:r>
                  <w:r>
                    <w:rPr>
                      <w:rFonts w:hint="eastAsia" w:cs="Times New Roman"/>
                      <w:color w:val="auto"/>
                      <w:sz w:val="21"/>
                      <w:szCs w:val="21"/>
                      <w:highlight w:val="none"/>
                      <w:lang w:eastAsia="zh-CN"/>
                    </w:rPr>
                    <w:t>基座</w:t>
                  </w:r>
                </w:p>
              </w:tc>
              <w:tc>
                <w:tcPr>
                  <w:tcW w:w="613" w:type="dxa"/>
                  <w:tcBorders>
                    <w:top w:val="single" w:color="auto" w:sz="4" w:space="0"/>
                    <w:left w:val="single" w:color="000000" w:sz="4" w:space="0"/>
                    <w:bottom w:val="single" w:color="auto" w:sz="4" w:space="0"/>
                  </w:tcBorders>
                  <w:vAlign w:val="center"/>
                </w:tcPr>
                <w:p w14:paraId="58E7A6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昼夜</w:t>
                  </w:r>
                </w:p>
              </w:tc>
            </w:tr>
            <w:tr w14:paraId="09C8F440">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644" w:type="dxa"/>
                  <w:tcBorders>
                    <w:top w:val="single" w:color="auto" w:sz="4" w:space="0"/>
                    <w:bottom w:val="single" w:color="auto" w:sz="4" w:space="0"/>
                    <w:right w:val="single" w:color="000000" w:sz="4" w:space="0"/>
                  </w:tcBorders>
                  <w:vAlign w:val="center"/>
                </w:tcPr>
                <w:p w14:paraId="732447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971" w:type="dxa"/>
                  <w:tcBorders>
                    <w:top w:val="single" w:color="auto" w:sz="4" w:space="0"/>
                    <w:left w:val="single" w:color="000000" w:sz="4" w:space="0"/>
                    <w:bottom w:val="single" w:color="auto" w:sz="4" w:space="0"/>
                    <w:right w:val="single" w:color="000000" w:sz="4" w:space="0"/>
                  </w:tcBorders>
                  <w:vAlign w:val="center"/>
                </w:tcPr>
                <w:p w14:paraId="68C876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空调外机2F</w:t>
                  </w:r>
                </w:p>
              </w:tc>
              <w:tc>
                <w:tcPr>
                  <w:tcW w:w="651" w:type="dxa"/>
                  <w:tcBorders>
                    <w:top w:val="single" w:color="auto" w:sz="4" w:space="0"/>
                    <w:left w:val="single" w:color="000000" w:sz="4" w:space="0"/>
                    <w:bottom w:val="single" w:color="auto" w:sz="4" w:space="0"/>
                    <w:right w:val="single" w:color="000000" w:sz="4" w:space="0"/>
                  </w:tcBorders>
                  <w:vAlign w:val="center"/>
                </w:tcPr>
                <w:p w14:paraId="095F7D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23</w:t>
                  </w:r>
                </w:p>
              </w:tc>
              <w:tc>
                <w:tcPr>
                  <w:tcW w:w="588" w:type="dxa"/>
                  <w:tcBorders>
                    <w:top w:val="single" w:color="000000" w:sz="4" w:space="0"/>
                    <w:left w:val="single" w:color="000000" w:sz="4" w:space="0"/>
                    <w:bottom w:val="single" w:color="000000" w:sz="4" w:space="0"/>
                    <w:right w:val="single" w:color="000000" w:sz="4" w:space="0"/>
                  </w:tcBorders>
                  <w:vAlign w:val="center"/>
                </w:tcPr>
                <w:p w14:paraId="6AE0A2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6-58</w:t>
                  </w:r>
                </w:p>
              </w:tc>
              <w:tc>
                <w:tcPr>
                  <w:tcW w:w="676" w:type="dxa"/>
                  <w:tcBorders>
                    <w:top w:val="single" w:color="000000" w:sz="4" w:space="0"/>
                    <w:left w:val="single" w:color="000000" w:sz="4" w:space="0"/>
                    <w:bottom w:val="single" w:color="000000" w:sz="4" w:space="0"/>
                    <w:right w:val="single" w:color="000000" w:sz="4" w:space="0"/>
                  </w:tcBorders>
                  <w:vAlign w:val="center"/>
                </w:tcPr>
                <w:p w14:paraId="353FB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-21-16</w:t>
                  </w:r>
                </w:p>
              </w:tc>
              <w:tc>
                <w:tcPr>
                  <w:tcW w:w="589" w:type="dxa"/>
                  <w:tcBorders>
                    <w:top w:val="single" w:color="000000" w:sz="4" w:space="0"/>
                    <w:left w:val="single" w:color="000000" w:sz="4" w:space="0"/>
                    <w:bottom w:val="single" w:color="000000" w:sz="4" w:space="0"/>
                    <w:right w:val="single" w:color="000000" w:sz="4" w:space="0"/>
                  </w:tcBorders>
                  <w:vAlign w:val="center"/>
                </w:tcPr>
                <w:p w14:paraId="0E01C0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4-6</w:t>
                  </w:r>
                </w:p>
              </w:tc>
              <w:tc>
                <w:tcPr>
                  <w:tcW w:w="1766" w:type="dxa"/>
                  <w:tcBorders>
                    <w:top w:val="single" w:color="000000" w:sz="4" w:space="0"/>
                    <w:left w:val="single" w:color="000000" w:sz="4" w:space="0"/>
                    <w:bottom w:val="single" w:color="000000" w:sz="4" w:space="0"/>
                    <w:right w:val="single" w:color="auto" w:sz="4" w:space="0"/>
                  </w:tcBorders>
                  <w:vAlign w:val="center"/>
                </w:tcPr>
                <w:p w14:paraId="6B3085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80</w:t>
                  </w:r>
                </w:p>
              </w:tc>
              <w:tc>
                <w:tcPr>
                  <w:tcW w:w="1479" w:type="dxa"/>
                  <w:tcBorders>
                    <w:top w:val="single" w:color="auto" w:sz="4" w:space="0"/>
                    <w:left w:val="single" w:color="auto" w:sz="4" w:space="0"/>
                    <w:bottom w:val="single" w:color="auto" w:sz="4" w:space="0"/>
                    <w:right w:val="single" w:color="000000" w:sz="4" w:space="0"/>
                  </w:tcBorders>
                  <w:vAlign w:val="center"/>
                </w:tcPr>
                <w:p w14:paraId="0A758B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减震</w:t>
                  </w:r>
                  <w:r>
                    <w:rPr>
                      <w:rFonts w:hint="eastAsia" w:cs="Times New Roman"/>
                      <w:color w:val="auto"/>
                      <w:sz w:val="21"/>
                      <w:szCs w:val="21"/>
                      <w:highlight w:val="none"/>
                      <w:lang w:eastAsia="zh-CN"/>
                    </w:rPr>
                    <w:t>基座</w:t>
                  </w:r>
                </w:p>
              </w:tc>
              <w:tc>
                <w:tcPr>
                  <w:tcW w:w="613" w:type="dxa"/>
                  <w:tcBorders>
                    <w:top w:val="single" w:color="auto" w:sz="4" w:space="0"/>
                    <w:left w:val="single" w:color="000000" w:sz="4" w:space="0"/>
                    <w:bottom w:val="single" w:color="auto" w:sz="4" w:space="0"/>
                  </w:tcBorders>
                  <w:vAlign w:val="center"/>
                </w:tcPr>
                <w:p w14:paraId="3BF28D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昼夜</w:t>
                  </w:r>
                </w:p>
              </w:tc>
            </w:tr>
            <w:tr w14:paraId="1A1D2C6F">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644" w:type="dxa"/>
                  <w:tcBorders>
                    <w:top w:val="single" w:color="auto" w:sz="4" w:space="0"/>
                    <w:bottom w:val="single" w:color="auto" w:sz="4" w:space="0"/>
                    <w:right w:val="single" w:color="000000" w:sz="4" w:space="0"/>
                  </w:tcBorders>
                  <w:vAlign w:val="center"/>
                </w:tcPr>
                <w:p w14:paraId="4D0BF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w:t>
                  </w:r>
                </w:p>
              </w:tc>
              <w:tc>
                <w:tcPr>
                  <w:tcW w:w="971" w:type="dxa"/>
                  <w:tcBorders>
                    <w:top w:val="single" w:color="auto" w:sz="4" w:space="0"/>
                    <w:left w:val="single" w:color="000000" w:sz="4" w:space="0"/>
                    <w:bottom w:val="single" w:color="auto" w:sz="4" w:space="0"/>
                    <w:right w:val="single" w:color="000000" w:sz="4" w:space="0"/>
                  </w:tcBorders>
                  <w:vAlign w:val="center"/>
                </w:tcPr>
                <w:p w14:paraId="18071B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空调外机3F</w:t>
                  </w:r>
                </w:p>
              </w:tc>
              <w:tc>
                <w:tcPr>
                  <w:tcW w:w="651" w:type="dxa"/>
                  <w:tcBorders>
                    <w:top w:val="single" w:color="auto" w:sz="4" w:space="0"/>
                    <w:left w:val="single" w:color="000000" w:sz="4" w:space="0"/>
                    <w:bottom w:val="single" w:color="auto" w:sz="4" w:space="0"/>
                    <w:right w:val="single" w:color="000000" w:sz="4" w:space="0"/>
                  </w:tcBorders>
                  <w:vAlign w:val="center"/>
                </w:tcPr>
                <w:p w14:paraId="317B4E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23</w:t>
                  </w:r>
                </w:p>
              </w:tc>
              <w:tc>
                <w:tcPr>
                  <w:tcW w:w="588" w:type="dxa"/>
                  <w:tcBorders>
                    <w:top w:val="single" w:color="000000" w:sz="4" w:space="0"/>
                    <w:left w:val="single" w:color="000000" w:sz="4" w:space="0"/>
                    <w:bottom w:val="single" w:color="000000" w:sz="4" w:space="0"/>
                    <w:right w:val="single" w:color="000000" w:sz="4" w:space="0"/>
                  </w:tcBorders>
                  <w:vAlign w:val="center"/>
                </w:tcPr>
                <w:p w14:paraId="4FEEC6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6-60</w:t>
                  </w:r>
                </w:p>
              </w:tc>
              <w:tc>
                <w:tcPr>
                  <w:tcW w:w="676" w:type="dxa"/>
                  <w:tcBorders>
                    <w:top w:val="single" w:color="000000" w:sz="4" w:space="0"/>
                    <w:left w:val="single" w:color="000000" w:sz="4" w:space="0"/>
                    <w:bottom w:val="single" w:color="000000" w:sz="4" w:space="0"/>
                    <w:right w:val="single" w:color="000000" w:sz="4" w:space="0"/>
                  </w:tcBorders>
                  <w:vAlign w:val="center"/>
                </w:tcPr>
                <w:p w14:paraId="322F8D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0-16</w:t>
                  </w:r>
                </w:p>
              </w:tc>
              <w:tc>
                <w:tcPr>
                  <w:tcW w:w="589" w:type="dxa"/>
                  <w:tcBorders>
                    <w:top w:val="single" w:color="000000" w:sz="4" w:space="0"/>
                    <w:left w:val="single" w:color="000000" w:sz="4" w:space="0"/>
                    <w:bottom w:val="single" w:color="000000" w:sz="4" w:space="0"/>
                    <w:right w:val="single" w:color="000000" w:sz="4" w:space="0"/>
                  </w:tcBorders>
                  <w:vAlign w:val="center"/>
                </w:tcPr>
                <w:p w14:paraId="3EB27D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1766" w:type="dxa"/>
                  <w:tcBorders>
                    <w:top w:val="single" w:color="000000" w:sz="4" w:space="0"/>
                    <w:left w:val="single" w:color="000000" w:sz="4" w:space="0"/>
                    <w:bottom w:val="single" w:color="000000" w:sz="4" w:space="0"/>
                    <w:right w:val="single" w:color="auto" w:sz="4" w:space="0"/>
                  </w:tcBorders>
                  <w:vAlign w:val="center"/>
                </w:tcPr>
                <w:p w14:paraId="1AC92A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80</w:t>
                  </w:r>
                </w:p>
              </w:tc>
              <w:tc>
                <w:tcPr>
                  <w:tcW w:w="1479" w:type="dxa"/>
                  <w:tcBorders>
                    <w:top w:val="single" w:color="auto" w:sz="4" w:space="0"/>
                    <w:left w:val="single" w:color="auto" w:sz="4" w:space="0"/>
                    <w:bottom w:val="single" w:color="auto" w:sz="4" w:space="0"/>
                    <w:right w:val="single" w:color="000000" w:sz="4" w:space="0"/>
                  </w:tcBorders>
                  <w:vAlign w:val="center"/>
                </w:tcPr>
                <w:p w14:paraId="07A89D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减震</w:t>
                  </w:r>
                  <w:r>
                    <w:rPr>
                      <w:rFonts w:hint="eastAsia" w:cs="Times New Roman"/>
                      <w:color w:val="auto"/>
                      <w:sz w:val="21"/>
                      <w:szCs w:val="21"/>
                      <w:highlight w:val="none"/>
                      <w:lang w:eastAsia="zh-CN"/>
                    </w:rPr>
                    <w:t>基座</w:t>
                  </w:r>
                </w:p>
              </w:tc>
              <w:tc>
                <w:tcPr>
                  <w:tcW w:w="613" w:type="dxa"/>
                  <w:tcBorders>
                    <w:top w:val="single" w:color="auto" w:sz="4" w:space="0"/>
                    <w:left w:val="single" w:color="000000" w:sz="4" w:space="0"/>
                    <w:bottom w:val="single" w:color="auto" w:sz="4" w:space="0"/>
                  </w:tcBorders>
                  <w:vAlign w:val="center"/>
                </w:tcPr>
                <w:p w14:paraId="5459C3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昼夜</w:t>
                  </w:r>
                </w:p>
              </w:tc>
            </w:tr>
            <w:tr w14:paraId="2E15D3E2">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644" w:type="dxa"/>
                  <w:tcBorders>
                    <w:top w:val="single" w:color="auto" w:sz="4" w:space="0"/>
                    <w:bottom w:val="single" w:color="auto" w:sz="4" w:space="0"/>
                    <w:right w:val="single" w:color="000000" w:sz="4" w:space="0"/>
                  </w:tcBorders>
                  <w:vAlign w:val="center"/>
                </w:tcPr>
                <w:p w14:paraId="0A2E57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971" w:type="dxa"/>
                  <w:tcBorders>
                    <w:top w:val="single" w:color="auto" w:sz="4" w:space="0"/>
                    <w:left w:val="single" w:color="000000" w:sz="4" w:space="0"/>
                    <w:bottom w:val="single" w:color="auto" w:sz="4" w:space="0"/>
                    <w:right w:val="single" w:color="000000" w:sz="4" w:space="0"/>
                  </w:tcBorders>
                  <w:vAlign w:val="center"/>
                </w:tcPr>
                <w:p w14:paraId="2036A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空调外机4F</w:t>
                  </w:r>
                </w:p>
              </w:tc>
              <w:tc>
                <w:tcPr>
                  <w:tcW w:w="651" w:type="dxa"/>
                  <w:tcBorders>
                    <w:top w:val="single" w:color="auto" w:sz="4" w:space="0"/>
                    <w:left w:val="single" w:color="000000" w:sz="4" w:space="0"/>
                    <w:bottom w:val="single" w:color="auto" w:sz="4" w:space="0"/>
                    <w:right w:val="single" w:color="000000" w:sz="4" w:space="0"/>
                  </w:tcBorders>
                  <w:vAlign w:val="center"/>
                </w:tcPr>
                <w:p w14:paraId="7D7E19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23</w:t>
                  </w:r>
                </w:p>
              </w:tc>
              <w:tc>
                <w:tcPr>
                  <w:tcW w:w="588" w:type="dxa"/>
                  <w:tcBorders>
                    <w:top w:val="single" w:color="000000" w:sz="4" w:space="0"/>
                    <w:left w:val="single" w:color="000000" w:sz="4" w:space="0"/>
                    <w:bottom w:val="single" w:color="000000" w:sz="4" w:space="0"/>
                    <w:right w:val="single" w:color="000000" w:sz="4" w:space="0"/>
                  </w:tcBorders>
                  <w:vAlign w:val="center"/>
                </w:tcPr>
                <w:p w14:paraId="1649E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6-60</w:t>
                  </w:r>
                </w:p>
              </w:tc>
              <w:tc>
                <w:tcPr>
                  <w:tcW w:w="676" w:type="dxa"/>
                  <w:tcBorders>
                    <w:top w:val="single" w:color="000000" w:sz="4" w:space="0"/>
                    <w:left w:val="single" w:color="000000" w:sz="4" w:space="0"/>
                    <w:bottom w:val="single" w:color="000000" w:sz="4" w:space="0"/>
                    <w:right w:val="single" w:color="000000" w:sz="4" w:space="0"/>
                  </w:tcBorders>
                  <w:vAlign w:val="center"/>
                </w:tcPr>
                <w:p w14:paraId="4C2A59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0-16</w:t>
                  </w:r>
                </w:p>
              </w:tc>
              <w:tc>
                <w:tcPr>
                  <w:tcW w:w="589" w:type="dxa"/>
                  <w:tcBorders>
                    <w:top w:val="single" w:color="000000" w:sz="4" w:space="0"/>
                    <w:left w:val="single" w:color="000000" w:sz="4" w:space="0"/>
                    <w:bottom w:val="single" w:color="000000" w:sz="4" w:space="0"/>
                    <w:right w:val="single" w:color="000000" w:sz="4" w:space="0"/>
                  </w:tcBorders>
                  <w:vAlign w:val="center"/>
                </w:tcPr>
                <w:p w14:paraId="34A094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13</w:t>
                  </w:r>
                </w:p>
              </w:tc>
              <w:tc>
                <w:tcPr>
                  <w:tcW w:w="1766" w:type="dxa"/>
                  <w:tcBorders>
                    <w:top w:val="single" w:color="000000" w:sz="4" w:space="0"/>
                    <w:left w:val="single" w:color="000000" w:sz="4" w:space="0"/>
                    <w:bottom w:val="single" w:color="000000" w:sz="4" w:space="0"/>
                    <w:right w:val="single" w:color="auto" w:sz="4" w:space="0"/>
                  </w:tcBorders>
                  <w:vAlign w:val="center"/>
                </w:tcPr>
                <w:p w14:paraId="421DFE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80</w:t>
                  </w:r>
                </w:p>
              </w:tc>
              <w:tc>
                <w:tcPr>
                  <w:tcW w:w="1479" w:type="dxa"/>
                  <w:tcBorders>
                    <w:top w:val="single" w:color="auto" w:sz="4" w:space="0"/>
                    <w:left w:val="single" w:color="auto" w:sz="4" w:space="0"/>
                    <w:bottom w:val="single" w:color="auto" w:sz="4" w:space="0"/>
                    <w:right w:val="single" w:color="000000" w:sz="4" w:space="0"/>
                  </w:tcBorders>
                  <w:vAlign w:val="center"/>
                </w:tcPr>
                <w:p w14:paraId="6CEB19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减震</w:t>
                  </w:r>
                  <w:r>
                    <w:rPr>
                      <w:rFonts w:hint="eastAsia" w:cs="Times New Roman"/>
                      <w:color w:val="auto"/>
                      <w:sz w:val="21"/>
                      <w:szCs w:val="21"/>
                      <w:highlight w:val="none"/>
                      <w:lang w:eastAsia="zh-CN"/>
                    </w:rPr>
                    <w:t>基座</w:t>
                  </w:r>
                </w:p>
              </w:tc>
              <w:tc>
                <w:tcPr>
                  <w:tcW w:w="613" w:type="dxa"/>
                  <w:tcBorders>
                    <w:top w:val="single" w:color="auto" w:sz="4" w:space="0"/>
                    <w:left w:val="single" w:color="000000" w:sz="4" w:space="0"/>
                    <w:bottom w:val="single" w:color="auto" w:sz="4" w:space="0"/>
                  </w:tcBorders>
                  <w:vAlign w:val="center"/>
                </w:tcPr>
                <w:p w14:paraId="44D47A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昼夜</w:t>
                  </w:r>
                </w:p>
              </w:tc>
            </w:tr>
            <w:tr w14:paraId="09CE0188">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644" w:type="dxa"/>
                  <w:tcBorders>
                    <w:top w:val="single" w:color="auto" w:sz="4" w:space="0"/>
                    <w:bottom w:val="single" w:color="auto" w:sz="4" w:space="0"/>
                    <w:right w:val="single" w:color="000000" w:sz="4" w:space="0"/>
                  </w:tcBorders>
                  <w:vAlign w:val="center"/>
                </w:tcPr>
                <w:p w14:paraId="5E9E1B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971" w:type="dxa"/>
                  <w:tcBorders>
                    <w:top w:val="single" w:color="auto" w:sz="4" w:space="0"/>
                    <w:left w:val="single" w:color="000000" w:sz="4" w:space="0"/>
                    <w:bottom w:val="single" w:color="auto" w:sz="4" w:space="0"/>
                    <w:right w:val="single" w:color="000000" w:sz="4" w:space="0"/>
                  </w:tcBorders>
                  <w:vAlign w:val="center"/>
                </w:tcPr>
                <w:p w14:paraId="5BB19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空调外机6F</w:t>
                  </w:r>
                </w:p>
              </w:tc>
              <w:tc>
                <w:tcPr>
                  <w:tcW w:w="651" w:type="dxa"/>
                  <w:tcBorders>
                    <w:top w:val="single" w:color="auto" w:sz="4" w:space="0"/>
                    <w:left w:val="single" w:color="000000" w:sz="4" w:space="0"/>
                    <w:bottom w:val="single" w:color="auto" w:sz="4" w:space="0"/>
                    <w:right w:val="single" w:color="000000" w:sz="4" w:space="0"/>
                  </w:tcBorders>
                  <w:vAlign w:val="center"/>
                </w:tcPr>
                <w:p w14:paraId="78B9F6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lang w:val="en-US" w:eastAsia="zh-CN"/>
                    </w:rPr>
                  </w:pPr>
                  <w:r>
                    <w:rPr>
                      <w:rFonts w:hint="eastAsia" w:cs="Times New Roman"/>
                      <w:color w:val="auto"/>
                      <w:sz w:val="21"/>
                      <w:szCs w:val="21"/>
                      <w:lang w:val="en-US" w:eastAsia="zh-CN"/>
                    </w:rPr>
                    <w:t>4</w:t>
                  </w:r>
                </w:p>
              </w:tc>
              <w:tc>
                <w:tcPr>
                  <w:tcW w:w="588" w:type="dxa"/>
                  <w:tcBorders>
                    <w:top w:val="single" w:color="000000" w:sz="4" w:space="0"/>
                    <w:left w:val="single" w:color="000000" w:sz="4" w:space="0"/>
                    <w:bottom w:val="single" w:color="000000" w:sz="4" w:space="0"/>
                    <w:right w:val="single" w:color="000000" w:sz="4" w:space="0"/>
                  </w:tcBorders>
                  <w:vAlign w:val="center"/>
                </w:tcPr>
                <w:p w14:paraId="6AA01D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6-16</w:t>
                  </w:r>
                </w:p>
              </w:tc>
              <w:tc>
                <w:tcPr>
                  <w:tcW w:w="676" w:type="dxa"/>
                  <w:tcBorders>
                    <w:top w:val="single" w:color="000000" w:sz="4" w:space="0"/>
                    <w:left w:val="single" w:color="000000" w:sz="4" w:space="0"/>
                    <w:bottom w:val="single" w:color="000000" w:sz="4" w:space="0"/>
                    <w:right w:val="single" w:color="000000" w:sz="4" w:space="0"/>
                  </w:tcBorders>
                  <w:vAlign w:val="center"/>
                </w:tcPr>
                <w:p w14:paraId="2C82E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0-16</w:t>
                  </w:r>
                </w:p>
              </w:tc>
              <w:tc>
                <w:tcPr>
                  <w:tcW w:w="589" w:type="dxa"/>
                  <w:tcBorders>
                    <w:top w:val="single" w:color="000000" w:sz="4" w:space="0"/>
                    <w:left w:val="single" w:color="000000" w:sz="4" w:space="0"/>
                    <w:bottom w:val="single" w:color="000000" w:sz="4" w:space="0"/>
                    <w:right w:val="single" w:color="000000" w:sz="4" w:space="0"/>
                  </w:tcBorders>
                  <w:vAlign w:val="center"/>
                </w:tcPr>
                <w:p w14:paraId="467D75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17</w:t>
                  </w:r>
                </w:p>
              </w:tc>
              <w:tc>
                <w:tcPr>
                  <w:tcW w:w="1766" w:type="dxa"/>
                  <w:tcBorders>
                    <w:top w:val="single" w:color="000000" w:sz="4" w:space="0"/>
                    <w:left w:val="single" w:color="000000" w:sz="4" w:space="0"/>
                    <w:bottom w:val="single" w:color="000000" w:sz="4" w:space="0"/>
                    <w:right w:val="single" w:color="auto" w:sz="4" w:space="0"/>
                  </w:tcBorders>
                  <w:vAlign w:val="center"/>
                </w:tcPr>
                <w:p w14:paraId="045656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80</w:t>
                  </w:r>
                </w:p>
              </w:tc>
              <w:tc>
                <w:tcPr>
                  <w:tcW w:w="1479" w:type="dxa"/>
                  <w:tcBorders>
                    <w:top w:val="single" w:color="auto" w:sz="4" w:space="0"/>
                    <w:left w:val="single" w:color="auto" w:sz="4" w:space="0"/>
                    <w:bottom w:val="single" w:color="auto" w:sz="4" w:space="0"/>
                    <w:right w:val="single" w:color="000000" w:sz="4" w:space="0"/>
                  </w:tcBorders>
                  <w:vAlign w:val="center"/>
                </w:tcPr>
                <w:p w14:paraId="6A0487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减震</w:t>
                  </w:r>
                  <w:r>
                    <w:rPr>
                      <w:rFonts w:hint="eastAsia" w:cs="Times New Roman"/>
                      <w:color w:val="auto"/>
                      <w:sz w:val="21"/>
                      <w:szCs w:val="21"/>
                      <w:highlight w:val="none"/>
                      <w:lang w:eastAsia="zh-CN"/>
                    </w:rPr>
                    <w:t>基座</w:t>
                  </w:r>
                </w:p>
              </w:tc>
              <w:tc>
                <w:tcPr>
                  <w:tcW w:w="613" w:type="dxa"/>
                  <w:tcBorders>
                    <w:top w:val="single" w:color="auto" w:sz="4" w:space="0"/>
                    <w:left w:val="single" w:color="000000" w:sz="4" w:space="0"/>
                    <w:bottom w:val="single" w:color="auto" w:sz="4" w:space="0"/>
                  </w:tcBorders>
                  <w:vAlign w:val="center"/>
                </w:tcPr>
                <w:p w14:paraId="6DC72A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昼夜</w:t>
                  </w:r>
                </w:p>
              </w:tc>
            </w:tr>
            <w:tr w14:paraId="485C5FD8">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41" w:hRule="atLeast"/>
                <w:jc w:val="center"/>
              </w:trPr>
              <w:tc>
                <w:tcPr>
                  <w:tcW w:w="7977" w:type="dxa"/>
                  <w:gridSpan w:val="9"/>
                  <w:tcBorders>
                    <w:top w:val="single" w:color="auto" w:sz="4" w:space="0"/>
                    <w:bottom w:val="single" w:color="auto" w:sz="4" w:space="0"/>
                  </w:tcBorders>
                  <w:vAlign w:val="center"/>
                </w:tcPr>
                <w:p w14:paraId="506B673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注：坐标原点为</w:t>
                  </w:r>
                  <w:r>
                    <w:rPr>
                      <w:rFonts w:hint="eastAsia" w:cs="Times New Roman"/>
                      <w:b/>
                      <w:bCs/>
                      <w:color w:val="auto"/>
                      <w:sz w:val="21"/>
                      <w:szCs w:val="21"/>
                      <w:lang w:val="en-US" w:eastAsia="zh-CN"/>
                    </w:rPr>
                    <w:t>大楼1F</w:t>
                  </w:r>
                  <w:r>
                    <w:rPr>
                      <w:rFonts w:hint="default" w:ascii="Times New Roman" w:hAnsi="Times New Roman" w:eastAsia="宋体" w:cs="Times New Roman"/>
                      <w:b/>
                      <w:bCs/>
                      <w:color w:val="auto"/>
                      <w:sz w:val="21"/>
                      <w:szCs w:val="21"/>
                    </w:rPr>
                    <w:t>西南角</w:t>
                  </w:r>
                  <w:r>
                    <w:rPr>
                      <w:rFonts w:hint="eastAsia" w:cs="Times New Roman"/>
                      <w:b/>
                      <w:bCs/>
                      <w:color w:val="auto"/>
                      <w:sz w:val="21"/>
                      <w:szCs w:val="21"/>
                      <w:lang w:eastAsia="zh-CN"/>
                    </w:rPr>
                    <w:t>，</w:t>
                  </w:r>
                  <w:r>
                    <w:rPr>
                      <w:rFonts w:hint="eastAsia" w:cs="Times New Roman"/>
                      <w:b/>
                      <w:bCs/>
                      <w:color w:val="auto"/>
                      <w:sz w:val="21"/>
                      <w:szCs w:val="21"/>
                      <w:lang w:val="en-US" w:eastAsia="zh-CN"/>
                    </w:rPr>
                    <w:t>正北方向为y轴，正东方向为x轴。</w:t>
                  </w:r>
                </w:p>
              </w:tc>
            </w:tr>
          </w:tbl>
          <w:p w14:paraId="07193338">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eastAsia" w:ascii="Times New Roman" w:hAnsi="Times New Roman" w:eastAsia="宋体" w:cs="Times New Roman"/>
                <w:b w:val="0"/>
                <w:bCs w:val="0"/>
                <w:color w:val="auto"/>
                <w:spacing w:val="0"/>
                <w:w w:val="100"/>
                <w:position w:val="0"/>
                <w:sz w:val="24"/>
                <w:szCs w:val="24"/>
                <w:lang w:eastAsia="zh-CN"/>
              </w:rPr>
            </w:pPr>
            <w:r>
              <w:rPr>
                <w:rFonts w:hint="eastAsia" w:ascii="Times New Roman" w:hAnsi="Times New Roman" w:cs="Times New Roman"/>
                <w:b w:val="0"/>
                <w:bCs w:val="0"/>
                <w:color w:val="auto"/>
                <w:spacing w:val="0"/>
                <w:w w:val="100"/>
                <w:position w:val="0"/>
                <w:sz w:val="24"/>
                <w:szCs w:val="24"/>
                <w:lang w:eastAsia="zh-CN"/>
              </w:rPr>
              <w:t>（</w:t>
            </w:r>
            <w:r>
              <w:rPr>
                <w:rFonts w:hint="eastAsia" w:ascii="Times New Roman" w:hAnsi="Times New Roman" w:cs="Times New Roman"/>
                <w:b w:val="0"/>
                <w:bCs w:val="0"/>
                <w:color w:val="auto"/>
                <w:spacing w:val="0"/>
                <w:w w:val="100"/>
                <w:position w:val="0"/>
                <w:sz w:val="24"/>
                <w:szCs w:val="24"/>
                <w:lang w:val="en-US" w:eastAsia="zh-CN"/>
              </w:rPr>
              <w:t>2</w:t>
            </w:r>
            <w:r>
              <w:rPr>
                <w:rFonts w:hint="eastAsia" w:ascii="Times New Roman" w:hAnsi="Times New Roman" w:cs="Times New Roman"/>
                <w:b w:val="0"/>
                <w:bCs w:val="0"/>
                <w:color w:val="auto"/>
                <w:spacing w:val="0"/>
                <w:w w:val="100"/>
                <w:position w:val="0"/>
                <w:sz w:val="24"/>
                <w:szCs w:val="24"/>
                <w:lang w:eastAsia="zh-CN"/>
              </w:rPr>
              <w:t>）</w:t>
            </w:r>
            <w:r>
              <w:rPr>
                <w:rFonts w:hint="eastAsia" w:ascii="Times New Roman" w:hAnsi="Times New Roman" w:cs="Times New Roman"/>
                <w:b w:val="0"/>
                <w:bCs w:val="0"/>
                <w:color w:val="auto"/>
                <w:spacing w:val="0"/>
                <w:w w:val="100"/>
                <w:position w:val="0"/>
                <w:sz w:val="24"/>
                <w:szCs w:val="24"/>
                <w:lang w:val="en-US" w:eastAsia="zh-CN"/>
              </w:rPr>
              <w:t>噪声预测模式</w:t>
            </w:r>
          </w:p>
          <w:p w14:paraId="114C9292">
            <w:pPr>
              <w:keepNext w:val="0"/>
              <w:keepLines w:val="0"/>
              <w:pageBreakBefore w:val="0"/>
              <w:widowControl w:val="0"/>
              <w:suppressLineNumbers w:val="0"/>
              <w:kinsoku/>
              <w:wordWrap/>
              <w:overflowPunct/>
              <w:topLinePunct w:val="0"/>
              <w:autoSpaceDN/>
              <w:bidi w:val="0"/>
              <w:adjustRightInd/>
              <w:snapToGrid w:val="0"/>
              <w:spacing w:before="0" w:beforeAutospacing="0" w:afterAutospacing="0" w:line="360" w:lineRule="auto"/>
              <w:ind w:left="0" w:right="0" w:firstLine="480" w:firstLineChars="200"/>
              <w:jc w:val="both"/>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本次环境噪声影响预测采用《环境影响评价技术导则--声环境》（HJ2.4-20</w:t>
            </w:r>
            <w:r>
              <w:rPr>
                <w:rFonts w:hint="eastAsia" w:cs="Times New Roman"/>
                <w:color w:val="auto"/>
                <w:sz w:val="24"/>
                <w:lang w:val="en-US" w:eastAsia="zh-CN"/>
              </w:rPr>
              <w:t>21</w:t>
            </w:r>
            <w:r>
              <w:rPr>
                <w:rFonts w:hint="default" w:ascii="Times New Roman" w:hAnsi="Times New Roman" w:eastAsia="宋体" w:cs="Times New Roman"/>
                <w:color w:val="auto"/>
                <w:sz w:val="24"/>
              </w:rPr>
              <w:t>）中推荐的噪声预测模式。</w:t>
            </w:r>
            <w:r>
              <w:rPr>
                <w:rFonts w:hint="default" w:ascii="Times New Roman" w:hAnsi="Times New Roman" w:eastAsia="宋体" w:cs="Times New Roman"/>
                <w:color w:val="auto"/>
                <w:spacing w:val="0"/>
                <w:w w:val="100"/>
                <w:sz w:val="24"/>
                <w:szCs w:val="24"/>
              </w:rPr>
              <w:t>以厂区西南角为坐标原点为原点，选择一个坐标系，确定各噪声源位置，并测量各噪声源到预测点的距离，将各噪声源视为半自由状态噪声源，按声能量在空气传播中衰减模式可计算出某噪声源在预测点的声压级，预测模式如下</w:t>
            </w:r>
            <w:r>
              <w:rPr>
                <w:rFonts w:hint="eastAsia" w:cs="Times New Roman"/>
                <w:color w:val="auto"/>
                <w:sz w:val="24"/>
                <w:lang w:eastAsia="zh-CN"/>
              </w:rPr>
              <w:t>：</w:t>
            </w:r>
          </w:p>
          <w:p w14:paraId="30F0386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rPr>
            </w:pPr>
            <w:r>
              <w:rPr>
                <w:rFonts w:hint="eastAsia" w:cs="Times New Roman"/>
                <w:color w:val="auto"/>
                <w:spacing w:val="0"/>
                <w:w w:val="100"/>
                <w:sz w:val="24"/>
                <w:szCs w:val="24"/>
                <w:lang w:val="en-US" w:eastAsia="zh-CN"/>
              </w:rPr>
              <w:t>1</w:t>
            </w:r>
            <w:r>
              <w:rPr>
                <w:rFonts w:hint="default" w:ascii="Times New Roman" w:hAnsi="Times New Roman" w:eastAsia="宋体" w:cs="Times New Roman"/>
                <w:color w:val="auto"/>
                <w:spacing w:val="0"/>
                <w:w w:val="100"/>
                <w:sz w:val="24"/>
                <w:szCs w:val="24"/>
              </w:rPr>
              <w:t>）在环境影响评价中，应根据声源声功率级或参考位置处的声压级、户外声传播衰减，计算预测点的声级，按</w:t>
            </w:r>
            <w:r>
              <w:rPr>
                <w:rFonts w:hint="eastAsia" w:cs="Times New Roman"/>
                <w:color w:val="auto"/>
                <w:spacing w:val="0"/>
                <w:w w:val="100"/>
                <w:sz w:val="24"/>
                <w:szCs w:val="24"/>
                <w:lang w:eastAsia="zh-CN"/>
              </w:rPr>
              <w:t>下</w:t>
            </w:r>
            <w:r>
              <w:rPr>
                <w:rFonts w:hint="default" w:ascii="Times New Roman" w:hAnsi="Times New Roman" w:eastAsia="宋体" w:cs="Times New Roman"/>
                <w:color w:val="auto"/>
                <w:spacing w:val="0"/>
                <w:w w:val="100"/>
                <w:sz w:val="24"/>
                <w:szCs w:val="24"/>
              </w:rPr>
              <w:t>式计算。</w:t>
            </w:r>
          </w:p>
          <w:p w14:paraId="5A6504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宋体" w:hAnsi="宋体" w:eastAsia="宋体" w:cs="宋体"/>
                <w:color w:val="auto"/>
                <w:spacing w:val="-1"/>
                <w:sz w:val="24"/>
                <w:szCs w:val="24"/>
              </w:rPr>
            </w:pPr>
            <w:r>
              <w:rPr>
                <w:color w:val="auto"/>
              </w:rPr>
              <w:drawing>
                <wp:inline distT="0" distB="0" distL="114300" distR="114300">
                  <wp:extent cx="3000375" cy="224155"/>
                  <wp:effectExtent l="0" t="0" r="9525" b="4445"/>
                  <wp:docPr id="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1"/>
                          </pic:cNvPicPr>
                        </pic:nvPicPr>
                        <pic:blipFill>
                          <a:blip r:embed="rId19"/>
                          <a:stretch>
                            <a:fillRect/>
                          </a:stretch>
                        </pic:blipFill>
                        <pic:spPr>
                          <a:xfrm>
                            <a:off x="0" y="0"/>
                            <a:ext cx="3000375" cy="224155"/>
                          </a:xfrm>
                          <a:prstGeom prst="rect">
                            <a:avLst/>
                          </a:prstGeom>
                          <a:noFill/>
                          <a:ln>
                            <a:noFill/>
                          </a:ln>
                        </pic:spPr>
                      </pic:pic>
                    </a:graphicData>
                  </a:graphic>
                </wp:inline>
              </w:drawing>
            </w:r>
          </w:p>
          <w:p w14:paraId="49457F72">
            <w:pPr>
              <w:keepNext w:val="0"/>
              <w:keepLines w:val="0"/>
              <w:pageBreakBefore w:val="0"/>
              <w:widowControl w:val="0"/>
              <w:kinsoku/>
              <w:wordWrap/>
              <w:overflowPunct/>
              <w:topLinePunct w:val="0"/>
              <w:autoSpaceDE/>
              <w:autoSpaceDN/>
              <w:bidi w:val="0"/>
              <w:adjustRightInd/>
              <w:snapToGrid/>
              <w:spacing w:line="360" w:lineRule="auto"/>
              <w:ind w:firstLine="488"/>
              <w:textAlignment w:val="auto"/>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式中：L</w:t>
            </w:r>
            <w:r>
              <w:rPr>
                <w:rFonts w:hint="default" w:ascii="Times New Roman" w:hAnsi="Times New Roman" w:eastAsia="宋体" w:cs="Times New Roman"/>
                <w:color w:val="auto"/>
                <w:spacing w:val="-1"/>
                <w:sz w:val="24"/>
                <w:szCs w:val="24"/>
                <w:vertAlign w:val="subscript"/>
              </w:rPr>
              <w:t>p</w:t>
            </w:r>
            <w:r>
              <w:rPr>
                <w:rFonts w:hint="default" w:ascii="Times New Roman" w:hAnsi="Times New Roman" w:eastAsia="宋体" w:cs="Times New Roman"/>
                <w:color w:val="auto"/>
                <w:spacing w:val="-1"/>
                <w:sz w:val="24"/>
                <w:szCs w:val="24"/>
              </w:rPr>
              <w:t>(r) —预测点处声压级，dB；</w:t>
            </w:r>
          </w:p>
          <w:p w14:paraId="22A6DAAD">
            <w:pPr>
              <w:keepNext w:val="0"/>
              <w:keepLines w:val="0"/>
              <w:pageBreakBefore w:val="0"/>
              <w:widowControl w:val="0"/>
              <w:kinsoku/>
              <w:wordWrap/>
              <w:overflowPunct/>
              <w:topLinePunct w:val="0"/>
              <w:autoSpaceDE/>
              <w:autoSpaceDN/>
              <w:bidi w:val="0"/>
              <w:adjustRightInd/>
              <w:snapToGrid/>
              <w:spacing w:line="360" w:lineRule="auto"/>
              <w:ind w:firstLine="488"/>
              <w:textAlignment w:val="auto"/>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L</w:t>
            </w:r>
            <w:r>
              <w:rPr>
                <w:rFonts w:hint="default" w:ascii="Times New Roman" w:hAnsi="Times New Roman" w:eastAsia="宋体" w:cs="Times New Roman"/>
                <w:color w:val="auto"/>
                <w:spacing w:val="-1"/>
                <w:sz w:val="24"/>
                <w:szCs w:val="24"/>
                <w:vertAlign w:val="subscript"/>
              </w:rPr>
              <w:t>p</w:t>
            </w:r>
            <w:r>
              <w:rPr>
                <w:rFonts w:hint="default" w:ascii="Times New Roman" w:hAnsi="Times New Roman" w:eastAsia="宋体" w:cs="Times New Roman"/>
                <w:color w:val="auto"/>
                <w:spacing w:val="-1"/>
                <w:sz w:val="24"/>
                <w:szCs w:val="24"/>
              </w:rPr>
              <w:t>(r</w:t>
            </w:r>
            <w:r>
              <w:rPr>
                <w:rFonts w:hint="default" w:ascii="Times New Roman" w:hAnsi="Times New Roman" w:eastAsia="宋体" w:cs="Times New Roman"/>
                <w:color w:val="auto"/>
                <w:spacing w:val="-1"/>
                <w:sz w:val="24"/>
                <w:szCs w:val="24"/>
                <w:vertAlign w:val="subscript"/>
              </w:rPr>
              <w:t>0</w:t>
            </w:r>
            <w:r>
              <w:rPr>
                <w:rFonts w:hint="default" w:ascii="Times New Roman" w:hAnsi="Times New Roman" w:eastAsia="宋体" w:cs="Times New Roman"/>
                <w:color w:val="auto"/>
                <w:spacing w:val="-1"/>
                <w:sz w:val="24"/>
                <w:szCs w:val="24"/>
              </w:rPr>
              <w:t>) —参考位置r0处的声压级，dB；</w:t>
            </w:r>
          </w:p>
          <w:p w14:paraId="12A72942">
            <w:pPr>
              <w:keepNext w:val="0"/>
              <w:keepLines w:val="0"/>
              <w:pageBreakBefore w:val="0"/>
              <w:widowControl w:val="0"/>
              <w:kinsoku/>
              <w:wordWrap/>
              <w:overflowPunct/>
              <w:topLinePunct w:val="0"/>
              <w:autoSpaceDE/>
              <w:autoSpaceDN/>
              <w:bidi w:val="0"/>
              <w:adjustRightInd/>
              <w:snapToGrid/>
              <w:spacing w:line="360" w:lineRule="auto"/>
              <w:ind w:firstLine="488"/>
              <w:textAlignment w:val="auto"/>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D</w:t>
            </w:r>
            <w:r>
              <w:rPr>
                <w:rFonts w:hint="default" w:ascii="Times New Roman" w:hAnsi="Times New Roman" w:eastAsia="宋体" w:cs="Times New Roman"/>
                <w:color w:val="auto"/>
                <w:spacing w:val="-1"/>
                <w:sz w:val="24"/>
                <w:szCs w:val="24"/>
                <w:vertAlign w:val="subscript"/>
              </w:rPr>
              <w:t>C</w:t>
            </w:r>
            <w:r>
              <w:rPr>
                <w:rFonts w:hint="default" w:ascii="Times New Roman" w:hAnsi="Times New Roman" w:eastAsia="宋体" w:cs="Times New Roman"/>
                <w:color w:val="auto"/>
                <w:spacing w:val="-1"/>
                <w:sz w:val="24"/>
                <w:szCs w:val="24"/>
              </w:rPr>
              <w:t xml:space="preserve"> —指向性校正，它描述点声源的等效连续声压级与产生声功率级Lw的全向点声源在规定方向的声级的偏差程度，dB；</w:t>
            </w:r>
          </w:p>
          <w:p w14:paraId="3387F32C">
            <w:pPr>
              <w:keepNext w:val="0"/>
              <w:keepLines w:val="0"/>
              <w:pageBreakBefore w:val="0"/>
              <w:widowControl w:val="0"/>
              <w:tabs>
                <w:tab w:val="center" w:pos="3943"/>
              </w:tabs>
              <w:kinsoku/>
              <w:wordWrap/>
              <w:overflowPunct/>
              <w:topLinePunct w:val="0"/>
              <w:autoSpaceDE/>
              <w:autoSpaceDN/>
              <w:bidi w:val="0"/>
              <w:adjustRightInd/>
              <w:snapToGrid/>
              <w:spacing w:line="360" w:lineRule="auto"/>
              <w:ind w:firstLine="488"/>
              <w:textAlignment w:val="auto"/>
              <w:rPr>
                <w:rFonts w:hint="eastAsia" w:ascii="Times New Roman" w:hAnsi="Times New Roman" w:eastAsia="宋体" w:cs="Times New Roman"/>
                <w:color w:val="auto"/>
                <w:spacing w:val="-1"/>
                <w:sz w:val="24"/>
                <w:szCs w:val="24"/>
                <w:lang w:eastAsia="zh-CN"/>
              </w:rPr>
            </w:pPr>
            <w:r>
              <w:rPr>
                <w:rFonts w:hint="default" w:ascii="Times New Roman" w:hAnsi="Times New Roman" w:eastAsia="宋体" w:cs="Times New Roman"/>
                <w:color w:val="auto"/>
                <w:spacing w:val="-1"/>
                <w:sz w:val="24"/>
                <w:szCs w:val="24"/>
              </w:rPr>
              <w:t>A</w:t>
            </w:r>
            <w:r>
              <w:rPr>
                <w:rFonts w:hint="default" w:ascii="Times New Roman" w:hAnsi="Times New Roman" w:eastAsia="宋体" w:cs="Times New Roman"/>
                <w:color w:val="auto"/>
                <w:spacing w:val="-1"/>
                <w:sz w:val="24"/>
                <w:szCs w:val="24"/>
                <w:vertAlign w:val="subscript"/>
              </w:rPr>
              <w:t>div</w:t>
            </w:r>
            <w:r>
              <w:rPr>
                <w:rFonts w:hint="default" w:ascii="Times New Roman" w:hAnsi="Times New Roman" w:eastAsia="宋体" w:cs="Times New Roman"/>
                <w:color w:val="auto"/>
                <w:spacing w:val="-1"/>
                <w:sz w:val="24"/>
                <w:szCs w:val="24"/>
              </w:rPr>
              <w:t xml:space="preserve"> —几何发散引起的衰减，dB；</w:t>
            </w:r>
          </w:p>
          <w:p w14:paraId="64E4CBC6">
            <w:pPr>
              <w:keepNext w:val="0"/>
              <w:keepLines w:val="0"/>
              <w:pageBreakBefore w:val="0"/>
              <w:widowControl w:val="0"/>
              <w:kinsoku/>
              <w:wordWrap/>
              <w:overflowPunct/>
              <w:topLinePunct w:val="0"/>
              <w:autoSpaceDE/>
              <w:autoSpaceDN/>
              <w:bidi w:val="0"/>
              <w:adjustRightInd/>
              <w:snapToGrid/>
              <w:spacing w:line="360" w:lineRule="auto"/>
              <w:ind w:firstLine="488"/>
              <w:textAlignment w:val="auto"/>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A</w:t>
            </w:r>
            <w:r>
              <w:rPr>
                <w:rFonts w:hint="default" w:ascii="Times New Roman" w:hAnsi="Times New Roman" w:eastAsia="宋体" w:cs="Times New Roman"/>
                <w:color w:val="auto"/>
                <w:spacing w:val="-1"/>
                <w:sz w:val="24"/>
                <w:szCs w:val="24"/>
                <w:vertAlign w:val="subscript"/>
              </w:rPr>
              <w:t>atm</w:t>
            </w:r>
            <w:r>
              <w:rPr>
                <w:rFonts w:hint="default" w:ascii="Times New Roman" w:hAnsi="Times New Roman" w:eastAsia="宋体" w:cs="Times New Roman"/>
                <w:color w:val="auto"/>
                <w:spacing w:val="-1"/>
                <w:sz w:val="24"/>
                <w:szCs w:val="24"/>
              </w:rPr>
              <w:t xml:space="preserve"> —大气吸收引起的衰减，dB；</w:t>
            </w:r>
          </w:p>
          <w:p w14:paraId="046E2D1A">
            <w:pPr>
              <w:keepNext w:val="0"/>
              <w:keepLines w:val="0"/>
              <w:pageBreakBefore w:val="0"/>
              <w:widowControl w:val="0"/>
              <w:kinsoku/>
              <w:wordWrap/>
              <w:overflowPunct/>
              <w:topLinePunct w:val="0"/>
              <w:autoSpaceDE/>
              <w:autoSpaceDN/>
              <w:bidi w:val="0"/>
              <w:adjustRightInd/>
              <w:snapToGrid/>
              <w:spacing w:line="360" w:lineRule="auto"/>
              <w:ind w:firstLine="488"/>
              <w:textAlignment w:val="auto"/>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A</w:t>
            </w:r>
            <w:r>
              <w:rPr>
                <w:rFonts w:hint="default" w:ascii="Times New Roman" w:hAnsi="Times New Roman" w:eastAsia="宋体" w:cs="Times New Roman"/>
                <w:color w:val="auto"/>
                <w:spacing w:val="-1"/>
                <w:sz w:val="24"/>
                <w:szCs w:val="24"/>
                <w:vertAlign w:val="subscript"/>
              </w:rPr>
              <w:t>gr</w:t>
            </w:r>
            <w:r>
              <w:rPr>
                <w:rFonts w:hint="default" w:ascii="Times New Roman" w:hAnsi="Times New Roman" w:eastAsia="宋体" w:cs="Times New Roman"/>
                <w:color w:val="auto"/>
                <w:spacing w:val="-1"/>
                <w:sz w:val="24"/>
                <w:szCs w:val="24"/>
              </w:rPr>
              <w:t xml:space="preserve"> —地面效应引起的衰减，dB；</w:t>
            </w:r>
          </w:p>
          <w:p w14:paraId="2CE18711">
            <w:pPr>
              <w:keepNext w:val="0"/>
              <w:keepLines w:val="0"/>
              <w:pageBreakBefore w:val="0"/>
              <w:widowControl w:val="0"/>
              <w:kinsoku/>
              <w:wordWrap/>
              <w:overflowPunct/>
              <w:topLinePunct w:val="0"/>
              <w:autoSpaceDE/>
              <w:autoSpaceDN/>
              <w:bidi w:val="0"/>
              <w:adjustRightInd/>
              <w:snapToGrid/>
              <w:spacing w:line="360" w:lineRule="auto"/>
              <w:ind w:firstLine="488"/>
              <w:textAlignment w:val="auto"/>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A</w:t>
            </w:r>
            <w:r>
              <w:rPr>
                <w:rFonts w:hint="default" w:ascii="Times New Roman" w:hAnsi="Times New Roman" w:eastAsia="宋体" w:cs="Times New Roman"/>
                <w:color w:val="auto"/>
                <w:spacing w:val="-1"/>
                <w:sz w:val="24"/>
                <w:szCs w:val="24"/>
                <w:vertAlign w:val="subscript"/>
              </w:rPr>
              <w:t>bar</w:t>
            </w:r>
            <w:r>
              <w:rPr>
                <w:rFonts w:hint="default" w:ascii="Times New Roman" w:hAnsi="Times New Roman" w:eastAsia="宋体" w:cs="Times New Roman"/>
                <w:color w:val="auto"/>
                <w:spacing w:val="-1"/>
                <w:sz w:val="24"/>
                <w:szCs w:val="24"/>
              </w:rPr>
              <w:t xml:space="preserve"> —障碍物屏蔽引起的衰减，dB；</w:t>
            </w:r>
          </w:p>
          <w:p w14:paraId="7FE3BA78">
            <w:pPr>
              <w:keepNext w:val="0"/>
              <w:keepLines w:val="0"/>
              <w:pageBreakBefore w:val="0"/>
              <w:widowControl w:val="0"/>
              <w:kinsoku/>
              <w:wordWrap/>
              <w:overflowPunct/>
              <w:topLinePunct w:val="0"/>
              <w:autoSpaceDE/>
              <w:autoSpaceDN/>
              <w:bidi w:val="0"/>
              <w:adjustRightInd/>
              <w:snapToGrid/>
              <w:spacing w:line="360" w:lineRule="auto"/>
              <w:ind w:firstLine="488"/>
              <w:textAlignment w:val="auto"/>
              <w:rPr>
                <w:rFonts w:hint="eastAsia" w:ascii="Times New Roman" w:hAnsi="Times New Roman" w:eastAsia="宋体" w:cs="Times New Roman"/>
                <w:color w:val="auto"/>
                <w:spacing w:val="-1"/>
                <w:sz w:val="24"/>
                <w:szCs w:val="24"/>
                <w:lang w:eastAsia="zh-CN"/>
              </w:rPr>
            </w:pPr>
            <w:r>
              <w:rPr>
                <w:rFonts w:hint="default" w:ascii="Times New Roman" w:hAnsi="Times New Roman" w:eastAsia="宋体" w:cs="Times New Roman"/>
                <w:color w:val="auto"/>
                <w:spacing w:val="-1"/>
                <w:sz w:val="24"/>
                <w:szCs w:val="24"/>
              </w:rPr>
              <w:t>A</w:t>
            </w:r>
            <w:r>
              <w:rPr>
                <w:rFonts w:hint="default" w:ascii="Times New Roman" w:hAnsi="Times New Roman" w:eastAsia="宋体" w:cs="Times New Roman"/>
                <w:color w:val="auto"/>
                <w:spacing w:val="-1"/>
                <w:sz w:val="24"/>
                <w:szCs w:val="24"/>
                <w:vertAlign w:val="subscript"/>
              </w:rPr>
              <w:t>misc</w:t>
            </w:r>
            <w:r>
              <w:rPr>
                <w:rFonts w:hint="default" w:ascii="Times New Roman" w:hAnsi="Times New Roman" w:eastAsia="宋体" w:cs="Times New Roman"/>
                <w:color w:val="auto"/>
                <w:spacing w:val="-1"/>
                <w:sz w:val="24"/>
                <w:szCs w:val="24"/>
              </w:rPr>
              <w:t xml:space="preserve"> —其他多方面效应引起的衰减，dB</w:t>
            </w:r>
            <w:r>
              <w:rPr>
                <w:rFonts w:hint="eastAsia" w:ascii="Times New Roman" w:hAnsi="Times New Roman" w:cs="Times New Roman"/>
                <w:color w:val="auto"/>
                <w:spacing w:val="-1"/>
                <w:sz w:val="24"/>
                <w:szCs w:val="24"/>
                <w:lang w:eastAsia="zh-CN"/>
              </w:rPr>
              <w:t>；</w:t>
            </w:r>
          </w:p>
          <w:p w14:paraId="63853C79">
            <w:pPr>
              <w:keepNext w:val="0"/>
              <w:keepLines w:val="0"/>
              <w:pageBreakBefore w:val="0"/>
              <w:widowControl w:val="0"/>
              <w:kinsoku/>
              <w:wordWrap/>
              <w:overflowPunct/>
              <w:topLinePunct w:val="0"/>
              <w:autoSpaceDE/>
              <w:autoSpaceDN/>
              <w:bidi w:val="0"/>
              <w:adjustRightInd/>
              <w:snapToGrid/>
              <w:spacing w:line="360" w:lineRule="auto"/>
              <w:ind w:firstLine="488"/>
              <w:textAlignment w:val="auto"/>
              <w:rPr>
                <w:rFonts w:ascii="宋体" w:hAnsi="宋体" w:eastAsia="宋体" w:cs="宋体"/>
                <w:color w:val="auto"/>
                <w:sz w:val="24"/>
                <w:szCs w:val="24"/>
              </w:rPr>
            </w:pPr>
            <w:r>
              <w:rPr>
                <w:rFonts w:ascii="宋体" w:hAnsi="宋体" w:eastAsia="宋体" w:cs="宋体"/>
                <w:color w:val="auto"/>
                <w:spacing w:val="-1"/>
                <w:sz w:val="24"/>
                <w:szCs w:val="24"/>
              </w:rPr>
              <w:t>①几何发散衰减（</w:t>
            </w:r>
            <w:r>
              <w:rPr>
                <w:rFonts w:ascii="Times New Roman" w:hAnsi="Times New Roman" w:eastAsia="Times New Roman" w:cs="Times New Roman"/>
                <w:color w:val="auto"/>
                <w:spacing w:val="-1"/>
                <w:sz w:val="24"/>
                <w:szCs w:val="24"/>
              </w:rPr>
              <w:t>Adiv</w:t>
            </w:r>
            <w:r>
              <w:rPr>
                <w:rFonts w:ascii="宋体" w:hAnsi="宋体" w:eastAsia="宋体" w:cs="宋体"/>
                <w:color w:val="auto"/>
                <w:spacing w:val="-1"/>
                <w:sz w:val="24"/>
                <w:szCs w:val="24"/>
              </w:rPr>
              <w:t>）</w:t>
            </w:r>
          </w:p>
          <w:p w14:paraId="1CFCD84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color w:val="auto"/>
                <w:sz w:val="14"/>
                <w:szCs w:val="14"/>
              </w:rPr>
            </w:pP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vertAlign w:val="subscript"/>
              </w:rPr>
              <w:t xml:space="preserve">div </w:t>
            </w:r>
            <w:r>
              <w:rPr>
                <w:rFonts w:hint="default" w:ascii="Times New Roman" w:hAnsi="Times New Roman" w:eastAsia="宋体" w:cs="Times New Roman"/>
                <w:color w:val="auto"/>
                <w:sz w:val="24"/>
              </w:rPr>
              <w:t>= 20lg（r/r</w:t>
            </w:r>
            <w:r>
              <w:rPr>
                <w:rFonts w:hint="default" w:ascii="Times New Roman" w:hAnsi="Times New Roman" w:eastAsia="宋体" w:cs="Times New Roman"/>
                <w:color w:val="auto"/>
                <w:sz w:val="24"/>
                <w:vertAlign w:val="subscript"/>
              </w:rPr>
              <w:t>0</w:t>
            </w:r>
            <w:r>
              <w:rPr>
                <w:rFonts w:hint="default" w:ascii="Times New Roman" w:hAnsi="Times New Roman" w:eastAsia="宋体" w:cs="Times New Roman"/>
                <w:color w:val="auto"/>
                <w:sz w:val="24"/>
              </w:rPr>
              <w:t>）</w:t>
            </w:r>
          </w:p>
          <w:p w14:paraId="24221E15">
            <w:pPr>
              <w:keepNext w:val="0"/>
              <w:keepLines w:val="0"/>
              <w:pageBreakBefore w:val="0"/>
              <w:widowControl w:val="0"/>
              <w:kinsoku/>
              <w:wordWrap/>
              <w:overflowPunct/>
              <w:topLinePunct w:val="0"/>
              <w:autoSpaceDE/>
              <w:autoSpaceDN/>
              <w:bidi w:val="0"/>
              <w:adjustRightInd/>
              <w:snapToGrid/>
              <w:spacing w:line="360" w:lineRule="auto"/>
              <w:ind w:left="0" w:leftChars="0" w:firstLine="476" w:firstLineChars="200"/>
              <w:textAlignment w:val="auto"/>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一个大型机器设备的振动表面，车间透声的墙壁，均可以认为是面声源。如果已知面声源单位面积的声功率为 W，各面积元噪声的位相是随机的，面声源可看做由无数点声源连续分布组合而成，其合成声级可按能量叠加法求出。</w:t>
            </w:r>
          </w:p>
          <w:p w14:paraId="74055DFE">
            <w:pPr>
              <w:keepNext w:val="0"/>
              <w:keepLines w:val="0"/>
              <w:pageBreakBefore w:val="0"/>
              <w:widowControl w:val="0"/>
              <w:kinsoku/>
              <w:wordWrap/>
              <w:overflowPunct/>
              <w:topLinePunct w:val="0"/>
              <w:autoSpaceDE/>
              <w:autoSpaceDN/>
              <w:bidi w:val="0"/>
              <w:adjustRightInd/>
              <w:snapToGrid/>
              <w:spacing w:line="360" w:lineRule="auto"/>
              <w:ind w:left="0" w:leftChars="0" w:firstLine="476" w:firstLineChars="200"/>
              <w:textAlignment w:val="auto"/>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图 A.3 给出了长方形面声源中心轴线上的声衰减曲线。当预测点和面声源中心距离 r 处于以下条件时，可按下述方法近似计算：r＜a/π 时，几乎不衰减（Adiv≈0）；当 a/π＜r＜b/π，距离加倍衰减 3 dB左右，类似线声源衰减特性</w:t>
            </w:r>
            <w:r>
              <w:rPr>
                <w:color w:val="auto"/>
              </w:rPr>
              <w:drawing>
                <wp:inline distT="0" distB="0" distL="114300" distR="114300">
                  <wp:extent cx="859155" cy="267970"/>
                  <wp:effectExtent l="0" t="0" r="17145" b="17780"/>
                  <wp:docPr id="1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
                          <pic:cNvPicPr>
                            <a:picLocks noChangeAspect="1"/>
                          </pic:cNvPicPr>
                        </pic:nvPicPr>
                        <pic:blipFill>
                          <a:blip r:embed="rId20"/>
                          <a:stretch>
                            <a:fillRect/>
                          </a:stretch>
                        </pic:blipFill>
                        <pic:spPr>
                          <a:xfrm>
                            <a:off x="0" y="0"/>
                            <a:ext cx="859155" cy="267970"/>
                          </a:xfrm>
                          <a:prstGeom prst="rect">
                            <a:avLst/>
                          </a:prstGeom>
                          <a:noFill/>
                          <a:ln>
                            <a:noFill/>
                          </a:ln>
                        </pic:spPr>
                      </pic:pic>
                    </a:graphicData>
                  </a:graphic>
                </wp:inline>
              </w:drawing>
            </w:r>
            <w:r>
              <w:rPr>
                <w:rFonts w:hint="default" w:ascii="Times New Roman" w:hAnsi="Times New Roman" w:eastAsia="宋体" w:cs="Times New Roman"/>
                <w:color w:val="auto"/>
                <w:spacing w:val="-1"/>
                <w:sz w:val="24"/>
                <w:szCs w:val="24"/>
              </w:rPr>
              <w:t>；当 r＞b/π 时，距离加倍衰减趋近于 6 dB，类似点声源衰减特性</w:t>
            </w:r>
            <w:r>
              <w:rPr>
                <w:color w:val="auto"/>
              </w:rPr>
              <w:drawing>
                <wp:inline distT="0" distB="0" distL="114300" distR="114300">
                  <wp:extent cx="875665" cy="248285"/>
                  <wp:effectExtent l="0" t="0" r="635" b="18415"/>
                  <wp:docPr id="1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
                          <pic:cNvPicPr>
                            <a:picLocks noChangeAspect="1"/>
                          </pic:cNvPicPr>
                        </pic:nvPicPr>
                        <pic:blipFill>
                          <a:blip r:embed="rId21"/>
                          <a:stretch>
                            <a:fillRect/>
                          </a:stretch>
                        </pic:blipFill>
                        <pic:spPr>
                          <a:xfrm>
                            <a:off x="0" y="0"/>
                            <a:ext cx="875665" cy="248285"/>
                          </a:xfrm>
                          <a:prstGeom prst="rect">
                            <a:avLst/>
                          </a:prstGeom>
                          <a:noFill/>
                          <a:ln>
                            <a:noFill/>
                          </a:ln>
                        </pic:spPr>
                      </pic:pic>
                    </a:graphicData>
                  </a:graphic>
                </wp:inline>
              </w:drawing>
            </w:r>
            <w:r>
              <w:rPr>
                <w:rFonts w:hint="default" w:ascii="Times New Roman" w:hAnsi="Times New Roman" w:eastAsia="宋体" w:cs="Times New Roman"/>
                <w:color w:val="auto"/>
                <w:spacing w:val="-1"/>
                <w:sz w:val="24"/>
                <w:szCs w:val="24"/>
              </w:rPr>
              <w:t>。其中面声源的 b＞a。图 A.3 中虚线为实际衰减量。</w:t>
            </w:r>
          </w:p>
          <w:p w14:paraId="315DDBB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ascii="宋体" w:hAnsi="宋体" w:eastAsia="宋体" w:cs="宋体"/>
                <w:color w:val="auto"/>
                <w:spacing w:val="-1"/>
                <w:sz w:val="24"/>
                <w:szCs w:val="24"/>
              </w:rPr>
            </w:pPr>
            <w:r>
              <w:rPr>
                <w:color w:val="auto"/>
              </w:rPr>
              <w:drawing>
                <wp:inline distT="0" distB="0" distL="114300" distR="114300">
                  <wp:extent cx="3854450" cy="2780030"/>
                  <wp:effectExtent l="0" t="0" r="12700" b="1270"/>
                  <wp:docPr id="10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
                          <pic:cNvPicPr>
                            <a:picLocks noChangeAspect="1"/>
                          </pic:cNvPicPr>
                        </pic:nvPicPr>
                        <pic:blipFill>
                          <a:blip r:embed="rId22"/>
                          <a:stretch>
                            <a:fillRect/>
                          </a:stretch>
                        </pic:blipFill>
                        <pic:spPr>
                          <a:xfrm>
                            <a:off x="0" y="0"/>
                            <a:ext cx="3854450" cy="2780030"/>
                          </a:xfrm>
                          <a:prstGeom prst="rect">
                            <a:avLst/>
                          </a:prstGeom>
                          <a:noFill/>
                          <a:ln>
                            <a:noFill/>
                          </a:ln>
                        </pic:spPr>
                      </pic:pic>
                    </a:graphicData>
                  </a:graphic>
                </wp:inline>
              </w:drawing>
            </w:r>
          </w:p>
          <w:p w14:paraId="19FF1781">
            <w:pPr>
              <w:keepNext w:val="0"/>
              <w:keepLines w:val="0"/>
              <w:pageBreakBefore w:val="0"/>
              <w:widowControl w:val="0"/>
              <w:kinsoku/>
              <w:wordWrap/>
              <w:overflowPunct/>
              <w:topLinePunct w:val="0"/>
              <w:autoSpaceDE/>
              <w:autoSpaceDN/>
              <w:bidi w:val="0"/>
              <w:adjustRightInd/>
              <w:snapToGrid/>
              <w:spacing w:line="360" w:lineRule="auto"/>
              <w:ind w:firstLine="487"/>
              <w:textAlignment w:val="auto"/>
              <w:rPr>
                <w:rFonts w:ascii="宋体" w:hAnsi="宋体" w:eastAsia="宋体" w:cs="宋体"/>
                <w:color w:val="auto"/>
                <w:spacing w:val="-1"/>
                <w:sz w:val="24"/>
                <w:szCs w:val="24"/>
              </w:rPr>
            </w:pPr>
            <w:r>
              <w:rPr>
                <w:rFonts w:ascii="宋体" w:hAnsi="宋体" w:eastAsia="宋体" w:cs="宋体"/>
                <w:color w:val="auto"/>
                <w:spacing w:val="-1"/>
                <w:sz w:val="24"/>
                <w:szCs w:val="24"/>
              </w:rPr>
              <w:t>②</w:t>
            </w:r>
            <w:r>
              <w:rPr>
                <w:rFonts w:hint="eastAsia" w:ascii="宋体" w:hAnsi="宋体" w:cs="宋体"/>
                <w:color w:val="auto"/>
                <w:spacing w:val="-1"/>
                <w:sz w:val="24"/>
                <w:szCs w:val="24"/>
                <w:lang w:eastAsia="zh-CN"/>
              </w:rPr>
              <w:t>大气</w:t>
            </w:r>
            <w:r>
              <w:rPr>
                <w:rFonts w:ascii="宋体" w:hAnsi="宋体" w:eastAsia="宋体" w:cs="宋体"/>
                <w:color w:val="auto"/>
                <w:spacing w:val="-1"/>
                <w:sz w:val="24"/>
                <w:szCs w:val="24"/>
              </w:rPr>
              <w:t>吸收引起的衰减（</w:t>
            </w:r>
            <w:r>
              <w:rPr>
                <w:rFonts w:ascii="Times New Roman" w:hAnsi="Times New Roman" w:eastAsia="Times New Roman" w:cs="Times New Roman"/>
                <w:color w:val="auto"/>
                <w:spacing w:val="-1"/>
                <w:sz w:val="24"/>
                <w:szCs w:val="24"/>
              </w:rPr>
              <w:t>A</w:t>
            </w:r>
            <w:r>
              <w:rPr>
                <w:rFonts w:ascii="Times New Roman" w:hAnsi="Times New Roman" w:eastAsia="Times New Roman" w:cs="Times New Roman"/>
                <w:color w:val="auto"/>
                <w:spacing w:val="-1"/>
                <w:sz w:val="16"/>
                <w:szCs w:val="16"/>
              </w:rPr>
              <w:t>atm</w:t>
            </w:r>
            <w:r>
              <w:rPr>
                <w:rFonts w:ascii="宋体" w:hAnsi="宋体" w:eastAsia="宋体" w:cs="宋体"/>
                <w:color w:val="auto"/>
                <w:spacing w:val="-1"/>
                <w:sz w:val="24"/>
                <w:szCs w:val="24"/>
              </w:rPr>
              <w:t>）</w:t>
            </w:r>
          </w:p>
          <w:p w14:paraId="4C81E42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rPr>
            </w:pPr>
            <w:r>
              <w:rPr>
                <w:color w:val="auto"/>
              </w:rPr>
              <w:drawing>
                <wp:inline distT="0" distB="0" distL="114300" distR="114300">
                  <wp:extent cx="1190625" cy="504825"/>
                  <wp:effectExtent l="0" t="0" r="9525" b="9525"/>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1"/>
                          </pic:cNvPicPr>
                        </pic:nvPicPr>
                        <pic:blipFill>
                          <a:blip r:embed="rId23"/>
                          <a:stretch>
                            <a:fillRect/>
                          </a:stretch>
                        </pic:blipFill>
                        <pic:spPr>
                          <a:xfrm>
                            <a:off x="0" y="0"/>
                            <a:ext cx="1190625" cy="504825"/>
                          </a:xfrm>
                          <a:prstGeom prst="rect">
                            <a:avLst/>
                          </a:prstGeom>
                          <a:noFill/>
                          <a:ln>
                            <a:noFill/>
                          </a:ln>
                        </pic:spPr>
                      </pic:pic>
                    </a:graphicData>
                  </a:graphic>
                </wp:inline>
              </w:drawing>
            </w:r>
          </w:p>
          <w:p w14:paraId="445EC846">
            <w:pPr>
              <w:keepNext w:val="0"/>
              <w:keepLines w:val="0"/>
              <w:pageBreakBefore w:val="0"/>
              <w:widowControl w:val="0"/>
              <w:kinsoku/>
              <w:wordWrap/>
              <w:overflowPunct/>
              <w:topLinePunct w:val="0"/>
              <w:autoSpaceDE/>
              <w:autoSpaceDN/>
              <w:bidi w:val="0"/>
              <w:adjustRightInd/>
              <w:snapToGrid/>
              <w:spacing w:line="360" w:lineRule="auto"/>
              <w:ind w:firstLine="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式中：A</w:t>
            </w:r>
            <w:r>
              <w:rPr>
                <w:rFonts w:hint="default" w:ascii="Times New Roman" w:hAnsi="Times New Roman" w:eastAsia="宋体" w:cs="Times New Roman"/>
                <w:b w:val="0"/>
                <w:bCs w:val="0"/>
                <w:color w:val="auto"/>
                <w:spacing w:val="0"/>
                <w:w w:val="100"/>
                <w:position w:val="0"/>
                <w:sz w:val="24"/>
                <w:szCs w:val="24"/>
                <w:vertAlign w:val="subscript"/>
              </w:rPr>
              <w:t>atm</w:t>
            </w:r>
            <w:r>
              <w:rPr>
                <w:rFonts w:hint="default" w:ascii="Times New Roman" w:hAnsi="Times New Roman" w:eastAsia="宋体" w:cs="Times New Roman"/>
                <w:b w:val="0"/>
                <w:bCs w:val="0"/>
                <w:color w:val="auto"/>
                <w:spacing w:val="0"/>
                <w:w w:val="100"/>
                <w:position w:val="0"/>
                <w:sz w:val="24"/>
                <w:szCs w:val="24"/>
              </w:rPr>
              <w:t xml:space="preserve"> —大气吸收引起的衰减，dB； </w:t>
            </w:r>
          </w:p>
          <w:p w14:paraId="2BC8C059">
            <w:pPr>
              <w:keepNext w:val="0"/>
              <w:keepLines w:val="0"/>
              <w:pageBreakBefore w:val="0"/>
              <w:widowControl w:val="0"/>
              <w:kinsoku/>
              <w:wordWrap/>
              <w:overflowPunct/>
              <w:topLinePunct w:val="0"/>
              <w:autoSpaceDE/>
              <w:autoSpaceDN/>
              <w:bidi w:val="0"/>
              <w:adjustRightInd/>
              <w:snapToGrid/>
              <w:spacing w:line="360" w:lineRule="auto"/>
              <w:ind w:firstLine="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α—与温度、湿度和声波频率有关的大气吸收衰减系数，预测计算中一般根据建设项目所处区域常年平均气温和湿度选择相应的大气吸收衰减系数；</w:t>
            </w:r>
          </w:p>
          <w:p w14:paraId="5E896DB0">
            <w:pPr>
              <w:keepNext w:val="0"/>
              <w:keepLines w:val="0"/>
              <w:pageBreakBefore w:val="0"/>
              <w:widowControl w:val="0"/>
              <w:kinsoku/>
              <w:wordWrap/>
              <w:overflowPunct/>
              <w:topLinePunct w:val="0"/>
              <w:autoSpaceDE/>
              <w:autoSpaceDN/>
              <w:bidi w:val="0"/>
              <w:adjustRightInd/>
              <w:snapToGrid/>
              <w:spacing w:line="360" w:lineRule="auto"/>
              <w:ind w:firstLine="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r —预测点距声源的距离；</w:t>
            </w:r>
          </w:p>
          <w:p w14:paraId="21CED0CD">
            <w:pPr>
              <w:keepNext w:val="0"/>
              <w:keepLines w:val="0"/>
              <w:pageBreakBefore w:val="0"/>
              <w:widowControl w:val="0"/>
              <w:kinsoku/>
              <w:wordWrap/>
              <w:overflowPunct/>
              <w:topLinePunct w:val="0"/>
              <w:autoSpaceDE/>
              <w:autoSpaceDN/>
              <w:bidi w:val="0"/>
              <w:adjustRightInd/>
              <w:snapToGrid/>
              <w:spacing w:line="360" w:lineRule="auto"/>
              <w:ind w:firstLine="0"/>
              <w:jc w:val="both"/>
              <w:textAlignment w:val="auto"/>
              <w:rPr>
                <w:rFonts w:hint="default" w:ascii="Times New Roman" w:hAnsi="Times New Roman" w:eastAsia="宋体" w:cs="Times New Roman"/>
                <w:b w:val="0"/>
                <w:bCs w:val="0"/>
                <w:color w:val="auto"/>
                <w:spacing w:val="0"/>
                <w:w w:val="100"/>
                <w:position w:val="0"/>
                <w:sz w:val="24"/>
                <w:szCs w:val="24"/>
              </w:rPr>
            </w:pPr>
            <w:r>
              <w:rPr>
                <w:rFonts w:hint="default" w:ascii="Times New Roman" w:hAnsi="Times New Roman" w:eastAsia="宋体" w:cs="Times New Roman"/>
                <w:b w:val="0"/>
                <w:bCs w:val="0"/>
                <w:color w:val="auto"/>
                <w:spacing w:val="0"/>
                <w:w w:val="100"/>
                <w:position w:val="0"/>
                <w:sz w:val="24"/>
                <w:szCs w:val="24"/>
              </w:rPr>
              <w:t>r</w:t>
            </w:r>
            <w:r>
              <w:rPr>
                <w:rFonts w:hint="default" w:ascii="Times New Roman" w:hAnsi="Times New Roman" w:eastAsia="宋体" w:cs="Times New Roman"/>
                <w:b w:val="0"/>
                <w:bCs w:val="0"/>
                <w:color w:val="auto"/>
                <w:spacing w:val="0"/>
                <w:w w:val="100"/>
                <w:position w:val="0"/>
                <w:sz w:val="24"/>
                <w:szCs w:val="24"/>
                <w:vertAlign w:val="subscript"/>
              </w:rPr>
              <w:t>0</w:t>
            </w:r>
            <w:r>
              <w:rPr>
                <w:rFonts w:hint="default" w:ascii="Times New Roman" w:hAnsi="Times New Roman" w:eastAsia="宋体" w:cs="Times New Roman"/>
                <w:b w:val="0"/>
                <w:bCs w:val="0"/>
                <w:color w:val="auto"/>
                <w:spacing w:val="0"/>
                <w:w w:val="100"/>
                <w:position w:val="0"/>
                <w:sz w:val="24"/>
                <w:szCs w:val="24"/>
              </w:rPr>
              <w:t>—参考位置距声源的距离。</w:t>
            </w:r>
          </w:p>
          <w:p w14:paraId="59AE12C5">
            <w:pPr>
              <w:bidi w:val="0"/>
              <w:spacing w:line="240" w:lineRule="auto"/>
              <w:ind w:left="0" w:leftChars="0" w:firstLine="0" w:firstLineChars="0"/>
              <w:jc w:val="center"/>
              <w:rPr>
                <w:rFonts w:hint="default"/>
                <w:b/>
                <w:bCs/>
                <w:color w:val="auto"/>
                <w:sz w:val="21"/>
                <w:szCs w:val="21"/>
                <w:lang w:val="en-US" w:eastAsia="zh-CN"/>
              </w:rPr>
            </w:pPr>
            <w:r>
              <w:rPr>
                <w:rFonts w:hint="default"/>
                <w:b/>
                <w:bCs/>
                <w:color w:val="auto"/>
                <w:sz w:val="21"/>
                <w:szCs w:val="21"/>
                <w:lang w:val="en-US" w:eastAsia="zh-CN"/>
              </w:rPr>
              <w:t>表4-1</w:t>
            </w:r>
            <w:r>
              <w:rPr>
                <w:rFonts w:hint="eastAsia"/>
                <w:b/>
                <w:bCs/>
                <w:color w:val="auto"/>
                <w:sz w:val="21"/>
                <w:szCs w:val="21"/>
                <w:lang w:val="en-US" w:eastAsia="zh-CN"/>
              </w:rPr>
              <w:t xml:space="preserve">3 </w:t>
            </w:r>
            <w:r>
              <w:rPr>
                <w:rFonts w:hint="default"/>
                <w:b/>
                <w:bCs/>
                <w:color w:val="auto"/>
                <w:sz w:val="21"/>
                <w:szCs w:val="21"/>
                <w:lang w:val="en-US" w:eastAsia="zh-CN"/>
              </w:rPr>
              <w:t>倍频带噪声的大气吸收衰减系数</w:t>
            </w:r>
          </w:p>
          <w:p w14:paraId="04BAA87D">
            <w:pPr>
              <w:spacing w:line="15" w:lineRule="exact"/>
              <w:rPr>
                <w:color w:val="auto"/>
              </w:rPr>
            </w:pPr>
          </w:p>
          <w:tbl>
            <w:tblPr>
              <w:tblStyle w:val="142"/>
              <w:tblW w:w="77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5"/>
              <w:gridCol w:w="1455"/>
              <w:gridCol w:w="550"/>
              <w:gridCol w:w="609"/>
              <w:gridCol w:w="609"/>
              <w:gridCol w:w="608"/>
              <w:gridCol w:w="730"/>
              <w:gridCol w:w="730"/>
              <w:gridCol w:w="730"/>
              <w:gridCol w:w="802"/>
            </w:tblGrid>
            <w:tr w14:paraId="2717E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975" w:type="dxa"/>
                  <w:vMerge w:val="restart"/>
                  <w:tcBorders>
                    <w:bottom w:val="nil"/>
                  </w:tcBorders>
                  <w:vAlign w:val="center"/>
                </w:tcPr>
                <w:p w14:paraId="125692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温度℃</w:t>
                  </w:r>
                </w:p>
              </w:tc>
              <w:tc>
                <w:tcPr>
                  <w:tcW w:w="1455" w:type="dxa"/>
                  <w:vMerge w:val="restart"/>
                  <w:tcBorders>
                    <w:bottom w:val="nil"/>
                  </w:tcBorders>
                  <w:vAlign w:val="center"/>
                </w:tcPr>
                <w:p w14:paraId="39BE4C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相对湿度%</w:t>
                  </w:r>
                </w:p>
              </w:tc>
              <w:tc>
                <w:tcPr>
                  <w:tcW w:w="5368" w:type="dxa"/>
                  <w:gridSpan w:val="8"/>
                  <w:vAlign w:val="center"/>
                </w:tcPr>
                <w:p w14:paraId="0706FE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大气吸收衰减系数</w:t>
                  </w:r>
                  <w:r>
                    <w:rPr>
                      <w:rFonts w:hint="default" w:ascii="Times New Roman" w:hAnsi="Times New Roman" w:eastAsia="宋体" w:cs="Times New Roman"/>
                      <w:color w:val="auto"/>
                      <w:spacing w:val="0"/>
                      <w:w w:val="100"/>
                      <w:position w:val="0"/>
                      <w:sz w:val="21"/>
                      <w:szCs w:val="21"/>
                    </w:rPr>
                    <w:drawing>
                      <wp:inline distT="0" distB="0" distL="0" distR="0">
                        <wp:extent cx="130810" cy="73025"/>
                        <wp:effectExtent l="0" t="0" r="2540" b="3175"/>
                        <wp:docPr id="966" name="IM 556"/>
                        <wp:cNvGraphicFramePr/>
                        <a:graphic xmlns:a="http://schemas.openxmlformats.org/drawingml/2006/main">
                          <a:graphicData uri="http://schemas.openxmlformats.org/drawingml/2006/picture">
                            <pic:pic xmlns:pic="http://schemas.openxmlformats.org/drawingml/2006/picture">
                              <pic:nvPicPr>
                                <pic:cNvPr id="966" name="IM 556"/>
                                <pic:cNvPicPr/>
                              </pic:nvPicPr>
                              <pic:blipFill>
                                <a:blip r:embed="rId24"/>
                                <a:stretch>
                                  <a:fillRect/>
                                </a:stretch>
                              </pic:blipFill>
                              <pic:spPr>
                                <a:xfrm>
                                  <a:off x="0" y="0"/>
                                  <a:ext cx="131141" cy="73123"/>
                                </a:xfrm>
                                <a:prstGeom prst="rect">
                                  <a:avLst/>
                                </a:prstGeom>
                              </pic:spPr>
                            </pic:pic>
                          </a:graphicData>
                        </a:graphic>
                      </wp:inline>
                    </w:drawing>
                  </w:r>
                  <w:r>
                    <w:rPr>
                      <w:rFonts w:hint="default" w:ascii="Times New Roman" w:hAnsi="Times New Roman" w:eastAsia="宋体" w:cs="Times New Roman"/>
                      <w:color w:val="auto"/>
                      <w:spacing w:val="0"/>
                      <w:w w:val="100"/>
                      <w:position w:val="0"/>
                      <w:sz w:val="21"/>
                      <w:szCs w:val="21"/>
                    </w:rPr>
                    <w:t xml:space="preserve"> ，dB/km</w:t>
                  </w:r>
                </w:p>
              </w:tc>
            </w:tr>
            <w:tr w14:paraId="10F30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jc w:val="center"/>
              </w:trPr>
              <w:tc>
                <w:tcPr>
                  <w:tcW w:w="975" w:type="dxa"/>
                  <w:vMerge w:val="continue"/>
                  <w:tcBorders>
                    <w:top w:val="nil"/>
                    <w:bottom w:val="nil"/>
                  </w:tcBorders>
                  <w:vAlign w:val="center"/>
                </w:tcPr>
                <w:p w14:paraId="472763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p>
              </w:tc>
              <w:tc>
                <w:tcPr>
                  <w:tcW w:w="1455" w:type="dxa"/>
                  <w:vMerge w:val="continue"/>
                  <w:tcBorders>
                    <w:top w:val="nil"/>
                    <w:bottom w:val="nil"/>
                  </w:tcBorders>
                  <w:vAlign w:val="center"/>
                </w:tcPr>
                <w:p w14:paraId="71C6B2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p>
              </w:tc>
              <w:tc>
                <w:tcPr>
                  <w:tcW w:w="5368" w:type="dxa"/>
                  <w:gridSpan w:val="8"/>
                  <w:vAlign w:val="center"/>
                </w:tcPr>
                <w:p w14:paraId="4AC5A3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倍频带中心频率 Hz</w:t>
                  </w:r>
                </w:p>
              </w:tc>
            </w:tr>
            <w:tr w14:paraId="358BC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975" w:type="dxa"/>
                  <w:vMerge w:val="continue"/>
                  <w:tcBorders>
                    <w:top w:val="nil"/>
                  </w:tcBorders>
                  <w:vAlign w:val="center"/>
                </w:tcPr>
                <w:p w14:paraId="211A7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p>
              </w:tc>
              <w:tc>
                <w:tcPr>
                  <w:tcW w:w="1455" w:type="dxa"/>
                  <w:vMerge w:val="continue"/>
                  <w:tcBorders>
                    <w:top w:val="nil"/>
                  </w:tcBorders>
                  <w:vAlign w:val="center"/>
                </w:tcPr>
                <w:p w14:paraId="3647D3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p>
              </w:tc>
              <w:tc>
                <w:tcPr>
                  <w:tcW w:w="550" w:type="dxa"/>
                  <w:vAlign w:val="center"/>
                </w:tcPr>
                <w:p w14:paraId="5E1573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63</w:t>
                  </w:r>
                </w:p>
              </w:tc>
              <w:tc>
                <w:tcPr>
                  <w:tcW w:w="609" w:type="dxa"/>
                  <w:vAlign w:val="center"/>
                </w:tcPr>
                <w:p w14:paraId="4EAD1B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125</w:t>
                  </w:r>
                </w:p>
              </w:tc>
              <w:tc>
                <w:tcPr>
                  <w:tcW w:w="609" w:type="dxa"/>
                  <w:vAlign w:val="center"/>
                </w:tcPr>
                <w:p w14:paraId="6E907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250</w:t>
                  </w:r>
                </w:p>
              </w:tc>
              <w:tc>
                <w:tcPr>
                  <w:tcW w:w="608" w:type="dxa"/>
                  <w:vAlign w:val="center"/>
                </w:tcPr>
                <w:p w14:paraId="7BA23C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500</w:t>
                  </w:r>
                </w:p>
              </w:tc>
              <w:tc>
                <w:tcPr>
                  <w:tcW w:w="730" w:type="dxa"/>
                  <w:vAlign w:val="center"/>
                </w:tcPr>
                <w:p w14:paraId="7CA9EC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1000</w:t>
                  </w:r>
                </w:p>
              </w:tc>
              <w:tc>
                <w:tcPr>
                  <w:tcW w:w="730" w:type="dxa"/>
                  <w:vAlign w:val="center"/>
                </w:tcPr>
                <w:p w14:paraId="2EFCF4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2000</w:t>
                  </w:r>
                </w:p>
              </w:tc>
              <w:tc>
                <w:tcPr>
                  <w:tcW w:w="730" w:type="dxa"/>
                  <w:vAlign w:val="center"/>
                </w:tcPr>
                <w:p w14:paraId="2EA109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4000</w:t>
                  </w:r>
                </w:p>
              </w:tc>
              <w:tc>
                <w:tcPr>
                  <w:tcW w:w="802" w:type="dxa"/>
                  <w:vAlign w:val="center"/>
                </w:tcPr>
                <w:p w14:paraId="538121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8000</w:t>
                  </w:r>
                </w:p>
              </w:tc>
            </w:tr>
            <w:tr w14:paraId="19415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975" w:type="dxa"/>
                  <w:vAlign w:val="center"/>
                </w:tcPr>
                <w:p w14:paraId="2D50C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10</w:t>
                  </w:r>
                </w:p>
              </w:tc>
              <w:tc>
                <w:tcPr>
                  <w:tcW w:w="1455" w:type="dxa"/>
                  <w:vAlign w:val="center"/>
                </w:tcPr>
                <w:p w14:paraId="6E531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70</w:t>
                  </w:r>
                </w:p>
              </w:tc>
              <w:tc>
                <w:tcPr>
                  <w:tcW w:w="550" w:type="dxa"/>
                  <w:vAlign w:val="center"/>
                </w:tcPr>
                <w:p w14:paraId="4615B6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609" w:type="dxa"/>
                  <w:vAlign w:val="center"/>
                </w:tcPr>
                <w:p w14:paraId="4044FF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0.4</w:t>
                  </w:r>
                </w:p>
              </w:tc>
              <w:tc>
                <w:tcPr>
                  <w:tcW w:w="609" w:type="dxa"/>
                  <w:vAlign w:val="center"/>
                </w:tcPr>
                <w:p w14:paraId="2DBA0F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1.0</w:t>
                  </w:r>
                </w:p>
              </w:tc>
              <w:tc>
                <w:tcPr>
                  <w:tcW w:w="608" w:type="dxa"/>
                  <w:vAlign w:val="center"/>
                </w:tcPr>
                <w:p w14:paraId="1576A9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1.9</w:t>
                  </w:r>
                </w:p>
              </w:tc>
              <w:tc>
                <w:tcPr>
                  <w:tcW w:w="730" w:type="dxa"/>
                  <w:vAlign w:val="center"/>
                </w:tcPr>
                <w:p w14:paraId="0081DF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3.7</w:t>
                  </w:r>
                </w:p>
              </w:tc>
              <w:tc>
                <w:tcPr>
                  <w:tcW w:w="730" w:type="dxa"/>
                  <w:vAlign w:val="center"/>
                </w:tcPr>
                <w:p w14:paraId="0F3CE6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9.7</w:t>
                  </w:r>
                </w:p>
              </w:tc>
              <w:tc>
                <w:tcPr>
                  <w:tcW w:w="730" w:type="dxa"/>
                  <w:vAlign w:val="center"/>
                </w:tcPr>
                <w:p w14:paraId="4392CF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32.8</w:t>
                  </w:r>
                </w:p>
              </w:tc>
              <w:tc>
                <w:tcPr>
                  <w:tcW w:w="802" w:type="dxa"/>
                  <w:vAlign w:val="center"/>
                </w:tcPr>
                <w:p w14:paraId="1A48E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117.0</w:t>
                  </w:r>
                </w:p>
              </w:tc>
            </w:tr>
            <w:tr w14:paraId="07B65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975" w:type="dxa"/>
                  <w:vAlign w:val="center"/>
                </w:tcPr>
                <w:p w14:paraId="3217A6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20</w:t>
                  </w:r>
                </w:p>
              </w:tc>
              <w:tc>
                <w:tcPr>
                  <w:tcW w:w="1455" w:type="dxa"/>
                  <w:vAlign w:val="center"/>
                </w:tcPr>
                <w:p w14:paraId="33EA8D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70</w:t>
                  </w:r>
                </w:p>
              </w:tc>
              <w:tc>
                <w:tcPr>
                  <w:tcW w:w="550" w:type="dxa"/>
                  <w:vAlign w:val="center"/>
                </w:tcPr>
                <w:p w14:paraId="6FD347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609" w:type="dxa"/>
                  <w:vAlign w:val="center"/>
                </w:tcPr>
                <w:p w14:paraId="5AB59E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0.3</w:t>
                  </w:r>
                </w:p>
              </w:tc>
              <w:tc>
                <w:tcPr>
                  <w:tcW w:w="609" w:type="dxa"/>
                  <w:vAlign w:val="center"/>
                </w:tcPr>
                <w:p w14:paraId="4A59C9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1.1</w:t>
                  </w:r>
                </w:p>
              </w:tc>
              <w:tc>
                <w:tcPr>
                  <w:tcW w:w="608" w:type="dxa"/>
                  <w:vAlign w:val="center"/>
                </w:tcPr>
                <w:p w14:paraId="002A3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2.8</w:t>
                  </w:r>
                </w:p>
              </w:tc>
              <w:tc>
                <w:tcPr>
                  <w:tcW w:w="730" w:type="dxa"/>
                  <w:vAlign w:val="center"/>
                </w:tcPr>
                <w:p w14:paraId="39C737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5.0</w:t>
                  </w:r>
                </w:p>
              </w:tc>
              <w:tc>
                <w:tcPr>
                  <w:tcW w:w="730" w:type="dxa"/>
                  <w:vAlign w:val="center"/>
                </w:tcPr>
                <w:p w14:paraId="3D2F0D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9.0</w:t>
                  </w:r>
                </w:p>
              </w:tc>
              <w:tc>
                <w:tcPr>
                  <w:tcW w:w="730" w:type="dxa"/>
                  <w:vAlign w:val="center"/>
                </w:tcPr>
                <w:p w14:paraId="556068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22.9</w:t>
                  </w:r>
                </w:p>
              </w:tc>
              <w:tc>
                <w:tcPr>
                  <w:tcW w:w="802" w:type="dxa"/>
                  <w:vAlign w:val="center"/>
                </w:tcPr>
                <w:p w14:paraId="038CD4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76.6</w:t>
                  </w:r>
                </w:p>
              </w:tc>
            </w:tr>
            <w:tr w14:paraId="2F7FC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975" w:type="dxa"/>
                  <w:vAlign w:val="center"/>
                </w:tcPr>
                <w:p w14:paraId="40398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30</w:t>
                  </w:r>
                </w:p>
              </w:tc>
              <w:tc>
                <w:tcPr>
                  <w:tcW w:w="1455" w:type="dxa"/>
                  <w:vAlign w:val="center"/>
                </w:tcPr>
                <w:p w14:paraId="5EA5D9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70</w:t>
                  </w:r>
                </w:p>
              </w:tc>
              <w:tc>
                <w:tcPr>
                  <w:tcW w:w="550" w:type="dxa"/>
                  <w:vAlign w:val="center"/>
                </w:tcPr>
                <w:p w14:paraId="2FAA4B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609" w:type="dxa"/>
                  <w:vAlign w:val="center"/>
                </w:tcPr>
                <w:p w14:paraId="6573A4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0.3</w:t>
                  </w:r>
                </w:p>
              </w:tc>
              <w:tc>
                <w:tcPr>
                  <w:tcW w:w="609" w:type="dxa"/>
                  <w:vAlign w:val="center"/>
                </w:tcPr>
                <w:p w14:paraId="2517D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1.0</w:t>
                  </w:r>
                </w:p>
              </w:tc>
              <w:tc>
                <w:tcPr>
                  <w:tcW w:w="608" w:type="dxa"/>
                  <w:vAlign w:val="center"/>
                </w:tcPr>
                <w:p w14:paraId="53E7A9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3.1</w:t>
                  </w:r>
                </w:p>
              </w:tc>
              <w:tc>
                <w:tcPr>
                  <w:tcW w:w="730" w:type="dxa"/>
                  <w:vAlign w:val="center"/>
                </w:tcPr>
                <w:p w14:paraId="30F39D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7.4</w:t>
                  </w:r>
                </w:p>
              </w:tc>
              <w:tc>
                <w:tcPr>
                  <w:tcW w:w="730" w:type="dxa"/>
                  <w:vAlign w:val="center"/>
                </w:tcPr>
                <w:p w14:paraId="6641E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12.7</w:t>
                  </w:r>
                </w:p>
              </w:tc>
              <w:tc>
                <w:tcPr>
                  <w:tcW w:w="730" w:type="dxa"/>
                  <w:vAlign w:val="center"/>
                </w:tcPr>
                <w:p w14:paraId="6E31DB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23.1</w:t>
                  </w:r>
                </w:p>
              </w:tc>
              <w:tc>
                <w:tcPr>
                  <w:tcW w:w="802" w:type="dxa"/>
                  <w:vAlign w:val="center"/>
                </w:tcPr>
                <w:p w14:paraId="247C50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59.3</w:t>
                  </w:r>
                </w:p>
              </w:tc>
            </w:tr>
            <w:tr w14:paraId="521D80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975" w:type="dxa"/>
                  <w:vAlign w:val="center"/>
                </w:tcPr>
                <w:p w14:paraId="67AFC1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15</w:t>
                  </w:r>
                </w:p>
              </w:tc>
              <w:tc>
                <w:tcPr>
                  <w:tcW w:w="1455" w:type="dxa"/>
                  <w:vAlign w:val="center"/>
                </w:tcPr>
                <w:p w14:paraId="0F8636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20</w:t>
                  </w:r>
                </w:p>
              </w:tc>
              <w:tc>
                <w:tcPr>
                  <w:tcW w:w="550" w:type="dxa"/>
                  <w:vAlign w:val="center"/>
                </w:tcPr>
                <w:p w14:paraId="112C0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0.3</w:t>
                  </w:r>
                </w:p>
              </w:tc>
              <w:tc>
                <w:tcPr>
                  <w:tcW w:w="609" w:type="dxa"/>
                  <w:vAlign w:val="center"/>
                </w:tcPr>
                <w:p w14:paraId="3C3538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0.6</w:t>
                  </w:r>
                </w:p>
              </w:tc>
              <w:tc>
                <w:tcPr>
                  <w:tcW w:w="609" w:type="dxa"/>
                  <w:vAlign w:val="center"/>
                </w:tcPr>
                <w:p w14:paraId="29D0F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1.2</w:t>
                  </w:r>
                </w:p>
              </w:tc>
              <w:tc>
                <w:tcPr>
                  <w:tcW w:w="608" w:type="dxa"/>
                  <w:vAlign w:val="center"/>
                </w:tcPr>
                <w:p w14:paraId="515C36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2.7</w:t>
                  </w:r>
                </w:p>
              </w:tc>
              <w:tc>
                <w:tcPr>
                  <w:tcW w:w="730" w:type="dxa"/>
                  <w:vAlign w:val="center"/>
                </w:tcPr>
                <w:p w14:paraId="53439A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8.2</w:t>
                  </w:r>
                </w:p>
              </w:tc>
              <w:tc>
                <w:tcPr>
                  <w:tcW w:w="730" w:type="dxa"/>
                  <w:vAlign w:val="center"/>
                </w:tcPr>
                <w:p w14:paraId="2983F8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28.2</w:t>
                  </w:r>
                </w:p>
              </w:tc>
              <w:tc>
                <w:tcPr>
                  <w:tcW w:w="730" w:type="dxa"/>
                  <w:vAlign w:val="center"/>
                </w:tcPr>
                <w:p w14:paraId="50B1E4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28.8</w:t>
                  </w:r>
                </w:p>
              </w:tc>
              <w:tc>
                <w:tcPr>
                  <w:tcW w:w="802" w:type="dxa"/>
                  <w:vAlign w:val="center"/>
                </w:tcPr>
                <w:p w14:paraId="4B0301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202.0</w:t>
                  </w:r>
                </w:p>
              </w:tc>
            </w:tr>
            <w:tr w14:paraId="46D06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975" w:type="dxa"/>
                  <w:vAlign w:val="center"/>
                </w:tcPr>
                <w:p w14:paraId="116798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15</w:t>
                  </w:r>
                </w:p>
              </w:tc>
              <w:tc>
                <w:tcPr>
                  <w:tcW w:w="1455" w:type="dxa"/>
                  <w:vAlign w:val="center"/>
                </w:tcPr>
                <w:p w14:paraId="76154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50</w:t>
                  </w:r>
                </w:p>
              </w:tc>
              <w:tc>
                <w:tcPr>
                  <w:tcW w:w="550" w:type="dxa"/>
                  <w:vAlign w:val="center"/>
                </w:tcPr>
                <w:p w14:paraId="419A02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609" w:type="dxa"/>
                  <w:vAlign w:val="center"/>
                </w:tcPr>
                <w:p w14:paraId="72635F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0.5</w:t>
                  </w:r>
                </w:p>
              </w:tc>
              <w:tc>
                <w:tcPr>
                  <w:tcW w:w="609" w:type="dxa"/>
                  <w:vAlign w:val="center"/>
                </w:tcPr>
                <w:p w14:paraId="33E80D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1.2</w:t>
                  </w:r>
                </w:p>
              </w:tc>
              <w:tc>
                <w:tcPr>
                  <w:tcW w:w="608" w:type="dxa"/>
                  <w:vAlign w:val="center"/>
                </w:tcPr>
                <w:p w14:paraId="1C9ABB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2.2</w:t>
                  </w:r>
                </w:p>
              </w:tc>
              <w:tc>
                <w:tcPr>
                  <w:tcW w:w="730" w:type="dxa"/>
                  <w:vAlign w:val="center"/>
                </w:tcPr>
                <w:p w14:paraId="60EABD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4.2</w:t>
                  </w:r>
                </w:p>
              </w:tc>
              <w:tc>
                <w:tcPr>
                  <w:tcW w:w="730" w:type="dxa"/>
                  <w:vAlign w:val="center"/>
                </w:tcPr>
                <w:p w14:paraId="2C1157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10.8</w:t>
                  </w:r>
                </w:p>
              </w:tc>
              <w:tc>
                <w:tcPr>
                  <w:tcW w:w="730" w:type="dxa"/>
                  <w:vAlign w:val="center"/>
                </w:tcPr>
                <w:p w14:paraId="30AA90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36.2</w:t>
                  </w:r>
                </w:p>
              </w:tc>
              <w:tc>
                <w:tcPr>
                  <w:tcW w:w="802" w:type="dxa"/>
                  <w:vAlign w:val="center"/>
                </w:tcPr>
                <w:p w14:paraId="6BEE9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129.0</w:t>
                  </w:r>
                </w:p>
              </w:tc>
            </w:tr>
            <w:tr w14:paraId="46ABB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975" w:type="dxa"/>
                  <w:vAlign w:val="center"/>
                </w:tcPr>
                <w:p w14:paraId="6BE53A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15</w:t>
                  </w:r>
                </w:p>
              </w:tc>
              <w:tc>
                <w:tcPr>
                  <w:tcW w:w="1455" w:type="dxa"/>
                  <w:vAlign w:val="center"/>
                </w:tcPr>
                <w:p w14:paraId="2BCEF4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80</w:t>
                  </w:r>
                </w:p>
              </w:tc>
              <w:tc>
                <w:tcPr>
                  <w:tcW w:w="550" w:type="dxa"/>
                  <w:vAlign w:val="center"/>
                </w:tcPr>
                <w:p w14:paraId="0306A8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0.1</w:t>
                  </w:r>
                </w:p>
              </w:tc>
              <w:tc>
                <w:tcPr>
                  <w:tcW w:w="609" w:type="dxa"/>
                  <w:vAlign w:val="center"/>
                </w:tcPr>
                <w:p w14:paraId="5BE529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0.3</w:t>
                  </w:r>
                </w:p>
              </w:tc>
              <w:tc>
                <w:tcPr>
                  <w:tcW w:w="609" w:type="dxa"/>
                  <w:vAlign w:val="center"/>
                </w:tcPr>
                <w:p w14:paraId="329360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1.1</w:t>
                  </w:r>
                </w:p>
              </w:tc>
              <w:tc>
                <w:tcPr>
                  <w:tcW w:w="608" w:type="dxa"/>
                  <w:vAlign w:val="center"/>
                </w:tcPr>
                <w:p w14:paraId="76833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2.4</w:t>
                  </w:r>
                </w:p>
              </w:tc>
              <w:tc>
                <w:tcPr>
                  <w:tcW w:w="730" w:type="dxa"/>
                  <w:vAlign w:val="center"/>
                </w:tcPr>
                <w:p w14:paraId="52E0A4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4.1</w:t>
                  </w:r>
                </w:p>
              </w:tc>
              <w:tc>
                <w:tcPr>
                  <w:tcW w:w="730" w:type="dxa"/>
                  <w:vAlign w:val="center"/>
                </w:tcPr>
                <w:p w14:paraId="0FBFF8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8.3</w:t>
                  </w:r>
                </w:p>
              </w:tc>
              <w:tc>
                <w:tcPr>
                  <w:tcW w:w="730" w:type="dxa"/>
                  <w:vAlign w:val="center"/>
                </w:tcPr>
                <w:p w14:paraId="5C82B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23.7</w:t>
                  </w:r>
                </w:p>
              </w:tc>
              <w:tc>
                <w:tcPr>
                  <w:tcW w:w="802" w:type="dxa"/>
                  <w:vAlign w:val="center"/>
                </w:tcPr>
                <w:p w14:paraId="030F4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82.8</w:t>
                  </w:r>
                </w:p>
              </w:tc>
            </w:tr>
          </w:tbl>
          <w:p w14:paraId="726C93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pacing w:val="0"/>
                <w:sz w:val="21"/>
                <w:szCs w:val="21"/>
              </w:rPr>
            </w:pPr>
            <w:r>
              <w:rPr>
                <w:rFonts w:ascii="宋体" w:hAnsi="宋体" w:eastAsia="宋体" w:cs="宋体"/>
                <w:color w:val="auto"/>
                <w:spacing w:val="0"/>
                <w:sz w:val="21"/>
                <w:szCs w:val="21"/>
              </w:rPr>
              <w:t xml:space="preserve">注：取倍频带 </w:t>
            </w:r>
            <w:r>
              <w:rPr>
                <w:rFonts w:ascii="Times New Roman" w:hAnsi="Times New Roman" w:eastAsia="Times New Roman" w:cs="Times New Roman"/>
                <w:color w:val="auto"/>
                <w:spacing w:val="0"/>
                <w:sz w:val="21"/>
                <w:szCs w:val="21"/>
              </w:rPr>
              <w:t xml:space="preserve">500Hz </w:t>
            </w:r>
            <w:r>
              <w:rPr>
                <w:rFonts w:ascii="宋体" w:hAnsi="宋体" w:eastAsia="宋体" w:cs="宋体"/>
                <w:color w:val="auto"/>
                <w:spacing w:val="0"/>
                <w:sz w:val="21"/>
                <w:szCs w:val="21"/>
              </w:rPr>
              <w:t>的值。</w:t>
            </w:r>
          </w:p>
          <w:p w14:paraId="1216CB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pacing w:val="0"/>
                <w:sz w:val="24"/>
                <w:szCs w:val="24"/>
              </w:rPr>
            </w:pPr>
            <w:r>
              <w:rPr>
                <w:rFonts w:ascii="宋体" w:hAnsi="宋体" w:eastAsia="宋体" w:cs="宋体"/>
                <w:color w:val="auto"/>
                <w:spacing w:val="0"/>
                <w:sz w:val="24"/>
                <w:szCs w:val="24"/>
              </w:rPr>
              <w:t>③地面效应衰减（</w:t>
            </w:r>
            <w:r>
              <w:rPr>
                <w:rFonts w:ascii="Times New Roman" w:hAnsi="Times New Roman" w:eastAsia="Times New Roman" w:cs="Times New Roman"/>
                <w:color w:val="auto"/>
                <w:spacing w:val="0"/>
                <w:sz w:val="24"/>
                <w:szCs w:val="24"/>
              </w:rPr>
              <w:t>A</w:t>
            </w:r>
            <w:r>
              <w:rPr>
                <w:rFonts w:ascii="Times New Roman" w:hAnsi="Times New Roman" w:eastAsia="Times New Roman" w:cs="Times New Roman"/>
                <w:color w:val="auto"/>
                <w:spacing w:val="0"/>
                <w:sz w:val="24"/>
                <w:szCs w:val="24"/>
                <w:vertAlign w:val="subscript"/>
              </w:rPr>
              <w:t>gr</w:t>
            </w:r>
            <w:r>
              <w:rPr>
                <w:rFonts w:ascii="宋体" w:hAnsi="宋体" w:eastAsia="宋体" w:cs="宋体"/>
                <w:color w:val="auto"/>
                <w:spacing w:val="0"/>
                <w:sz w:val="24"/>
                <w:szCs w:val="24"/>
              </w:rPr>
              <w:t>）</w:t>
            </w:r>
          </w:p>
          <w:p w14:paraId="20DA77DD">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eastAsia="宋体" w:cs="Times New Roman"/>
                <w:color w:val="auto"/>
                <w:spacing w:val="0"/>
                <w:w w:val="100"/>
                <w:position w:val="0"/>
                <w:sz w:val="24"/>
                <w:szCs w:val="24"/>
              </w:rPr>
            </w:pPr>
            <w:r>
              <w:rPr>
                <w:color w:val="auto"/>
              </w:rPr>
              <w:drawing>
                <wp:inline distT="0" distB="0" distL="114300" distR="114300">
                  <wp:extent cx="1678305" cy="431800"/>
                  <wp:effectExtent l="0" t="0" r="17145" b="6350"/>
                  <wp:docPr id="1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1"/>
                          <pic:cNvPicPr>
                            <a:picLocks noChangeAspect="1"/>
                          </pic:cNvPicPr>
                        </pic:nvPicPr>
                        <pic:blipFill>
                          <a:blip r:embed="rId25"/>
                          <a:stretch>
                            <a:fillRect/>
                          </a:stretch>
                        </pic:blipFill>
                        <pic:spPr>
                          <a:xfrm>
                            <a:off x="0" y="0"/>
                            <a:ext cx="1678305" cy="431800"/>
                          </a:xfrm>
                          <a:prstGeom prst="rect">
                            <a:avLst/>
                          </a:prstGeom>
                          <a:noFill/>
                          <a:ln>
                            <a:noFill/>
                          </a:ln>
                        </pic:spPr>
                      </pic:pic>
                    </a:graphicData>
                  </a:graphic>
                </wp:inline>
              </w:drawing>
            </w:r>
          </w:p>
          <w:p w14:paraId="167AA04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式中：</w:t>
            </w:r>
            <w:r>
              <w:rPr>
                <w:rFonts w:hint="default" w:ascii="Times New Roman" w:hAnsi="Times New Roman" w:eastAsia="宋体" w:cs="Times New Roman"/>
                <w:i/>
                <w:iCs/>
                <w:color w:val="auto"/>
                <w:spacing w:val="0"/>
                <w:w w:val="100"/>
                <w:position w:val="0"/>
                <w:sz w:val="24"/>
                <w:szCs w:val="24"/>
              </w:rPr>
              <w:t>r</w:t>
            </w:r>
            <w:r>
              <w:rPr>
                <w:rFonts w:hint="default" w:ascii="Times New Roman" w:hAnsi="Times New Roman" w:eastAsia="宋体" w:cs="Times New Roman"/>
                <w:color w:val="auto"/>
                <w:spacing w:val="0"/>
                <w:w w:val="100"/>
                <w:position w:val="0"/>
                <w:sz w:val="24"/>
                <w:szCs w:val="24"/>
              </w:rPr>
              <w:t>—声源到预测点的距离，m；</w:t>
            </w:r>
          </w:p>
          <w:p w14:paraId="6063D7D4">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i/>
                <w:iCs/>
                <w:color w:val="auto"/>
                <w:spacing w:val="0"/>
                <w:w w:val="100"/>
                <w:position w:val="0"/>
                <w:sz w:val="24"/>
                <w:szCs w:val="24"/>
              </w:rPr>
              <w:t>h</w:t>
            </w:r>
            <w:r>
              <w:rPr>
                <w:rFonts w:hint="default" w:ascii="Times New Roman" w:hAnsi="Times New Roman" w:eastAsia="宋体" w:cs="Times New Roman"/>
                <w:i/>
                <w:iCs/>
                <w:color w:val="auto"/>
                <w:spacing w:val="0"/>
                <w:w w:val="100"/>
                <w:position w:val="0"/>
                <w:sz w:val="24"/>
                <w:szCs w:val="24"/>
                <w:vertAlign w:val="subscript"/>
              </w:rPr>
              <w:t>m</w:t>
            </w:r>
            <w:r>
              <w:rPr>
                <w:rFonts w:hint="default" w:ascii="Times New Roman" w:hAnsi="Times New Roman" w:eastAsia="宋体" w:cs="Times New Roman"/>
                <w:color w:val="auto"/>
                <w:spacing w:val="0"/>
                <w:w w:val="100"/>
                <w:position w:val="0"/>
                <w:sz w:val="24"/>
                <w:szCs w:val="24"/>
              </w:rPr>
              <w:t>—传播路径的平均离地高度，m；若A</w:t>
            </w:r>
            <w:r>
              <w:rPr>
                <w:rFonts w:hint="default" w:ascii="Times New Roman" w:hAnsi="Times New Roman" w:eastAsia="宋体" w:cs="Times New Roman"/>
                <w:color w:val="auto"/>
                <w:spacing w:val="0"/>
                <w:w w:val="100"/>
                <w:position w:val="0"/>
                <w:sz w:val="24"/>
                <w:szCs w:val="24"/>
                <w:vertAlign w:val="subscript"/>
              </w:rPr>
              <w:t>gr</w:t>
            </w:r>
            <w:r>
              <w:rPr>
                <w:rFonts w:hint="default" w:ascii="Times New Roman" w:hAnsi="Times New Roman" w:eastAsia="宋体" w:cs="Times New Roman"/>
                <w:color w:val="auto"/>
                <w:spacing w:val="0"/>
                <w:w w:val="100"/>
                <w:position w:val="0"/>
                <w:sz w:val="24"/>
                <w:szCs w:val="24"/>
              </w:rPr>
              <w:t>计算出负值，则A</w:t>
            </w:r>
            <w:r>
              <w:rPr>
                <w:rFonts w:hint="default" w:ascii="Times New Roman" w:hAnsi="Times New Roman" w:eastAsia="宋体" w:cs="Times New Roman"/>
                <w:color w:val="auto"/>
                <w:spacing w:val="0"/>
                <w:w w:val="100"/>
                <w:position w:val="0"/>
                <w:sz w:val="24"/>
                <w:szCs w:val="24"/>
                <w:vertAlign w:val="subscript"/>
              </w:rPr>
              <w:t>gr</w:t>
            </w:r>
            <w:r>
              <w:rPr>
                <w:rFonts w:hint="default" w:ascii="Times New Roman" w:hAnsi="Times New Roman" w:eastAsia="宋体" w:cs="Times New Roman"/>
                <w:color w:val="auto"/>
                <w:spacing w:val="0"/>
                <w:w w:val="100"/>
                <w:position w:val="0"/>
                <w:sz w:val="24"/>
                <w:szCs w:val="24"/>
              </w:rPr>
              <w:t>可用 0 代替。</w:t>
            </w:r>
          </w:p>
          <w:p w14:paraId="04B97CF5">
            <w:pPr>
              <w:keepNext w:val="0"/>
              <w:keepLines w:val="0"/>
              <w:pageBreakBefore w:val="0"/>
              <w:widowControl w:val="0"/>
              <w:kinsoku/>
              <w:wordWrap/>
              <w:overflowPunct/>
              <w:topLinePunct w:val="0"/>
              <w:autoSpaceDE/>
              <w:autoSpaceDN/>
              <w:bidi w:val="0"/>
              <w:adjustRightInd/>
              <w:snapToGrid/>
              <w:spacing w:line="360" w:lineRule="auto"/>
              <w:ind w:left="0" w:right="0" w:firstLine="960" w:firstLineChars="4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 xml:space="preserve">其他情况可参照 GB/T17247.2 进行计算。 </w:t>
            </w:r>
          </w:p>
          <w:p w14:paraId="6667B5C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④屏障引起的衰减（A</w:t>
            </w:r>
            <w:r>
              <w:rPr>
                <w:rFonts w:hint="default" w:ascii="Times New Roman" w:hAnsi="Times New Roman" w:eastAsia="宋体" w:cs="Times New Roman"/>
                <w:color w:val="auto"/>
                <w:spacing w:val="0"/>
                <w:w w:val="100"/>
                <w:position w:val="0"/>
                <w:sz w:val="24"/>
                <w:szCs w:val="24"/>
                <w:vertAlign w:val="subscript"/>
              </w:rPr>
              <w:t>bar</w:t>
            </w:r>
            <w:r>
              <w:rPr>
                <w:rFonts w:hint="default" w:ascii="Times New Roman" w:hAnsi="Times New Roman" w:eastAsia="宋体" w:cs="Times New Roman"/>
                <w:color w:val="auto"/>
                <w:spacing w:val="0"/>
                <w:w w:val="100"/>
                <w:position w:val="0"/>
                <w:sz w:val="24"/>
                <w:szCs w:val="24"/>
              </w:rPr>
              <w:t>）</w:t>
            </w:r>
          </w:p>
          <w:p w14:paraId="116CB48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center"/>
              <w:rPr>
                <w:color w:val="auto"/>
              </w:rPr>
            </w:pPr>
            <w:r>
              <w:rPr>
                <w:color w:val="auto"/>
              </w:rPr>
              <w:drawing>
                <wp:inline distT="0" distB="0" distL="114300" distR="114300">
                  <wp:extent cx="2745105" cy="458470"/>
                  <wp:effectExtent l="0" t="0" r="17145" b="17780"/>
                  <wp:docPr id="1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
                          <pic:cNvPicPr>
                            <a:picLocks noChangeAspect="1"/>
                          </pic:cNvPicPr>
                        </pic:nvPicPr>
                        <pic:blipFill>
                          <a:blip r:embed="rId26"/>
                          <a:stretch>
                            <a:fillRect/>
                          </a:stretch>
                        </pic:blipFill>
                        <pic:spPr>
                          <a:xfrm>
                            <a:off x="0" y="0"/>
                            <a:ext cx="2745105" cy="458470"/>
                          </a:xfrm>
                          <a:prstGeom prst="rect">
                            <a:avLst/>
                          </a:prstGeom>
                          <a:noFill/>
                          <a:ln>
                            <a:noFill/>
                          </a:ln>
                        </pic:spPr>
                      </pic:pic>
                    </a:graphicData>
                  </a:graphic>
                </wp:inline>
              </w:drawing>
            </w:r>
          </w:p>
          <w:p w14:paraId="60D97EF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本项目厂区四周无实体围墙，A</w:t>
            </w:r>
            <w:r>
              <w:rPr>
                <w:rFonts w:hint="default" w:ascii="Times New Roman" w:hAnsi="Times New Roman" w:eastAsia="宋体" w:cs="Times New Roman"/>
                <w:color w:val="auto"/>
                <w:spacing w:val="0"/>
                <w:w w:val="100"/>
                <w:sz w:val="24"/>
                <w:szCs w:val="24"/>
                <w:vertAlign w:val="subscript"/>
              </w:rPr>
              <w:t>bar</w:t>
            </w:r>
            <w:r>
              <w:rPr>
                <w:rFonts w:hint="default" w:ascii="Times New Roman" w:hAnsi="Times New Roman" w:eastAsia="宋体" w:cs="Times New Roman"/>
                <w:color w:val="auto"/>
                <w:spacing w:val="0"/>
                <w:w w:val="100"/>
                <w:sz w:val="24"/>
                <w:szCs w:val="24"/>
              </w:rPr>
              <w:t xml:space="preserve"> 取值为 0dB(A)。</w:t>
            </w:r>
          </w:p>
          <w:p w14:paraId="316B7F8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⑤其他多方面原因引起的衰减（A</w:t>
            </w:r>
            <w:r>
              <w:rPr>
                <w:rFonts w:hint="default" w:ascii="Times New Roman" w:hAnsi="Times New Roman" w:eastAsia="宋体" w:cs="Times New Roman"/>
                <w:color w:val="auto"/>
                <w:spacing w:val="0"/>
                <w:w w:val="100"/>
                <w:sz w:val="24"/>
                <w:szCs w:val="24"/>
                <w:vertAlign w:val="subscript"/>
              </w:rPr>
              <w:t>misc</w:t>
            </w:r>
            <w:r>
              <w:rPr>
                <w:rFonts w:hint="default" w:ascii="Times New Roman" w:hAnsi="Times New Roman" w:eastAsia="宋体" w:cs="Times New Roman"/>
                <w:color w:val="auto"/>
                <w:spacing w:val="0"/>
                <w:w w:val="100"/>
                <w:sz w:val="24"/>
                <w:szCs w:val="24"/>
              </w:rPr>
              <w:t>）</w:t>
            </w:r>
          </w:p>
          <w:p w14:paraId="1886F5E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其他衰减包括通过工业场所的衰减；通过建筑群的衰减等。在声环境影响评价中，一般情况下，不考虑自然条件（如风、温度梯度、雾）变化引起的附加修正</w:t>
            </w:r>
            <w:r>
              <w:rPr>
                <w:rFonts w:hint="eastAsia" w:cs="Times New Roman"/>
                <w:color w:val="auto"/>
                <w:spacing w:val="0"/>
                <w:w w:val="100"/>
                <w:sz w:val="24"/>
                <w:szCs w:val="24"/>
                <w:lang w:eastAsia="zh-CN"/>
              </w:rPr>
              <w:t>。</w:t>
            </w:r>
            <w:r>
              <w:rPr>
                <w:rFonts w:hint="default" w:ascii="Times New Roman" w:hAnsi="Times New Roman" w:eastAsia="宋体" w:cs="Times New Roman"/>
                <w:color w:val="auto"/>
                <w:spacing w:val="0"/>
                <w:w w:val="100"/>
                <w:sz w:val="24"/>
                <w:szCs w:val="24"/>
              </w:rPr>
              <w:t>本项目取值为 0。</w:t>
            </w:r>
          </w:p>
          <w:p w14:paraId="01A8345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color w:val="auto"/>
                <w:spacing w:val="0"/>
                <w:w w:val="100"/>
                <w:position w:val="0"/>
                <w:sz w:val="24"/>
                <w:szCs w:val="24"/>
                <w:lang w:eastAsia="zh-CN"/>
              </w:rPr>
            </w:pPr>
            <w:r>
              <w:rPr>
                <w:rFonts w:hint="eastAsia" w:cs="Times New Roman"/>
                <w:color w:val="auto"/>
                <w:spacing w:val="0"/>
                <w:w w:val="100"/>
                <w:position w:val="0"/>
                <w:sz w:val="24"/>
                <w:szCs w:val="24"/>
                <w:lang w:val="en-US" w:eastAsia="zh-CN"/>
              </w:rPr>
              <w:t>2</w:t>
            </w:r>
            <w:r>
              <w:rPr>
                <w:rFonts w:hint="default" w:ascii="Times New Roman" w:hAnsi="Times New Roman" w:eastAsia="宋体" w:cs="Times New Roman"/>
                <w:color w:val="auto"/>
                <w:spacing w:val="0"/>
                <w:w w:val="100"/>
                <w:position w:val="0"/>
                <w:sz w:val="24"/>
                <w:szCs w:val="24"/>
              </w:rPr>
              <w:t>）</w:t>
            </w:r>
            <w:r>
              <w:rPr>
                <w:rFonts w:hint="eastAsia" w:cs="Times New Roman"/>
                <w:color w:val="auto"/>
                <w:spacing w:val="0"/>
                <w:w w:val="100"/>
                <w:position w:val="0"/>
                <w:sz w:val="24"/>
                <w:szCs w:val="24"/>
                <w:lang w:eastAsia="zh-CN"/>
              </w:rPr>
              <w:t>工业企业噪声计算</w:t>
            </w:r>
          </w:p>
          <w:p w14:paraId="0D93B27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 xml:space="preserve">设第 </w:t>
            </w:r>
            <w:r>
              <w:rPr>
                <w:rFonts w:hint="default" w:ascii="Times New Roman" w:hAnsi="Times New Roman" w:eastAsia="宋体" w:cs="Times New Roman"/>
                <w:i/>
                <w:iCs/>
                <w:color w:val="auto"/>
                <w:spacing w:val="0"/>
                <w:w w:val="100"/>
                <w:position w:val="0"/>
                <w:sz w:val="24"/>
                <w:szCs w:val="24"/>
              </w:rPr>
              <w:t>i</w:t>
            </w:r>
            <w:r>
              <w:rPr>
                <w:rFonts w:hint="default" w:ascii="Times New Roman" w:hAnsi="Times New Roman" w:eastAsia="宋体" w:cs="Times New Roman"/>
                <w:color w:val="auto"/>
                <w:spacing w:val="0"/>
                <w:w w:val="100"/>
                <w:position w:val="0"/>
                <w:sz w:val="24"/>
                <w:szCs w:val="24"/>
              </w:rPr>
              <w:t xml:space="preserve"> 个室外声源在预测点产生的 A 声级为 </w:t>
            </w:r>
            <w:r>
              <w:rPr>
                <w:rFonts w:hint="default" w:ascii="Times New Roman" w:hAnsi="Times New Roman" w:eastAsia="宋体" w:cs="Times New Roman"/>
                <w:i/>
                <w:iCs/>
                <w:color w:val="auto"/>
                <w:spacing w:val="0"/>
                <w:w w:val="100"/>
                <w:position w:val="0"/>
                <w:sz w:val="24"/>
                <w:szCs w:val="24"/>
              </w:rPr>
              <w:t>L</w:t>
            </w:r>
            <w:r>
              <w:rPr>
                <w:rFonts w:hint="default" w:ascii="Times New Roman" w:hAnsi="Times New Roman" w:eastAsia="宋体" w:cs="Times New Roman"/>
                <w:i/>
                <w:iCs/>
                <w:color w:val="auto"/>
                <w:spacing w:val="0"/>
                <w:w w:val="100"/>
                <w:position w:val="0"/>
                <w:sz w:val="24"/>
                <w:szCs w:val="24"/>
                <w:vertAlign w:val="subscript"/>
              </w:rPr>
              <w:t>Ai</w:t>
            </w:r>
            <w:r>
              <w:rPr>
                <w:rFonts w:hint="default" w:ascii="Times New Roman" w:hAnsi="Times New Roman" w:eastAsia="宋体" w:cs="Times New Roman"/>
                <w:color w:val="auto"/>
                <w:spacing w:val="0"/>
                <w:w w:val="100"/>
                <w:position w:val="0"/>
                <w:sz w:val="24"/>
                <w:szCs w:val="24"/>
              </w:rPr>
              <w:t xml:space="preserve">，在 </w:t>
            </w:r>
            <w:r>
              <w:rPr>
                <w:rFonts w:hint="default" w:ascii="Times New Roman" w:hAnsi="Times New Roman" w:eastAsia="宋体" w:cs="Times New Roman"/>
                <w:i/>
                <w:iCs/>
                <w:color w:val="auto"/>
                <w:spacing w:val="0"/>
                <w:w w:val="100"/>
                <w:position w:val="0"/>
                <w:sz w:val="24"/>
                <w:szCs w:val="24"/>
              </w:rPr>
              <w:t>T</w:t>
            </w:r>
            <w:r>
              <w:rPr>
                <w:rFonts w:hint="default" w:ascii="Times New Roman" w:hAnsi="Times New Roman" w:eastAsia="宋体" w:cs="Times New Roman"/>
                <w:color w:val="auto"/>
                <w:spacing w:val="0"/>
                <w:w w:val="100"/>
                <w:position w:val="0"/>
                <w:sz w:val="24"/>
                <w:szCs w:val="24"/>
              </w:rPr>
              <w:t xml:space="preserve"> 时间内该声源工作时间为</w:t>
            </w:r>
            <w:r>
              <w:rPr>
                <w:rFonts w:hint="default" w:ascii="Times New Roman" w:hAnsi="Times New Roman" w:eastAsia="宋体" w:cs="Times New Roman"/>
                <w:i/>
                <w:iCs/>
                <w:color w:val="auto"/>
                <w:spacing w:val="0"/>
                <w:w w:val="100"/>
                <w:position w:val="0"/>
                <w:sz w:val="24"/>
                <w:szCs w:val="24"/>
              </w:rPr>
              <w:t>t</w:t>
            </w:r>
            <w:r>
              <w:rPr>
                <w:rFonts w:hint="default" w:ascii="Times New Roman" w:hAnsi="Times New Roman" w:eastAsia="宋体" w:cs="Times New Roman"/>
                <w:i/>
                <w:iCs/>
                <w:color w:val="auto"/>
                <w:spacing w:val="0"/>
                <w:w w:val="100"/>
                <w:position w:val="0"/>
                <w:sz w:val="24"/>
                <w:szCs w:val="24"/>
                <w:vertAlign w:val="subscript"/>
              </w:rPr>
              <w:t>i</w:t>
            </w:r>
            <w:r>
              <w:rPr>
                <w:rFonts w:hint="default" w:ascii="Times New Roman" w:hAnsi="Times New Roman" w:eastAsia="宋体" w:cs="Times New Roman"/>
                <w:color w:val="auto"/>
                <w:spacing w:val="0"/>
                <w:w w:val="100"/>
                <w:position w:val="0"/>
                <w:sz w:val="24"/>
                <w:szCs w:val="24"/>
              </w:rPr>
              <w:t>；第</w:t>
            </w:r>
            <w:r>
              <w:rPr>
                <w:rFonts w:hint="default" w:ascii="Times New Roman" w:hAnsi="Times New Roman" w:eastAsia="宋体" w:cs="Times New Roman"/>
                <w:i/>
                <w:iCs/>
                <w:color w:val="auto"/>
                <w:spacing w:val="0"/>
                <w:w w:val="100"/>
                <w:position w:val="0"/>
                <w:sz w:val="24"/>
                <w:szCs w:val="24"/>
              </w:rPr>
              <w:t>j</w:t>
            </w:r>
            <w:r>
              <w:rPr>
                <w:rFonts w:hint="default" w:ascii="Times New Roman" w:hAnsi="Times New Roman" w:eastAsia="宋体" w:cs="Times New Roman"/>
                <w:color w:val="auto"/>
                <w:spacing w:val="0"/>
                <w:w w:val="100"/>
                <w:position w:val="0"/>
                <w:sz w:val="24"/>
                <w:szCs w:val="24"/>
              </w:rPr>
              <w:t xml:space="preserve"> 个等效室外声源在预测点产生的 A 声级为</w:t>
            </w:r>
            <w:r>
              <w:rPr>
                <w:rFonts w:hint="default" w:ascii="Times New Roman" w:hAnsi="Times New Roman" w:eastAsia="宋体" w:cs="Times New Roman"/>
                <w:i/>
                <w:iCs/>
                <w:color w:val="auto"/>
                <w:spacing w:val="0"/>
                <w:w w:val="100"/>
                <w:position w:val="0"/>
                <w:sz w:val="24"/>
                <w:szCs w:val="24"/>
              </w:rPr>
              <w:t>L</w:t>
            </w:r>
            <w:r>
              <w:rPr>
                <w:rFonts w:hint="default" w:ascii="Times New Roman" w:hAnsi="Times New Roman" w:eastAsia="宋体" w:cs="Times New Roman"/>
                <w:i/>
                <w:iCs/>
                <w:color w:val="auto"/>
                <w:spacing w:val="0"/>
                <w:w w:val="100"/>
                <w:position w:val="0"/>
                <w:sz w:val="24"/>
                <w:szCs w:val="24"/>
                <w:vertAlign w:val="subscript"/>
              </w:rPr>
              <w:t>Aj</w:t>
            </w:r>
            <w:r>
              <w:rPr>
                <w:rFonts w:hint="default" w:ascii="Times New Roman" w:hAnsi="Times New Roman" w:eastAsia="宋体" w:cs="Times New Roman"/>
                <w:color w:val="auto"/>
                <w:spacing w:val="0"/>
                <w:w w:val="100"/>
                <w:position w:val="0"/>
                <w:sz w:val="24"/>
                <w:szCs w:val="24"/>
              </w:rPr>
              <w:t xml:space="preserve">，在 </w:t>
            </w:r>
            <w:r>
              <w:rPr>
                <w:rFonts w:hint="default" w:ascii="Times New Roman" w:hAnsi="Times New Roman" w:eastAsia="宋体" w:cs="Times New Roman"/>
                <w:i/>
                <w:iCs/>
                <w:color w:val="auto"/>
                <w:spacing w:val="0"/>
                <w:w w:val="100"/>
                <w:position w:val="0"/>
                <w:sz w:val="24"/>
                <w:szCs w:val="24"/>
              </w:rPr>
              <w:t>T</w:t>
            </w:r>
            <w:r>
              <w:rPr>
                <w:rFonts w:hint="default" w:ascii="Times New Roman" w:hAnsi="Times New Roman" w:eastAsia="宋体" w:cs="Times New Roman"/>
                <w:color w:val="auto"/>
                <w:spacing w:val="0"/>
                <w:w w:val="100"/>
                <w:position w:val="0"/>
                <w:sz w:val="24"/>
                <w:szCs w:val="24"/>
              </w:rPr>
              <w:t xml:space="preserve"> 时间内该声源工作时间为 </w:t>
            </w:r>
            <w:r>
              <w:rPr>
                <w:rFonts w:hint="default" w:ascii="Times New Roman" w:hAnsi="Times New Roman" w:eastAsia="宋体" w:cs="Times New Roman"/>
                <w:i/>
                <w:iCs/>
                <w:color w:val="auto"/>
                <w:spacing w:val="0"/>
                <w:w w:val="100"/>
                <w:position w:val="0"/>
                <w:sz w:val="24"/>
                <w:szCs w:val="24"/>
              </w:rPr>
              <w:t>t</w:t>
            </w:r>
            <w:r>
              <w:rPr>
                <w:rFonts w:hint="default" w:ascii="Times New Roman" w:hAnsi="Times New Roman" w:eastAsia="宋体" w:cs="Times New Roman"/>
                <w:i/>
                <w:iCs/>
                <w:color w:val="auto"/>
                <w:spacing w:val="0"/>
                <w:w w:val="100"/>
                <w:position w:val="0"/>
                <w:sz w:val="24"/>
                <w:szCs w:val="24"/>
                <w:vertAlign w:val="subscript"/>
              </w:rPr>
              <w:t>j</w:t>
            </w:r>
            <w:r>
              <w:rPr>
                <w:rFonts w:hint="default" w:ascii="Times New Roman" w:hAnsi="Times New Roman" w:eastAsia="宋体" w:cs="Times New Roman"/>
                <w:color w:val="auto"/>
                <w:spacing w:val="0"/>
                <w:w w:val="100"/>
                <w:position w:val="0"/>
                <w:sz w:val="24"/>
                <w:szCs w:val="24"/>
              </w:rPr>
              <w:t>，则拟建工程声源对预测点产生的贡献值（</w:t>
            </w:r>
            <w:r>
              <w:rPr>
                <w:rFonts w:hint="default" w:ascii="Times New Roman" w:hAnsi="Times New Roman" w:eastAsia="宋体" w:cs="Times New Roman"/>
                <w:i/>
                <w:iCs/>
                <w:color w:val="auto"/>
                <w:spacing w:val="0"/>
                <w:w w:val="100"/>
                <w:position w:val="0"/>
                <w:sz w:val="24"/>
                <w:szCs w:val="24"/>
              </w:rPr>
              <w:t>L</w:t>
            </w:r>
            <w:r>
              <w:rPr>
                <w:rFonts w:hint="default" w:ascii="Times New Roman" w:hAnsi="Times New Roman" w:eastAsia="宋体" w:cs="Times New Roman"/>
                <w:i/>
                <w:iCs/>
                <w:color w:val="auto"/>
                <w:spacing w:val="0"/>
                <w:w w:val="100"/>
                <w:position w:val="0"/>
                <w:sz w:val="24"/>
                <w:szCs w:val="24"/>
                <w:vertAlign w:val="subscript"/>
              </w:rPr>
              <w:t>eqg</w:t>
            </w:r>
            <w:r>
              <w:rPr>
                <w:rFonts w:hint="default" w:ascii="Times New Roman" w:hAnsi="Times New Roman" w:eastAsia="宋体" w:cs="Times New Roman"/>
                <w:color w:val="auto"/>
                <w:spacing w:val="0"/>
                <w:w w:val="100"/>
                <w:position w:val="0"/>
                <w:sz w:val="24"/>
                <w:szCs w:val="24"/>
              </w:rPr>
              <w:t>）为：</w:t>
            </w:r>
          </w:p>
          <w:p w14:paraId="3469A51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default" w:ascii="Times New Roman" w:hAnsi="Times New Roman" w:eastAsia="宋体" w:cs="Times New Roman"/>
                <w:color w:val="auto"/>
                <w:spacing w:val="0"/>
                <w:w w:val="100"/>
                <w:position w:val="0"/>
                <w:sz w:val="24"/>
                <w:szCs w:val="24"/>
              </w:rPr>
            </w:pPr>
            <w:r>
              <w:rPr>
                <w:color w:val="auto"/>
              </w:rPr>
              <w:drawing>
                <wp:inline distT="0" distB="0" distL="114300" distR="114300">
                  <wp:extent cx="2657475" cy="583565"/>
                  <wp:effectExtent l="0" t="0" r="9525" b="6985"/>
                  <wp:docPr id="110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图片 13"/>
                          <pic:cNvPicPr>
                            <a:picLocks noChangeAspect="1"/>
                          </pic:cNvPicPr>
                        </pic:nvPicPr>
                        <pic:blipFill>
                          <a:blip r:embed="rId27"/>
                          <a:srcRect b="38114"/>
                          <a:stretch>
                            <a:fillRect/>
                          </a:stretch>
                        </pic:blipFill>
                        <pic:spPr>
                          <a:xfrm>
                            <a:off x="0" y="0"/>
                            <a:ext cx="2657475" cy="583565"/>
                          </a:xfrm>
                          <a:prstGeom prst="rect">
                            <a:avLst/>
                          </a:prstGeom>
                          <a:noFill/>
                          <a:ln>
                            <a:noFill/>
                          </a:ln>
                        </pic:spPr>
                      </pic:pic>
                    </a:graphicData>
                  </a:graphic>
                </wp:inline>
              </w:drawing>
            </w:r>
          </w:p>
          <w:p w14:paraId="16DB4F72">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式中：</w:t>
            </w:r>
          </w:p>
          <w:p w14:paraId="1D791F5D">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cs="Times New Roman"/>
                <w:i w:val="0"/>
                <w:iCs w:val="0"/>
                <w:color w:val="auto"/>
                <w:spacing w:val="0"/>
                <w:w w:val="100"/>
                <w:position w:val="0"/>
                <w:sz w:val="24"/>
                <w:szCs w:val="24"/>
              </w:rPr>
            </w:pPr>
            <w:r>
              <w:rPr>
                <w:rFonts w:hint="default" w:ascii="Times New Roman" w:hAnsi="Times New Roman" w:eastAsia="宋体" w:cs="Times New Roman"/>
                <w:i w:val="0"/>
                <w:iCs w:val="0"/>
                <w:color w:val="auto"/>
                <w:spacing w:val="0"/>
                <w:w w:val="100"/>
                <w:position w:val="0"/>
                <w:sz w:val="24"/>
                <w:szCs w:val="24"/>
              </w:rPr>
              <w:t>L</w:t>
            </w:r>
            <w:r>
              <w:rPr>
                <w:rFonts w:hint="default" w:ascii="Times New Roman" w:hAnsi="Times New Roman" w:eastAsia="宋体" w:cs="Times New Roman"/>
                <w:i w:val="0"/>
                <w:iCs w:val="0"/>
                <w:color w:val="auto"/>
                <w:spacing w:val="0"/>
                <w:w w:val="100"/>
                <w:position w:val="0"/>
                <w:sz w:val="24"/>
                <w:szCs w:val="24"/>
                <w:vertAlign w:val="subscript"/>
              </w:rPr>
              <w:t>eqg</w:t>
            </w:r>
            <w:r>
              <w:rPr>
                <w:rFonts w:hint="default" w:ascii="Times New Roman" w:hAnsi="Times New Roman" w:eastAsia="宋体" w:cs="Times New Roman"/>
                <w:i w:val="0"/>
                <w:iCs w:val="0"/>
                <w:color w:val="auto"/>
                <w:spacing w:val="0"/>
                <w:w w:val="100"/>
                <w:position w:val="0"/>
                <w:sz w:val="24"/>
                <w:szCs w:val="24"/>
              </w:rPr>
              <w:t xml:space="preserve">—建设项目声源在预测点产生的噪声贡献值，dB； </w:t>
            </w:r>
          </w:p>
          <w:p w14:paraId="48CB1CFA">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cs="Times New Roman"/>
                <w:i w:val="0"/>
                <w:iCs w:val="0"/>
                <w:color w:val="auto"/>
                <w:spacing w:val="0"/>
                <w:w w:val="100"/>
                <w:position w:val="0"/>
                <w:sz w:val="24"/>
                <w:szCs w:val="24"/>
              </w:rPr>
            </w:pPr>
            <w:r>
              <w:rPr>
                <w:rFonts w:hint="default" w:ascii="Times New Roman" w:hAnsi="Times New Roman" w:eastAsia="宋体" w:cs="Times New Roman"/>
                <w:i w:val="0"/>
                <w:iCs w:val="0"/>
                <w:color w:val="auto"/>
                <w:spacing w:val="0"/>
                <w:w w:val="100"/>
                <w:position w:val="0"/>
                <w:sz w:val="24"/>
                <w:szCs w:val="24"/>
              </w:rPr>
              <w:t xml:space="preserve">T —用于计算等效声级的时间，s； </w:t>
            </w:r>
          </w:p>
          <w:p w14:paraId="1D6D71AE">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cs="Times New Roman"/>
                <w:i w:val="0"/>
                <w:iCs w:val="0"/>
                <w:color w:val="auto"/>
                <w:spacing w:val="0"/>
                <w:w w:val="100"/>
                <w:position w:val="0"/>
                <w:sz w:val="24"/>
                <w:szCs w:val="24"/>
              </w:rPr>
            </w:pPr>
            <w:r>
              <w:rPr>
                <w:rFonts w:hint="default" w:ascii="Times New Roman" w:hAnsi="Times New Roman" w:eastAsia="宋体" w:cs="Times New Roman"/>
                <w:i w:val="0"/>
                <w:iCs w:val="0"/>
                <w:color w:val="auto"/>
                <w:spacing w:val="0"/>
                <w:w w:val="100"/>
                <w:position w:val="0"/>
                <w:sz w:val="24"/>
                <w:szCs w:val="24"/>
              </w:rPr>
              <w:t>N —室外声源个数；</w:t>
            </w:r>
          </w:p>
          <w:p w14:paraId="3F28211A">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cs="Times New Roman"/>
                <w:i w:val="0"/>
                <w:iCs w:val="0"/>
                <w:color w:val="auto"/>
                <w:spacing w:val="0"/>
                <w:w w:val="100"/>
                <w:position w:val="0"/>
                <w:sz w:val="24"/>
                <w:szCs w:val="24"/>
              </w:rPr>
            </w:pPr>
            <w:r>
              <w:rPr>
                <w:rFonts w:hint="default" w:ascii="Times New Roman" w:hAnsi="Times New Roman" w:eastAsia="宋体" w:cs="Times New Roman"/>
                <w:i w:val="0"/>
                <w:iCs w:val="0"/>
                <w:color w:val="auto"/>
                <w:spacing w:val="0"/>
                <w:w w:val="100"/>
                <w:position w:val="0"/>
                <w:sz w:val="24"/>
                <w:szCs w:val="24"/>
              </w:rPr>
              <w:t>t</w:t>
            </w:r>
            <w:r>
              <w:rPr>
                <w:rFonts w:hint="default" w:ascii="Times New Roman" w:hAnsi="Times New Roman" w:eastAsia="宋体" w:cs="Times New Roman"/>
                <w:i w:val="0"/>
                <w:iCs w:val="0"/>
                <w:color w:val="auto"/>
                <w:spacing w:val="0"/>
                <w:w w:val="100"/>
                <w:position w:val="0"/>
                <w:sz w:val="24"/>
                <w:szCs w:val="24"/>
                <w:vertAlign w:val="subscript"/>
              </w:rPr>
              <w:t>i</w:t>
            </w:r>
            <w:r>
              <w:rPr>
                <w:rFonts w:hint="default" w:ascii="Times New Roman" w:hAnsi="Times New Roman" w:eastAsia="宋体" w:cs="Times New Roman"/>
                <w:i w:val="0"/>
                <w:iCs w:val="0"/>
                <w:color w:val="auto"/>
                <w:spacing w:val="0"/>
                <w:w w:val="100"/>
                <w:position w:val="0"/>
                <w:sz w:val="24"/>
                <w:szCs w:val="24"/>
              </w:rPr>
              <w:t xml:space="preserve"> —在 T 时间内 i 声源工作时间，s； </w:t>
            </w:r>
          </w:p>
          <w:p w14:paraId="6C3C61E9">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cs="Times New Roman"/>
                <w:i w:val="0"/>
                <w:iCs w:val="0"/>
                <w:color w:val="auto"/>
                <w:spacing w:val="0"/>
                <w:w w:val="100"/>
                <w:position w:val="0"/>
                <w:sz w:val="24"/>
                <w:szCs w:val="24"/>
              </w:rPr>
            </w:pPr>
            <w:r>
              <w:rPr>
                <w:rFonts w:hint="default" w:ascii="Times New Roman" w:hAnsi="Times New Roman" w:eastAsia="宋体" w:cs="Times New Roman"/>
                <w:i w:val="0"/>
                <w:iCs w:val="0"/>
                <w:color w:val="auto"/>
                <w:spacing w:val="0"/>
                <w:w w:val="100"/>
                <w:position w:val="0"/>
                <w:sz w:val="24"/>
                <w:szCs w:val="24"/>
              </w:rPr>
              <w:t>M —等效室外声源个数；</w:t>
            </w:r>
          </w:p>
          <w:p w14:paraId="5D000D39">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cs="Times New Roman"/>
                <w:i w:val="0"/>
                <w:iCs w:val="0"/>
                <w:color w:val="auto"/>
                <w:spacing w:val="0"/>
                <w:w w:val="100"/>
                <w:position w:val="0"/>
                <w:sz w:val="24"/>
                <w:szCs w:val="24"/>
              </w:rPr>
            </w:pPr>
            <w:r>
              <w:rPr>
                <w:rFonts w:hint="default" w:ascii="Times New Roman" w:hAnsi="Times New Roman" w:eastAsia="宋体" w:cs="Times New Roman"/>
                <w:i w:val="0"/>
                <w:iCs w:val="0"/>
                <w:color w:val="auto"/>
                <w:spacing w:val="0"/>
                <w:w w:val="100"/>
                <w:position w:val="0"/>
                <w:sz w:val="24"/>
                <w:szCs w:val="24"/>
              </w:rPr>
              <w:t xml:space="preserve">t </w:t>
            </w:r>
            <w:r>
              <w:rPr>
                <w:rFonts w:hint="default" w:ascii="Times New Roman" w:hAnsi="Times New Roman" w:eastAsia="宋体" w:cs="Times New Roman"/>
                <w:i w:val="0"/>
                <w:iCs w:val="0"/>
                <w:color w:val="auto"/>
                <w:spacing w:val="0"/>
                <w:w w:val="100"/>
                <w:position w:val="0"/>
                <w:sz w:val="24"/>
                <w:szCs w:val="24"/>
                <w:vertAlign w:val="subscript"/>
              </w:rPr>
              <w:t xml:space="preserve">j </w:t>
            </w:r>
            <w:r>
              <w:rPr>
                <w:rFonts w:hint="default" w:ascii="Times New Roman" w:hAnsi="Times New Roman" w:eastAsia="宋体" w:cs="Times New Roman"/>
                <w:i w:val="0"/>
                <w:iCs w:val="0"/>
                <w:color w:val="auto"/>
                <w:spacing w:val="0"/>
                <w:w w:val="100"/>
                <w:position w:val="0"/>
                <w:sz w:val="24"/>
                <w:szCs w:val="24"/>
              </w:rPr>
              <w:t>—在 T 时间内 j 声源工作时间，s。</w:t>
            </w:r>
          </w:p>
          <w:p w14:paraId="0EABEE2F">
            <w:pPr>
              <w:pStyle w:val="24"/>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eastAsia="宋体"/>
                <w:color w:val="auto"/>
                <w:lang w:val="en-US" w:eastAsia="zh-CN"/>
              </w:rPr>
            </w:pPr>
            <w:r>
              <w:rPr>
                <w:rFonts w:hint="eastAsia" w:cs="Times New Roman"/>
                <w:i w:val="0"/>
                <w:iCs w:val="0"/>
                <w:color w:val="auto"/>
                <w:spacing w:val="0"/>
                <w:w w:val="100"/>
                <w:position w:val="0"/>
                <w:sz w:val="24"/>
                <w:szCs w:val="24"/>
                <w:lang w:val="en-US" w:eastAsia="zh-CN"/>
              </w:rPr>
              <w:t>4）预测值计算</w:t>
            </w:r>
          </w:p>
          <w:p w14:paraId="3727C2A4">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default" w:ascii="Times New Roman" w:hAnsi="Times New Roman" w:eastAsia="宋体" w:cs="Times New Roman"/>
                <w:color w:val="auto"/>
                <w:spacing w:val="0"/>
                <w:w w:val="100"/>
                <w:position w:val="0"/>
                <w:sz w:val="24"/>
                <w:szCs w:val="24"/>
              </w:rPr>
            </w:pPr>
            <w:r>
              <w:rPr>
                <w:color w:val="auto"/>
              </w:rPr>
              <w:drawing>
                <wp:inline distT="0" distB="0" distL="114300" distR="114300">
                  <wp:extent cx="2209800" cy="457200"/>
                  <wp:effectExtent l="0" t="0" r="0" b="0"/>
                  <wp:docPr id="1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4"/>
                          <pic:cNvPicPr>
                            <a:picLocks noChangeAspect="1"/>
                          </pic:cNvPicPr>
                        </pic:nvPicPr>
                        <pic:blipFill>
                          <a:blip r:embed="rId28"/>
                          <a:stretch>
                            <a:fillRect/>
                          </a:stretch>
                        </pic:blipFill>
                        <pic:spPr>
                          <a:xfrm>
                            <a:off x="0" y="0"/>
                            <a:ext cx="2209800" cy="457200"/>
                          </a:xfrm>
                          <a:prstGeom prst="rect">
                            <a:avLst/>
                          </a:prstGeom>
                          <a:noFill/>
                          <a:ln>
                            <a:noFill/>
                          </a:ln>
                        </pic:spPr>
                      </pic:pic>
                    </a:graphicData>
                  </a:graphic>
                </wp:inline>
              </w:drawing>
            </w:r>
          </w:p>
          <w:p w14:paraId="4F1469D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L</w:t>
            </w:r>
            <w:r>
              <w:rPr>
                <w:rFonts w:hint="default" w:ascii="Times New Roman" w:hAnsi="Times New Roman" w:eastAsia="宋体" w:cs="Times New Roman"/>
                <w:color w:val="auto"/>
                <w:spacing w:val="0"/>
                <w:w w:val="100"/>
                <w:position w:val="0"/>
                <w:sz w:val="24"/>
                <w:szCs w:val="24"/>
                <w:vertAlign w:val="subscript"/>
              </w:rPr>
              <w:t>eq</w:t>
            </w:r>
            <w:r>
              <w:rPr>
                <w:rFonts w:hint="default" w:ascii="Times New Roman" w:hAnsi="Times New Roman" w:eastAsia="宋体" w:cs="Times New Roman"/>
                <w:color w:val="auto"/>
                <w:spacing w:val="0"/>
                <w:w w:val="100"/>
                <w:position w:val="0"/>
                <w:sz w:val="24"/>
                <w:szCs w:val="24"/>
              </w:rPr>
              <w:t xml:space="preserve"> —预测点的噪声预测值，dB；</w:t>
            </w:r>
          </w:p>
          <w:p w14:paraId="558A926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L</w:t>
            </w:r>
            <w:r>
              <w:rPr>
                <w:rFonts w:hint="default" w:ascii="Times New Roman" w:hAnsi="Times New Roman" w:eastAsia="宋体" w:cs="Times New Roman"/>
                <w:color w:val="auto"/>
                <w:spacing w:val="0"/>
                <w:w w:val="100"/>
                <w:position w:val="0"/>
                <w:sz w:val="24"/>
                <w:szCs w:val="24"/>
                <w:vertAlign w:val="subscript"/>
              </w:rPr>
              <w:t>eqg</w:t>
            </w:r>
            <w:r>
              <w:rPr>
                <w:rFonts w:hint="default" w:ascii="Times New Roman" w:hAnsi="Times New Roman" w:eastAsia="宋体" w:cs="Times New Roman"/>
                <w:color w:val="auto"/>
                <w:spacing w:val="0"/>
                <w:w w:val="100"/>
                <w:position w:val="0"/>
                <w:sz w:val="24"/>
                <w:szCs w:val="24"/>
              </w:rPr>
              <w:t xml:space="preserve">—建设项目声源在预测点产生的噪声贡献值，dB； </w:t>
            </w:r>
          </w:p>
          <w:p w14:paraId="11A2F07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Times New Roman" w:hAnsi="Times New Roman" w:eastAsia="宋体" w:cs="Times New Roman"/>
                <w:color w:val="auto"/>
                <w:spacing w:val="0"/>
                <w:w w:val="100"/>
                <w:position w:val="0"/>
                <w:sz w:val="24"/>
                <w:szCs w:val="24"/>
                <w:lang w:val="en-US" w:eastAsia="zh-CN"/>
              </w:rPr>
            </w:pPr>
            <w:r>
              <w:rPr>
                <w:rFonts w:hint="default" w:ascii="Times New Roman" w:hAnsi="Times New Roman" w:eastAsia="宋体" w:cs="Times New Roman"/>
                <w:color w:val="auto"/>
                <w:spacing w:val="0"/>
                <w:w w:val="100"/>
                <w:position w:val="0"/>
                <w:sz w:val="24"/>
                <w:szCs w:val="24"/>
              </w:rPr>
              <w:t>L</w:t>
            </w:r>
            <w:r>
              <w:rPr>
                <w:rFonts w:hint="default" w:ascii="Times New Roman" w:hAnsi="Times New Roman" w:eastAsia="宋体" w:cs="Times New Roman"/>
                <w:color w:val="auto"/>
                <w:spacing w:val="0"/>
                <w:w w:val="100"/>
                <w:position w:val="0"/>
                <w:sz w:val="24"/>
                <w:szCs w:val="24"/>
                <w:vertAlign w:val="subscript"/>
              </w:rPr>
              <w:t>eqb</w:t>
            </w:r>
            <w:r>
              <w:rPr>
                <w:rFonts w:hint="default" w:ascii="Times New Roman" w:hAnsi="Times New Roman" w:eastAsia="宋体" w:cs="Times New Roman"/>
                <w:color w:val="auto"/>
                <w:spacing w:val="0"/>
                <w:w w:val="100"/>
                <w:position w:val="0"/>
                <w:sz w:val="24"/>
                <w:szCs w:val="24"/>
              </w:rPr>
              <w:t>—预测点的背景噪声值，dB</w:t>
            </w:r>
            <w:r>
              <w:rPr>
                <w:rFonts w:hint="eastAsia" w:cs="Times New Roman"/>
                <w:color w:val="auto"/>
                <w:spacing w:val="0"/>
                <w:w w:val="100"/>
                <w:position w:val="0"/>
                <w:sz w:val="24"/>
                <w:szCs w:val="24"/>
                <w:lang w:val="en-US" w:eastAsia="zh-CN"/>
              </w:rPr>
              <w:t>.</w:t>
            </w:r>
          </w:p>
          <w:p w14:paraId="638341A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将设备噪声源在厂区平面图上进行定位，利用上述的预测数字模型，将有关参数代入公式计算，预测拟建工程噪声源对各向厂界的影响。</w:t>
            </w:r>
          </w:p>
          <w:p w14:paraId="27B9771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①</w:t>
            </w:r>
            <w:r>
              <w:rPr>
                <w:rFonts w:hint="default" w:ascii="Times New Roman" w:hAnsi="Times New Roman" w:eastAsia="宋体" w:cs="Times New Roman"/>
                <w:color w:val="auto"/>
                <w:spacing w:val="0"/>
                <w:w w:val="100"/>
                <w:position w:val="0"/>
                <w:sz w:val="24"/>
                <w:szCs w:val="24"/>
              </w:rPr>
              <w:t>预测参数</w:t>
            </w:r>
          </w:p>
          <w:p w14:paraId="5889523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经对现有资料整理分析，拟选用如下参数和条件进行计算：</w:t>
            </w:r>
          </w:p>
          <w:p w14:paraId="6694687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a 一般属性</w:t>
            </w:r>
          </w:p>
          <w:p w14:paraId="3916B240">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 xml:space="preserve">声源离地面高度为 0，室内点源位置为地面，声源所在房间内壁的吸声系数 0.01。 </w:t>
            </w:r>
          </w:p>
          <w:p w14:paraId="44F8BDD0">
            <w:pPr>
              <w:keepNext w:val="0"/>
              <w:keepLines w:val="0"/>
              <w:pageBreakBefore w:val="0"/>
              <w:widowControl w:val="0"/>
              <w:kinsoku/>
              <w:wordWrap/>
              <w:overflowPunct/>
              <w:topLinePunct w:val="0"/>
              <w:autoSpaceDE/>
              <w:autoSpaceDN/>
              <w:bidi w:val="0"/>
              <w:adjustRightInd/>
              <w:snapToGrid/>
              <w:spacing w:line="360" w:lineRule="auto"/>
              <w:ind w:left="547" w:leftChars="228" w:right="0" w:firstLine="0" w:firstLineChars="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b 发声特性</w:t>
            </w:r>
          </w:p>
          <w:p w14:paraId="0C459CC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稳态发声，不分频。</w:t>
            </w:r>
          </w:p>
          <w:p w14:paraId="1E325CC6">
            <w:pPr>
              <w:pStyle w:val="141"/>
              <w:keepNext w:val="0"/>
              <w:keepLines w:val="0"/>
              <w:pageBreakBefore w:val="0"/>
              <w:kinsoku/>
              <w:wordWrap/>
              <w:overflowPunct/>
              <w:topLinePunct w:val="0"/>
              <w:autoSpaceDE/>
              <w:autoSpaceDN/>
              <w:bidi w:val="0"/>
              <w:spacing w:line="360" w:lineRule="auto"/>
              <w:ind w:left="0" w:right="0" w:firstLine="482" w:firstLineChars="200"/>
              <w:textAlignment w:val="auto"/>
              <w:rPr>
                <w:rFonts w:hint="default" w:ascii="Times New Roman" w:hAnsi="Times New Roman" w:eastAsia="宋体" w:cs="Times New Roman"/>
                <w:b/>
                <w:bCs/>
                <w:color w:val="auto"/>
                <w:spacing w:val="0"/>
                <w:w w:val="100"/>
                <w:position w:val="0"/>
                <w:sz w:val="24"/>
                <w:szCs w:val="24"/>
              </w:rPr>
            </w:pPr>
            <w:r>
              <w:rPr>
                <w:rFonts w:hint="default" w:ascii="Times New Roman" w:hAnsi="Times New Roman" w:eastAsia="宋体" w:cs="Times New Roman"/>
                <w:b/>
                <w:bCs/>
                <w:color w:val="auto"/>
                <w:spacing w:val="0"/>
                <w:w w:val="100"/>
                <w:position w:val="0"/>
                <w:sz w:val="24"/>
                <w:szCs w:val="24"/>
              </w:rPr>
              <w:t>（</w:t>
            </w:r>
            <w:r>
              <w:rPr>
                <w:rFonts w:hint="eastAsia" w:ascii="Times New Roman" w:hAnsi="Times New Roman" w:cs="Times New Roman"/>
                <w:b/>
                <w:bCs/>
                <w:color w:val="auto"/>
                <w:spacing w:val="0"/>
                <w:w w:val="100"/>
                <w:position w:val="0"/>
                <w:sz w:val="24"/>
                <w:szCs w:val="24"/>
                <w:lang w:val="en-US" w:eastAsia="zh-CN"/>
              </w:rPr>
              <w:t>3</w:t>
            </w:r>
            <w:r>
              <w:rPr>
                <w:rFonts w:hint="default" w:ascii="Times New Roman" w:hAnsi="Times New Roman" w:eastAsia="宋体" w:cs="Times New Roman"/>
                <w:b/>
                <w:bCs/>
                <w:color w:val="auto"/>
                <w:spacing w:val="0"/>
                <w:w w:val="100"/>
                <w:position w:val="0"/>
                <w:sz w:val="24"/>
                <w:szCs w:val="24"/>
              </w:rPr>
              <w:t>）噪声污染防治措施</w:t>
            </w:r>
          </w:p>
          <w:p w14:paraId="373FD0F9">
            <w:pPr>
              <w:pStyle w:val="132"/>
              <w:ind w:firstLine="480" w:firstLineChars="200"/>
              <w:jc w:val="both"/>
              <w:rPr>
                <w:rFonts w:hint="eastAsia" w:eastAsia="宋体" w:cs="Times New Roman"/>
                <w:color w:val="auto"/>
                <w:lang w:eastAsia="zh-CN"/>
              </w:rPr>
            </w:pPr>
            <w:r>
              <w:rPr>
                <w:rFonts w:ascii="Times New Roman" w:hAnsi="Times New Roman" w:eastAsia="宋体"/>
                <w:color w:val="auto"/>
                <w:sz w:val="24"/>
                <w:szCs w:val="24"/>
              </w:rPr>
              <w:t>为确保项目运营期噪声不对周边环境造成影响，本次环评要求建设</w:t>
            </w:r>
            <w:r>
              <w:rPr>
                <w:rFonts w:hint="eastAsia" w:ascii="Times New Roman" w:hAnsi="Times New Roman" w:eastAsia="宋体"/>
                <w:color w:val="auto"/>
                <w:sz w:val="24"/>
                <w:szCs w:val="24"/>
              </w:rPr>
              <w:t>单位</w:t>
            </w:r>
            <w:r>
              <w:rPr>
                <w:rFonts w:hint="eastAsia" w:eastAsia="宋体" w:cs="Times New Roman"/>
                <w:color w:val="auto"/>
                <w:lang w:eastAsia="zh-CN"/>
              </w:rPr>
              <w:t>：</w:t>
            </w:r>
          </w:p>
          <w:p w14:paraId="5FEB7588">
            <w:pPr>
              <w:pStyle w:val="132"/>
              <w:ind w:firstLine="480" w:firstLineChars="200"/>
              <w:jc w:val="both"/>
              <w:rPr>
                <w:rFonts w:cs="Times New Roman"/>
                <w:color w:val="auto"/>
                <w:sz w:val="24"/>
                <w:szCs w:val="24"/>
              </w:rPr>
            </w:pPr>
            <w:r>
              <w:rPr>
                <w:rFonts w:hint="eastAsia" w:cs="Times New Roman"/>
                <w:color w:val="auto"/>
                <w:sz w:val="24"/>
                <w:szCs w:val="24"/>
                <w:lang w:val="en-US" w:eastAsia="zh-CN"/>
              </w:rPr>
              <w:t>A.</w:t>
            </w:r>
            <w:r>
              <w:rPr>
                <w:rFonts w:cs="Times New Roman"/>
                <w:color w:val="auto"/>
                <w:sz w:val="24"/>
                <w:szCs w:val="24"/>
              </w:rPr>
              <w:t>选取噪声相对较小的设备，从源头削减污染源；</w:t>
            </w:r>
          </w:p>
          <w:p w14:paraId="73A51AA0">
            <w:pPr>
              <w:pStyle w:val="132"/>
              <w:ind w:firstLine="480" w:firstLineChars="200"/>
              <w:jc w:val="both"/>
              <w:rPr>
                <w:color w:val="auto"/>
                <w:sz w:val="24"/>
                <w:szCs w:val="24"/>
              </w:rPr>
            </w:pPr>
            <w:r>
              <w:rPr>
                <w:rFonts w:hint="eastAsia"/>
                <w:color w:val="auto"/>
                <w:sz w:val="24"/>
                <w:szCs w:val="24"/>
                <w:lang w:val="en-US" w:eastAsia="zh-CN"/>
              </w:rPr>
              <w:t>B.</w:t>
            </w:r>
            <w:r>
              <w:rPr>
                <w:rFonts w:cs="Times New Roman"/>
                <w:color w:val="auto"/>
                <w:sz w:val="24"/>
                <w:szCs w:val="24"/>
              </w:rPr>
              <w:t>机械设备与基础之间增加弹簧或者由弹性材料制作的减震垫层、减震器，进行减震处理，对空压机安装消声器，可以降低5~10dB</w:t>
            </w:r>
            <w:r>
              <w:rPr>
                <w:rFonts w:hint="eastAsia" w:cs="Times New Roman"/>
                <w:color w:val="auto"/>
                <w:sz w:val="24"/>
                <w:szCs w:val="24"/>
                <w:lang w:eastAsia="zh-CN"/>
              </w:rPr>
              <w:t>；</w:t>
            </w:r>
          </w:p>
          <w:p w14:paraId="628A5DDC">
            <w:pPr>
              <w:pStyle w:val="132"/>
              <w:ind w:firstLine="480" w:firstLineChars="200"/>
              <w:jc w:val="both"/>
              <w:rPr>
                <w:rFonts w:cs="Times New Roman"/>
                <w:color w:val="auto"/>
                <w:sz w:val="24"/>
              </w:rPr>
            </w:pPr>
            <w:r>
              <w:rPr>
                <w:rFonts w:hint="eastAsia" w:cs="Times New Roman"/>
                <w:color w:val="auto"/>
                <w:sz w:val="24"/>
                <w:szCs w:val="24"/>
                <w:lang w:val="en-US" w:eastAsia="zh-CN"/>
              </w:rPr>
              <w:t>C.</w:t>
            </w:r>
            <w:r>
              <w:rPr>
                <w:rFonts w:cs="Times New Roman"/>
                <w:color w:val="auto"/>
                <w:sz w:val="24"/>
                <w:szCs w:val="24"/>
              </w:rPr>
              <w:t>建立设备定期维护，保养的管理制度，加强机械设备维修保养，适时添加润滑油防止机械磨损，以防止设备故障形成的非正常生产噪声，杜绝因设备不正常运转时产生的高噪声现象，同时确保环保措施发挥最佳有效的功能。加强职工环保意识教育，提倡文明生产，减少人为噪声。</w:t>
            </w:r>
          </w:p>
          <w:p w14:paraId="51A5D184">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eastAsia" w:ascii="Times New Roman" w:hAnsi="Times New Roman" w:cs="Times New Roman"/>
                <w:color w:val="auto"/>
                <w:spacing w:val="0"/>
                <w:w w:val="100"/>
                <w:position w:val="0"/>
                <w:sz w:val="24"/>
                <w:szCs w:val="24"/>
                <w:lang w:eastAsia="zh-CN"/>
              </w:rPr>
            </w:pPr>
            <w:r>
              <w:rPr>
                <w:rFonts w:hint="default" w:ascii="Times New Roman" w:hAnsi="Times New Roman" w:eastAsia="宋体" w:cs="Times New Roman"/>
                <w:color w:val="auto"/>
                <w:spacing w:val="0"/>
                <w:w w:val="100"/>
                <w:position w:val="0"/>
                <w:sz w:val="24"/>
                <w:szCs w:val="24"/>
              </w:rPr>
              <w:t>考虑噪声距离衰减、减振及隔声等措施，</w:t>
            </w:r>
            <w:r>
              <w:rPr>
                <w:rFonts w:hint="eastAsia" w:ascii="Times New Roman" w:hAnsi="Times New Roman" w:cs="Times New Roman"/>
                <w:color w:val="auto"/>
                <w:spacing w:val="0"/>
                <w:w w:val="100"/>
                <w:position w:val="0"/>
                <w:sz w:val="24"/>
                <w:szCs w:val="24"/>
                <w:lang w:val="en-US" w:eastAsia="zh-CN"/>
              </w:rPr>
              <w:t>院区厂界噪声预测</w:t>
            </w:r>
            <w:r>
              <w:rPr>
                <w:rFonts w:hint="default" w:ascii="Times New Roman" w:hAnsi="Times New Roman" w:eastAsia="宋体" w:cs="Times New Roman"/>
                <w:color w:val="auto"/>
                <w:spacing w:val="0"/>
                <w:w w:val="100"/>
                <w:position w:val="0"/>
                <w:sz w:val="24"/>
                <w:szCs w:val="24"/>
              </w:rPr>
              <w:t>结果见表4-</w:t>
            </w:r>
            <w:r>
              <w:rPr>
                <w:rFonts w:hint="eastAsia" w:ascii="Times New Roman" w:hAnsi="Times New Roman" w:cs="Times New Roman"/>
                <w:color w:val="auto"/>
                <w:spacing w:val="0"/>
                <w:w w:val="100"/>
                <w:position w:val="0"/>
                <w:sz w:val="24"/>
                <w:szCs w:val="24"/>
                <w:lang w:val="en-US" w:eastAsia="zh-CN"/>
              </w:rPr>
              <w:t>14</w:t>
            </w:r>
            <w:r>
              <w:rPr>
                <w:rFonts w:hint="eastAsia" w:ascii="Times New Roman" w:hAnsi="Times New Roman" w:cs="Times New Roman"/>
                <w:color w:val="auto"/>
                <w:spacing w:val="0"/>
                <w:w w:val="100"/>
                <w:position w:val="0"/>
                <w:sz w:val="24"/>
                <w:szCs w:val="24"/>
                <w:lang w:eastAsia="zh-CN"/>
              </w:rPr>
              <w:t>。</w:t>
            </w:r>
          </w:p>
          <w:p w14:paraId="683B2994">
            <w:pPr>
              <w:spacing w:line="240" w:lineRule="auto"/>
              <w:ind w:left="0" w:leftChars="0" w:firstLine="0" w:firstLineChars="0"/>
              <w:jc w:val="center"/>
              <w:rPr>
                <w:rFonts w:hint="eastAsia"/>
                <w:b/>
                <w:bCs/>
                <w:color w:val="auto"/>
                <w:sz w:val="21"/>
                <w:szCs w:val="21"/>
                <w:lang w:val="en-US" w:eastAsia="zh-CN"/>
              </w:rPr>
            </w:pPr>
            <w:r>
              <w:rPr>
                <w:rFonts w:hint="eastAsia"/>
                <w:b/>
                <w:bCs/>
                <w:color w:val="auto"/>
                <w:sz w:val="21"/>
                <w:szCs w:val="21"/>
                <w:lang w:val="en-US" w:eastAsia="zh-CN"/>
              </w:rPr>
              <w:t>表4-14 本项目院区厂界噪声预测一览表（dB（A））</w:t>
            </w:r>
          </w:p>
          <w:tbl>
            <w:tblPr>
              <w:tblStyle w:val="29"/>
              <w:tblW w:w="7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466"/>
              <w:gridCol w:w="1096"/>
              <w:gridCol w:w="1246"/>
              <w:gridCol w:w="1073"/>
              <w:gridCol w:w="753"/>
              <w:gridCol w:w="1127"/>
            </w:tblGrid>
            <w:tr w14:paraId="1DC6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restart"/>
                  <w:vAlign w:val="center"/>
                </w:tcPr>
                <w:p w14:paraId="244EA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序号</w:t>
                  </w:r>
                </w:p>
              </w:tc>
              <w:tc>
                <w:tcPr>
                  <w:tcW w:w="1466" w:type="dxa"/>
                  <w:vMerge w:val="restart"/>
                  <w:vAlign w:val="center"/>
                </w:tcPr>
                <w:p w14:paraId="58D471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预测点位</w:t>
                  </w:r>
                </w:p>
              </w:tc>
              <w:tc>
                <w:tcPr>
                  <w:tcW w:w="2342" w:type="dxa"/>
                  <w:gridSpan w:val="2"/>
                  <w:vAlign w:val="center"/>
                </w:tcPr>
                <w:p w14:paraId="520BC6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贡献值</w:t>
                  </w:r>
                </w:p>
              </w:tc>
              <w:tc>
                <w:tcPr>
                  <w:tcW w:w="1826" w:type="dxa"/>
                  <w:gridSpan w:val="2"/>
                  <w:vAlign w:val="center"/>
                </w:tcPr>
                <w:p w14:paraId="6E2A13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标准值</w:t>
                  </w:r>
                </w:p>
              </w:tc>
              <w:tc>
                <w:tcPr>
                  <w:tcW w:w="1127" w:type="dxa"/>
                  <w:vMerge w:val="restart"/>
                  <w:vAlign w:val="center"/>
                </w:tcPr>
                <w:p w14:paraId="2BEF6E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达标情况</w:t>
                  </w:r>
                </w:p>
              </w:tc>
            </w:tr>
            <w:tr w14:paraId="7D3A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Merge w:val="continue"/>
                  <w:vAlign w:val="center"/>
                </w:tcPr>
                <w:p w14:paraId="08BEF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466" w:type="dxa"/>
                  <w:vMerge w:val="continue"/>
                  <w:vAlign w:val="center"/>
                </w:tcPr>
                <w:p w14:paraId="44CE3F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096" w:type="dxa"/>
                  <w:vAlign w:val="center"/>
                </w:tcPr>
                <w:p w14:paraId="5D15C7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昼间</w:t>
                  </w:r>
                </w:p>
              </w:tc>
              <w:tc>
                <w:tcPr>
                  <w:tcW w:w="1246" w:type="dxa"/>
                  <w:vAlign w:val="center"/>
                </w:tcPr>
                <w:p w14:paraId="196870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夜间</w:t>
                  </w:r>
                </w:p>
              </w:tc>
              <w:tc>
                <w:tcPr>
                  <w:tcW w:w="1073" w:type="dxa"/>
                  <w:vAlign w:val="center"/>
                </w:tcPr>
                <w:p w14:paraId="2903A2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昼间</w:t>
                  </w:r>
                </w:p>
              </w:tc>
              <w:tc>
                <w:tcPr>
                  <w:tcW w:w="753" w:type="dxa"/>
                  <w:vAlign w:val="center"/>
                </w:tcPr>
                <w:p w14:paraId="199EFF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夜间</w:t>
                  </w:r>
                </w:p>
              </w:tc>
              <w:tc>
                <w:tcPr>
                  <w:tcW w:w="1127" w:type="dxa"/>
                  <w:vMerge w:val="continue"/>
                  <w:vAlign w:val="center"/>
                </w:tcPr>
                <w:p w14:paraId="6D616B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r>
            <w:tr w14:paraId="20FF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Align w:val="center"/>
                </w:tcPr>
                <w:p w14:paraId="510ACA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1466" w:type="dxa"/>
                  <w:vAlign w:val="center"/>
                </w:tcPr>
                <w:p w14:paraId="1A28DE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厂界东侧1m</w:t>
                  </w:r>
                </w:p>
              </w:tc>
              <w:tc>
                <w:tcPr>
                  <w:tcW w:w="1096" w:type="dxa"/>
                  <w:vAlign w:val="center"/>
                </w:tcPr>
                <w:p w14:paraId="3B6A2C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45</w:t>
                  </w:r>
                </w:p>
              </w:tc>
              <w:tc>
                <w:tcPr>
                  <w:tcW w:w="1246" w:type="dxa"/>
                  <w:vAlign w:val="center"/>
                </w:tcPr>
                <w:p w14:paraId="575BD3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45</w:t>
                  </w:r>
                </w:p>
              </w:tc>
              <w:tc>
                <w:tcPr>
                  <w:tcW w:w="1073" w:type="dxa"/>
                  <w:vMerge w:val="restart"/>
                  <w:vAlign w:val="center"/>
                </w:tcPr>
                <w:p w14:paraId="46FEB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60</w:t>
                  </w:r>
                </w:p>
              </w:tc>
              <w:tc>
                <w:tcPr>
                  <w:tcW w:w="753" w:type="dxa"/>
                  <w:vMerge w:val="restart"/>
                  <w:vAlign w:val="center"/>
                </w:tcPr>
                <w:p w14:paraId="7D0E6B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50</w:t>
                  </w:r>
                </w:p>
              </w:tc>
              <w:tc>
                <w:tcPr>
                  <w:tcW w:w="1127" w:type="dxa"/>
                  <w:vAlign w:val="center"/>
                </w:tcPr>
                <w:p w14:paraId="2B0B99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达标</w:t>
                  </w:r>
                </w:p>
              </w:tc>
            </w:tr>
            <w:tr w14:paraId="7100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Align w:val="center"/>
                </w:tcPr>
                <w:p w14:paraId="67EA0C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w:t>
                  </w:r>
                </w:p>
              </w:tc>
              <w:tc>
                <w:tcPr>
                  <w:tcW w:w="1466" w:type="dxa"/>
                  <w:vAlign w:val="center"/>
                </w:tcPr>
                <w:p w14:paraId="0C1452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厂界南侧1m</w:t>
                  </w:r>
                </w:p>
              </w:tc>
              <w:tc>
                <w:tcPr>
                  <w:tcW w:w="1096" w:type="dxa"/>
                  <w:vAlign w:val="center"/>
                </w:tcPr>
                <w:p w14:paraId="1CEF95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47</w:t>
                  </w:r>
                </w:p>
              </w:tc>
              <w:tc>
                <w:tcPr>
                  <w:tcW w:w="1246" w:type="dxa"/>
                  <w:vAlign w:val="center"/>
                </w:tcPr>
                <w:p w14:paraId="5BD95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47</w:t>
                  </w:r>
                </w:p>
              </w:tc>
              <w:tc>
                <w:tcPr>
                  <w:tcW w:w="1073" w:type="dxa"/>
                  <w:vMerge w:val="continue"/>
                  <w:vAlign w:val="center"/>
                </w:tcPr>
                <w:p w14:paraId="372F7A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53" w:type="dxa"/>
                  <w:vMerge w:val="continue"/>
                  <w:vAlign w:val="center"/>
                </w:tcPr>
                <w:p w14:paraId="163322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127" w:type="dxa"/>
                  <w:vAlign w:val="center"/>
                </w:tcPr>
                <w:p w14:paraId="4F75F0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达标</w:t>
                  </w:r>
                </w:p>
              </w:tc>
            </w:tr>
            <w:tr w14:paraId="094F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Align w:val="center"/>
                </w:tcPr>
                <w:p w14:paraId="37E1A1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3</w:t>
                  </w:r>
                </w:p>
              </w:tc>
              <w:tc>
                <w:tcPr>
                  <w:tcW w:w="1466" w:type="dxa"/>
                  <w:vAlign w:val="center"/>
                </w:tcPr>
                <w:p w14:paraId="24FFE8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厂界西侧1m</w:t>
                  </w:r>
                </w:p>
              </w:tc>
              <w:tc>
                <w:tcPr>
                  <w:tcW w:w="1096" w:type="dxa"/>
                  <w:vAlign w:val="center"/>
                </w:tcPr>
                <w:p w14:paraId="674C2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43</w:t>
                  </w:r>
                </w:p>
              </w:tc>
              <w:tc>
                <w:tcPr>
                  <w:tcW w:w="1246" w:type="dxa"/>
                  <w:vAlign w:val="center"/>
                </w:tcPr>
                <w:p w14:paraId="17E5CB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43</w:t>
                  </w:r>
                </w:p>
              </w:tc>
              <w:tc>
                <w:tcPr>
                  <w:tcW w:w="1073" w:type="dxa"/>
                  <w:vMerge w:val="continue"/>
                  <w:vAlign w:val="center"/>
                </w:tcPr>
                <w:p w14:paraId="69765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753" w:type="dxa"/>
                  <w:vMerge w:val="continue"/>
                  <w:vAlign w:val="center"/>
                </w:tcPr>
                <w:p w14:paraId="3B7E0B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p>
              </w:tc>
              <w:tc>
                <w:tcPr>
                  <w:tcW w:w="1127" w:type="dxa"/>
                  <w:vAlign w:val="center"/>
                </w:tcPr>
                <w:p w14:paraId="0F4922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达标</w:t>
                  </w:r>
                </w:p>
              </w:tc>
            </w:tr>
            <w:tr w14:paraId="05D7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vAlign w:val="center"/>
                </w:tcPr>
                <w:p w14:paraId="6500B7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w:t>
                  </w:r>
                </w:p>
              </w:tc>
              <w:tc>
                <w:tcPr>
                  <w:tcW w:w="1466" w:type="dxa"/>
                  <w:vAlign w:val="center"/>
                </w:tcPr>
                <w:p w14:paraId="59BD44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厂界北侧1m</w:t>
                  </w:r>
                </w:p>
              </w:tc>
              <w:tc>
                <w:tcPr>
                  <w:tcW w:w="1096" w:type="dxa"/>
                  <w:vAlign w:val="center"/>
                </w:tcPr>
                <w:p w14:paraId="533568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47</w:t>
                  </w:r>
                </w:p>
              </w:tc>
              <w:tc>
                <w:tcPr>
                  <w:tcW w:w="1246" w:type="dxa"/>
                  <w:vAlign w:val="center"/>
                </w:tcPr>
                <w:p w14:paraId="0E6BC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47</w:t>
                  </w:r>
                </w:p>
              </w:tc>
              <w:tc>
                <w:tcPr>
                  <w:tcW w:w="1073" w:type="dxa"/>
                  <w:vAlign w:val="center"/>
                </w:tcPr>
                <w:p w14:paraId="363236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70</w:t>
                  </w:r>
                </w:p>
              </w:tc>
              <w:tc>
                <w:tcPr>
                  <w:tcW w:w="753" w:type="dxa"/>
                  <w:vAlign w:val="center"/>
                </w:tcPr>
                <w:p w14:paraId="399C19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55</w:t>
                  </w:r>
                </w:p>
              </w:tc>
              <w:tc>
                <w:tcPr>
                  <w:tcW w:w="1127" w:type="dxa"/>
                  <w:vAlign w:val="center"/>
                </w:tcPr>
                <w:p w14:paraId="3043E7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达标</w:t>
                  </w:r>
                </w:p>
              </w:tc>
            </w:tr>
          </w:tbl>
          <w:p w14:paraId="11DB03B0">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color w:val="auto"/>
                <w:lang w:val="en-US" w:eastAsia="zh-CN"/>
              </w:rPr>
            </w:pPr>
            <w:r>
              <w:rPr>
                <w:rFonts w:hint="default" w:ascii="Times New Roman" w:hAnsi="Times New Roman" w:eastAsia="宋体" w:cs="Times New Roman"/>
                <w:color w:val="auto"/>
                <w:spacing w:val="0"/>
                <w:w w:val="100"/>
                <w:position w:val="0"/>
                <w:sz w:val="24"/>
                <w:szCs w:val="24"/>
              </w:rPr>
              <w:t>由上表可见，</w:t>
            </w:r>
            <w:r>
              <w:rPr>
                <w:rFonts w:cs="Times New Roman"/>
                <w:color w:val="auto"/>
              </w:rPr>
              <w:t>在采取减振等措施后，</w:t>
            </w:r>
            <w:r>
              <w:rPr>
                <w:rFonts w:hint="default" w:ascii="Times New Roman" w:hAnsi="Times New Roman" w:eastAsia="宋体" w:cs="Times New Roman"/>
                <w:color w:val="auto"/>
                <w:spacing w:val="0"/>
                <w:w w:val="100"/>
                <w:position w:val="0"/>
                <w:sz w:val="24"/>
                <w:szCs w:val="24"/>
              </w:rPr>
              <w:t>项目运营期医院</w:t>
            </w:r>
            <w:r>
              <w:rPr>
                <w:rFonts w:hint="eastAsia" w:ascii="Times New Roman" w:hAnsi="Times New Roman" w:cs="Times New Roman"/>
                <w:color w:val="auto"/>
                <w:spacing w:val="0"/>
                <w:w w:val="100"/>
                <w:position w:val="0"/>
                <w:sz w:val="24"/>
                <w:szCs w:val="24"/>
                <w:lang w:val="en-US" w:eastAsia="zh-CN"/>
              </w:rPr>
              <w:t>东、南、西</w:t>
            </w:r>
            <w:r>
              <w:rPr>
                <w:rFonts w:hint="default" w:ascii="Times New Roman" w:hAnsi="Times New Roman" w:eastAsia="宋体" w:cs="Times New Roman"/>
                <w:color w:val="auto"/>
                <w:spacing w:val="0"/>
                <w:w w:val="100"/>
                <w:position w:val="0"/>
                <w:sz w:val="24"/>
                <w:szCs w:val="24"/>
              </w:rPr>
              <w:t>边界噪声排放满足《工业企业厂界环境噪声排放标准》（GB12348-2008）2类标准，</w:t>
            </w:r>
            <w:r>
              <w:rPr>
                <w:rFonts w:hint="eastAsia" w:ascii="Times New Roman" w:hAnsi="Times New Roman" w:cs="Times New Roman"/>
                <w:color w:val="auto"/>
                <w:spacing w:val="0"/>
                <w:w w:val="100"/>
                <w:position w:val="0"/>
                <w:sz w:val="24"/>
                <w:szCs w:val="24"/>
                <w:lang w:val="en-US" w:eastAsia="zh-CN"/>
              </w:rPr>
              <w:t>北边界满足</w:t>
            </w:r>
            <w:r>
              <w:rPr>
                <w:rFonts w:hint="default" w:ascii="Times New Roman" w:hAnsi="Times New Roman" w:eastAsia="宋体" w:cs="Times New Roman"/>
                <w:color w:val="auto"/>
                <w:spacing w:val="0"/>
                <w:w w:val="100"/>
                <w:position w:val="0"/>
                <w:sz w:val="24"/>
                <w:szCs w:val="24"/>
              </w:rPr>
              <w:t>（GB12348-2008）</w:t>
            </w:r>
            <w:r>
              <w:rPr>
                <w:rFonts w:hint="eastAsia" w:ascii="Times New Roman" w:hAnsi="Times New Roman" w:cs="Times New Roman"/>
                <w:color w:val="auto"/>
                <w:spacing w:val="0"/>
                <w:w w:val="100"/>
                <w:position w:val="0"/>
                <w:sz w:val="24"/>
                <w:szCs w:val="24"/>
                <w:lang w:val="en-US" w:eastAsia="zh-CN"/>
              </w:rPr>
              <w:t>4</w:t>
            </w:r>
            <w:r>
              <w:rPr>
                <w:rFonts w:hint="default" w:ascii="Times New Roman" w:hAnsi="Times New Roman" w:eastAsia="宋体" w:cs="Times New Roman"/>
                <w:color w:val="auto"/>
                <w:spacing w:val="0"/>
                <w:w w:val="100"/>
                <w:position w:val="0"/>
                <w:sz w:val="24"/>
                <w:szCs w:val="24"/>
              </w:rPr>
              <w:t>类标准。</w:t>
            </w:r>
            <w:r>
              <w:rPr>
                <w:rFonts w:hint="eastAsia"/>
                <w:color w:val="auto"/>
                <w:lang w:val="en-US" w:eastAsia="zh-CN"/>
              </w:rPr>
              <w:t>对周围声环境影响较小</w:t>
            </w:r>
            <w:r>
              <w:rPr>
                <w:rFonts w:hint="default" w:ascii="Times New Roman" w:hAnsi="Times New Roman" w:eastAsia="宋体" w:cs="Times New Roman"/>
                <w:color w:val="auto"/>
                <w:spacing w:val="0"/>
                <w:w w:val="100"/>
                <w:position w:val="0"/>
                <w:sz w:val="24"/>
                <w:szCs w:val="24"/>
              </w:rPr>
              <w:t>。</w:t>
            </w:r>
          </w:p>
          <w:p w14:paraId="27D8E4FB">
            <w:pPr>
              <w:bidi w:val="0"/>
              <w:rPr>
                <w:rFonts w:hint="eastAsia" w:ascii="Times New Roman" w:hAnsi="Times New Roman" w:eastAsia="宋体" w:cs="Times New Roman"/>
                <w:b w:val="0"/>
                <w:bCs w:val="0"/>
                <w:color w:val="auto"/>
                <w:spacing w:val="0"/>
                <w:w w:val="100"/>
                <w:position w:val="0"/>
                <w:sz w:val="24"/>
                <w:szCs w:val="24"/>
                <w:lang w:val="en-US" w:eastAsia="zh-CN"/>
              </w:rPr>
            </w:pPr>
            <w:r>
              <w:rPr>
                <w:rFonts w:hint="eastAsia" w:ascii="Times New Roman" w:hAnsi="Times New Roman" w:eastAsia="宋体" w:cs="Times New Roman"/>
                <w:b w:val="0"/>
                <w:bCs w:val="0"/>
                <w:color w:val="auto"/>
                <w:spacing w:val="0"/>
                <w:w w:val="100"/>
                <w:position w:val="0"/>
                <w:sz w:val="24"/>
                <w:szCs w:val="24"/>
                <w:lang w:val="en-US" w:eastAsia="zh-CN"/>
              </w:rPr>
              <w:t>（</w:t>
            </w:r>
            <w:r>
              <w:rPr>
                <w:rFonts w:hint="eastAsia" w:cs="Times New Roman"/>
                <w:b w:val="0"/>
                <w:bCs w:val="0"/>
                <w:color w:val="auto"/>
                <w:spacing w:val="0"/>
                <w:w w:val="100"/>
                <w:position w:val="0"/>
                <w:sz w:val="24"/>
                <w:szCs w:val="24"/>
                <w:lang w:val="en-US" w:eastAsia="zh-CN"/>
              </w:rPr>
              <w:t>4</w:t>
            </w:r>
            <w:r>
              <w:rPr>
                <w:rFonts w:hint="eastAsia" w:ascii="Times New Roman" w:hAnsi="Times New Roman" w:eastAsia="宋体" w:cs="Times New Roman"/>
                <w:b w:val="0"/>
                <w:bCs w:val="0"/>
                <w:color w:val="auto"/>
                <w:spacing w:val="0"/>
                <w:w w:val="100"/>
                <w:position w:val="0"/>
                <w:sz w:val="24"/>
                <w:szCs w:val="24"/>
                <w:lang w:val="en-US" w:eastAsia="zh-CN"/>
              </w:rPr>
              <w:t>）外环境对项目的影响分析</w:t>
            </w:r>
          </w:p>
          <w:p w14:paraId="08748AAF">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eastAsia" w:ascii="Times New Roman" w:hAnsi="Times New Roman" w:eastAsia="宋体" w:cs="Times New Roman"/>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rPr>
              <w:t>本项目为</w:t>
            </w:r>
            <w:r>
              <w:rPr>
                <w:rFonts w:hint="eastAsia" w:ascii="Times New Roman" w:hAnsi="Times New Roman" w:eastAsia="宋体" w:cs="Times New Roman"/>
                <w:color w:val="auto"/>
                <w:spacing w:val="0"/>
                <w:w w:val="100"/>
                <w:position w:val="0"/>
                <w:sz w:val="24"/>
                <w:szCs w:val="24"/>
                <w:lang w:eastAsia="zh-CN"/>
              </w:rPr>
              <w:t>专科</w:t>
            </w:r>
            <w:r>
              <w:rPr>
                <w:rFonts w:hint="eastAsia" w:ascii="Times New Roman" w:hAnsi="Times New Roman" w:eastAsia="宋体" w:cs="Times New Roman"/>
                <w:color w:val="auto"/>
                <w:spacing w:val="0"/>
                <w:w w:val="100"/>
                <w:position w:val="0"/>
                <w:sz w:val="24"/>
                <w:szCs w:val="24"/>
              </w:rPr>
              <w:t>医院建设，本身为环境敏感目标，对外环境中的各种污染因素比较敏感，因此有必要就外环境对本项目的影响进行分析。</w:t>
            </w:r>
          </w:p>
          <w:p w14:paraId="75EB9FEE">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eastAsia" w:ascii="Times New Roman" w:hAnsi="Times New Roman" w:eastAsia="宋体" w:cs="Times New Roman"/>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rPr>
              <w:t>项目周边主要为</w:t>
            </w:r>
            <w:r>
              <w:rPr>
                <w:rFonts w:hint="eastAsia" w:ascii="Times New Roman" w:hAnsi="Times New Roman" w:cs="Times New Roman"/>
                <w:color w:val="auto"/>
                <w:spacing w:val="0"/>
                <w:w w:val="100"/>
                <w:position w:val="0"/>
                <w:sz w:val="24"/>
                <w:szCs w:val="24"/>
                <w:lang w:val="en-US" w:eastAsia="zh-CN"/>
              </w:rPr>
              <w:t>办公</w:t>
            </w:r>
            <w:r>
              <w:rPr>
                <w:rFonts w:hint="eastAsia" w:ascii="Times New Roman" w:hAnsi="Times New Roman" w:eastAsia="宋体" w:cs="Times New Roman"/>
                <w:color w:val="auto"/>
                <w:spacing w:val="0"/>
                <w:w w:val="100"/>
                <w:position w:val="0"/>
                <w:sz w:val="24"/>
                <w:szCs w:val="24"/>
              </w:rPr>
              <w:t>楼，本项目位于</w:t>
            </w:r>
            <w:r>
              <w:rPr>
                <w:rFonts w:hint="eastAsia" w:cs="宋体"/>
                <w:color w:val="auto"/>
                <w:kern w:val="0"/>
                <w:sz w:val="24"/>
              </w:rPr>
              <w:t>泗县经济开发区</w:t>
            </w:r>
            <w:r>
              <w:rPr>
                <w:rFonts w:hint="eastAsia" w:cs="宋体"/>
                <w:color w:val="auto"/>
                <w:kern w:val="0"/>
                <w:sz w:val="24"/>
                <w:lang w:val="en-US" w:eastAsia="zh-CN"/>
              </w:rPr>
              <w:t>朝阳路与汴河大道交叉口东侧</w:t>
            </w:r>
            <w:r>
              <w:rPr>
                <w:rFonts w:hint="default" w:ascii="Times New Roman" w:hAnsi="Times New Roman" w:cs="Times New Roman"/>
                <w:color w:val="auto"/>
                <w:kern w:val="0"/>
                <w:sz w:val="24"/>
                <w:lang w:val="en-US" w:eastAsia="zh-CN"/>
              </w:rPr>
              <w:t>200m</w:t>
            </w:r>
            <w:r>
              <w:rPr>
                <w:rFonts w:hint="eastAsia" w:ascii="Times New Roman" w:hAnsi="Times New Roman" w:cs="Times New Roman"/>
                <w:color w:val="auto"/>
                <w:spacing w:val="0"/>
                <w:w w:val="100"/>
                <w:position w:val="0"/>
                <w:sz w:val="24"/>
                <w:szCs w:val="24"/>
                <w:lang w:eastAsia="zh-CN"/>
              </w:rPr>
              <w:t>，</w:t>
            </w:r>
            <w:r>
              <w:rPr>
                <w:rFonts w:hint="eastAsia" w:ascii="Times New Roman" w:hAnsi="Times New Roman" w:cs="Times New Roman"/>
                <w:color w:val="auto"/>
                <w:spacing w:val="0"/>
                <w:w w:val="100"/>
                <w:position w:val="0"/>
                <w:sz w:val="24"/>
                <w:szCs w:val="24"/>
                <w:lang w:val="en-US" w:eastAsia="zh-CN"/>
              </w:rPr>
              <w:t>北侧为汴河大道，道路交通噪声对本项目有一定影响。</w:t>
            </w:r>
            <w:r>
              <w:rPr>
                <w:rFonts w:hint="eastAsia" w:ascii="Times New Roman" w:hAnsi="Times New Roman" w:eastAsia="宋体" w:cs="Times New Roman"/>
                <w:color w:val="auto"/>
                <w:spacing w:val="0"/>
                <w:w w:val="100"/>
                <w:position w:val="0"/>
                <w:sz w:val="24"/>
                <w:szCs w:val="24"/>
              </w:rPr>
              <w:t>为进一步降低交通噪声对本项目的影响，本环评建议医院采取以下治理措施：</w:t>
            </w:r>
          </w:p>
          <w:p w14:paraId="0B7ADCE3">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eastAsia" w:ascii="宋体" w:hAnsi="宋体" w:eastAsia="宋体" w:cs="宋体"/>
                <w:color w:val="auto"/>
                <w:spacing w:val="0"/>
                <w:w w:val="100"/>
                <w:position w:val="0"/>
                <w:sz w:val="24"/>
                <w:szCs w:val="24"/>
              </w:rPr>
            </w:pPr>
            <w:r>
              <w:rPr>
                <w:rFonts w:hint="eastAsia" w:ascii="宋体" w:hAnsi="宋体" w:eastAsia="宋体" w:cs="宋体"/>
                <w:color w:val="auto"/>
                <w:spacing w:val="0"/>
                <w:w w:val="100"/>
                <w:position w:val="0"/>
                <w:sz w:val="24"/>
                <w:szCs w:val="24"/>
              </w:rPr>
              <w:t>①加强对路边停车车辆的管理，禁止车辆鸣笛，在医院大门口应设禁鸣指示牌。</w:t>
            </w:r>
          </w:p>
          <w:p w14:paraId="672E0DC9">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spacing w:val="0"/>
                <w:w w:val="100"/>
                <w:position w:val="0"/>
                <w:sz w:val="24"/>
                <w:szCs w:val="24"/>
              </w:rPr>
              <w:t>②</w:t>
            </w:r>
            <w:r>
              <w:rPr>
                <w:rFonts w:hint="eastAsia" w:ascii="宋体" w:hAnsi="宋体" w:eastAsia="宋体" w:cs="宋体"/>
                <w:color w:val="auto"/>
                <w:kern w:val="0"/>
                <w:sz w:val="24"/>
                <w:szCs w:val="24"/>
                <w:lang w:val="en-US" w:eastAsia="zh-CN" w:bidi="ar"/>
              </w:rPr>
              <w:t>为保证院区病人就医环境和休息质量，有效降低交通噪声的影响，</w:t>
            </w:r>
            <w:r>
              <w:rPr>
                <w:rFonts w:hint="eastAsia" w:ascii="宋体" w:hAnsi="宋体" w:eastAsia="宋体" w:cs="宋体"/>
                <w:color w:val="auto"/>
                <w:spacing w:val="0"/>
                <w:w w:val="100"/>
                <w:position w:val="0"/>
                <w:sz w:val="24"/>
                <w:szCs w:val="24"/>
              </w:rPr>
              <w:t>评价建议医院临路一侧门窗更换为隔声门窗</w:t>
            </w:r>
            <w:r>
              <w:rPr>
                <w:rFonts w:hint="eastAsia" w:ascii="宋体" w:hAnsi="宋体" w:eastAsia="宋体" w:cs="宋体"/>
                <w:color w:val="auto"/>
                <w:kern w:val="0"/>
                <w:sz w:val="24"/>
                <w:szCs w:val="24"/>
                <w:lang w:val="en-US" w:eastAsia="zh-CN" w:bidi="ar"/>
              </w:rPr>
              <w:t>，保证病房病人休息不会受到交通噪声影响。</w:t>
            </w:r>
          </w:p>
          <w:p w14:paraId="527DA2D3">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color w:val="auto"/>
                <w:sz w:val="24"/>
                <w:szCs w:val="24"/>
              </w:rPr>
            </w:pPr>
            <w:r>
              <w:rPr>
                <w:rFonts w:hint="eastAsia" w:ascii="宋体" w:hAnsi="宋体" w:eastAsia="宋体" w:cs="宋体"/>
                <w:color w:val="auto"/>
                <w:spacing w:val="0"/>
                <w:w w:val="100"/>
                <w:position w:val="0"/>
                <w:sz w:val="24"/>
                <w:szCs w:val="24"/>
              </w:rPr>
              <w:t>③</w:t>
            </w:r>
            <w:r>
              <w:rPr>
                <w:rFonts w:hint="eastAsia" w:ascii="宋体" w:hAnsi="宋体" w:eastAsia="宋体" w:cs="宋体"/>
                <w:color w:val="auto"/>
                <w:kern w:val="0"/>
                <w:sz w:val="24"/>
                <w:szCs w:val="24"/>
                <w:lang w:val="en-US" w:eastAsia="zh-CN" w:bidi="ar"/>
              </w:rPr>
              <w:t>提高建筑门窗的隔声性能，采用窗户增加橡胶条、窗缝注密封胶，且采取符合国家</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三性</w:t>
            </w:r>
            <w:r>
              <w:rPr>
                <w:rFonts w:hint="default" w:ascii="Times New Roman" w:hAnsi="Times New Roman" w:eastAsia="宋体"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（气密性、水密性、隔声性）标准的玻璃；门窗进行嵌缝，嵌缝后可进一步降低交通噪声影响。</w:t>
            </w:r>
          </w:p>
          <w:p w14:paraId="3BC1AAE4">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b/>
                <w:bCs/>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rPr>
              <w:t>经上述措施后，外界交通噪声对本项目的影响在可接受范围内</w:t>
            </w:r>
            <w:r>
              <w:rPr>
                <w:rFonts w:hint="eastAsia" w:ascii="Times New Roman" w:hAnsi="Times New Roman" w:eastAsia="宋体" w:cs="Times New Roman"/>
                <w:color w:val="auto"/>
                <w:spacing w:val="0"/>
                <w:w w:val="100"/>
                <w:position w:val="0"/>
                <w:sz w:val="24"/>
                <w:szCs w:val="24"/>
                <w:lang w:eastAsia="zh-CN"/>
              </w:rPr>
              <w:t>。</w:t>
            </w:r>
          </w:p>
          <w:p w14:paraId="06C43E9E">
            <w:pPr>
              <w:keepNext w:val="0"/>
              <w:keepLines w:val="0"/>
              <w:pageBreakBefore w:val="0"/>
              <w:kinsoku/>
              <w:wordWrap/>
              <w:overflowPunct/>
              <w:topLinePunct w:val="0"/>
              <w:autoSpaceDE/>
              <w:autoSpaceDN/>
              <w:bidi w:val="0"/>
              <w:adjustRightInd w:val="0"/>
              <w:snapToGrid w:val="0"/>
              <w:ind w:firstLine="482" w:firstLineChars="20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4、固体废物环境影响分析</w:t>
            </w:r>
          </w:p>
          <w:p w14:paraId="0FA2E6D7">
            <w:pPr>
              <w:pStyle w:val="16"/>
              <w:keepNext w:val="0"/>
              <w:keepLines w:val="0"/>
              <w:pageBreakBefore w:val="0"/>
              <w:kinsoku/>
              <w:wordWrap/>
              <w:overflowPunct/>
              <w:topLinePunct w:val="0"/>
              <w:autoSpaceDE/>
              <w:autoSpaceDN/>
              <w:bidi w:val="0"/>
              <w:spacing w:before="0" w:beforeLines="0"/>
              <w:ind w:firstLine="480" w:firstLineChars="200"/>
              <w:jc w:val="both"/>
              <w:textAlignment w:val="auto"/>
              <w:rPr>
                <w:rFonts w:hint="default" w:eastAsia="宋体" w:cs="Times New Roman"/>
                <w:color w:val="auto"/>
                <w:kern w:val="0"/>
                <w:szCs w:val="24"/>
                <w:lang w:val="en-US" w:eastAsia="zh-CN"/>
              </w:rPr>
            </w:pPr>
            <w:r>
              <w:rPr>
                <w:rFonts w:hint="eastAsia" w:cs="Times New Roman"/>
                <w:color w:val="auto"/>
                <w:kern w:val="0"/>
                <w:szCs w:val="24"/>
                <w:lang w:eastAsia="zh-CN"/>
              </w:rPr>
              <w:t>（</w:t>
            </w:r>
            <w:r>
              <w:rPr>
                <w:rFonts w:hint="eastAsia" w:cs="Times New Roman"/>
                <w:color w:val="auto"/>
                <w:kern w:val="0"/>
                <w:szCs w:val="24"/>
                <w:lang w:val="en-US" w:eastAsia="zh-CN"/>
              </w:rPr>
              <w:t>1）源强核算</w:t>
            </w:r>
          </w:p>
          <w:p w14:paraId="3CBE60B2">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eastAsia" w:ascii="宋体" w:hAnsi="宋体" w:eastAsia="宋体" w:cs="宋体"/>
                <w:color w:val="auto"/>
                <w:spacing w:val="0"/>
                <w:w w:val="100"/>
                <w:position w:val="0"/>
                <w:sz w:val="24"/>
                <w:szCs w:val="24"/>
              </w:rPr>
            </w:pPr>
            <w:r>
              <w:rPr>
                <w:rFonts w:hint="eastAsia" w:cs="Times New Roman"/>
                <w:color w:val="auto"/>
                <w:kern w:val="0"/>
                <w:szCs w:val="24"/>
                <w:lang w:val="en-US" w:eastAsia="zh-CN"/>
              </w:rPr>
              <w:t>本项目产生的固体废物包括：生活垃圾、</w:t>
            </w:r>
            <w:r>
              <w:rPr>
                <w:rFonts w:hint="default" w:ascii="Times New Roman" w:hAnsi="Times New Roman" w:eastAsia="宋体" w:cs="Times New Roman"/>
                <w:color w:val="auto"/>
                <w:spacing w:val="0"/>
                <w:w w:val="100"/>
                <w:position w:val="0"/>
                <w:sz w:val="24"/>
                <w:szCs w:val="24"/>
              </w:rPr>
              <w:t>制片边角料</w:t>
            </w:r>
            <w:r>
              <w:rPr>
                <w:rFonts w:hint="eastAsia" w:cs="Times New Roman"/>
                <w:color w:val="auto"/>
                <w:kern w:val="0"/>
                <w:szCs w:val="24"/>
                <w:lang w:eastAsia="zh-CN"/>
              </w:rPr>
              <w:t>、未污染的一次性输液袋（瓶）、一次性医用外包装物、医疗废物、</w:t>
            </w:r>
            <w:r>
              <w:rPr>
                <w:rFonts w:hint="eastAsia" w:cs="Times New Roman"/>
                <w:color w:val="auto"/>
                <w:sz w:val="24"/>
                <w:szCs w:val="24"/>
                <w:vertAlign w:val="baseline"/>
                <w:lang w:val="en-US" w:eastAsia="zh-CN"/>
              </w:rPr>
              <w:t>污水站污泥和栅渣</w:t>
            </w:r>
            <w:r>
              <w:rPr>
                <w:rFonts w:hint="eastAsia" w:cs="Times New Roman"/>
                <w:color w:val="auto"/>
                <w:kern w:val="0"/>
                <w:szCs w:val="24"/>
                <w:lang w:eastAsia="zh-CN"/>
              </w:rPr>
              <w:t>。</w:t>
            </w:r>
          </w:p>
          <w:p w14:paraId="10602812">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①</w:t>
            </w:r>
            <w:r>
              <w:rPr>
                <w:rFonts w:hint="default" w:ascii="Times New Roman" w:hAnsi="Times New Roman" w:eastAsia="宋体" w:cs="Times New Roman"/>
                <w:color w:val="auto"/>
                <w:spacing w:val="0"/>
                <w:w w:val="100"/>
                <w:position w:val="0"/>
                <w:sz w:val="24"/>
                <w:szCs w:val="24"/>
              </w:rPr>
              <w:t>生活垃圾</w:t>
            </w:r>
          </w:p>
          <w:p w14:paraId="23650263">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项目生活垃圾主要为员工办公、病床、门诊产生的生活垃圾。员工生活垃圾按0.5kg/（人·天）计，项目员工共</w:t>
            </w:r>
            <w:r>
              <w:rPr>
                <w:rFonts w:hint="eastAsia" w:ascii="Times New Roman" w:hAnsi="Times New Roman" w:cs="Times New Roman"/>
                <w:color w:val="auto"/>
                <w:spacing w:val="0"/>
                <w:w w:val="100"/>
                <w:position w:val="0"/>
                <w:sz w:val="24"/>
                <w:szCs w:val="24"/>
                <w:lang w:val="en-US" w:eastAsia="zh-CN"/>
              </w:rPr>
              <w:t>77</w:t>
            </w:r>
            <w:r>
              <w:rPr>
                <w:rFonts w:hint="default" w:ascii="Times New Roman" w:hAnsi="Times New Roman" w:eastAsia="宋体" w:cs="Times New Roman"/>
                <w:color w:val="auto"/>
                <w:spacing w:val="0"/>
                <w:w w:val="100"/>
                <w:position w:val="0"/>
                <w:sz w:val="24"/>
                <w:szCs w:val="24"/>
              </w:rPr>
              <w:t>人，年工作</w:t>
            </w:r>
            <w:r>
              <w:rPr>
                <w:rFonts w:hint="eastAsia" w:ascii="Times New Roman" w:hAnsi="Times New Roman" w:eastAsia="宋体" w:cs="Times New Roman"/>
                <w:color w:val="auto"/>
                <w:spacing w:val="0"/>
                <w:w w:val="100"/>
                <w:position w:val="0"/>
                <w:sz w:val="24"/>
                <w:szCs w:val="24"/>
                <w:lang w:val="en-US" w:eastAsia="zh-CN"/>
              </w:rPr>
              <w:t>365</w:t>
            </w:r>
            <w:r>
              <w:rPr>
                <w:rFonts w:hint="default" w:ascii="Times New Roman" w:hAnsi="Times New Roman" w:eastAsia="宋体" w:cs="Times New Roman"/>
                <w:color w:val="auto"/>
                <w:spacing w:val="0"/>
                <w:w w:val="100"/>
                <w:position w:val="0"/>
                <w:sz w:val="24"/>
                <w:szCs w:val="24"/>
              </w:rPr>
              <w:t>天，则生活垃圾产生量为</w:t>
            </w:r>
            <w:r>
              <w:rPr>
                <w:rFonts w:hint="eastAsia" w:ascii="Times New Roman" w:hAnsi="Times New Roman" w:cs="Times New Roman"/>
                <w:color w:val="auto"/>
                <w:spacing w:val="0"/>
                <w:w w:val="100"/>
                <w:position w:val="0"/>
                <w:sz w:val="24"/>
                <w:szCs w:val="24"/>
                <w:lang w:val="en-US" w:eastAsia="zh-CN"/>
              </w:rPr>
              <w:t>14.0525</w:t>
            </w:r>
            <w:r>
              <w:rPr>
                <w:rFonts w:hint="eastAsia" w:ascii="Times New Roman" w:hAnsi="Times New Roman" w:eastAsia="宋体" w:cs="Times New Roman"/>
                <w:color w:val="auto"/>
                <w:spacing w:val="0"/>
                <w:w w:val="100"/>
                <w:position w:val="0"/>
                <w:sz w:val="24"/>
                <w:szCs w:val="24"/>
                <w:lang w:val="en-US" w:eastAsia="zh-CN"/>
              </w:rPr>
              <w:t>t/a</w:t>
            </w:r>
            <w:r>
              <w:rPr>
                <w:rFonts w:hint="default" w:ascii="Times New Roman" w:hAnsi="Times New Roman" w:eastAsia="宋体" w:cs="Times New Roman"/>
                <w:color w:val="auto"/>
                <w:spacing w:val="0"/>
                <w:w w:val="100"/>
                <w:position w:val="0"/>
                <w:sz w:val="24"/>
                <w:szCs w:val="24"/>
              </w:rPr>
              <w:t>。项目设置病床</w:t>
            </w:r>
            <w:r>
              <w:rPr>
                <w:rFonts w:hint="eastAsia" w:ascii="Times New Roman" w:hAnsi="Times New Roman" w:eastAsia="宋体" w:cs="Times New Roman"/>
                <w:color w:val="auto"/>
                <w:spacing w:val="0"/>
                <w:w w:val="100"/>
                <w:position w:val="0"/>
                <w:sz w:val="24"/>
                <w:szCs w:val="24"/>
                <w:lang w:val="en-US" w:eastAsia="zh-CN"/>
              </w:rPr>
              <w:t>60</w:t>
            </w:r>
            <w:r>
              <w:rPr>
                <w:rFonts w:hint="default" w:ascii="Times New Roman" w:hAnsi="Times New Roman" w:eastAsia="宋体" w:cs="Times New Roman"/>
                <w:color w:val="auto"/>
                <w:spacing w:val="0"/>
                <w:w w:val="100"/>
                <w:position w:val="0"/>
                <w:sz w:val="24"/>
                <w:szCs w:val="24"/>
              </w:rPr>
              <w:t>张，按每张床每日产生生活垃圾1.0kg计，则生活垃圾产生量为</w:t>
            </w:r>
            <w:r>
              <w:rPr>
                <w:rFonts w:hint="eastAsia" w:ascii="Times New Roman" w:hAnsi="Times New Roman" w:eastAsia="宋体" w:cs="Times New Roman"/>
                <w:color w:val="auto"/>
                <w:spacing w:val="0"/>
                <w:w w:val="100"/>
                <w:position w:val="0"/>
                <w:sz w:val="24"/>
                <w:szCs w:val="24"/>
                <w:lang w:val="en-US" w:eastAsia="zh-CN"/>
              </w:rPr>
              <w:t>21.9t/a</w:t>
            </w:r>
            <w:r>
              <w:rPr>
                <w:rFonts w:hint="default" w:ascii="Times New Roman" w:hAnsi="Times New Roman" w:eastAsia="宋体" w:cs="Times New Roman"/>
                <w:color w:val="auto"/>
                <w:spacing w:val="0"/>
                <w:w w:val="100"/>
                <w:position w:val="0"/>
                <w:sz w:val="24"/>
                <w:szCs w:val="24"/>
              </w:rPr>
              <w:t>；门诊规模就诊人数约</w:t>
            </w:r>
            <w:r>
              <w:rPr>
                <w:rFonts w:hint="eastAsia" w:ascii="Times New Roman" w:hAnsi="Times New Roman" w:cs="Times New Roman"/>
                <w:color w:val="auto"/>
                <w:spacing w:val="0"/>
                <w:w w:val="100"/>
                <w:position w:val="0"/>
                <w:sz w:val="24"/>
                <w:szCs w:val="24"/>
                <w:lang w:val="en-US" w:eastAsia="zh-CN"/>
              </w:rPr>
              <w:t>9</w:t>
            </w:r>
            <w:r>
              <w:rPr>
                <w:rFonts w:hint="default" w:ascii="Times New Roman" w:hAnsi="Times New Roman" w:eastAsia="宋体" w:cs="Times New Roman"/>
                <w:color w:val="auto"/>
                <w:spacing w:val="0"/>
                <w:w w:val="100"/>
                <w:position w:val="0"/>
                <w:sz w:val="24"/>
                <w:szCs w:val="24"/>
              </w:rPr>
              <w:t>0人/d，垃圾按每日每人次产生0.2kg计，则生活垃圾产生量为</w:t>
            </w:r>
            <w:r>
              <w:rPr>
                <w:rFonts w:hint="eastAsia" w:ascii="Times New Roman" w:hAnsi="Times New Roman" w:cs="Times New Roman"/>
                <w:color w:val="auto"/>
                <w:spacing w:val="0"/>
                <w:w w:val="100"/>
                <w:position w:val="0"/>
                <w:sz w:val="24"/>
                <w:szCs w:val="24"/>
                <w:lang w:val="en-US" w:eastAsia="zh-CN"/>
              </w:rPr>
              <w:t>6.57</w:t>
            </w:r>
            <w:r>
              <w:rPr>
                <w:rFonts w:hint="eastAsia" w:ascii="Times New Roman" w:hAnsi="Times New Roman" w:eastAsia="宋体" w:cs="Times New Roman"/>
                <w:color w:val="auto"/>
                <w:spacing w:val="0"/>
                <w:w w:val="100"/>
                <w:position w:val="0"/>
                <w:sz w:val="24"/>
                <w:szCs w:val="24"/>
                <w:lang w:val="en-US" w:eastAsia="zh-CN"/>
              </w:rPr>
              <w:t>t/a</w:t>
            </w:r>
            <w:r>
              <w:rPr>
                <w:rFonts w:hint="default" w:ascii="Times New Roman" w:hAnsi="Times New Roman" w:eastAsia="宋体" w:cs="Times New Roman"/>
                <w:color w:val="auto"/>
                <w:spacing w:val="0"/>
                <w:w w:val="100"/>
                <w:position w:val="0"/>
                <w:sz w:val="24"/>
                <w:szCs w:val="24"/>
              </w:rPr>
              <w:t>；因此，生活垃圾总产生量为</w:t>
            </w:r>
            <w:r>
              <w:rPr>
                <w:rFonts w:hint="eastAsia" w:ascii="Times New Roman" w:hAnsi="Times New Roman" w:cs="Times New Roman"/>
                <w:color w:val="auto"/>
                <w:spacing w:val="0"/>
                <w:w w:val="100"/>
                <w:position w:val="0"/>
                <w:sz w:val="24"/>
                <w:szCs w:val="24"/>
                <w:lang w:val="en-US" w:eastAsia="zh-CN"/>
              </w:rPr>
              <w:t>42.5225</w:t>
            </w:r>
            <w:r>
              <w:rPr>
                <w:rFonts w:hint="eastAsia" w:ascii="Times New Roman" w:hAnsi="Times New Roman" w:eastAsia="宋体" w:cs="Times New Roman"/>
                <w:color w:val="auto"/>
                <w:spacing w:val="0"/>
                <w:w w:val="100"/>
                <w:position w:val="0"/>
                <w:sz w:val="24"/>
                <w:szCs w:val="24"/>
                <w:lang w:val="en-US" w:eastAsia="zh-CN"/>
              </w:rPr>
              <w:t>/a</w:t>
            </w:r>
            <w:r>
              <w:rPr>
                <w:rFonts w:hint="default" w:ascii="Times New Roman" w:hAnsi="Times New Roman" w:eastAsia="宋体" w:cs="Times New Roman"/>
                <w:color w:val="auto"/>
                <w:spacing w:val="0"/>
                <w:w w:val="100"/>
                <w:position w:val="0"/>
                <w:sz w:val="24"/>
                <w:szCs w:val="24"/>
              </w:rPr>
              <w:t>。</w:t>
            </w:r>
          </w:p>
          <w:p w14:paraId="36F3D29F">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sz w:val="24"/>
                <w:szCs w:val="24"/>
              </w:rPr>
              <w:t>对照《固体废物鉴别标准 通则》（GB34330-2017）</w:t>
            </w:r>
            <w:r>
              <w:rPr>
                <w:rFonts w:hint="eastAsia" w:ascii="Times New Roman" w:hAnsi="Times New Roman" w:eastAsia="宋体" w:cs="Times New Roman"/>
                <w:color w:val="auto"/>
                <w:spacing w:val="0"/>
                <w:w w:val="100"/>
                <w:sz w:val="24"/>
                <w:szCs w:val="24"/>
                <w:lang w:eastAsia="zh-CN"/>
              </w:rPr>
              <w:t>，</w:t>
            </w:r>
            <w:r>
              <w:rPr>
                <w:rFonts w:hint="default" w:ascii="Times New Roman" w:hAnsi="Times New Roman" w:eastAsia="宋体" w:cs="Times New Roman"/>
                <w:color w:val="auto"/>
                <w:spacing w:val="0"/>
                <w:w w:val="100"/>
                <w:sz w:val="24"/>
                <w:szCs w:val="24"/>
              </w:rPr>
              <w:t>该</w:t>
            </w:r>
            <w:r>
              <w:rPr>
                <w:rFonts w:hint="default" w:ascii="Times New Roman" w:hAnsi="Times New Roman" w:eastAsia="宋体" w:cs="Times New Roman"/>
                <w:color w:val="auto"/>
                <w:spacing w:val="0"/>
                <w:w w:val="100"/>
                <w:position w:val="0"/>
                <w:sz w:val="24"/>
                <w:szCs w:val="24"/>
              </w:rPr>
              <w:t>生活垃圾</w:t>
            </w:r>
            <w:r>
              <w:rPr>
                <w:rFonts w:hint="default" w:ascii="Times New Roman" w:hAnsi="Times New Roman" w:eastAsia="宋体" w:cs="Times New Roman"/>
                <w:color w:val="auto"/>
                <w:spacing w:val="0"/>
                <w:w w:val="100"/>
                <w:sz w:val="24"/>
                <w:szCs w:val="24"/>
              </w:rPr>
              <w:t>属于“4.1 丧失原有使用价值的物质中的第d类物质”，生活垃圾在厂区内集中收集后，再委托环卫部门统一清运。</w:t>
            </w:r>
          </w:p>
          <w:p w14:paraId="4ACFC0FF">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cs="Times New Roman"/>
                <w:color w:val="auto"/>
                <w:kern w:val="0"/>
                <w:szCs w:val="24"/>
                <w:lang w:eastAsia="zh-CN"/>
              </w:rPr>
            </w:pPr>
            <w:r>
              <w:rPr>
                <w:rFonts w:hint="eastAsia" w:ascii="宋体" w:hAnsi="宋体" w:eastAsia="宋体" w:cs="宋体"/>
                <w:color w:val="auto"/>
                <w:kern w:val="0"/>
                <w:szCs w:val="24"/>
                <w:lang w:eastAsia="zh-CN"/>
              </w:rPr>
              <w:t>②</w:t>
            </w:r>
            <w:r>
              <w:rPr>
                <w:rFonts w:hint="default" w:ascii="Times New Roman" w:hAnsi="Times New Roman" w:cs="Times New Roman"/>
                <w:color w:val="auto"/>
                <w:kern w:val="0"/>
                <w:szCs w:val="24"/>
                <w:lang w:eastAsia="zh-CN"/>
              </w:rPr>
              <w:t>未污染的一次性输液袋（瓶）、一次性医用外包装物</w:t>
            </w:r>
          </w:p>
          <w:p w14:paraId="5AC8FD9D">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eastAsia" w:ascii="Times New Roman" w:hAnsi="Times New Roman" w:cs="Times New Roman"/>
                <w:color w:val="auto"/>
                <w:kern w:val="0"/>
                <w:szCs w:val="24"/>
                <w:lang w:eastAsia="zh-CN"/>
              </w:rPr>
            </w:pPr>
            <w:r>
              <w:rPr>
                <w:rFonts w:hint="default" w:ascii="Times New Roman" w:hAnsi="Times New Roman" w:cs="Times New Roman"/>
                <w:color w:val="auto"/>
                <w:kern w:val="0"/>
                <w:szCs w:val="24"/>
                <w:lang w:eastAsia="zh-CN"/>
              </w:rPr>
              <w:t>本项目一般固废包括未污染的一次性输液袋（瓶）、一次性医用外包装物，产生量</w:t>
            </w:r>
            <w:r>
              <w:rPr>
                <w:rFonts w:hint="eastAsia" w:ascii="Times New Roman" w:hAnsi="Times New Roman" w:cs="Times New Roman"/>
                <w:color w:val="auto"/>
                <w:kern w:val="0"/>
                <w:szCs w:val="24"/>
                <w:lang w:eastAsia="zh-CN"/>
              </w:rPr>
              <w:t>约</w:t>
            </w:r>
            <w:r>
              <w:rPr>
                <w:rFonts w:hint="default" w:ascii="Times New Roman" w:hAnsi="Times New Roman" w:cs="Times New Roman"/>
                <w:color w:val="auto"/>
                <w:kern w:val="0"/>
                <w:szCs w:val="24"/>
                <w:lang w:eastAsia="zh-CN"/>
              </w:rPr>
              <w:t>0.02</w:t>
            </w:r>
            <w:r>
              <w:rPr>
                <w:rFonts w:hint="eastAsia" w:ascii="Times New Roman" w:hAnsi="Times New Roman" w:cs="Times New Roman"/>
                <w:color w:val="auto"/>
                <w:kern w:val="0"/>
                <w:szCs w:val="24"/>
                <w:lang w:val="en-US" w:eastAsia="zh-CN"/>
              </w:rPr>
              <w:t>2</w:t>
            </w:r>
            <w:r>
              <w:rPr>
                <w:rFonts w:hint="default" w:ascii="Times New Roman" w:hAnsi="Times New Roman" w:cs="Times New Roman"/>
                <w:color w:val="auto"/>
                <w:kern w:val="0"/>
                <w:szCs w:val="24"/>
                <w:lang w:eastAsia="zh-CN"/>
              </w:rPr>
              <w:t>t/a</w:t>
            </w:r>
            <w:r>
              <w:rPr>
                <w:rFonts w:hint="default" w:ascii="Times New Roman" w:hAnsi="Times New Roman" w:eastAsia="宋体" w:cs="Times New Roman"/>
                <w:color w:val="auto"/>
                <w:spacing w:val="0"/>
                <w:w w:val="100"/>
                <w:sz w:val="24"/>
                <w:szCs w:val="24"/>
              </w:rPr>
              <w:t>，</w:t>
            </w:r>
            <w:r>
              <w:rPr>
                <w:rFonts w:hint="default" w:ascii="Times New Roman" w:hAnsi="Times New Roman" w:cs="Times New Roman"/>
                <w:color w:val="auto"/>
                <w:kern w:val="0"/>
                <w:szCs w:val="24"/>
                <w:lang w:eastAsia="zh-CN"/>
              </w:rPr>
              <w:t>由专业单位回收利用或处置</w:t>
            </w:r>
            <w:r>
              <w:rPr>
                <w:rFonts w:hint="eastAsia" w:ascii="Times New Roman" w:hAnsi="Times New Roman" w:cs="Times New Roman"/>
                <w:color w:val="auto"/>
                <w:kern w:val="0"/>
                <w:szCs w:val="24"/>
                <w:lang w:eastAsia="zh-CN"/>
              </w:rPr>
              <w:t>。</w:t>
            </w:r>
          </w:p>
          <w:p w14:paraId="40278F07">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lang w:val="en-US"/>
              </w:rPr>
            </w:pPr>
            <w:r>
              <w:rPr>
                <w:rFonts w:hint="default" w:ascii="Times New Roman" w:hAnsi="Times New Roman" w:eastAsia="宋体" w:cs="Times New Roman"/>
                <w:color w:val="auto"/>
                <w:spacing w:val="0"/>
                <w:w w:val="100"/>
                <w:sz w:val="24"/>
                <w:szCs w:val="24"/>
              </w:rPr>
              <w:t>对照《固体废物鉴别标准 通则》（GB34330-2017）</w:t>
            </w:r>
            <w:r>
              <w:rPr>
                <w:rFonts w:hint="eastAsia" w:ascii="Times New Roman" w:hAnsi="Times New Roman" w:eastAsia="宋体" w:cs="Times New Roman"/>
                <w:color w:val="auto"/>
                <w:spacing w:val="0"/>
                <w:w w:val="100"/>
                <w:sz w:val="24"/>
                <w:szCs w:val="24"/>
                <w:lang w:eastAsia="zh-CN"/>
              </w:rPr>
              <w:t>，</w:t>
            </w:r>
            <w:r>
              <w:rPr>
                <w:rFonts w:hint="default" w:ascii="Times New Roman" w:hAnsi="Times New Roman" w:eastAsia="宋体" w:cs="Times New Roman"/>
                <w:color w:val="auto"/>
                <w:spacing w:val="0"/>
                <w:w w:val="100"/>
                <w:sz w:val="24"/>
                <w:szCs w:val="24"/>
              </w:rPr>
              <w:t>该</w:t>
            </w:r>
            <w:r>
              <w:rPr>
                <w:rFonts w:hint="eastAsia" w:ascii="Times New Roman" w:hAnsi="Times New Roman" w:eastAsia="宋体" w:cs="Times New Roman"/>
                <w:color w:val="auto"/>
                <w:spacing w:val="0"/>
                <w:w w:val="100"/>
                <w:sz w:val="24"/>
                <w:szCs w:val="24"/>
                <w:lang w:eastAsia="zh-CN"/>
              </w:rPr>
              <w:t>物质</w:t>
            </w:r>
            <w:r>
              <w:rPr>
                <w:rFonts w:hint="default" w:ascii="Times New Roman" w:hAnsi="Times New Roman" w:eastAsia="宋体" w:cs="Times New Roman"/>
                <w:color w:val="auto"/>
                <w:spacing w:val="0"/>
                <w:w w:val="100"/>
                <w:sz w:val="24"/>
                <w:szCs w:val="24"/>
              </w:rPr>
              <w:t>属于“4.1 丧失原有使用价值的物质中的第</w:t>
            </w:r>
            <w:r>
              <w:rPr>
                <w:rFonts w:hint="eastAsia" w:ascii="Times New Roman" w:hAnsi="Times New Roman" w:eastAsia="宋体" w:cs="Times New Roman"/>
                <w:color w:val="auto"/>
                <w:spacing w:val="0"/>
                <w:w w:val="100"/>
                <w:sz w:val="24"/>
                <w:szCs w:val="24"/>
                <w:lang w:val="en-US" w:eastAsia="zh-CN"/>
              </w:rPr>
              <w:t>h</w:t>
            </w:r>
            <w:r>
              <w:rPr>
                <w:rFonts w:hint="default" w:ascii="Times New Roman" w:hAnsi="Times New Roman" w:eastAsia="宋体" w:cs="Times New Roman"/>
                <w:color w:val="auto"/>
                <w:spacing w:val="0"/>
                <w:w w:val="100"/>
                <w:sz w:val="24"/>
                <w:szCs w:val="24"/>
              </w:rPr>
              <w:t>类物质”，</w:t>
            </w:r>
            <w:r>
              <w:rPr>
                <w:rFonts w:hint="eastAsia" w:ascii="Times New Roman" w:hAnsi="Times New Roman" w:cs="Times New Roman"/>
                <w:color w:val="auto"/>
                <w:kern w:val="0"/>
                <w:szCs w:val="24"/>
                <w:lang w:eastAsia="zh-CN"/>
              </w:rPr>
              <w:t>属于固体废物。</w:t>
            </w:r>
          </w:p>
          <w:p w14:paraId="2475014C">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rPr>
              <w:t>③</w:t>
            </w:r>
            <w:r>
              <w:rPr>
                <w:rFonts w:hint="default" w:ascii="Times New Roman" w:hAnsi="Times New Roman" w:eastAsia="宋体" w:cs="Times New Roman"/>
                <w:color w:val="auto"/>
                <w:spacing w:val="0"/>
                <w:w w:val="100"/>
                <w:position w:val="0"/>
                <w:sz w:val="24"/>
                <w:szCs w:val="24"/>
              </w:rPr>
              <w:t>制片边角料</w:t>
            </w:r>
          </w:p>
          <w:p w14:paraId="1A34E6AD">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eastAsia" w:ascii="Times New Roman" w:hAnsi="Times New Roman" w:eastAsia="宋体" w:cs="Times New Roman"/>
                <w:color w:val="auto"/>
                <w:spacing w:val="0"/>
                <w:w w:val="100"/>
                <w:position w:val="0"/>
                <w:sz w:val="24"/>
                <w:szCs w:val="24"/>
                <w:lang w:eastAsia="zh-CN"/>
              </w:rPr>
            </w:pPr>
            <w:r>
              <w:rPr>
                <w:rFonts w:hint="default" w:ascii="Times New Roman" w:hAnsi="Times New Roman" w:eastAsia="宋体" w:cs="Times New Roman"/>
                <w:color w:val="auto"/>
                <w:spacing w:val="0"/>
                <w:w w:val="100"/>
                <w:position w:val="0"/>
                <w:sz w:val="24"/>
                <w:szCs w:val="24"/>
              </w:rPr>
              <w:t>项目设置</w:t>
            </w:r>
            <w:r>
              <w:rPr>
                <w:rFonts w:hint="eastAsia" w:ascii="Times New Roman" w:hAnsi="Times New Roman" w:eastAsia="宋体" w:cs="Times New Roman"/>
                <w:color w:val="auto"/>
                <w:spacing w:val="0"/>
                <w:w w:val="100"/>
                <w:position w:val="0"/>
                <w:sz w:val="24"/>
                <w:szCs w:val="24"/>
                <w:lang w:eastAsia="zh-CN"/>
              </w:rPr>
              <w:t>制</w:t>
            </w:r>
            <w:r>
              <w:rPr>
                <w:rFonts w:hint="default" w:ascii="Times New Roman" w:hAnsi="Times New Roman" w:eastAsia="宋体" w:cs="Times New Roman"/>
                <w:color w:val="auto"/>
                <w:spacing w:val="0"/>
                <w:w w:val="100"/>
                <w:position w:val="0"/>
                <w:sz w:val="24"/>
                <w:szCs w:val="24"/>
              </w:rPr>
              <w:t>镜室，制片时产生少量边角料。</w:t>
            </w:r>
            <w:r>
              <w:rPr>
                <w:rFonts w:hint="eastAsia" w:ascii="Times New Roman" w:hAnsi="Times New Roman" w:cs="Times New Roman"/>
                <w:color w:val="auto"/>
                <w:spacing w:val="0"/>
                <w:w w:val="100"/>
                <w:position w:val="0"/>
                <w:sz w:val="24"/>
                <w:szCs w:val="24"/>
                <w:lang w:eastAsia="zh-CN"/>
              </w:rPr>
              <w:t>类比《陇西爱尔眼科医院项目竣工环境保护验收监测报告表》（设置床位</w:t>
            </w:r>
            <w:r>
              <w:rPr>
                <w:rFonts w:hint="eastAsia" w:ascii="Times New Roman" w:hAnsi="Times New Roman" w:cs="Times New Roman"/>
                <w:color w:val="auto"/>
                <w:spacing w:val="0"/>
                <w:w w:val="100"/>
                <w:position w:val="0"/>
                <w:sz w:val="24"/>
                <w:szCs w:val="24"/>
                <w:lang w:val="en-US" w:eastAsia="zh-CN"/>
              </w:rPr>
              <w:t>25张，年就诊人数3.65万人</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，项目配镜制片时产生的边角料约为0.001</w:t>
            </w:r>
            <w:r>
              <w:rPr>
                <w:rFonts w:hint="eastAsia" w:ascii="Times New Roman" w:hAnsi="Times New Roman" w:cs="Times New Roman"/>
                <w:color w:val="auto"/>
                <w:spacing w:val="0"/>
                <w:w w:val="100"/>
                <w:position w:val="0"/>
                <w:sz w:val="24"/>
                <w:szCs w:val="24"/>
                <w:lang w:val="en-US" w:eastAsia="zh-CN"/>
              </w:rPr>
              <w:t>1</w:t>
            </w:r>
            <w:r>
              <w:rPr>
                <w:rFonts w:hint="default" w:ascii="Times New Roman" w:hAnsi="Times New Roman" w:eastAsia="宋体" w:cs="Times New Roman"/>
                <w:color w:val="auto"/>
                <w:spacing w:val="0"/>
                <w:w w:val="100"/>
                <w:position w:val="0"/>
                <w:sz w:val="24"/>
                <w:szCs w:val="24"/>
              </w:rPr>
              <w:t>t/a，制片边角料交由环卫部门统一处理</w:t>
            </w:r>
            <w:r>
              <w:rPr>
                <w:rFonts w:hint="eastAsia" w:ascii="Times New Roman" w:hAnsi="Times New Roman" w:eastAsia="宋体" w:cs="Times New Roman"/>
                <w:color w:val="auto"/>
                <w:spacing w:val="0"/>
                <w:w w:val="100"/>
                <w:position w:val="0"/>
                <w:sz w:val="24"/>
                <w:szCs w:val="24"/>
                <w:lang w:eastAsia="zh-CN"/>
              </w:rPr>
              <w:t>。</w:t>
            </w:r>
          </w:p>
          <w:p w14:paraId="55CFD1A7">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sz w:val="24"/>
                <w:szCs w:val="24"/>
              </w:rPr>
              <w:t>对照《固体废物鉴别标准 通则》（GB34330-2017）</w:t>
            </w:r>
            <w:r>
              <w:rPr>
                <w:rFonts w:hint="eastAsia" w:ascii="Times New Roman" w:hAnsi="Times New Roman" w:eastAsia="宋体" w:cs="Times New Roman"/>
                <w:color w:val="auto"/>
                <w:spacing w:val="0"/>
                <w:w w:val="100"/>
                <w:sz w:val="24"/>
                <w:szCs w:val="24"/>
                <w:lang w:eastAsia="zh-CN"/>
              </w:rPr>
              <w:t>，</w:t>
            </w:r>
            <w:r>
              <w:rPr>
                <w:rFonts w:hint="default" w:ascii="Times New Roman" w:hAnsi="Times New Roman" w:eastAsia="宋体" w:cs="Times New Roman"/>
                <w:color w:val="auto"/>
                <w:spacing w:val="0"/>
                <w:w w:val="100"/>
                <w:position w:val="0"/>
                <w:sz w:val="24"/>
                <w:szCs w:val="24"/>
              </w:rPr>
              <w:t>制片边角料</w:t>
            </w:r>
            <w:r>
              <w:rPr>
                <w:rFonts w:hint="default" w:ascii="Times New Roman" w:hAnsi="Times New Roman" w:eastAsia="宋体" w:cs="Times New Roman"/>
                <w:color w:val="auto"/>
                <w:spacing w:val="0"/>
                <w:w w:val="100"/>
                <w:sz w:val="24"/>
                <w:szCs w:val="24"/>
              </w:rPr>
              <w:t>属于“4.</w:t>
            </w:r>
            <w:r>
              <w:rPr>
                <w:rFonts w:hint="eastAsia" w:ascii="Times New Roman" w:hAnsi="Times New Roman" w:eastAsia="宋体" w:cs="Times New Roman"/>
                <w:color w:val="auto"/>
                <w:spacing w:val="0"/>
                <w:w w:val="100"/>
                <w:sz w:val="24"/>
                <w:szCs w:val="24"/>
                <w:lang w:val="en-US" w:eastAsia="zh-CN"/>
              </w:rPr>
              <w:t>2</w:t>
            </w:r>
            <w:r>
              <w:rPr>
                <w:rFonts w:hint="default" w:ascii="Times New Roman" w:hAnsi="Times New Roman" w:eastAsia="宋体" w:cs="Times New Roman"/>
                <w:color w:val="auto"/>
                <w:spacing w:val="0"/>
                <w:w w:val="100"/>
                <w:sz w:val="24"/>
                <w:szCs w:val="24"/>
              </w:rPr>
              <w:t xml:space="preserve"> </w:t>
            </w:r>
            <w:r>
              <w:rPr>
                <w:rFonts w:hint="eastAsia" w:ascii="Times New Roman" w:hAnsi="Times New Roman" w:eastAsia="宋体" w:cs="Times New Roman"/>
                <w:color w:val="auto"/>
                <w:spacing w:val="0"/>
                <w:w w:val="100"/>
                <w:sz w:val="24"/>
                <w:szCs w:val="24"/>
                <w:lang w:eastAsia="zh-CN"/>
              </w:rPr>
              <w:t>生产过程中产生的副产物</w:t>
            </w:r>
            <w:r>
              <w:rPr>
                <w:rFonts w:hint="default" w:ascii="Times New Roman" w:hAnsi="Times New Roman" w:eastAsia="宋体" w:cs="Times New Roman"/>
                <w:color w:val="auto"/>
                <w:spacing w:val="0"/>
                <w:w w:val="100"/>
                <w:sz w:val="24"/>
                <w:szCs w:val="24"/>
              </w:rPr>
              <w:t>的第</w:t>
            </w:r>
            <w:r>
              <w:rPr>
                <w:rFonts w:hint="eastAsia" w:ascii="Times New Roman" w:hAnsi="Times New Roman" w:eastAsia="宋体" w:cs="Times New Roman"/>
                <w:color w:val="auto"/>
                <w:spacing w:val="0"/>
                <w:w w:val="100"/>
                <w:sz w:val="24"/>
                <w:szCs w:val="24"/>
                <w:lang w:val="en-US" w:eastAsia="zh-CN"/>
              </w:rPr>
              <w:t>a</w:t>
            </w:r>
            <w:r>
              <w:rPr>
                <w:rFonts w:hint="default" w:ascii="Times New Roman" w:hAnsi="Times New Roman" w:eastAsia="宋体" w:cs="Times New Roman"/>
                <w:color w:val="auto"/>
                <w:spacing w:val="0"/>
                <w:w w:val="100"/>
                <w:sz w:val="24"/>
                <w:szCs w:val="24"/>
              </w:rPr>
              <w:t>类物质”，</w:t>
            </w:r>
            <w:r>
              <w:rPr>
                <w:rFonts w:hint="eastAsia" w:ascii="Times New Roman" w:hAnsi="Times New Roman" w:eastAsia="宋体" w:cs="Times New Roman"/>
                <w:color w:val="auto"/>
                <w:spacing w:val="0"/>
                <w:w w:val="100"/>
                <w:sz w:val="24"/>
                <w:szCs w:val="24"/>
                <w:lang w:eastAsia="zh-CN"/>
              </w:rPr>
              <w:t>属于固体废物</w:t>
            </w:r>
            <w:r>
              <w:rPr>
                <w:rFonts w:hint="default" w:ascii="Times New Roman" w:hAnsi="Times New Roman" w:eastAsia="宋体" w:cs="Times New Roman"/>
                <w:color w:val="auto"/>
                <w:spacing w:val="0"/>
                <w:w w:val="100"/>
                <w:sz w:val="24"/>
                <w:szCs w:val="24"/>
              </w:rPr>
              <w:t>。</w:t>
            </w:r>
          </w:p>
          <w:p w14:paraId="5F2CCB69">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lang w:eastAsia="zh-CN"/>
              </w:rPr>
              <w:t>④</w:t>
            </w:r>
            <w:r>
              <w:rPr>
                <w:rFonts w:hint="default" w:ascii="Times New Roman" w:hAnsi="Times New Roman" w:eastAsia="宋体" w:cs="Times New Roman"/>
                <w:color w:val="auto"/>
                <w:spacing w:val="0"/>
                <w:w w:val="100"/>
                <w:position w:val="0"/>
                <w:sz w:val="24"/>
                <w:szCs w:val="24"/>
              </w:rPr>
              <w:t>医疗废物</w:t>
            </w:r>
          </w:p>
          <w:p w14:paraId="3C43350B">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根据卫生部和国家环境保护总局制定的《医疗废物分类目录》</w:t>
            </w:r>
            <w:r>
              <w:rPr>
                <w:rFonts w:hint="eastAsia" w:ascii="Times New Roman" w:hAnsi="Times New Roman" w:eastAsia="宋体" w:cs="Times New Roman"/>
                <w:color w:val="auto"/>
                <w:spacing w:val="0"/>
                <w:sz w:val="24"/>
                <w:szCs w:val="24"/>
                <w:lang w:eastAsia="zh-CN"/>
              </w:rPr>
              <w:t>（</w:t>
            </w:r>
            <w:r>
              <w:rPr>
                <w:rFonts w:hint="eastAsia" w:ascii="Times New Roman" w:hAnsi="Times New Roman" w:eastAsia="宋体" w:cs="Times New Roman"/>
                <w:color w:val="auto"/>
                <w:spacing w:val="0"/>
                <w:sz w:val="24"/>
                <w:szCs w:val="24"/>
                <w:lang w:val="en-US" w:eastAsia="zh-CN"/>
              </w:rPr>
              <w:t>2021年版</w:t>
            </w:r>
            <w:r>
              <w:rPr>
                <w:rFonts w:hint="eastAsia"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的规定，医疗废物可以分为感染性废物、病理性废物、损伤性废物、药物性废物及化学性废物。</w:t>
            </w:r>
          </w:p>
          <w:p w14:paraId="626EE93E">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sz w:val="24"/>
                <w:szCs w:val="24"/>
              </w:rPr>
              <w:t>对照《固体废物鉴别标准 通则》（GB34330-2017）</w:t>
            </w:r>
            <w:r>
              <w:rPr>
                <w:rFonts w:hint="eastAsia" w:ascii="Times New Roman" w:hAnsi="Times New Roman" w:eastAsia="宋体" w:cs="Times New Roman"/>
                <w:color w:val="auto"/>
                <w:spacing w:val="0"/>
                <w:w w:val="100"/>
                <w:sz w:val="24"/>
                <w:szCs w:val="24"/>
                <w:lang w:eastAsia="zh-CN"/>
              </w:rPr>
              <w:t>，</w:t>
            </w:r>
            <w:r>
              <w:rPr>
                <w:rFonts w:hint="default" w:ascii="Times New Roman" w:hAnsi="Times New Roman" w:eastAsia="宋体" w:cs="Times New Roman"/>
                <w:color w:val="auto"/>
                <w:spacing w:val="0"/>
                <w:w w:val="100"/>
                <w:position w:val="0"/>
                <w:sz w:val="24"/>
                <w:szCs w:val="24"/>
              </w:rPr>
              <w:t>医疗废物</w:t>
            </w:r>
            <w:r>
              <w:rPr>
                <w:rFonts w:hint="default" w:ascii="Times New Roman" w:hAnsi="Times New Roman" w:eastAsia="宋体" w:cs="Times New Roman"/>
                <w:color w:val="auto"/>
                <w:spacing w:val="0"/>
                <w:w w:val="100"/>
                <w:sz w:val="24"/>
                <w:szCs w:val="24"/>
              </w:rPr>
              <w:t>属于“4.1 丧失原有使用价值的物质中的第</w:t>
            </w:r>
            <w:r>
              <w:rPr>
                <w:rFonts w:hint="eastAsia" w:ascii="Times New Roman" w:hAnsi="Times New Roman" w:eastAsia="宋体" w:cs="Times New Roman"/>
                <w:color w:val="auto"/>
                <w:spacing w:val="0"/>
                <w:w w:val="100"/>
                <w:sz w:val="24"/>
                <w:szCs w:val="24"/>
                <w:lang w:val="en-US" w:eastAsia="zh-CN"/>
              </w:rPr>
              <w:t>c</w:t>
            </w:r>
            <w:r>
              <w:rPr>
                <w:rFonts w:hint="default" w:ascii="Times New Roman" w:hAnsi="Times New Roman" w:eastAsia="宋体" w:cs="Times New Roman"/>
                <w:color w:val="auto"/>
                <w:spacing w:val="0"/>
                <w:w w:val="100"/>
                <w:sz w:val="24"/>
                <w:szCs w:val="24"/>
              </w:rPr>
              <w:t>类物质”，</w:t>
            </w:r>
            <w:r>
              <w:rPr>
                <w:rFonts w:hint="eastAsia" w:ascii="Times New Roman" w:hAnsi="Times New Roman" w:eastAsia="宋体" w:cs="Times New Roman"/>
                <w:color w:val="auto"/>
                <w:spacing w:val="0"/>
                <w:w w:val="100"/>
                <w:sz w:val="24"/>
                <w:szCs w:val="24"/>
                <w:lang w:eastAsia="zh-CN"/>
              </w:rPr>
              <w:t>属于固体废物</w:t>
            </w:r>
            <w:r>
              <w:rPr>
                <w:rFonts w:hint="default" w:ascii="Times New Roman" w:hAnsi="Times New Roman" w:eastAsia="宋体" w:cs="Times New Roman"/>
                <w:color w:val="auto"/>
                <w:spacing w:val="0"/>
                <w:w w:val="100"/>
                <w:sz w:val="24"/>
                <w:szCs w:val="24"/>
              </w:rPr>
              <w:t>。</w:t>
            </w:r>
          </w:p>
          <w:p w14:paraId="0D0B0B15">
            <w:pPr>
              <w:pStyle w:val="2"/>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根据《国家危险废物名录》(202</w:t>
            </w:r>
            <w:r>
              <w:rPr>
                <w:rFonts w:hint="eastAsia" w:ascii="Times New Roman" w:hAnsi="Times New Roman" w:eastAsia="宋体" w:cs="Times New Roman"/>
                <w:color w:val="auto"/>
                <w:spacing w:val="0"/>
                <w:sz w:val="24"/>
                <w:szCs w:val="24"/>
                <w:lang w:val="en-US" w:eastAsia="zh-CN"/>
              </w:rPr>
              <w:t>1</w:t>
            </w:r>
            <w:r>
              <w:rPr>
                <w:rFonts w:hint="default" w:ascii="Times New Roman" w:hAnsi="Times New Roman" w:eastAsia="宋体" w:cs="Times New Roman"/>
                <w:color w:val="auto"/>
                <w:spacing w:val="0"/>
                <w:sz w:val="24"/>
                <w:szCs w:val="24"/>
              </w:rPr>
              <w:t>年版</w:t>
            </w:r>
            <w:r>
              <w:rPr>
                <w:rFonts w:hint="eastAsia" w:cs="Times New Roman"/>
                <w:color w:val="auto"/>
                <w:spacing w:val="0"/>
                <w:sz w:val="24"/>
                <w:szCs w:val="24"/>
                <w:lang w:eastAsia="zh-CN"/>
              </w:rPr>
              <w:t>）</w:t>
            </w:r>
            <w:r>
              <w:rPr>
                <w:rFonts w:hint="eastAsia"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医疗废物为危险废物，类别为HW01，可分为感染性废物</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废物代码：841-001-01)、损伤性废物</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废物代码：841-002-01)、病理性废物</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废物代码：841-003-01)、化学性废物</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废物代码：841-004-01</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和药物性废物</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废物代码：841-005-01</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五大类。详见下表。</w:t>
            </w:r>
          </w:p>
          <w:p w14:paraId="23754A72">
            <w:pPr>
              <w:bidi w:val="0"/>
              <w:spacing w:line="240" w:lineRule="auto"/>
              <w:ind w:left="0" w:leftChars="0" w:firstLine="0" w:firstLineChars="0"/>
              <w:jc w:val="center"/>
              <w:rPr>
                <w:rFonts w:hint="default"/>
                <w:b/>
                <w:bCs/>
                <w:sz w:val="21"/>
                <w:szCs w:val="21"/>
                <w:lang w:val="en-US" w:eastAsia="zh-CN"/>
              </w:rPr>
            </w:pPr>
          </w:p>
          <w:p w14:paraId="2280FE1B">
            <w:pPr>
              <w:bidi w:val="0"/>
              <w:spacing w:line="240" w:lineRule="auto"/>
              <w:ind w:left="0" w:leftChars="0" w:firstLine="0" w:firstLineChars="0"/>
              <w:jc w:val="center"/>
              <w:rPr>
                <w:rFonts w:hint="default"/>
                <w:b/>
                <w:bCs/>
                <w:sz w:val="21"/>
                <w:szCs w:val="21"/>
                <w:lang w:val="en-US" w:eastAsia="zh-CN"/>
              </w:rPr>
            </w:pPr>
            <w:r>
              <w:rPr>
                <w:rFonts w:hint="default"/>
                <w:b/>
                <w:bCs/>
                <w:sz w:val="21"/>
                <w:szCs w:val="21"/>
                <w:lang w:val="en-US" w:eastAsia="zh-CN"/>
              </w:rPr>
              <w:t>表4-</w:t>
            </w:r>
            <w:r>
              <w:rPr>
                <w:rFonts w:hint="eastAsia"/>
                <w:b/>
                <w:bCs/>
                <w:sz w:val="21"/>
                <w:szCs w:val="21"/>
                <w:lang w:val="en-US" w:eastAsia="zh-CN"/>
              </w:rPr>
              <w:t>15</w:t>
            </w:r>
            <w:r>
              <w:rPr>
                <w:rFonts w:hint="default"/>
                <w:b/>
                <w:bCs/>
                <w:sz w:val="21"/>
                <w:szCs w:val="21"/>
                <w:lang w:val="en-US" w:eastAsia="zh-CN"/>
              </w:rPr>
              <w:t>医疗废物分类名录</w:t>
            </w:r>
          </w:p>
          <w:p w14:paraId="4BD60E90">
            <w:pPr>
              <w:spacing w:line="34" w:lineRule="exact"/>
              <w:rPr>
                <w:color w:val="auto"/>
              </w:rPr>
            </w:pPr>
          </w:p>
          <w:tbl>
            <w:tblPr>
              <w:tblStyle w:val="29"/>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341"/>
              <w:gridCol w:w="2980"/>
              <w:gridCol w:w="2865"/>
            </w:tblGrid>
            <w:tr w14:paraId="579F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11" w:type="dxa"/>
                  <w:vAlign w:val="center"/>
                </w:tcPr>
                <w:p w14:paraId="2B07A38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vertAlign w:val="baseline"/>
                      <w:lang w:eastAsia="zh-CN"/>
                    </w:rPr>
                  </w:pPr>
                  <w:r>
                    <w:rPr>
                      <w:rFonts w:hint="default" w:ascii="Times New Roman" w:hAnsi="Times New Roman" w:eastAsia="宋体" w:cs="Times New Roman"/>
                      <w:b/>
                      <w:bCs/>
                      <w:color w:val="auto"/>
                      <w:spacing w:val="0"/>
                      <w:w w:val="100"/>
                      <w:position w:val="0"/>
                      <w:sz w:val="21"/>
                      <w:szCs w:val="21"/>
                      <w:vertAlign w:val="baseline"/>
                      <w:lang w:eastAsia="zh-CN"/>
                    </w:rPr>
                    <w:t>类别</w:t>
                  </w:r>
                </w:p>
              </w:tc>
              <w:tc>
                <w:tcPr>
                  <w:tcW w:w="1341" w:type="dxa"/>
                  <w:vAlign w:val="center"/>
                </w:tcPr>
                <w:p w14:paraId="7733F9C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vertAlign w:val="baseline"/>
                      <w:lang w:eastAsia="zh-CN"/>
                    </w:rPr>
                  </w:pPr>
                  <w:r>
                    <w:rPr>
                      <w:rFonts w:hint="default" w:ascii="Times New Roman" w:hAnsi="Times New Roman" w:eastAsia="宋体" w:cs="Times New Roman"/>
                      <w:b/>
                      <w:bCs/>
                      <w:color w:val="auto"/>
                      <w:spacing w:val="0"/>
                      <w:w w:val="100"/>
                      <w:position w:val="0"/>
                      <w:sz w:val="21"/>
                      <w:szCs w:val="21"/>
                      <w:vertAlign w:val="baseline"/>
                      <w:lang w:eastAsia="zh-CN"/>
                    </w:rPr>
                    <w:t>特征</w:t>
                  </w:r>
                </w:p>
              </w:tc>
              <w:tc>
                <w:tcPr>
                  <w:tcW w:w="2980" w:type="dxa"/>
                  <w:vAlign w:val="center"/>
                </w:tcPr>
                <w:p w14:paraId="63C128EF">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
                      <w:bCs/>
                      <w:color w:val="auto"/>
                      <w:spacing w:val="0"/>
                      <w:kern w:val="2"/>
                      <w:sz w:val="21"/>
                      <w:szCs w:val="21"/>
                      <w:lang w:val="en-US" w:eastAsia="en-US" w:bidi="ar-SA"/>
                    </w:rPr>
                  </w:pPr>
                  <w:r>
                    <w:rPr>
                      <w:rFonts w:hint="default" w:ascii="Times New Roman" w:hAnsi="Times New Roman" w:eastAsia="宋体" w:cs="Times New Roman"/>
                      <w:b/>
                      <w:bCs/>
                      <w:color w:val="auto"/>
                      <w:spacing w:val="0"/>
                      <w:sz w:val="21"/>
                      <w:szCs w:val="21"/>
                    </w:rPr>
                    <w:t>常见组分或废物名称</w:t>
                  </w:r>
                </w:p>
              </w:tc>
              <w:tc>
                <w:tcPr>
                  <w:tcW w:w="2865" w:type="dxa"/>
                  <w:vAlign w:val="center"/>
                </w:tcPr>
                <w:p w14:paraId="51D0874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vertAlign w:val="baseline"/>
                      <w:lang w:eastAsia="zh-CN"/>
                    </w:rPr>
                  </w:pPr>
                  <w:r>
                    <w:rPr>
                      <w:rFonts w:hint="default" w:ascii="Times New Roman" w:hAnsi="Times New Roman" w:eastAsia="宋体" w:cs="Times New Roman"/>
                      <w:b/>
                      <w:bCs/>
                      <w:color w:val="auto"/>
                      <w:spacing w:val="0"/>
                      <w:w w:val="100"/>
                      <w:position w:val="0"/>
                      <w:sz w:val="21"/>
                      <w:szCs w:val="21"/>
                      <w:vertAlign w:val="baseline"/>
                      <w:lang w:eastAsia="zh-CN"/>
                    </w:rPr>
                    <w:t>收集方式</w:t>
                  </w:r>
                </w:p>
              </w:tc>
            </w:tr>
            <w:tr w14:paraId="1A9D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11" w:type="dxa"/>
                  <w:vAlign w:val="center"/>
                </w:tcPr>
                <w:p w14:paraId="529DD281">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损伤性废物</w:t>
                  </w:r>
                </w:p>
              </w:tc>
              <w:tc>
                <w:tcPr>
                  <w:tcW w:w="1341" w:type="dxa"/>
                  <w:vAlign w:val="center"/>
                </w:tcPr>
                <w:p w14:paraId="0F53EFF9">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1"/>
                      <w:szCs w:val="21"/>
                      <w:vertAlign w:val="baseline"/>
                      <w:lang w:val="en-US" w:eastAsia="zh-CN" w:bidi="ar-SA"/>
                    </w:rPr>
                  </w:pPr>
                  <w:r>
                    <w:rPr>
                      <w:rFonts w:hint="default" w:ascii="Times New Roman" w:hAnsi="Times New Roman" w:eastAsia="宋体" w:cs="Times New Roman"/>
                      <w:color w:val="auto"/>
                      <w:spacing w:val="0"/>
                      <w:w w:val="100"/>
                      <w:position w:val="0"/>
                      <w:sz w:val="21"/>
                      <w:szCs w:val="21"/>
                      <w:vertAlign w:val="baseline"/>
                    </w:rPr>
                    <w:t>能够刺伤或者割伤人体的废弃的医用锐器。</w:t>
                  </w:r>
                </w:p>
              </w:tc>
              <w:tc>
                <w:tcPr>
                  <w:tcW w:w="2980" w:type="dxa"/>
                  <w:vAlign w:val="center"/>
                </w:tcPr>
                <w:p w14:paraId="1A1153F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①废弃的金属类锐器，如针头、缝合针、针灸针、探针、穿刺针、解剖刀、手术刀、手术锯、备皮刀、钢钉和导丝等；</w:t>
                  </w:r>
                </w:p>
                <w:p w14:paraId="6938B73F">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 xml:space="preserve">②废弃的玻璃类锐器，如盖玻片、载玻片、玻璃安瓿等； </w:t>
                  </w:r>
                </w:p>
                <w:p w14:paraId="0EEA897F">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lang w:val="en-US" w:eastAsia="en-US" w:bidi="ar-SA"/>
                    </w:rPr>
                  </w:pPr>
                  <w:r>
                    <w:rPr>
                      <w:rFonts w:hint="default" w:ascii="Times New Roman" w:hAnsi="Times New Roman" w:eastAsia="宋体" w:cs="Times New Roman"/>
                      <w:color w:val="auto"/>
                      <w:spacing w:val="0"/>
                      <w:sz w:val="21"/>
                      <w:szCs w:val="21"/>
                    </w:rPr>
                    <w:t>③废弃的其他材质类锐器。</w:t>
                  </w:r>
                </w:p>
              </w:tc>
              <w:tc>
                <w:tcPr>
                  <w:tcW w:w="2865" w:type="dxa"/>
                  <w:vAlign w:val="center"/>
                </w:tcPr>
                <w:p w14:paraId="21FDBC1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pacing w:val="0"/>
                      <w:w w:val="100"/>
                      <w:position w:val="0"/>
                      <w:sz w:val="21"/>
                      <w:szCs w:val="21"/>
                      <w:vertAlign w:val="baseline"/>
                      <w:lang w:eastAsia="zh-CN"/>
                    </w:rPr>
                  </w:pPr>
                  <w:r>
                    <w:rPr>
                      <w:rFonts w:hint="eastAsia" w:ascii="宋体" w:hAnsi="宋体" w:eastAsia="宋体" w:cs="宋体"/>
                      <w:color w:val="auto"/>
                      <w:spacing w:val="0"/>
                      <w:w w:val="100"/>
                      <w:position w:val="0"/>
                      <w:sz w:val="21"/>
                      <w:szCs w:val="21"/>
                      <w:vertAlign w:val="baseline"/>
                    </w:rPr>
                    <w:t>①</w:t>
                  </w:r>
                  <w:r>
                    <w:rPr>
                      <w:rFonts w:hint="default" w:ascii="Times New Roman" w:hAnsi="Times New Roman" w:eastAsia="宋体" w:cs="Times New Roman"/>
                      <w:color w:val="auto"/>
                      <w:spacing w:val="0"/>
                      <w:w w:val="100"/>
                      <w:position w:val="0"/>
                      <w:sz w:val="21"/>
                      <w:szCs w:val="21"/>
                      <w:vertAlign w:val="baseline"/>
                    </w:rPr>
                    <w:t>收集于符合《医疗废物专用包装袋、容器和警示标志标准》(HJ421</w:t>
                  </w:r>
                  <w:r>
                    <w:rPr>
                      <w:rFonts w:hint="eastAsia" w:ascii="Times New Roman" w:hAnsi="Times New Roman" w:cs="Times New Roman"/>
                      <w:color w:val="auto"/>
                      <w:spacing w:val="0"/>
                      <w:w w:val="100"/>
                      <w:position w:val="0"/>
                      <w:sz w:val="21"/>
                      <w:szCs w:val="21"/>
                      <w:vertAlign w:val="baseline"/>
                      <w:lang w:eastAsia="zh-CN"/>
                    </w:rPr>
                    <w:t>）</w:t>
                  </w:r>
                  <w:r>
                    <w:rPr>
                      <w:rFonts w:hint="default" w:ascii="Times New Roman" w:hAnsi="Times New Roman" w:eastAsia="宋体" w:cs="Times New Roman"/>
                      <w:color w:val="auto"/>
                      <w:spacing w:val="0"/>
                      <w:w w:val="100"/>
                      <w:position w:val="0"/>
                      <w:sz w:val="21"/>
                      <w:szCs w:val="21"/>
                      <w:vertAlign w:val="baseline"/>
                    </w:rPr>
                    <w:t>的利器盒中</w:t>
                  </w:r>
                  <w:r>
                    <w:rPr>
                      <w:rFonts w:hint="eastAsia" w:ascii="Times New Roman" w:hAnsi="Times New Roman" w:eastAsia="宋体" w:cs="Times New Roman"/>
                      <w:color w:val="auto"/>
                      <w:spacing w:val="0"/>
                      <w:w w:val="100"/>
                      <w:position w:val="0"/>
                      <w:sz w:val="21"/>
                      <w:szCs w:val="21"/>
                      <w:vertAlign w:val="baseline"/>
                      <w:lang w:eastAsia="zh-CN"/>
                    </w:rPr>
                    <w:t>；</w:t>
                  </w:r>
                </w:p>
                <w:p w14:paraId="74FD0F40">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w w:val="100"/>
                      <w:kern w:val="2"/>
                      <w:position w:val="0"/>
                      <w:sz w:val="21"/>
                      <w:szCs w:val="21"/>
                      <w:vertAlign w:val="baseline"/>
                      <w:lang w:val="en-US" w:eastAsia="zh-CN" w:bidi="ar-SA"/>
                    </w:rPr>
                  </w:pPr>
                  <w:r>
                    <w:rPr>
                      <w:rFonts w:hint="eastAsia" w:ascii="宋体" w:hAnsi="宋体" w:eastAsia="宋体" w:cs="宋体"/>
                      <w:color w:val="auto"/>
                      <w:spacing w:val="0"/>
                      <w:w w:val="100"/>
                      <w:position w:val="0"/>
                      <w:sz w:val="21"/>
                      <w:szCs w:val="21"/>
                      <w:vertAlign w:val="baseline"/>
                    </w:rPr>
                    <w:t>②</w:t>
                  </w:r>
                  <w:r>
                    <w:rPr>
                      <w:rFonts w:hint="default" w:ascii="Times New Roman" w:hAnsi="Times New Roman" w:eastAsia="宋体" w:cs="Times New Roman"/>
                      <w:color w:val="auto"/>
                      <w:spacing w:val="0"/>
                      <w:w w:val="100"/>
                      <w:position w:val="0"/>
                      <w:sz w:val="21"/>
                      <w:szCs w:val="21"/>
                      <w:vertAlign w:val="baseline"/>
                    </w:rPr>
                    <w:t>利器盒达到3/4满时，应当封闭严密，按流程运送、贮存。</w:t>
                  </w:r>
                </w:p>
              </w:tc>
            </w:tr>
            <w:tr w14:paraId="014F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711" w:type="dxa"/>
                  <w:vAlign w:val="center"/>
                </w:tcPr>
                <w:p w14:paraId="3E2AA823">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lang w:val="en-US" w:eastAsia="en-US" w:bidi="ar-SA"/>
                    </w:rPr>
                  </w:pPr>
                  <w:r>
                    <w:rPr>
                      <w:rFonts w:hint="default" w:ascii="Times New Roman" w:hAnsi="Times New Roman" w:eastAsia="宋体" w:cs="Times New Roman"/>
                      <w:color w:val="auto"/>
                      <w:spacing w:val="0"/>
                      <w:sz w:val="21"/>
                      <w:szCs w:val="21"/>
                    </w:rPr>
                    <w:t>感染性废物</w:t>
                  </w:r>
                </w:p>
              </w:tc>
              <w:tc>
                <w:tcPr>
                  <w:tcW w:w="1341" w:type="dxa"/>
                  <w:vAlign w:val="center"/>
                </w:tcPr>
                <w:p w14:paraId="6BD4DC1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kern w:val="2"/>
                      <w:position w:val="0"/>
                      <w:sz w:val="21"/>
                      <w:szCs w:val="21"/>
                      <w:vertAlign w:val="baseline"/>
                      <w:lang w:val="en-US" w:eastAsia="en-US" w:bidi="ar-SA"/>
                    </w:rPr>
                  </w:pPr>
                  <w:r>
                    <w:rPr>
                      <w:rFonts w:hint="default" w:ascii="Times New Roman" w:hAnsi="Times New Roman" w:eastAsia="宋体" w:cs="Times New Roman"/>
                      <w:color w:val="auto"/>
                      <w:spacing w:val="0"/>
                      <w:w w:val="100"/>
                      <w:position w:val="0"/>
                      <w:sz w:val="21"/>
                      <w:szCs w:val="21"/>
                      <w:vertAlign w:val="baseline"/>
                    </w:rPr>
                    <w:t>携带病原微生物具有引发感染性疾病传播危险的医疗废物</w:t>
                  </w:r>
                </w:p>
              </w:tc>
              <w:tc>
                <w:tcPr>
                  <w:tcW w:w="2980" w:type="dxa"/>
                  <w:vAlign w:val="center"/>
                </w:tcPr>
                <w:p w14:paraId="24A8973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①被患者血液、体液、排泄物等污染的除锐器以外的废物；</w:t>
                  </w:r>
                </w:p>
                <w:p w14:paraId="67F6860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②使用后废弃的一次性使用医疗器械，如注射器、输液器、透析器等；</w:t>
                  </w:r>
                </w:p>
                <w:p w14:paraId="6BDC550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③病原微生物实验室废弃的病原体培养基、标本，菌种和毒种保存液及其容器；其他实验室及科室废弃的血液、血清、分泌物等标本和容器；</w:t>
                  </w:r>
                </w:p>
                <w:p w14:paraId="5266ACFD">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auto"/>
                      <w:spacing w:val="0"/>
                      <w:kern w:val="2"/>
                      <w:sz w:val="21"/>
                      <w:szCs w:val="21"/>
                      <w:lang w:val="en-US" w:eastAsia="en-US" w:bidi="ar-SA"/>
                    </w:rPr>
                  </w:pPr>
                  <w:r>
                    <w:rPr>
                      <w:rFonts w:hint="default" w:ascii="Times New Roman" w:hAnsi="Times New Roman" w:eastAsia="宋体" w:cs="Times New Roman"/>
                      <w:color w:val="auto"/>
                      <w:spacing w:val="0"/>
                      <w:sz w:val="21"/>
                      <w:szCs w:val="21"/>
                    </w:rPr>
                    <w:t>④隔离传染病患者或者疑似传染病患者产生的废弃物。</w:t>
                  </w:r>
                </w:p>
              </w:tc>
              <w:tc>
                <w:tcPr>
                  <w:tcW w:w="2865" w:type="dxa"/>
                  <w:vAlign w:val="center"/>
                </w:tcPr>
                <w:p w14:paraId="221CF4B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pacing w:val="0"/>
                      <w:w w:val="100"/>
                      <w:position w:val="0"/>
                      <w:sz w:val="21"/>
                      <w:szCs w:val="21"/>
                      <w:vertAlign w:val="baseline"/>
                      <w:lang w:eastAsia="zh-CN"/>
                    </w:rPr>
                  </w:pPr>
                  <w:r>
                    <w:rPr>
                      <w:rFonts w:hint="eastAsia" w:ascii="宋体" w:hAnsi="宋体" w:eastAsia="宋体" w:cs="宋体"/>
                      <w:color w:val="auto"/>
                      <w:spacing w:val="0"/>
                      <w:w w:val="100"/>
                      <w:position w:val="0"/>
                      <w:sz w:val="21"/>
                      <w:szCs w:val="21"/>
                      <w:vertAlign w:val="baseline"/>
                    </w:rPr>
                    <w:t>①</w:t>
                  </w:r>
                  <w:r>
                    <w:rPr>
                      <w:rFonts w:hint="default" w:ascii="Times New Roman" w:hAnsi="Times New Roman" w:eastAsia="宋体" w:cs="Times New Roman"/>
                      <w:color w:val="auto"/>
                      <w:spacing w:val="0"/>
                      <w:w w:val="100"/>
                      <w:position w:val="0"/>
                      <w:sz w:val="21"/>
                      <w:szCs w:val="21"/>
                      <w:vertAlign w:val="baseline"/>
                    </w:rPr>
                    <w:t>收集于符合《医疗废物专用包装袋、容器和警示标志标准》(HJ421</w:t>
                  </w:r>
                  <w:r>
                    <w:rPr>
                      <w:rFonts w:hint="eastAsia" w:ascii="Times New Roman" w:hAnsi="Times New Roman" w:cs="Times New Roman"/>
                      <w:color w:val="auto"/>
                      <w:spacing w:val="0"/>
                      <w:w w:val="100"/>
                      <w:position w:val="0"/>
                      <w:sz w:val="21"/>
                      <w:szCs w:val="21"/>
                      <w:vertAlign w:val="baseline"/>
                      <w:lang w:eastAsia="zh-CN"/>
                    </w:rPr>
                    <w:t>）</w:t>
                  </w:r>
                  <w:r>
                    <w:rPr>
                      <w:rFonts w:hint="default" w:ascii="Times New Roman" w:hAnsi="Times New Roman" w:eastAsia="宋体" w:cs="Times New Roman"/>
                      <w:color w:val="auto"/>
                      <w:spacing w:val="0"/>
                      <w:w w:val="100"/>
                      <w:position w:val="0"/>
                      <w:sz w:val="21"/>
                      <w:szCs w:val="21"/>
                      <w:vertAlign w:val="baseline"/>
                    </w:rPr>
                    <w:t>的医疗废物包装袋中</w:t>
                  </w:r>
                  <w:r>
                    <w:rPr>
                      <w:rFonts w:hint="eastAsia" w:ascii="Times New Roman" w:hAnsi="Times New Roman" w:eastAsia="宋体" w:cs="Times New Roman"/>
                      <w:color w:val="auto"/>
                      <w:spacing w:val="0"/>
                      <w:w w:val="100"/>
                      <w:position w:val="0"/>
                      <w:sz w:val="21"/>
                      <w:szCs w:val="21"/>
                      <w:vertAlign w:val="baseline"/>
                      <w:lang w:eastAsia="zh-CN"/>
                    </w:rPr>
                    <w:t>；</w:t>
                  </w:r>
                </w:p>
                <w:p w14:paraId="51F5003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pacing w:val="0"/>
                      <w:w w:val="100"/>
                      <w:position w:val="0"/>
                      <w:sz w:val="21"/>
                      <w:szCs w:val="21"/>
                      <w:vertAlign w:val="baseline"/>
                      <w:lang w:eastAsia="zh-CN"/>
                    </w:rPr>
                  </w:pPr>
                  <w:r>
                    <w:rPr>
                      <w:rFonts w:hint="eastAsia" w:ascii="宋体" w:hAnsi="宋体" w:eastAsia="宋体" w:cs="宋体"/>
                      <w:color w:val="auto"/>
                      <w:spacing w:val="0"/>
                      <w:w w:val="100"/>
                      <w:position w:val="0"/>
                      <w:sz w:val="21"/>
                      <w:szCs w:val="21"/>
                      <w:vertAlign w:val="baseline"/>
                    </w:rPr>
                    <w:t>②</w:t>
                  </w:r>
                  <w:r>
                    <w:rPr>
                      <w:rFonts w:hint="default" w:ascii="Times New Roman" w:hAnsi="Times New Roman" w:eastAsia="宋体" w:cs="Times New Roman"/>
                      <w:color w:val="auto"/>
                      <w:spacing w:val="0"/>
                      <w:w w:val="100"/>
                      <w:position w:val="0"/>
                      <w:sz w:val="21"/>
                      <w:szCs w:val="21"/>
                      <w:vertAlign w:val="baseline"/>
                    </w:rPr>
                    <w:t>病原微生物实验室废弃的病原体培养基、标本，菌种和毒种保存液及其容器，应在产生地点进行压力蒸汽灭菌或者使用其他方式消毒，然后按感染性废物收集处理</w:t>
                  </w:r>
                  <w:r>
                    <w:rPr>
                      <w:rFonts w:hint="eastAsia" w:ascii="Times New Roman" w:hAnsi="Times New Roman" w:eastAsia="宋体" w:cs="Times New Roman"/>
                      <w:color w:val="auto"/>
                      <w:spacing w:val="0"/>
                      <w:w w:val="100"/>
                      <w:position w:val="0"/>
                      <w:sz w:val="21"/>
                      <w:szCs w:val="21"/>
                      <w:vertAlign w:val="baseline"/>
                      <w:lang w:eastAsia="zh-CN"/>
                    </w:rPr>
                    <w:t>；</w:t>
                  </w:r>
                </w:p>
                <w:p w14:paraId="761B2A1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w w:val="100"/>
                      <w:position w:val="0"/>
                      <w:sz w:val="21"/>
                      <w:szCs w:val="21"/>
                      <w:vertAlign w:val="baseline"/>
                    </w:rPr>
                  </w:pPr>
                  <w:r>
                    <w:rPr>
                      <w:rFonts w:hint="eastAsia" w:ascii="宋体" w:hAnsi="宋体" w:eastAsia="宋体" w:cs="宋体"/>
                      <w:color w:val="auto"/>
                      <w:spacing w:val="0"/>
                      <w:w w:val="100"/>
                      <w:position w:val="0"/>
                      <w:sz w:val="21"/>
                      <w:szCs w:val="21"/>
                      <w:vertAlign w:val="baseline"/>
                    </w:rPr>
                    <w:t>③</w:t>
                  </w:r>
                  <w:r>
                    <w:rPr>
                      <w:rFonts w:hint="default" w:ascii="Times New Roman" w:hAnsi="Times New Roman" w:eastAsia="宋体" w:cs="Times New Roman"/>
                      <w:color w:val="auto"/>
                      <w:spacing w:val="0"/>
                      <w:w w:val="100"/>
                      <w:position w:val="0"/>
                      <w:sz w:val="21"/>
                      <w:szCs w:val="21"/>
                      <w:vertAlign w:val="baseline"/>
                    </w:rPr>
                    <w:t>隔离传染病患者或者疑似传染病患者产生的医疗废物应当使用双层医疗废物包装袋盛装。</w:t>
                  </w:r>
                </w:p>
              </w:tc>
            </w:tr>
            <w:tr w14:paraId="3679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11" w:type="dxa"/>
                  <w:vAlign w:val="center"/>
                </w:tcPr>
                <w:p w14:paraId="34F162E4">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0"/>
                      <w:kern w:val="2"/>
                      <w:sz w:val="21"/>
                      <w:szCs w:val="21"/>
                      <w:lang w:val="en-US" w:eastAsia="en-US" w:bidi="ar-SA"/>
                    </w:rPr>
                  </w:pPr>
                  <w:r>
                    <w:rPr>
                      <w:rFonts w:hint="default" w:ascii="Times New Roman" w:hAnsi="Times New Roman" w:eastAsia="宋体" w:cs="Times New Roman"/>
                      <w:color w:val="auto"/>
                      <w:spacing w:val="0"/>
                      <w:sz w:val="21"/>
                      <w:szCs w:val="21"/>
                    </w:rPr>
                    <w:t>病理性废物</w:t>
                  </w:r>
                </w:p>
              </w:tc>
              <w:tc>
                <w:tcPr>
                  <w:tcW w:w="1341" w:type="dxa"/>
                  <w:vAlign w:val="center"/>
                </w:tcPr>
                <w:p w14:paraId="321E78F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vertAlign w:val="baseline"/>
                    </w:rPr>
                  </w:pPr>
                  <w:r>
                    <w:rPr>
                      <w:rFonts w:hint="default" w:ascii="Times New Roman" w:hAnsi="Times New Roman" w:eastAsia="宋体" w:cs="Times New Roman"/>
                      <w:color w:val="auto"/>
                      <w:spacing w:val="0"/>
                      <w:w w:val="100"/>
                      <w:position w:val="0"/>
                      <w:sz w:val="21"/>
                      <w:szCs w:val="21"/>
                      <w:vertAlign w:val="baseline"/>
                    </w:rPr>
                    <w:t>诊疗过程中产生的人体废弃物和医学实验动物尸体等</w:t>
                  </w:r>
                </w:p>
              </w:tc>
              <w:tc>
                <w:tcPr>
                  <w:tcW w:w="2980" w:type="dxa"/>
                  <w:vAlign w:val="center"/>
                </w:tcPr>
                <w:p w14:paraId="1F2D31FE">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①手术及其他医学服务过程中产生的废弃的人体组织、器官；</w:t>
                  </w:r>
                </w:p>
                <w:p w14:paraId="71EEC27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②病理切片后废弃的人体组织、病理蜡块；</w:t>
                  </w:r>
                </w:p>
                <w:p w14:paraId="49E7B55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③废弃的医学实验动物的组织和尸体；</w:t>
                  </w:r>
                </w:p>
                <w:p w14:paraId="4FBFFE7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④16周胎龄以下或重量不足500克的胚胎组织等；</w:t>
                  </w:r>
                </w:p>
                <w:p w14:paraId="584489BE">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⑤确诊、疑似传染病或携带传染病病原体的产妇的胎盘</w:t>
                  </w:r>
                  <w:r>
                    <w:rPr>
                      <w:rFonts w:hint="eastAsia" w:ascii="Times New Roman" w:hAnsi="Times New Roman" w:eastAsia="宋体" w:cs="Times New Roman"/>
                      <w:color w:val="auto"/>
                      <w:spacing w:val="0"/>
                      <w:sz w:val="21"/>
                      <w:szCs w:val="21"/>
                      <w:lang w:eastAsia="zh-CN"/>
                    </w:rPr>
                    <w:t>。</w:t>
                  </w:r>
                </w:p>
              </w:tc>
              <w:tc>
                <w:tcPr>
                  <w:tcW w:w="2865" w:type="dxa"/>
                  <w:vAlign w:val="center"/>
                </w:tcPr>
                <w:p w14:paraId="027CA77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pacing w:val="0"/>
                      <w:w w:val="100"/>
                      <w:position w:val="0"/>
                      <w:sz w:val="21"/>
                      <w:szCs w:val="21"/>
                      <w:vertAlign w:val="baseline"/>
                      <w:lang w:eastAsia="zh-CN"/>
                    </w:rPr>
                  </w:pPr>
                  <w:r>
                    <w:rPr>
                      <w:rFonts w:hint="eastAsia" w:ascii="宋体" w:hAnsi="宋体" w:eastAsia="宋体" w:cs="宋体"/>
                      <w:color w:val="auto"/>
                      <w:spacing w:val="0"/>
                      <w:w w:val="100"/>
                      <w:position w:val="0"/>
                      <w:sz w:val="21"/>
                      <w:szCs w:val="21"/>
                      <w:vertAlign w:val="baseline"/>
                    </w:rPr>
                    <w:t>①</w:t>
                  </w:r>
                  <w:r>
                    <w:rPr>
                      <w:rFonts w:hint="default" w:ascii="Times New Roman" w:hAnsi="Times New Roman" w:eastAsia="宋体" w:cs="Times New Roman"/>
                      <w:color w:val="auto"/>
                      <w:spacing w:val="0"/>
                      <w:w w:val="100"/>
                      <w:position w:val="0"/>
                      <w:sz w:val="21"/>
                      <w:szCs w:val="21"/>
                      <w:vertAlign w:val="baseline"/>
                    </w:rPr>
                    <w:t>收集于符合《医疗废物专用包装袋、容器和警示标志标准》(HJ421</w:t>
                  </w:r>
                  <w:r>
                    <w:rPr>
                      <w:rFonts w:hint="eastAsia" w:ascii="Times New Roman" w:hAnsi="Times New Roman" w:cs="Times New Roman"/>
                      <w:color w:val="auto"/>
                      <w:spacing w:val="0"/>
                      <w:w w:val="100"/>
                      <w:position w:val="0"/>
                      <w:sz w:val="21"/>
                      <w:szCs w:val="21"/>
                      <w:vertAlign w:val="baseline"/>
                      <w:lang w:eastAsia="zh-CN"/>
                    </w:rPr>
                    <w:t>）</w:t>
                  </w:r>
                  <w:r>
                    <w:rPr>
                      <w:rFonts w:hint="default" w:ascii="Times New Roman" w:hAnsi="Times New Roman" w:eastAsia="宋体" w:cs="Times New Roman"/>
                      <w:color w:val="auto"/>
                      <w:spacing w:val="0"/>
                      <w:w w:val="100"/>
                      <w:position w:val="0"/>
                      <w:sz w:val="21"/>
                      <w:szCs w:val="21"/>
                      <w:vertAlign w:val="baseline"/>
                    </w:rPr>
                    <w:t>的医疗废物包装袋中</w:t>
                  </w:r>
                  <w:r>
                    <w:rPr>
                      <w:rFonts w:hint="eastAsia" w:ascii="Times New Roman" w:hAnsi="Times New Roman" w:eastAsia="宋体" w:cs="Times New Roman"/>
                      <w:color w:val="auto"/>
                      <w:spacing w:val="0"/>
                      <w:w w:val="100"/>
                      <w:position w:val="0"/>
                      <w:sz w:val="21"/>
                      <w:szCs w:val="21"/>
                      <w:vertAlign w:val="baseline"/>
                      <w:lang w:eastAsia="zh-CN"/>
                    </w:rPr>
                    <w:t>；</w:t>
                  </w:r>
                </w:p>
                <w:p w14:paraId="1C54E2D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pacing w:val="0"/>
                      <w:w w:val="100"/>
                      <w:position w:val="0"/>
                      <w:sz w:val="21"/>
                      <w:szCs w:val="21"/>
                      <w:vertAlign w:val="baseline"/>
                      <w:lang w:eastAsia="zh-CN"/>
                    </w:rPr>
                  </w:pPr>
                  <w:r>
                    <w:rPr>
                      <w:rFonts w:hint="eastAsia" w:ascii="宋体" w:hAnsi="宋体" w:eastAsia="宋体" w:cs="宋体"/>
                      <w:color w:val="auto"/>
                      <w:spacing w:val="0"/>
                      <w:w w:val="100"/>
                      <w:position w:val="0"/>
                      <w:sz w:val="21"/>
                      <w:szCs w:val="21"/>
                      <w:vertAlign w:val="baseline"/>
                    </w:rPr>
                    <w:t>②</w:t>
                  </w:r>
                  <w:r>
                    <w:rPr>
                      <w:rFonts w:hint="default" w:ascii="Times New Roman" w:hAnsi="Times New Roman" w:eastAsia="宋体" w:cs="Times New Roman"/>
                      <w:color w:val="auto"/>
                      <w:spacing w:val="0"/>
                      <w:w w:val="100"/>
                      <w:position w:val="0"/>
                      <w:sz w:val="21"/>
                      <w:szCs w:val="21"/>
                      <w:vertAlign w:val="baseline"/>
                    </w:rPr>
                    <w:t>确诊、疑似传染病产妇或携带传染病病原体的产妇的胎盘应使用双层医疗废物包装袋盛装</w:t>
                  </w:r>
                  <w:r>
                    <w:rPr>
                      <w:rFonts w:hint="eastAsia" w:ascii="Times New Roman" w:hAnsi="Times New Roman" w:eastAsia="宋体" w:cs="Times New Roman"/>
                      <w:color w:val="auto"/>
                      <w:spacing w:val="0"/>
                      <w:w w:val="100"/>
                      <w:position w:val="0"/>
                      <w:sz w:val="21"/>
                      <w:szCs w:val="21"/>
                      <w:vertAlign w:val="baseline"/>
                      <w:lang w:eastAsia="zh-CN"/>
                    </w:rPr>
                    <w:t>；</w:t>
                  </w:r>
                </w:p>
                <w:p w14:paraId="3A694D5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w w:val="100"/>
                      <w:position w:val="0"/>
                      <w:sz w:val="21"/>
                      <w:szCs w:val="21"/>
                      <w:vertAlign w:val="baseline"/>
                    </w:rPr>
                  </w:pPr>
                  <w:r>
                    <w:rPr>
                      <w:rFonts w:hint="eastAsia" w:ascii="宋体" w:hAnsi="宋体" w:eastAsia="宋体" w:cs="宋体"/>
                      <w:color w:val="auto"/>
                      <w:spacing w:val="0"/>
                      <w:w w:val="100"/>
                      <w:position w:val="0"/>
                      <w:sz w:val="21"/>
                      <w:szCs w:val="21"/>
                      <w:vertAlign w:val="baseline"/>
                    </w:rPr>
                    <w:t>③</w:t>
                  </w:r>
                  <w:r>
                    <w:rPr>
                      <w:rFonts w:hint="default" w:ascii="Times New Roman" w:hAnsi="Times New Roman" w:eastAsia="宋体" w:cs="Times New Roman"/>
                      <w:color w:val="auto"/>
                      <w:spacing w:val="0"/>
                      <w:w w:val="100"/>
                      <w:position w:val="0"/>
                      <w:sz w:val="21"/>
                      <w:szCs w:val="21"/>
                      <w:vertAlign w:val="baseline"/>
                    </w:rPr>
                    <w:t>可进行防腐或者低温保存。</w:t>
                  </w:r>
                </w:p>
              </w:tc>
            </w:tr>
            <w:tr w14:paraId="007A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711" w:type="dxa"/>
                  <w:vAlign w:val="center"/>
                </w:tcPr>
                <w:p w14:paraId="27382EA2">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kern w:val="2"/>
                      <w:sz w:val="21"/>
                      <w:szCs w:val="21"/>
                      <w:lang w:val="en-US" w:eastAsia="en-US" w:bidi="ar-SA"/>
                    </w:rPr>
                  </w:pPr>
                  <w:r>
                    <w:rPr>
                      <w:rFonts w:hint="default" w:ascii="Times New Roman" w:hAnsi="Times New Roman" w:eastAsia="宋体" w:cs="Times New Roman"/>
                      <w:color w:val="auto"/>
                      <w:spacing w:val="0"/>
                      <w:sz w:val="21"/>
                      <w:szCs w:val="21"/>
                    </w:rPr>
                    <w:t>药物性废物</w:t>
                  </w:r>
                </w:p>
              </w:tc>
              <w:tc>
                <w:tcPr>
                  <w:tcW w:w="1341" w:type="dxa"/>
                  <w:vAlign w:val="center"/>
                </w:tcPr>
                <w:p w14:paraId="500B512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kern w:val="2"/>
                      <w:position w:val="0"/>
                      <w:sz w:val="21"/>
                      <w:szCs w:val="21"/>
                      <w:vertAlign w:val="baseline"/>
                      <w:lang w:val="en-US" w:eastAsia="en-US" w:bidi="ar-SA"/>
                    </w:rPr>
                  </w:pPr>
                  <w:r>
                    <w:rPr>
                      <w:rFonts w:hint="default" w:ascii="Times New Roman" w:hAnsi="Times New Roman" w:eastAsia="宋体" w:cs="Times New Roman"/>
                      <w:color w:val="auto"/>
                      <w:spacing w:val="0"/>
                      <w:w w:val="100"/>
                      <w:position w:val="0"/>
                      <w:sz w:val="21"/>
                      <w:szCs w:val="21"/>
                      <w:vertAlign w:val="baseline"/>
                    </w:rPr>
                    <w:t>过期、淘汰、变质或者被污染的废弃的药品</w:t>
                  </w:r>
                </w:p>
              </w:tc>
              <w:tc>
                <w:tcPr>
                  <w:tcW w:w="2980" w:type="dxa"/>
                  <w:vAlign w:val="center"/>
                </w:tcPr>
                <w:p w14:paraId="49A0B9C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①废弃的一般性药物</w:t>
                  </w:r>
                  <w:r>
                    <w:rPr>
                      <w:rFonts w:hint="eastAsia" w:ascii="Times New Roman" w:hAnsi="Times New Roman" w:eastAsia="宋体" w:cs="Times New Roman"/>
                      <w:color w:val="auto"/>
                      <w:spacing w:val="0"/>
                      <w:sz w:val="21"/>
                      <w:szCs w:val="21"/>
                      <w:lang w:eastAsia="zh-CN"/>
                    </w:rPr>
                    <w:t>；</w:t>
                  </w:r>
                </w:p>
                <w:p w14:paraId="69E7489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②废弃的细胞毒性药物和遗传毒性药物；</w:t>
                  </w:r>
                </w:p>
                <w:p w14:paraId="426772F7">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color w:val="auto"/>
                      <w:spacing w:val="0"/>
                      <w:kern w:val="2"/>
                      <w:sz w:val="21"/>
                      <w:szCs w:val="21"/>
                      <w:lang w:val="en-US" w:eastAsia="en-US" w:bidi="ar-SA"/>
                    </w:rPr>
                  </w:pPr>
                  <w:r>
                    <w:rPr>
                      <w:rFonts w:hint="default" w:ascii="Times New Roman" w:hAnsi="Times New Roman" w:eastAsia="宋体" w:cs="Times New Roman"/>
                      <w:color w:val="auto"/>
                      <w:spacing w:val="0"/>
                      <w:sz w:val="21"/>
                      <w:szCs w:val="21"/>
                    </w:rPr>
                    <w:t>③废弃的疫苗及血液制品。</w:t>
                  </w:r>
                </w:p>
              </w:tc>
              <w:tc>
                <w:tcPr>
                  <w:tcW w:w="2865" w:type="dxa"/>
                  <w:vAlign w:val="center"/>
                </w:tcPr>
                <w:p w14:paraId="0CCA1F7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pacing w:val="0"/>
                      <w:w w:val="100"/>
                      <w:position w:val="0"/>
                      <w:sz w:val="21"/>
                      <w:szCs w:val="21"/>
                      <w:vertAlign w:val="baseline"/>
                      <w:lang w:eastAsia="zh-CN"/>
                    </w:rPr>
                  </w:pPr>
                  <w:r>
                    <w:rPr>
                      <w:rFonts w:hint="eastAsia" w:ascii="宋体" w:hAnsi="宋体" w:eastAsia="宋体" w:cs="宋体"/>
                      <w:color w:val="auto"/>
                      <w:spacing w:val="0"/>
                      <w:w w:val="100"/>
                      <w:position w:val="0"/>
                      <w:sz w:val="21"/>
                      <w:szCs w:val="21"/>
                      <w:vertAlign w:val="baseline"/>
                    </w:rPr>
                    <w:t>①</w:t>
                  </w:r>
                  <w:r>
                    <w:rPr>
                      <w:rFonts w:hint="default" w:ascii="Times New Roman" w:hAnsi="Times New Roman" w:eastAsia="宋体" w:cs="Times New Roman"/>
                      <w:color w:val="auto"/>
                      <w:spacing w:val="0"/>
                      <w:w w:val="100"/>
                      <w:position w:val="0"/>
                      <w:sz w:val="21"/>
                      <w:szCs w:val="21"/>
                      <w:vertAlign w:val="baseline"/>
                    </w:rPr>
                    <w:t>少量的药物性废物可以并入感染性废物中，但应在标签中注明</w:t>
                  </w:r>
                  <w:r>
                    <w:rPr>
                      <w:rFonts w:hint="eastAsia" w:ascii="Times New Roman" w:hAnsi="Times New Roman" w:eastAsia="宋体" w:cs="Times New Roman"/>
                      <w:color w:val="auto"/>
                      <w:spacing w:val="0"/>
                      <w:w w:val="100"/>
                      <w:position w:val="0"/>
                      <w:sz w:val="21"/>
                      <w:szCs w:val="21"/>
                      <w:vertAlign w:val="baseline"/>
                      <w:lang w:eastAsia="zh-CN"/>
                    </w:rPr>
                    <w:t>；</w:t>
                  </w:r>
                </w:p>
                <w:p w14:paraId="05C9159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Times New Roman" w:hAnsi="Times New Roman" w:eastAsia="宋体" w:cs="Times New Roman"/>
                      <w:color w:val="auto"/>
                      <w:spacing w:val="0"/>
                      <w:w w:val="100"/>
                      <w:position w:val="0"/>
                      <w:sz w:val="21"/>
                      <w:szCs w:val="21"/>
                      <w:vertAlign w:val="baseline"/>
                      <w:lang w:eastAsia="zh-CN"/>
                    </w:rPr>
                  </w:pPr>
                  <w:r>
                    <w:rPr>
                      <w:rFonts w:hint="eastAsia" w:ascii="宋体" w:hAnsi="宋体" w:eastAsia="宋体" w:cs="宋体"/>
                      <w:color w:val="auto"/>
                      <w:spacing w:val="0"/>
                      <w:w w:val="100"/>
                      <w:position w:val="0"/>
                      <w:sz w:val="21"/>
                      <w:szCs w:val="21"/>
                      <w:vertAlign w:val="baseline"/>
                    </w:rPr>
                    <w:t>②</w:t>
                  </w:r>
                  <w:r>
                    <w:rPr>
                      <w:rFonts w:hint="default" w:ascii="Times New Roman" w:hAnsi="Times New Roman" w:eastAsia="宋体" w:cs="Times New Roman"/>
                      <w:color w:val="auto"/>
                      <w:spacing w:val="0"/>
                      <w:w w:val="100"/>
                      <w:position w:val="0"/>
                      <w:sz w:val="21"/>
                      <w:szCs w:val="21"/>
                      <w:vertAlign w:val="baseline"/>
                    </w:rPr>
                    <w:t>批量废弃的药物性废物，收集后应交由具备相应资质的医疗废物处置单位或者危险废物处置单位等进行处置</w:t>
                  </w:r>
                  <w:r>
                    <w:rPr>
                      <w:rFonts w:hint="eastAsia" w:ascii="Times New Roman" w:hAnsi="Times New Roman" w:eastAsia="宋体" w:cs="Times New Roman"/>
                      <w:color w:val="auto"/>
                      <w:spacing w:val="0"/>
                      <w:w w:val="100"/>
                      <w:position w:val="0"/>
                      <w:sz w:val="21"/>
                      <w:szCs w:val="21"/>
                      <w:vertAlign w:val="baseline"/>
                      <w:lang w:eastAsia="zh-CN"/>
                    </w:rPr>
                    <w:t>。</w:t>
                  </w:r>
                </w:p>
              </w:tc>
            </w:tr>
            <w:tr w14:paraId="3591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711" w:type="dxa"/>
                  <w:vAlign w:val="center"/>
                </w:tcPr>
                <w:p w14:paraId="716AB7EA">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spacing w:val="0"/>
                      <w:kern w:val="2"/>
                      <w:sz w:val="21"/>
                      <w:szCs w:val="21"/>
                      <w:lang w:val="en-US" w:eastAsia="en-US" w:bidi="ar-SA"/>
                    </w:rPr>
                  </w:pPr>
                  <w:r>
                    <w:rPr>
                      <w:rFonts w:hint="default" w:ascii="Times New Roman" w:hAnsi="Times New Roman" w:eastAsia="宋体" w:cs="Times New Roman"/>
                      <w:color w:val="auto"/>
                      <w:spacing w:val="0"/>
                      <w:sz w:val="21"/>
                      <w:szCs w:val="21"/>
                    </w:rPr>
                    <w:t>化学性废物</w:t>
                  </w:r>
                </w:p>
              </w:tc>
              <w:tc>
                <w:tcPr>
                  <w:tcW w:w="1341" w:type="dxa"/>
                  <w:vAlign w:val="center"/>
                </w:tcPr>
                <w:p w14:paraId="5324188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vertAlign w:val="baseline"/>
                    </w:rPr>
                  </w:pPr>
                  <w:r>
                    <w:rPr>
                      <w:rFonts w:hint="default" w:ascii="Times New Roman" w:hAnsi="Times New Roman" w:eastAsia="宋体" w:cs="Times New Roman"/>
                      <w:color w:val="auto"/>
                      <w:spacing w:val="0"/>
                      <w:w w:val="100"/>
                      <w:position w:val="0"/>
                      <w:sz w:val="21"/>
                      <w:szCs w:val="21"/>
                      <w:vertAlign w:val="baseline"/>
                    </w:rPr>
                    <w:t>具有毒性、腐蚀性、易燃易 爆性的废弃的化学物品</w:t>
                  </w:r>
                </w:p>
              </w:tc>
              <w:tc>
                <w:tcPr>
                  <w:tcW w:w="2980" w:type="dxa"/>
                  <w:vAlign w:val="center"/>
                </w:tcPr>
                <w:p w14:paraId="6CEC0083">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宋体" w:cs="Times New Roman"/>
                      <w:color w:val="auto"/>
                      <w:spacing w:val="0"/>
                      <w:kern w:val="2"/>
                      <w:sz w:val="21"/>
                      <w:szCs w:val="21"/>
                      <w:lang w:val="en-US" w:eastAsia="en-US" w:bidi="ar-SA"/>
                    </w:rPr>
                  </w:pPr>
                  <w:r>
                    <w:rPr>
                      <w:rFonts w:hint="default" w:ascii="Times New Roman" w:hAnsi="Times New Roman" w:eastAsia="宋体" w:cs="Times New Roman"/>
                      <w:color w:val="auto"/>
                      <w:spacing w:val="0"/>
                      <w:sz w:val="21"/>
                      <w:szCs w:val="21"/>
                    </w:rPr>
                    <w:t>列入《国家危险废物名录》中的废弃危险化学品，如甲醛、二甲苯等；非特定行业来源的危险废物，如含汞血压计、含汞体温计，废弃的牙科汞合金材料及其残余物等。</w:t>
                  </w:r>
                </w:p>
              </w:tc>
              <w:tc>
                <w:tcPr>
                  <w:tcW w:w="2865" w:type="dxa"/>
                  <w:vAlign w:val="center"/>
                </w:tcPr>
                <w:p w14:paraId="41BB1671">
                  <w:pPr>
                    <w:pStyle w:val="1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rPr>
                      <w:rFonts w:hint="eastAsia" w:ascii="Times New Roman" w:hAnsi="Times New Roman" w:eastAsia="宋体" w:cs="Times New Roman"/>
                      <w:color w:val="auto"/>
                      <w:spacing w:val="0"/>
                      <w:w w:val="100"/>
                      <w:position w:val="0"/>
                      <w:sz w:val="21"/>
                      <w:szCs w:val="21"/>
                      <w:vertAlign w:val="baseline"/>
                      <w:lang w:eastAsia="zh-CN"/>
                    </w:rPr>
                  </w:pPr>
                  <w:r>
                    <w:rPr>
                      <w:rFonts w:hint="eastAsia" w:ascii="宋体" w:hAnsi="宋体" w:eastAsia="宋体" w:cs="宋体"/>
                      <w:color w:val="auto"/>
                      <w:spacing w:val="0"/>
                      <w:w w:val="100"/>
                      <w:position w:val="0"/>
                      <w:sz w:val="21"/>
                      <w:szCs w:val="21"/>
                      <w:vertAlign w:val="baseline"/>
                    </w:rPr>
                    <w:t>①</w:t>
                  </w:r>
                  <w:r>
                    <w:rPr>
                      <w:rFonts w:hint="default" w:ascii="Times New Roman" w:hAnsi="Times New Roman" w:eastAsia="宋体" w:cs="Times New Roman"/>
                      <w:color w:val="auto"/>
                      <w:spacing w:val="0"/>
                      <w:w w:val="100"/>
                      <w:position w:val="0"/>
                      <w:sz w:val="21"/>
                      <w:szCs w:val="21"/>
                      <w:vertAlign w:val="baseline"/>
                    </w:rPr>
                    <w:t>收集于容器中，粘贴标签并注明主要成分</w:t>
                  </w:r>
                  <w:r>
                    <w:rPr>
                      <w:rFonts w:hint="eastAsia" w:ascii="Times New Roman" w:hAnsi="Times New Roman" w:eastAsia="宋体" w:cs="Times New Roman"/>
                      <w:color w:val="auto"/>
                      <w:spacing w:val="0"/>
                      <w:w w:val="100"/>
                      <w:position w:val="0"/>
                      <w:sz w:val="21"/>
                      <w:szCs w:val="21"/>
                      <w:vertAlign w:val="baseline"/>
                      <w:lang w:eastAsia="zh-CN"/>
                    </w:rPr>
                    <w:t>；</w:t>
                  </w:r>
                </w:p>
                <w:p w14:paraId="1A2A4F0B">
                  <w:pPr>
                    <w:pStyle w:val="141"/>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rPr>
                      <w:rFonts w:hint="default" w:ascii="Times New Roman" w:hAnsi="Times New Roman" w:eastAsia="宋体" w:cs="Times New Roman"/>
                      <w:color w:val="auto"/>
                      <w:spacing w:val="0"/>
                      <w:w w:val="100"/>
                      <w:position w:val="0"/>
                      <w:sz w:val="21"/>
                      <w:szCs w:val="21"/>
                      <w:vertAlign w:val="baseline"/>
                    </w:rPr>
                  </w:pPr>
                  <w:r>
                    <w:rPr>
                      <w:rFonts w:hint="eastAsia" w:ascii="宋体" w:hAnsi="宋体" w:eastAsia="宋体" w:cs="宋体"/>
                      <w:color w:val="auto"/>
                      <w:spacing w:val="0"/>
                      <w:w w:val="100"/>
                      <w:position w:val="0"/>
                      <w:sz w:val="21"/>
                      <w:szCs w:val="21"/>
                      <w:vertAlign w:val="baseline"/>
                    </w:rPr>
                    <w:t>②</w:t>
                  </w:r>
                  <w:r>
                    <w:rPr>
                      <w:rFonts w:hint="default" w:ascii="Times New Roman" w:hAnsi="Times New Roman" w:eastAsia="宋体" w:cs="Times New Roman"/>
                      <w:color w:val="auto"/>
                      <w:spacing w:val="0"/>
                      <w:w w:val="100"/>
                      <w:position w:val="0"/>
                      <w:sz w:val="21"/>
                      <w:szCs w:val="21"/>
                      <w:vertAlign w:val="baseline"/>
                    </w:rPr>
                    <w:t>收集后应交由具备相应资质的医疗废物处置单位或者危险废物处置单位等进行处置。</w:t>
                  </w:r>
                </w:p>
              </w:tc>
            </w:tr>
          </w:tbl>
          <w:p w14:paraId="3EC640A4">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病房区医疗废物产生量为0.42kg/床.d，</w:t>
            </w:r>
            <w:r>
              <w:rPr>
                <w:rFonts w:hint="eastAsia" w:ascii="Times New Roman" w:hAnsi="Times New Roman" w:eastAsia="宋体" w:cs="Times New Roman"/>
                <w:color w:val="auto"/>
                <w:spacing w:val="0"/>
                <w:w w:val="100"/>
                <w:position w:val="0"/>
                <w:sz w:val="24"/>
                <w:szCs w:val="24"/>
                <w:lang w:eastAsia="zh-CN"/>
              </w:rPr>
              <w:t>本项目</w:t>
            </w:r>
            <w:r>
              <w:rPr>
                <w:rFonts w:hint="default" w:ascii="Times New Roman" w:hAnsi="Times New Roman" w:eastAsia="宋体" w:cs="Times New Roman"/>
                <w:color w:val="auto"/>
                <w:spacing w:val="0"/>
                <w:w w:val="100"/>
                <w:position w:val="0"/>
                <w:sz w:val="24"/>
                <w:szCs w:val="24"/>
              </w:rPr>
              <w:t>医院床位为</w:t>
            </w:r>
            <w:r>
              <w:rPr>
                <w:rFonts w:hint="eastAsia" w:ascii="Times New Roman" w:hAnsi="Times New Roman" w:cs="Times New Roman"/>
                <w:color w:val="auto"/>
                <w:spacing w:val="0"/>
                <w:w w:val="100"/>
                <w:position w:val="0"/>
                <w:sz w:val="24"/>
                <w:szCs w:val="24"/>
                <w:lang w:val="en-US" w:eastAsia="zh-CN"/>
              </w:rPr>
              <w:t>60</w:t>
            </w:r>
            <w:r>
              <w:rPr>
                <w:rFonts w:hint="default" w:ascii="Times New Roman" w:hAnsi="Times New Roman" w:eastAsia="宋体" w:cs="Times New Roman"/>
                <w:color w:val="auto"/>
                <w:spacing w:val="0"/>
                <w:w w:val="100"/>
                <w:position w:val="0"/>
                <w:sz w:val="24"/>
                <w:szCs w:val="24"/>
              </w:rPr>
              <w:t>床，按最不利情况，满床位计算，医疗废物量为</w:t>
            </w:r>
            <w:r>
              <w:rPr>
                <w:rFonts w:hint="eastAsia" w:ascii="Times New Roman" w:hAnsi="Times New Roman" w:cs="Times New Roman"/>
                <w:color w:val="auto"/>
                <w:spacing w:val="0"/>
                <w:w w:val="100"/>
                <w:position w:val="0"/>
                <w:sz w:val="24"/>
                <w:szCs w:val="24"/>
                <w:lang w:val="en-US" w:eastAsia="zh-CN"/>
              </w:rPr>
              <w:t>25.2</w:t>
            </w:r>
            <w:r>
              <w:rPr>
                <w:rFonts w:hint="default" w:ascii="Times New Roman" w:hAnsi="Times New Roman" w:eastAsia="宋体" w:cs="Times New Roman"/>
                <w:color w:val="auto"/>
                <w:spacing w:val="0"/>
                <w:w w:val="100"/>
                <w:position w:val="0"/>
                <w:sz w:val="24"/>
                <w:szCs w:val="24"/>
              </w:rPr>
              <w:t>kg/d，即</w:t>
            </w:r>
            <w:r>
              <w:rPr>
                <w:rFonts w:hint="eastAsia" w:ascii="Times New Roman" w:hAnsi="Times New Roman" w:cs="Times New Roman"/>
                <w:color w:val="auto"/>
                <w:spacing w:val="0"/>
                <w:w w:val="100"/>
                <w:position w:val="0"/>
                <w:sz w:val="24"/>
                <w:szCs w:val="24"/>
                <w:lang w:val="en-US" w:eastAsia="zh-CN"/>
              </w:rPr>
              <w:t>9.198</w:t>
            </w:r>
            <w:r>
              <w:rPr>
                <w:rFonts w:hint="default" w:ascii="Times New Roman" w:hAnsi="Times New Roman" w:eastAsia="宋体" w:cs="Times New Roman"/>
                <w:color w:val="auto"/>
                <w:spacing w:val="0"/>
                <w:w w:val="100"/>
                <w:position w:val="0"/>
                <w:sz w:val="24"/>
                <w:szCs w:val="24"/>
              </w:rPr>
              <w:t>t/a。</w:t>
            </w:r>
          </w:p>
          <w:p w14:paraId="06D30C57">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门诊医疗室医疗废物产生量为0.05kg/人次，</w:t>
            </w:r>
            <w:r>
              <w:rPr>
                <w:rFonts w:hint="eastAsia" w:ascii="Times New Roman" w:hAnsi="Times New Roman" w:eastAsia="宋体" w:cs="Times New Roman"/>
                <w:color w:val="auto"/>
                <w:spacing w:val="0"/>
                <w:w w:val="100"/>
                <w:position w:val="0"/>
                <w:sz w:val="24"/>
                <w:szCs w:val="24"/>
                <w:lang w:eastAsia="zh-CN"/>
              </w:rPr>
              <w:t>本项目</w:t>
            </w:r>
            <w:r>
              <w:rPr>
                <w:rFonts w:hint="default" w:ascii="Times New Roman" w:hAnsi="Times New Roman" w:eastAsia="宋体" w:cs="Times New Roman"/>
                <w:color w:val="auto"/>
                <w:spacing w:val="0"/>
                <w:w w:val="100"/>
                <w:position w:val="0"/>
                <w:sz w:val="24"/>
                <w:szCs w:val="24"/>
              </w:rPr>
              <w:t>每天接诊</w:t>
            </w:r>
            <w:r>
              <w:rPr>
                <w:rFonts w:hint="eastAsia" w:ascii="Times New Roman" w:hAnsi="Times New Roman" w:cs="Times New Roman"/>
                <w:color w:val="auto"/>
                <w:spacing w:val="0"/>
                <w:w w:val="100"/>
                <w:position w:val="0"/>
                <w:sz w:val="24"/>
                <w:szCs w:val="24"/>
                <w:lang w:val="en-US" w:eastAsia="zh-CN"/>
              </w:rPr>
              <w:t>90</w:t>
            </w:r>
            <w:r>
              <w:rPr>
                <w:rFonts w:hint="default" w:ascii="Times New Roman" w:hAnsi="Times New Roman" w:eastAsia="宋体" w:cs="Times New Roman"/>
                <w:color w:val="auto"/>
                <w:spacing w:val="0"/>
                <w:w w:val="100"/>
                <w:position w:val="0"/>
                <w:sz w:val="24"/>
                <w:szCs w:val="24"/>
              </w:rPr>
              <w:t>人次，医疗废物产生量为</w:t>
            </w:r>
            <w:r>
              <w:rPr>
                <w:rFonts w:hint="eastAsia" w:ascii="Times New Roman" w:hAnsi="Times New Roman" w:cs="Times New Roman"/>
                <w:color w:val="auto"/>
                <w:spacing w:val="0"/>
                <w:w w:val="100"/>
                <w:position w:val="0"/>
                <w:sz w:val="24"/>
                <w:szCs w:val="24"/>
                <w:lang w:val="en-US" w:eastAsia="zh-CN"/>
              </w:rPr>
              <w:t>4.5</w:t>
            </w:r>
            <w:r>
              <w:rPr>
                <w:rFonts w:hint="default" w:ascii="Times New Roman" w:hAnsi="Times New Roman" w:eastAsia="宋体" w:cs="Times New Roman"/>
                <w:color w:val="auto"/>
                <w:spacing w:val="0"/>
                <w:w w:val="100"/>
                <w:position w:val="0"/>
                <w:sz w:val="24"/>
                <w:szCs w:val="24"/>
              </w:rPr>
              <w:t>t/a。</w:t>
            </w:r>
          </w:p>
          <w:p w14:paraId="269D40E6">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损伤性废物包括各种医用针头、各类医用锐器等</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年产生量约为0.</w:t>
            </w:r>
            <w:r>
              <w:rPr>
                <w:rFonts w:hint="eastAsia" w:ascii="Times New Roman" w:hAnsi="Times New Roman" w:eastAsia="宋体" w:cs="Times New Roman"/>
                <w:color w:val="auto"/>
                <w:spacing w:val="0"/>
                <w:w w:val="100"/>
                <w:position w:val="0"/>
                <w:sz w:val="24"/>
                <w:szCs w:val="24"/>
                <w:lang w:val="en-US" w:eastAsia="zh-CN"/>
              </w:rPr>
              <w:t>3</w:t>
            </w:r>
            <w:r>
              <w:rPr>
                <w:rFonts w:hint="eastAsia" w:ascii="Times New Roman" w:hAnsi="Times New Roman" w:cs="Times New Roman"/>
                <w:color w:val="auto"/>
                <w:spacing w:val="0"/>
                <w:w w:val="100"/>
                <w:position w:val="0"/>
                <w:sz w:val="24"/>
                <w:szCs w:val="24"/>
                <w:lang w:val="en-US" w:eastAsia="zh-CN"/>
              </w:rPr>
              <w:t>3</w:t>
            </w:r>
            <w:r>
              <w:rPr>
                <w:rFonts w:hint="default" w:ascii="Times New Roman" w:hAnsi="Times New Roman" w:eastAsia="宋体" w:cs="Times New Roman"/>
                <w:color w:val="auto"/>
                <w:spacing w:val="0"/>
                <w:w w:val="100"/>
                <w:position w:val="0"/>
                <w:sz w:val="24"/>
                <w:szCs w:val="24"/>
              </w:rPr>
              <w:t>t/a。</w:t>
            </w:r>
          </w:p>
          <w:p w14:paraId="503CDB53">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病理性废物指诊疗过程中产生的人体废弃物和医学实验动物尸体等</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年产生量约为0.0</w:t>
            </w:r>
            <w:r>
              <w:rPr>
                <w:rFonts w:hint="eastAsia" w:ascii="Times New Roman" w:hAnsi="Times New Roman" w:cs="Times New Roman"/>
                <w:color w:val="auto"/>
                <w:spacing w:val="0"/>
                <w:w w:val="100"/>
                <w:position w:val="0"/>
                <w:sz w:val="24"/>
                <w:szCs w:val="24"/>
                <w:lang w:val="en-US" w:eastAsia="zh-CN"/>
              </w:rPr>
              <w:t>2</w:t>
            </w:r>
            <w:r>
              <w:rPr>
                <w:rFonts w:hint="eastAsia" w:ascii="Times New Roman" w:hAnsi="Times New Roman" w:eastAsia="宋体" w:cs="Times New Roman"/>
                <w:color w:val="auto"/>
                <w:spacing w:val="0"/>
                <w:w w:val="100"/>
                <w:position w:val="0"/>
                <w:sz w:val="24"/>
                <w:szCs w:val="24"/>
                <w:lang w:val="en-US" w:eastAsia="zh-CN"/>
              </w:rPr>
              <w:t>2</w:t>
            </w:r>
            <w:r>
              <w:rPr>
                <w:rFonts w:hint="default" w:ascii="Times New Roman" w:hAnsi="Times New Roman" w:eastAsia="宋体" w:cs="Times New Roman"/>
                <w:color w:val="auto"/>
                <w:spacing w:val="0"/>
                <w:w w:val="100"/>
                <w:position w:val="0"/>
                <w:sz w:val="24"/>
                <w:szCs w:val="24"/>
              </w:rPr>
              <w:t>t/a。</w:t>
            </w:r>
          </w:p>
          <w:p w14:paraId="2DEBA736">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药物性废物指过期、淘汰、变质或者被污染的废弃的药品，包括废弃的一般性药品、细胞毒性药物和遗传毒性药物、疫苗等。</w:t>
            </w:r>
            <w:r>
              <w:rPr>
                <w:rFonts w:hint="eastAsia" w:ascii="Times New Roman" w:hAnsi="Times New Roman" w:eastAsia="宋体" w:cs="Times New Roman"/>
                <w:color w:val="auto"/>
                <w:spacing w:val="0"/>
                <w:w w:val="100"/>
                <w:position w:val="0"/>
                <w:sz w:val="24"/>
                <w:szCs w:val="24"/>
                <w:lang w:eastAsia="zh-CN"/>
              </w:rPr>
              <w:t>经类比康视眼科报告，</w:t>
            </w:r>
            <w:r>
              <w:rPr>
                <w:rFonts w:hint="default" w:ascii="Times New Roman" w:hAnsi="Times New Roman" w:eastAsia="宋体" w:cs="Times New Roman"/>
                <w:color w:val="auto"/>
                <w:spacing w:val="0"/>
                <w:w w:val="100"/>
                <w:position w:val="0"/>
                <w:sz w:val="24"/>
                <w:szCs w:val="24"/>
              </w:rPr>
              <w:t>年产生量约为0.0</w:t>
            </w:r>
            <w:r>
              <w:rPr>
                <w:rFonts w:hint="eastAsia" w:ascii="Times New Roman" w:hAnsi="Times New Roman" w:cs="Times New Roman"/>
                <w:color w:val="auto"/>
                <w:spacing w:val="0"/>
                <w:w w:val="100"/>
                <w:position w:val="0"/>
                <w:sz w:val="24"/>
                <w:szCs w:val="24"/>
                <w:lang w:val="en-US" w:eastAsia="zh-CN"/>
              </w:rPr>
              <w:t>2</w:t>
            </w:r>
            <w:r>
              <w:rPr>
                <w:rFonts w:hint="eastAsia" w:ascii="Times New Roman" w:hAnsi="Times New Roman" w:eastAsia="宋体" w:cs="Times New Roman"/>
                <w:color w:val="auto"/>
                <w:spacing w:val="0"/>
                <w:w w:val="100"/>
                <w:position w:val="0"/>
                <w:sz w:val="24"/>
                <w:szCs w:val="24"/>
                <w:lang w:val="en-US" w:eastAsia="zh-CN"/>
              </w:rPr>
              <w:t>2</w:t>
            </w:r>
            <w:r>
              <w:rPr>
                <w:rFonts w:hint="default" w:ascii="Times New Roman" w:hAnsi="Times New Roman" w:eastAsia="宋体" w:cs="Times New Roman"/>
                <w:color w:val="auto"/>
                <w:spacing w:val="0"/>
                <w:w w:val="100"/>
                <w:position w:val="0"/>
                <w:sz w:val="24"/>
                <w:szCs w:val="24"/>
              </w:rPr>
              <w:t>t/a。</w:t>
            </w:r>
          </w:p>
          <w:p w14:paraId="7AAFB47A">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化学性废物包括废弃的汞血压计、汞温度计，盛装消毒剂的废玻璃瓶、废弃的化学试剂盒等，</w:t>
            </w:r>
            <w:r>
              <w:rPr>
                <w:rFonts w:hint="eastAsia" w:ascii="Times New Roman" w:hAnsi="Times New Roman" w:eastAsia="宋体" w:cs="Times New Roman"/>
                <w:color w:val="auto"/>
                <w:spacing w:val="0"/>
                <w:w w:val="100"/>
                <w:position w:val="0"/>
                <w:sz w:val="24"/>
                <w:szCs w:val="24"/>
                <w:lang w:eastAsia="zh-CN"/>
              </w:rPr>
              <w:t>经类比康视眼科报告，</w:t>
            </w:r>
            <w:r>
              <w:rPr>
                <w:rFonts w:hint="default" w:ascii="Times New Roman" w:hAnsi="Times New Roman" w:eastAsia="宋体" w:cs="Times New Roman"/>
                <w:color w:val="auto"/>
                <w:spacing w:val="0"/>
                <w:w w:val="100"/>
                <w:position w:val="0"/>
                <w:sz w:val="24"/>
                <w:szCs w:val="24"/>
              </w:rPr>
              <w:t>年产生量约为0.0</w:t>
            </w:r>
            <w:r>
              <w:rPr>
                <w:rFonts w:hint="eastAsia" w:ascii="Times New Roman" w:hAnsi="Times New Roman" w:eastAsia="宋体" w:cs="Times New Roman"/>
                <w:color w:val="auto"/>
                <w:spacing w:val="0"/>
                <w:w w:val="100"/>
                <w:position w:val="0"/>
                <w:sz w:val="24"/>
                <w:szCs w:val="24"/>
                <w:lang w:val="en-US" w:eastAsia="zh-CN"/>
              </w:rPr>
              <w:t>5</w:t>
            </w:r>
            <w:r>
              <w:rPr>
                <w:rFonts w:hint="eastAsia" w:ascii="Times New Roman" w:hAnsi="Times New Roman" w:cs="Times New Roman"/>
                <w:color w:val="auto"/>
                <w:spacing w:val="0"/>
                <w:w w:val="100"/>
                <w:position w:val="0"/>
                <w:sz w:val="24"/>
                <w:szCs w:val="24"/>
                <w:lang w:val="en-US" w:eastAsia="zh-CN"/>
              </w:rPr>
              <w:t>5</w:t>
            </w:r>
            <w:r>
              <w:rPr>
                <w:rFonts w:hint="default" w:ascii="Times New Roman" w:hAnsi="Times New Roman" w:eastAsia="宋体" w:cs="Times New Roman"/>
                <w:color w:val="auto"/>
                <w:spacing w:val="0"/>
                <w:w w:val="100"/>
                <w:position w:val="0"/>
                <w:sz w:val="24"/>
                <w:szCs w:val="24"/>
              </w:rPr>
              <w:t>t/a。</w:t>
            </w:r>
          </w:p>
          <w:p w14:paraId="060D7E89">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以上医疗废物产生量共</w:t>
            </w:r>
            <w:r>
              <w:rPr>
                <w:rFonts w:hint="eastAsia" w:ascii="Times New Roman" w:hAnsi="Times New Roman" w:cs="Times New Roman"/>
                <w:color w:val="auto"/>
                <w:spacing w:val="0"/>
                <w:w w:val="100"/>
                <w:position w:val="0"/>
                <w:sz w:val="24"/>
                <w:szCs w:val="24"/>
                <w:lang w:val="en-US" w:eastAsia="zh-CN"/>
              </w:rPr>
              <w:t>14.105</w:t>
            </w:r>
            <w:r>
              <w:rPr>
                <w:rFonts w:hint="default" w:ascii="Times New Roman" w:hAnsi="Times New Roman" w:eastAsia="宋体" w:cs="Times New Roman"/>
                <w:color w:val="auto"/>
                <w:spacing w:val="0"/>
                <w:w w:val="100"/>
                <w:position w:val="0"/>
                <w:sz w:val="24"/>
                <w:szCs w:val="24"/>
              </w:rPr>
              <w:t>t/a，医疗废物经</w:t>
            </w:r>
            <w:r>
              <w:rPr>
                <w:rFonts w:hint="eastAsia" w:ascii="Times New Roman" w:hAnsi="Times New Roman" w:eastAsia="宋体" w:cs="Times New Roman"/>
                <w:color w:val="auto"/>
                <w:spacing w:val="0"/>
                <w:w w:val="100"/>
                <w:position w:val="0"/>
                <w:sz w:val="24"/>
                <w:szCs w:val="24"/>
                <w:lang w:eastAsia="zh-CN"/>
              </w:rPr>
              <w:t>分类</w:t>
            </w:r>
            <w:r>
              <w:rPr>
                <w:rFonts w:hint="default" w:ascii="Times New Roman" w:hAnsi="Times New Roman" w:eastAsia="宋体" w:cs="Times New Roman"/>
                <w:color w:val="auto"/>
                <w:spacing w:val="0"/>
                <w:w w:val="100"/>
                <w:position w:val="0"/>
                <w:sz w:val="24"/>
                <w:szCs w:val="24"/>
              </w:rPr>
              <w:t>收集后暂存于</w:t>
            </w:r>
            <w:r>
              <w:rPr>
                <w:rFonts w:hint="eastAsia" w:ascii="Times New Roman" w:hAnsi="Times New Roman" w:cs="Times New Roman"/>
                <w:color w:val="auto"/>
                <w:spacing w:val="0"/>
                <w:w w:val="100"/>
                <w:position w:val="0"/>
                <w:sz w:val="24"/>
                <w:szCs w:val="24"/>
                <w:lang w:val="en-US" w:eastAsia="zh-CN"/>
              </w:rPr>
              <w:t>医疗废物暂存间</w:t>
            </w:r>
            <w:r>
              <w:rPr>
                <w:rFonts w:hint="default" w:ascii="Times New Roman" w:hAnsi="Times New Roman" w:eastAsia="宋体" w:cs="Times New Roman"/>
                <w:color w:val="auto"/>
                <w:spacing w:val="0"/>
                <w:w w:val="100"/>
                <w:position w:val="0"/>
                <w:sz w:val="24"/>
                <w:szCs w:val="24"/>
              </w:rPr>
              <w:t>，委托有资质单位处置。</w:t>
            </w:r>
          </w:p>
          <w:p w14:paraId="41A30224">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cs="Times New Roman"/>
                <w:color w:val="auto"/>
                <w:spacing w:val="0"/>
                <w:w w:val="100"/>
                <w:position w:val="0"/>
                <w:sz w:val="24"/>
                <w:szCs w:val="24"/>
                <w:vertAlign w:val="baseline"/>
                <w:lang w:val="en-US" w:eastAsia="zh-CN"/>
              </w:rPr>
            </w:pPr>
            <w:r>
              <w:rPr>
                <w:rFonts w:hint="eastAsia" w:ascii="Times New Roman" w:hAnsi="Times New Roman" w:cs="Times New Roman"/>
                <w:color w:val="auto"/>
                <w:spacing w:val="0"/>
                <w:w w:val="100"/>
                <w:position w:val="0"/>
                <w:sz w:val="24"/>
                <w:szCs w:val="24"/>
                <w:lang w:val="en-US" w:eastAsia="zh-CN"/>
              </w:rPr>
              <w:t>医疗废物暂存间依托可行性分析：本项目医疗废物暂存间依托原泗县新城中西结合医院的医疗废物暂存间（建筑面积约6m</w:t>
            </w:r>
            <w:r>
              <w:rPr>
                <w:rFonts w:hint="eastAsia" w:ascii="Times New Roman" w:hAnsi="Times New Roman" w:cs="Times New Roman"/>
                <w:color w:val="auto"/>
                <w:spacing w:val="0"/>
                <w:w w:val="100"/>
                <w:position w:val="0"/>
                <w:sz w:val="24"/>
                <w:szCs w:val="24"/>
                <w:vertAlign w:val="superscript"/>
                <w:lang w:val="en-US" w:eastAsia="zh-CN"/>
              </w:rPr>
              <w:t>2</w:t>
            </w:r>
            <w:r>
              <w:rPr>
                <w:rFonts w:hint="eastAsia" w:ascii="Times New Roman" w:hAnsi="Times New Roman" w:cs="Times New Roman"/>
                <w:color w:val="auto"/>
                <w:spacing w:val="0"/>
                <w:w w:val="100"/>
                <w:position w:val="0"/>
                <w:sz w:val="24"/>
                <w:szCs w:val="24"/>
                <w:lang w:val="en-US" w:eastAsia="zh-CN"/>
              </w:rPr>
              <w:t>），根据现场勘察，该暂存间无医疗废物，空置。本项目医疗废物产量为14.105t/a，贮存周期为2天，即每次最大存贮量约为78kg，本项目医疗废物暂存间6m</w:t>
            </w:r>
            <w:r>
              <w:rPr>
                <w:rFonts w:hint="eastAsia" w:ascii="Times New Roman" w:hAnsi="Times New Roman" w:cs="Times New Roman"/>
                <w:color w:val="auto"/>
                <w:spacing w:val="0"/>
                <w:w w:val="100"/>
                <w:position w:val="0"/>
                <w:sz w:val="24"/>
                <w:szCs w:val="24"/>
                <w:vertAlign w:val="superscript"/>
                <w:lang w:val="en-US" w:eastAsia="zh-CN"/>
              </w:rPr>
              <w:t>2</w:t>
            </w:r>
            <w:r>
              <w:rPr>
                <w:rFonts w:hint="eastAsia" w:ascii="Times New Roman" w:hAnsi="Times New Roman" w:cs="Times New Roman"/>
                <w:color w:val="auto"/>
                <w:spacing w:val="0"/>
                <w:w w:val="100"/>
                <w:position w:val="0"/>
                <w:sz w:val="24"/>
                <w:szCs w:val="24"/>
                <w:vertAlign w:val="baseline"/>
                <w:lang w:val="en-US" w:eastAsia="zh-CN"/>
              </w:rPr>
              <w:t>，可以满足项目需求。</w:t>
            </w:r>
          </w:p>
          <w:p w14:paraId="2C5178C4">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宋体" w:hAnsi="宋体" w:eastAsia="宋体" w:cs="宋体"/>
                <w:color w:val="auto"/>
                <w:spacing w:val="0"/>
                <w:w w:val="100"/>
                <w:position w:val="0"/>
                <w:sz w:val="24"/>
                <w:szCs w:val="24"/>
                <w:lang w:eastAsia="zh-CN"/>
              </w:rPr>
              <w:t>⑤</w:t>
            </w:r>
            <w:r>
              <w:rPr>
                <w:rFonts w:hint="eastAsia" w:cs="Times New Roman"/>
                <w:color w:val="auto"/>
                <w:sz w:val="24"/>
                <w:szCs w:val="24"/>
                <w:vertAlign w:val="baseline"/>
                <w:lang w:val="en-US" w:eastAsia="zh-CN"/>
              </w:rPr>
              <w:t>污水站污泥与栅渣</w:t>
            </w:r>
          </w:p>
          <w:p w14:paraId="48048192">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eastAsia" w:ascii="Times New Roman" w:hAnsi="Times New Roman" w:eastAsia="宋体" w:cs="Times New Roman"/>
                <w:color w:val="auto"/>
                <w:spacing w:val="0"/>
                <w:w w:val="100"/>
                <w:position w:val="0"/>
                <w:sz w:val="24"/>
                <w:szCs w:val="24"/>
                <w:lang w:eastAsia="zh-CN"/>
              </w:rPr>
            </w:pPr>
            <w:r>
              <w:rPr>
                <w:rFonts w:hint="eastAsia" w:ascii="Times New Roman" w:hAnsi="Times New Roman" w:eastAsia="宋体" w:cs="Times New Roman"/>
                <w:color w:val="auto"/>
                <w:spacing w:val="0"/>
                <w:w w:val="100"/>
                <w:position w:val="0"/>
                <w:sz w:val="24"/>
                <w:szCs w:val="24"/>
                <w:lang w:eastAsia="zh-CN"/>
              </w:rPr>
              <w:t>引用《首都医科大学附属北京安贞医院安徽医院项目环境影响报告书》（环建审〔2023〕30号）相</w:t>
            </w:r>
            <w:r>
              <w:rPr>
                <w:rFonts w:hint="default" w:ascii="Times New Roman" w:hAnsi="Times New Roman" w:eastAsia="宋体" w:cs="Times New Roman"/>
                <w:color w:val="auto"/>
                <w:spacing w:val="0"/>
                <w:w w:val="100"/>
                <w:position w:val="0"/>
                <w:sz w:val="24"/>
                <w:szCs w:val="24"/>
              </w:rPr>
              <w:t>关资料</w:t>
            </w:r>
            <w:r>
              <w:rPr>
                <w:rFonts w:hint="eastAsia" w:ascii="Times New Roman" w:hAnsi="Times New Roman" w:eastAsia="宋体" w:cs="Times New Roman"/>
                <w:color w:val="auto"/>
                <w:spacing w:val="0"/>
                <w:w w:val="100"/>
                <w:position w:val="0"/>
                <w:sz w:val="24"/>
                <w:szCs w:val="24"/>
                <w:lang w:eastAsia="zh-CN"/>
              </w:rPr>
              <w:t>。</w:t>
            </w:r>
          </w:p>
          <w:p w14:paraId="1F501FDB">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栅渣产生量约0.03m³/1000m³</w:t>
            </w:r>
            <w:r>
              <w:rPr>
                <w:rFonts w:hint="eastAsia"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含水率80%</w:t>
            </w:r>
            <w:r>
              <w:rPr>
                <w:rFonts w:hint="eastAsia"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容重960kg/m³。按此估算，本项目进入污水处理站废水量为</w:t>
            </w:r>
            <w:r>
              <w:rPr>
                <w:rFonts w:hint="eastAsia" w:ascii="Times New Roman" w:hAnsi="Times New Roman" w:cs="Times New Roman"/>
                <w:color w:val="auto"/>
                <w:spacing w:val="0"/>
                <w:w w:val="100"/>
                <w:position w:val="0"/>
                <w:sz w:val="24"/>
                <w:szCs w:val="24"/>
                <w:lang w:val="en-US" w:eastAsia="zh-CN"/>
              </w:rPr>
              <w:t>11309.233</w:t>
            </w:r>
            <w:r>
              <w:rPr>
                <w:rFonts w:hint="default" w:ascii="Times New Roman" w:hAnsi="Times New Roman" w:eastAsia="宋体" w:cs="Times New Roman"/>
                <w:color w:val="auto"/>
                <w:spacing w:val="0"/>
                <w:w w:val="100"/>
                <w:position w:val="0"/>
                <w:sz w:val="24"/>
                <w:szCs w:val="24"/>
              </w:rPr>
              <w:t>m³/</w:t>
            </w:r>
            <w:r>
              <w:rPr>
                <w:rFonts w:hint="eastAsia" w:ascii="Times New Roman" w:hAnsi="Times New Roman" w:eastAsia="宋体" w:cs="Times New Roman"/>
                <w:color w:val="auto"/>
                <w:spacing w:val="0"/>
                <w:w w:val="100"/>
                <w:position w:val="0"/>
                <w:sz w:val="24"/>
                <w:szCs w:val="24"/>
                <w:lang w:val="en-US" w:eastAsia="zh-CN"/>
              </w:rPr>
              <w:t>a，则</w:t>
            </w:r>
            <w:r>
              <w:rPr>
                <w:rFonts w:hint="default" w:ascii="Times New Roman" w:hAnsi="Times New Roman" w:eastAsia="宋体" w:cs="Times New Roman"/>
                <w:color w:val="auto"/>
                <w:spacing w:val="0"/>
                <w:w w:val="100"/>
                <w:position w:val="0"/>
                <w:sz w:val="24"/>
                <w:szCs w:val="24"/>
              </w:rPr>
              <w:t>新增格栅渣产生量约</w:t>
            </w:r>
            <w:r>
              <w:rPr>
                <w:rFonts w:hint="eastAsia" w:ascii="Times New Roman" w:hAnsi="Times New Roman" w:eastAsia="宋体" w:cs="Times New Roman"/>
                <w:color w:val="auto"/>
                <w:spacing w:val="0"/>
                <w:w w:val="100"/>
                <w:position w:val="0"/>
                <w:sz w:val="24"/>
                <w:szCs w:val="24"/>
                <w:lang w:val="en-US" w:eastAsia="zh-CN"/>
              </w:rPr>
              <w:t>0.</w:t>
            </w:r>
            <w:r>
              <w:rPr>
                <w:rFonts w:hint="eastAsia" w:ascii="Times New Roman" w:hAnsi="Times New Roman" w:cs="Times New Roman"/>
                <w:color w:val="auto"/>
                <w:spacing w:val="0"/>
                <w:w w:val="100"/>
                <w:position w:val="0"/>
                <w:sz w:val="24"/>
                <w:szCs w:val="24"/>
                <w:lang w:val="en-US" w:eastAsia="zh-CN"/>
              </w:rPr>
              <w:t>3256</w:t>
            </w:r>
            <w:r>
              <w:rPr>
                <w:rFonts w:hint="default" w:ascii="Times New Roman" w:hAnsi="Times New Roman" w:eastAsia="宋体" w:cs="Times New Roman"/>
                <w:color w:val="auto"/>
                <w:spacing w:val="0"/>
                <w:w w:val="100"/>
                <w:position w:val="0"/>
                <w:sz w:val="24"/>
                <w:szCs w:val="24"/>
              </w:rPr>
              <w:t>t/a。</w:t>
            </w:r>
          </w:p>
          <w:p w14:paraId="1D67EEE3">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污水处理污泥产量按照下式计算：</w:t>
            </w:r>
          </w:p>
          <w:p w14:paraId="28540C1A">
            <w:pPr>
              <w:pStyle w:val="141"/>
              <w:keepNext w:val="0"/>
              <w:keepLines w:val="0"/>
              <w:pageBreakBefore w:val="0"/>
              <w:kinsoku/>
              <w:wordWrap/>
              <w:overflowPunct/>
              <w:topLinePunct w:val="0"/>
              <w:autoSpaceDE/>
              <w:autoSpaceDN/>
              <w:bidi w:val="0"/>
              <w:spacing w:line="360" w:lineRule="auto"/>
              <w:ind w:left="0" w:leftChars="0" w:right="0" w:firstLine="0" w:firstLineChars="0"/>
              <w:jc w:val="center"/>
              <w:textAlignment w:val="auto"/>
              <w:rPr>
                <w:rFonts w:hint="eastAsia" w:ascii="Times New Roman" w:hAnsi="Times New Roman" w:eastAsia="宋体" w:cs="Times New Roman"/>
                <w:color w:val="auto"/>
                <w:spacing w:val="0"/>
                <w:w w:val="100"/>
                <w:position w:val="0"/>
                <w:sz w:val="24"/>
                <w:szCs w:val="24"/>
                <w:vertAlign w:val="subscript"/>
                <w:lang w:eastAsia="zh-CN"/>
              </w:rPr>
            </w:pPr>
            <w:r>
              <w:rPr>
                <w:rFonts w:hint="default" w:ascii="Times New Roman" w:hAnsi="Times New Roman" w:eastAsia="宋体" w:cs="Times New Roman"/>
                <w:color w:val="auto"/>
                <w:spacing w:val="0"/>
                <w:w w:val="100"/>
                <w:position w:val="0"/>
                <w:sz w:val="24"/>
                <w:szCs w:val="24"/>
              </w:rPr>
              <w:t>Y=Y</w:t>
            </w:r>
            <w:r>
              <w:rPr>
                <w:rFonts w:hint="default" w:ascii="Times New Roman" w:hAnsi="Times New Roman" w:eastAsia="宋体" w:cs="Times New Roman"/>
                <w:color w:val="auto"/>
                <w:spacing w:val="0"/>
                <w:w w:val="100"/>
                <w:position w:val="0"/>
                <w:sz w:val="24"/>
                <w:szCs w:val="24"/>
                <w:vertAlign w:val="subscript"/>
              </w:rPr>
              <w:t>T</w:t>
            </w:r>
            <w:r>
              <w:rPr>
                <w:rFonts w:hint="default" w:ascii="Times New Roman" w:hAnsi="Times New Roman" w:eastAsia="宋体" w:cs="Times New Roman"/>
                <w:color w:val="auto"/>
                <w:spacing w:val="0"/>
                <w:w w:val="100"/>
                <w:position w:val="0"/>
                <w:sz w:val="24"/>
                <w:szCs w:val="24"/>
              </w:rPr>
              <w:t>×Q×L</w:t>
            </w:r>
            <w:r>
              <w:rPr>
                <w:rFonts w:hint="eastAsia" w:ascii="Times New Roman" w:hAnsi="Times New Roman" w:eastAsia="宋体" w:cs="Times New Roman"/>
                <w:color w:val="auto"/>
                <w:spacing w:val="0"/>
                <w:w w:val="100"/>
                <w:position w:val="0"/>
                <w:sz w:val="24"/>
                <w:szCs w:val="24"/>
                <w:vertAlign w:val="subscript"/>
                <w:lang w:val="en-US" w:eastAsia="zh-CN"/>
              </w:rPr>
              <w:t>r</w:t>
            </w:r>
          </w:p>
          <w:p w14:paraId="6625B364">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eastAsia" w:ascii="Times New Roman" w:hAnsi="Times New Roman" w:eastAsia="宋体" w:cs="Times New Roman"/>
                <w:color w:val="auto"/>
                <w:spacing w:val="0"/>
                <w:w w:val="100"/>
                <w:position w:val="0"/>
                <w:sz w:val="24"/>
                <w:szCs w:val="24"/>
                <w:lang w:eastAsia="zh-CN"/>
              </w:rPr>
            </w:pPr>
            <w:r>
              <w:rPr>
                <w:rFonts w:hint="default" w:ascii="Times New Roman" w:hAnsi="Times New Roman" w:eastAsia="宋体" w:cs="Times New Roman"/>
                <w:color w:val="auto"/>
                <w:spacing w:val="0"/>
                <w:w w:val="100"/>
                <w:position w:val="0"/>
                <w:sz w:val="24"/>
                <w:szCs w:val="24"/>
              </w:rPr>
              <w:t>式中：Y——绝干污泥产量，g/d</w:t>
            </w:r>
            <w:r>
              <w:rPr>
                <w:rFonts w:hint="eastAsia" w:ascii="Times New Roman" w:hAnsi="Times New Roman" w:eastAsia="宋体" w:cs="Times New Roman"/>
                <w:color w:val="auto"/>
                <w:spacing w:val="0"/>
                <w:w w:val="100"/>
                <w:position w:val="0"/>
                <w:sz w:val="24"/>
                <w:szCs w:val="24"/>
                <w:lang w:eastAsia="zh-CN"/>
              </w:rPr>
              <w:t>；</w:t>
            </w:r>
          </w:p>
          <w:p w14:paraId="73169DA5">
            <w:pPr>
              <w:pStyle w:val="141"/>
              <w:keepNext w:val="0"/>
              <w:keepLines w:val="0"/>
              <w:pageBreakBefore w:val="0"/>
              <w:kinsoku/>
              <w:wordWrap/>
              <w:overflowPunct/>
              <w:topLinePunct w:val="0"/>
              <w:autoSpaceDE/>
              <w:autoSpaceDN/>
              <w:bidi w:val="0"/>
              <w:spacing w:line="360" w:lineRule="auto"/>
              <w:ind w:left="0" w:right="0" w:firstLine="1200" w:firstLineChars="500"/>
              <w:textAlignment w:val="auto"/>
              <w:rPr>
                <w:rFonts w:hint="eastAsia" w:ascii="Times New Roman" w:hAnsi="Times New Roman" w:eastAsia="宋体" w:cs="Times New Roman"/>
                <w:color w:val="auto"/>
                <w:spacing w:val="0"/>
                <w:w w:val="100"/>
                <w:position w:val="0"/>
                <w:sz w:val="24"/>
                <w:szCs w:val="24"/>
                <w:lang w:eastAsia="zh-CN"/>
              </w:rPr>
            </w:pPr>
            <w:r>
              <w:rPr>
                <w:rFonts w:hint="default" w:ascii="Times New Roman" w:hAnsi="Times New Roman" w:eastAsia="宋体" w:cs="Times New Roman"/>
                <w:color w:val="auto"/>
                <w:spacing w:val="0"/>
                <w:w w:val="100"/>
                <w:position w:val="0"/>
                <w:sz w:val="24"/>
                <w:szCs w:val="24"/>
              </w:rPr>
              <w:t>Q——处理量，本项目污水处理量为</w:t>
            </w:r>
            <w:r>
              <w:rPr>
                <w:rFonts w:hint="eastAsia" w:ascii="Times New Roman" w:hAnsi="Times New Roman" w:cs="Times New Roman"/>
                <w:color w:val="auto"/>
                <w:spacing w:val="0"/>
                <w:w w:val="100"/>
                <w:position w:val="0"/>
                <w:sz w:val="24"/>
                <w:szCs w:val="24"/>
                <w:lang w:val="en-US" w:eastAsia="zh-CN"/>
              </w:rPr>
              <w:t>30.984</w:t>
            </w:r>
            <w:r>
              <w:rPr>
                <w:rFonts w:hint="default" w:ascii="Times New Roman" w:hAnsi="Times New Roman" w:eastAsia="宋体" w:cs="Times New Roman"/>
                <w:color w:val="auto"/>
                <w:spacing w:val="0"/>
                <w:w w:val="100"/>
                <w:position w:val="0"/>
                <w:sz w:val="24"/>
                <w:szCs w:val="24"/>
              </w:rPr>
              <w:t>m³/</w:t>
            </w:r>
            <w:r>
              <w:rPr>
                <w:rFonts w:hint="eastAsia" w:ascii="Times New Roman" w:hAnsi="Times New Roman" w:eastAsia="宋体" w:cs="Times New Roman"/>
                <w:color w:val="auto"/>
                <w:spacing w:val="0"/>
                <w:w w:val="100"/>
                <w:position w:val="0"/>
                <w:sz w:val="24"/>
                <w:szCs w:val="24"/>
                <w:lang w:val="en-US" w:eastAsia="zh-CN"/>
              </w:rPr>
              <w:t>d；</w:t>
            </w:r>
          </w:p>
          <w:p w14:paraId="6B1D129C">
            <w:pPr>
              <w:pStyle w:val="141"/>
              <w:keepNext w:val="0"/>
              <w:keepLines w:val="0"/>
              <w:pageBreakBefore w:val="0"/>
              <w:kinsoku/>
              <w:wordWrap/>
              <w:overflowPunct/>
              <w:topLinePunct w:val="0"/>
              <w:autoSpaceDE/>
              <w:autoSpaceDN/>
              <w:bidi w:val="0"/>
              <w:spacing w:line="360" w:lineRule="auto"/>
              <w:ind w:left="0" w:right="0" w:firstLine="1200" w:firstLineChars="500"/>
              <w:textAlignment w:val="auto"/>
              <w:rPr>
                <w:rFonts w:hint="eastAsia" w:ascii="Times New Roman" w:hAnsi="Times New Roman" w:eastAsia="宋体" w:cs="Times New Roman"/>
                <w:color w:val="auto"/>
                <w:spacing w:val="0"/>
                <w:w w:val="100"/>
                <w:position w:val="0"/>
                <w:sz w:val="24"/>
                <w:szCs w:val="24"/>
                <w:lang w:eastAsia="zh-CN"/>
              </w:rPr>
            </w:pPr>
            <w:r>
              <w:rPr>
                <w:rFonts w:hint="default" w:ascii="Times New Roman" w:hAnsi="Times New Roman" w:eastAsia="宋体" w:cs="Times New Roman"/>
                <w:color w:val="auto"/>
                <w:spacing w:val="0"/>
                <w:w w:val="100"/>
                <w:position w:val="0"/>
                <w:sz w:val="24"/>
                <w:szCs w:val="24"/>
              </w:rPr>
              <w:t>L</w:t>
            </w:r>
            <w:r>
              <w:rPr>
                <w:rFonts w:hint="default" w:ascii="Times New Roman" w:hAnsi="Times New Roman" w:eastAsia="宋体" w:cs="Times New Roman"/>
                <w:color w:val="auto"/>
                <w:spacing w:val="0"/>
                <w:w w:val="100"/>
                <w:position w:val="0"/>
                <w:sz w:val="24"/>
                <w:szCs w:val="24"/>
                <w:vertAlign w:val="subscript"/>
              </w:rPr>
              <w:t>r</w:t>
            </w:r>
            <w:r>
              <w:rPr>
                <w:rFonts w:hint="default" w:ascii="Times New Roman" w:hAnsi="Times New Roman" w:eastAsia="宋体" w:cs="Times New Roman"/>
                <w:color w:val="auto"/>
                <w:spacing w:val="0"/>
                <w:w w:val="100"/>
                <w:position w:val="0"/>
                <w:sz w:val="24"/>
                <w:szCs w:val="24"/>
              </w:rPr>
              <w:t>——去除的BOD</w:t>
            </w:r>
            <w:r>
              <w:rPr>
                <w:rFonts w:hint="eastAsia" w:ascii="Times New Roman" w:hAnsi="Times New Roman" w:eastAsia="宋体" w:cs="Times New Roman"/>
                <w:color w:val="auto"/>
                <w:spacing w:val="0"/>
                <w:w w:val="100"/>
                <w:position w:val="0"/>
                <w:sz w:val="24"/>
                <w:szCs w:val="24"/>
                <w:vertAlign w:val="subscript"/>
                <w:lang w:val="en-US" w:eastAsia="zh-CN"/>
              </w:rPr>
              <w:t>5</w:t>
            </w:r>
            <w:r>
              <w:rPr>
                <w:rFonts w:hint="default" w:ascii="Times New Roman" w:hAnsi="Times New Roman" w:eastAsia="宋体" w:cs="Times New Roman"/>
                <w:color w:val="auto"/>
                <w:spacing w:val="0"/>
                <w:w w:val="100"/>
                <w:position w:val="0"/>
                <w:sz w:val="24"/>
                <w:szCs w:val="24"/>
              </w:rPr>
              <w:t>浓度，取</w:t>
            </w:r>
            <w:r>
              <w:rPr>
                <w:rFonts w:hint="eastAsia" w:ascii="Times New Roman" w:hAnsi="Times New Roman" w:cs="Times New Roman"/>
                <w:color w:val="auto"/>
                <w:spacing w:val="0"/>
                <w:w w:val="100"/>
                <w:position w:val="0"/>
                <w:sz w:val="24"/>
                <w:szCs w:val="24"/>
                <w:lang w:val="en-US" w:eastAsia="zh-CN"/>
              </w:rPr>
              <w:t>75</w:t>
            </w:r>
            <w:r>
              <w:rPr>
                <w:rFonts w:hint="default" w:ascii="Times New Roman" w:hAnsi="Times New Roman" w:eastAsia="宋体" w:cs="Times New Roman"/>
                <w:color w:val="auto"/>
                <w:spacing w:val="0"/>
                <w:w w:val="100"/>
                <w:position w:val="0"/>
                <w:sz w:val="24"/>
                <w:szCs w:val="24"/>
              </w:rPr>
              <w:t>mg/L</w:t>
            </w:r>
            <w:r>
              <w:rPr>
                <w:rFonts w:hint="eastAsia" w:ascii="Times New Roman" w:hAnsi="Times New Roman" w:eastAsia="宋体" w:cs="Times New Roman"/>
                <w:color w:val="auto"/>
                <w:spacing w:val="0"/>
                <w:w w:val="100"/>
                <w:position w:val="0"/>
                <w:sz w:val="24"/>
                <w:szCs w:val="24"/>
                <w:lang w:eastAsia="zh-CN"/>
              </w:rPr>
              <w:t>；</w:t>
            </w:r>
          </w:p>
          <w:p w14:paraId="116306D8">
            <w:pPr>
              <w:pStyle w:val="141"/>
              <w:keepNext w:val="0"/>
              <w:keepLines w:val="0"/>
              <w:pageBreakBefore w:val="0"/>
              <w:kinsoku/>
              <w:wordWrap/>
              <w:overflowPunct/>
              <w:topLinePunct w:val="0"/>
              <w:autoSpaceDE/>
              <w:autoSpaceDN/>
              <w:bidi w:val="0"/>
              <w:spacing w:line="360" w:lineRule="auto"/>
              <w:ind w:left="0" w:right="0" w:firstLine="1200" w:firstLineChars="5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Y</w:t>
            </w:r>
            <w:r>
              <w:rPr>
                <w:rFonts w:hint="default" w:ascii="Times New Roman" w:hAnsi="Times New Roman" w:eastAsia="宋体" w:cs="Times New Roman"/>
                <w:color w:val="auto"/>
                <w:spacing w:val="0"/>
                <w:w w:val="100"/>
                <w:position w:val="0"/>
                <w:sz w:val="24"/>
                <w:szCs w:val="24"/>
                <w:vertAlign w:val="subscript"/>
              </w:rPr>
              <w:t>T</w:t>
            </w:r>
            <w:r>
              <w:rPr>
                <w:rFonts w:hint="default" w:ascii="Times New Roman" w:hAnsi="Times New Roman" w:eastAsia="宋体" w:cs="Times New Roman"/>
                <w:color w:val="auto"/>
                <w:spacing w:val="0"/>
                <w:w w:val="100"/>
                <w:position w:val="0"/>
                <w:sz w:val="24"/>
                <w:szCs w:val="24"/>
              </w:rPr>
              <w:t>——污泥产量系数，0.4~0.8</w:t>
            </w:r>
            <w:r>
              <w:rPr>
                <w:rFonts w:hint="eastAsia" w:ascii="Times New Roman" w:hAnsi="Times New Roman" w:eastAsia="宋体"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本报告取0.</w:t>
            </w:r>
            <w:r>
              <w:rPr>
                <w:rFonts w:hint="eastAsia" w:ascii="Times New Roman" w:hAnsi="Times New Roman" w:eastAsia="宋体" w:cs="Times New Roman"/>
                <w:color w:val="auto"/>
                <w:spacing w:val="0"/>
                <w:w w:val="100"/>
                <w:position w:val="0"/>
                <w:sz w:val="24"/>
                <w:szCs w:val="24"/>
                <w:lang w:val="en-US" w:eastAsia="zh-CN"/>
              </w:rPr>
              <w:t>6</w:t>
            </w:r>
            <w:r>
              <w:rPr>
                <w:rFonts w:hint="default" w:ascii="Times New Roman" w:hAnsi="Times New Roman" w:eastAsia="宋体" w:cs="Times New Roman"/>
                <w:color w:val="auto"/>
                <w:spacing w:val="0"/>
                <w:w w:val="100"/>
                <w:position w:val="0"/>
                <w:sz w:val="24"/>
                <w:szCs w:val="24"/>
              </w:rPr>
              <w:t>。</w:t>
            </w:r>
          </w:p>
          <w:p w14:paraId="4F412EC1">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根据以上公式计算本项目污水处理设施剩余污泥绝干量约</w:t>
            </w:r>
            <w:r>
              <w:rPr>
                <w:rFonts w:hint="eastAsia" w:ascii="Times New Roman" w:hAnsi="Times New Roman" w:cs="Times New Roman"/>
                <w:color w:val="auto"/>
                <w:spacing w:val="0"/>
                <w:w w:val="100"/>
                <w:position w:val="0"/>
                <w:sz w:val="24"/>
                <w:szCs w:val="24"/>
                <w:lang w:val="en-US" w:eastAsia="zh-CN"/>
              </w:rPr>
              <w:t>1.3943</w:t>
            </w:r>
            <w:r>
              <w:rPr>
                <w:rFonts w:hint="default" w:ascii="Times New Roman" w:hAnsi="Times New Roman" w:eastAsia="宋体" w:cs="Times New Roman"/>
                <w:color w:val="auto"/>
                <w:spacing w:val="0"/>
                <w:w w:val="100"/>
                <w:position w:val="0"/>
                <w:sz w:val="24"/>
                <w:szCs w:val="24"/>
              </w:rPr>
              <w:t>kg/d(</w:t>
            </w:r>
            <w:r>
              <w:rPr>
                <w:rFonts w:hint="eastAsia" w:ascii="Times New Roman" w:hAnsi="Times New Roman" w:eastAsia="宋体" w:cs="Times New Roman"/>
                <w:color w:val="auto"/>
                <w:spacing w:val="0"/>
                <w:w w:val="100"/>
                <w:position w:val="0"/>
                <w:sz w:val="24"/>
                <w:szCs w:val="24"/>
                <w:lang w:val="en-US" w:eastAsia="zh-CN"/>
              </w:rPr>
              <w:t>0.</w:t>
            </w:r>
            <w:r>
              <w:rPr>
                <w:rFonts w:hint="eastAsia" w:ascii="Times New Roman" w:hAnsi="Times New Roman" w:cs="Times New Roman"/>
                <w:color w:val="auto"/>
                <w:spacing w:val="0"/>
                <w:w w:val="100"/>
                <w:position w:val="0"/>
                <w:sz w:val="24"/>
                <w:szCs w:val="24"/>
                <w:lang w:val="en-US" w:eastAsia="zh-CN"/>
              </w:rPr>
              <w:t>5089</w:t>
            </w:r>
            <w:r>
              <w:rPr>
                <w:rFonts w:hint="default" w:ascii="Times New Roman" w:hAnsi="Times New Roman" w:eastAsia="宋体" w:cs="Times New Roman"/>
                <w:color w:val="auto"/>
                <w:spacing w:val="0"/>
                <w:w w:val="100"/>
                <w:position w:val="0"/>
                <w:sz w:val="24"/>
                <w:szCs w:val="24"/>
              </w:rPr>
              <w:t>t/a)。剩余污泥含水率在99%以上，计算污泥产生量</w:t>
            </w:r>
            <w:r>
              <w:rPr>
                <w:rFonts w:hint="eastAsia" w:ascii="Times New Roman" w:hAnsi="Times New Roman" w:cs="Times New Roman"/>
                <w:color w:val="auto"/>
                <w:spacing w:val="0"/>
                <w:w w:val="100"/>
                <w:position w:val="0"/>
                <w:sz w:val="24"/>
                <w:szCs w:val="24"/>
                <w:lang w:val="en-US" w:eastAsia="zh-CN"/>
              </w:rPr>
              <w:t>50.89</w:t>
            </w:r>
            <w:r>
              <w:rPr>
                <w:rFonts w:hint="default" w:ascii="Times New Roman" w:hAnsi="Times New Roman" w:eastAsia="宋体" w:cs="Times New Roman"/>
                <w:color w:val="auto"/>
                <w:spacing w:val="0"/>
                <w:w w:val="100"/>
                <w:position w:val="0"/>
                <w:sz w:val="24"/>
                <w:szCs w:val="24"/>
              </w:rPr>
              <w:t>t/a。则污水处理站污泥、栅渣合计外运量约</w:t>
            </w:r>
            <w:r>
              <w:rPr>
                <w:rFonts w:hint="eastAsia" w:ascii="Times New Roman" w:hAnsi="Times New Roman" w:cs="Times New Roman"/>
                <w:color w:val="auto"/>
                <w:spacing w:val="0"/>
                <w:w w:val="100"/>
                <w:position w:val="0"/>
                <w:sz w:val="24"/>
                <w:szCs w:val="24"/>
                <w:lang w:val="en-US" w:eastAsia="zh-CN"/>
              </w:rPr>
              <w:t>51.2156</w:t>
            </w:r>
            <w:r>
              <w:rPr>
                <w:rFonts w:hint="default" w:ascii="Times New Roman" w:hAnsi="Times New Roman" w:eastAsia="宋体" w:cs="Times New Roman"/>
                <w:color w:val="auto"/>
                <w:spacing w:val="0"/>
                <w:w w:val="100"/>
                <w:position w:val="0"/>
                <w:sz w:val="24"/>
                <w:szCs w:val="24"/>
              </w:rPr>
              <w:t>t/a。</w:t>
            </w:r>
          </w:p>
          <w:p w14:paraId="72F25DDC">
            <w:pPr>
              <w:keepNext w:val="0"/>
              <w:keepLines w:val="0"/>
              <w:pageBreakBefore w:val="0"/>
              <w:widowControl w:val="0"/>
              <w:kinsoku/>
              <w:wordWrap/>
              <w:overflowPunct/>
              <w:topLinePunct w:val="0"/>
              <w:autoSpaceDE/>
              <w:autoSpaceDN/>
              <w:bidi w:val="0"/>
              <w:adjustRightInd/>
              <w:snapToGrid/>
              <w:spacing w:line="360" w:lineRule="auto"/>
              <w:ind w:left="0" w:right="0" w:firstLine="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sz w:val="24"/>
                <w:szCs w:val="24"/>
              </w:rPr>
              <w:t>对照《固体废物鉴别标准 通则》（GB34330-2017），</w:t>
            </w:r>
            <w:r>
              <w:rPr>
                <w:rFonts w:hint="default" w:ascii="Times New Roman" w:hAnsi="Times New Roman" w:eastAsia="宋体" w:cs="Times New Roman"/>
                <w:color w:val="auto"/>
                <w:spacing w:val="0"/>
                <w:w w:val="100"/>
                <w:position w:val="0"/>
                <w:sz w:val="24"/>
                <w:szCs w:val="24"/>
              </w:rPr>
              <w:t>污水处理站污泥、栅渣</w:t>
            </w:r>
            <w:r>
              <w:rPr>
                <w:rFonts w:hint="default" w:ascii="Times New Roman" w:hAnsi="Times New Roman" w:eastAsia="宋体" w:cs="Times New Roman"/>
                <w:color w:val="auto"/>
                <w:spacing w:val="0"/>
                <w:w w:val="100"/>
                <w:sz w:val="24"/>
                <w:szCs w:val="24"/>
              </w:rPr>
              <w:t>属于</w:t>
            </w:r>
            <w:r>
              <w:rPr>
                <w:rFonts w:hint="eastAsia" w:ascii="Times New Roman" w:hAnsi="Times New Roman" w:eastAsia="宋体" w:cs="Times New Roman"/>
                <w:color w:val="auto"/>
                <w:spacing w:val="0"/>
                <w:w w:val="100"/>
                <w:sz w:val="24"/>
                <w:szCs w:val="24"/>
                <w:lang w:eastAsia="zh-CN"/>
              </w:rPr>
              <w:t>“</w:t>
            </w:r>
            <w:r>
              <w:rPr>
                <w:rFonts w:hint="default" w:ascii="Times New Roman" w:hAnsi="Times New Roman" w:eastAsia="宋体" w:cs="Times New Roman"/>
                <w:color w:val="auto"/>
                <w:spacing w:val="0"/>
                <w:w w:val="100"/>
                <w:sz w:val="24"/>
                <w:szCs w:val="24"/>
              </w:rPr>
              <w:t>4.3 环境治理和污染控制过程中产生的物质第</w:t>
            </w:r>
            <w:r>
              <w:rPr>
                <w:rFonts w:hint="eastAsia" w:cs="Times New Roman"/>
                <w:color w:val="auto"/>
                <w:spacing w:val="0"/>
                <w:w w:val="100"/>
                <w:sz w:val="24"/>
                <w:szCs w:val="24"/>
                <w:lang w:val="en-US" w:eastAsia="zh-CN"/>
              </w:rPr>
              <w:t>e</w:t>
            </w:r>
            <w:r>
              <w:rPr>
                <w:rFonts w:hint="default" w:ascii="Times New Roman" w:hAnsi="Times New Roman" w:eastAsia="宋体" w:cs="Times New Roman"/>
                <w:color w:val="auto"/>
                <w:spacing w:val="0"/>
                <w:w w:val="100"/>
                <w:sz w:val="24"/>
                <w:szCs w:val="24"/>
              </w:rPr>
              <w:t>类物质</w:t>
            </w:r>
            <w:r>
              <w:rPr>
                <w:rFonts w:hint="eastAsia" w:ascii="Times New Roman" w:hAnsi="Times New Roman" w:eastAsia="宋体" w:cs="Times New Roman"/>
                <w:color w:val="auto"/>
                <w:spacing w:val="0"/>
                <w:w w:val="100"/>
                <w:sz w:val="24"/>
                <w:szCs w:val="24"/>
                <w:lang w:eastAsia="zh-CN"/>
              </w:rPr>
              <w:t>”</w:t>
            </w:r>
            <w:r>
              <w:rPr>
                <w:rFonts w:hint="default" w:ascii="Times New Roman" w:hAnsi="Times New Roman" w:eastAsia="宋体" w:cs="Times New Roman"/>
                <w:color w:val="auto"/>
                <w:spacing w:val="0"/>
                <w:w w:val="100"/>
                <w:sz w:val="24"/>
                <w:szCs w:val="24"/>
              </w:rPr>
              <w:t>，属于固体废物。</w:t>
            </w:r>
          </w:p>
          <w:p w14:paraId="63B1E9CC">
            <w:pPr>
              <w:keepNext w:val="0"/>
              <w:keepLines w:val="0"/>
              <w:pageBreakBefore w:val="0"/>
              <w:widowControl w:val="0"/>
              <w:kinsoku/>
              <w:wordWrap/>
              <w:overflowPunct/>
              <w:topLinePunct w:val="0"/>
              <w:autoSpaceDE/>
              <w:autoSpaceDN/>
              <w:bidi w:val="0"/>
              <w:adjustRightInd/>
              <w:snapToGrid/>
              <w:spacing w:line="360" w:lineRule="auto"/>
              <w:ind w:left="0" w:right="0" w:firstLine="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根据《医疗机构水污染物排放标准》</w:t>
            </w:r>
            <w:r>
              <w:rPr>
                <w:rFonts w:hint="eastAsia"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GB18466-2005</w:t>
            </w:r>
            <w:r>
              <w:rPr>
                <w:rFonts w:hint="eastAsia"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中4.3.1</w:t>
            </w:r>
            <w:r>
              <w:rPr>
                <w:rFonts w:hint="eastAsia"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栅渣、化粪池和污水处理站污泥属危险废物，应按危险废物进行处理和处置</w:t>
            </w:r>
            <w:r>
              <w:rPr>
                <w:rFonts w:hint="eastAsia"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。污泥由污泥泵入污泥池</w:t>
            </w:r>
            <w:r>
              <w:rPr>
                <w:rFonts w:hint="eastAsia"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加盖</w:t>
            </w:r>
            <w:r>
              <w:rPr>
                <w:rFonts w:hint="eastAsia"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暂存，清淘前加入石灰对污泥进行消毒处理，然后进行调质处理并进行监测，达到《医疗机构水污染物排放标准》</w:t>
            </w:r>
            <w:r>
              <w:rPr>
                <w:rFonts w:hint="eastAsia"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GB18466-2005</w:t>
            </w:r>
            <w:r>
              <w:rPr>
                <w:rFonts w:hint="eastAsia"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中表4医疗机构污泥控制标准后进行清淘，清淘出的污泥经过</w:t>
            </w:r>
            <w:r>
              <w:rPr>
                <w:rFonts w:hint="eastAsia" w:ascii="Times New Roman" w:hAnsi="Times New Roman" w:cs="Times New Roman"/>
                <w:color w:val="auto"/>
                <w:spacing w:val="0"/>
                <w:w w:val="100"/>
                <w:position w:val="0"/>
                <w:sz w:val="24"/>
                <w:szCs w:val="24"/>
                <w:lang w:eastAsia="zh-CN"/>
              </w:rPr>
              <w:t>消毒</w:t>
            </w:r>
            <w:r>
              <w:rPr>
                <w:rFonts w:hint="default" w:ascii="Times New Roman" w:hAnsi="Times New Roman" w:eastAsia="宋体" w:cs="Times New Roman"/>
                <w:color w:val="auto"/>
                <w:spacing w:val="0"/>
                <w:w w:val="100"/>
                <w:position w:val="0"/>
                <w:sz w:val="24"/>
                <w:szCs w:val="24"/>
              </w:rPr>
              <w:t>处理后作为危险废物交由</w:t>
            </w:r>
            <w:r>
              <w:rPr>
                <w:rFonts w:hint="eastAsia" w:ascii="Times New Roman" w:hAnsi="Times New Roman" w:eastAsia="宋体" w:cs="Times New Roman"/>
                <w:color w:val="auto"/>
                <w:spacing w:val="0"/>
                <w:w w:val="100"/>
                <w:position w:val="0"/>
                <w:sz w:val="24"/>
                <w:szCs w:val="24"/>
                <w:lang w:eastAsia="zh-CN"/>
              </w:rPr>
              <w:t>有资质</w:t>
            </w:r>
            <w:r>
              <w:rPr>
                <w:rFonts w:hint="default" w:ascii="Times New Roman" w:hAnsi="Times New Roman" w:eastAsia="宋体" w:cs="Times New Roman"/>
                <w:color w:val="auto"/>
                <w:spacing w:val="0"/>
                <w:w w:val="100"/>
                <w:position w:val="0"/>
                <w:sz w:val="24"/>
                <w:szCs w:val="24"/>
              </w:rPr>
              <w:t>单位处理。</w:t>
            </w:r>
          </w:p>
          <w:p w14:paraId="3A69778C">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olor w:val="auto"/>
                <w:sz w:val="24"/>
                <w:szCs w:val="24"/>
              </w:rPr>
            </w:pPr>
            <w:r>
              <w:rPr>
                <w:rFonts w:hint="default" w:ascii="Times New Roman" w:hAnsi="Times New Roman"/>
                <w:color w:val="auto"/>
                <w:sz w:val="24"/>
                <w:szCs w:val="24"/>
              </w:rPr>
              <w:t>根据《医院污水处理工程技术规范》</w:t>
            </w:r>
            <w:r>
              <w:rPr>
                <w:rFonts w:hint="eastAsia" w:ascii="Times New Roman" w:hAnsi="Times New Roman"/>
                <w:color w:val="auto"/>
                <w:sz w:val="24"/>
                <w:szCs w:val="24"/>
              </w:rPr>
              <w:t>（</w:t>
            </w:r>
            <w:r>
              <w:rPr>
                <w:rFonts w:hint="default" w:ascii="Times New Roman" w:hAnsi="Times New Roman"/>
                <w:color w:val="auto"/>
                <w:sz w:val="24"/>
                <w:szCs w:val="24"/>
              </w:rPr>
              <w:t>HJ2029-2013</w:t>
            </w:r>
            <w:r>
              <w:rPr>
                <w:rFonts w:hint="eastAsia" w:ascii="Times New Roman" w:hAnsi="Times New Roman"/>
                <w:color w:val="auto"/>
                <w:sz w:val="24"/>
                <w:szCs w:val="24"/>
              </w:rPr>
              <w:t>）</w:t>
            </w:r>
            <w:r>
              <w:rPr>
                <w:rFonts w:hint="default" w:ascii="Times New Roman" w:hAnsi="Times New Roman"/>
                <w:color w:val="auto"/>
                <w:sz w:val="24"/>
                <w:szCs w:val="24"/>
              </w:rPr>
              <w:t>，本项目污泥消毒应满足如下要求：</w:t>
            </w:r>
          </w:p>
          <w:p w14:paraId="512962B2">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olor w:val="auto"/>
                <w:sz w:val="24"/>
                <w:szCs w:val="24"/>
              </w:rPr>
            </w:pPr>
            <w:r>
              <w:rPr>
                <w:rFonts w:hint="default" w:ascii="Times New Roman" w:hAnsi="Times New Roman"/>
                <w:color w:val="auto"/>
                <w:sz w:val="24"/>
                <w:szCs w:val="24"/>
              </w:rPr>
              <w:t>a）污泥在贮泥池中进行消毒，贮泥池有效容积应不小于处理系统24h产泥量，且不宜小于1m</w:t>
            </w:r>
            <w:r>
              <w:rPr>
                <w:rFonts w:hint="default" w:ascii="Times New Roman" w:hAnsi="Times New Roman"/>
                <w:color w:val="auto"/>
                <w:sz w:val="24"/>
                <w:szCs w:val="24"/>
                <w:vertAlign w:val="superscript"/>
              </w:rPr>
              <w:t>3</w:t>
            </w:r>
            <w:r>
              <w:rPr>
                <w:rFonts w:hint="default" w:ascii="Times New Roman" w:hAnsi="Times New Roman"/>
                <w:color w:val="auto"/>
                <w:sz w:val="24"/>
                <w:szCs w:val="24"/>
              </w:rPr>
              <w:t>。</w:t>
            </w:r>
          </w:p>
          <w:p w14:paraId="5EB011B2">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olor w:val="auto"/>
                <w:sz w:val="24"/>
                <w:szCs w:val="24"/>
              </w:rPr>
            </w:pPr>
            <w:r>
              <w:rPr>
                <w:rFonts w:hint="default" w:ascii="Times New Roman" w:hAnsi="Times New Roman"/>
                <w:color w:val="auto"/>
                <w:sz w:val="24"/>
                <w:szCs w:val="24"/>
              </w:rPr>
              <w:t>贮泥池内需采取搅拌措施，以利于污泥加药消毒。</w:t>
            </w:r>
          </w:p>
          <w:p w14:paraId="084824DB">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olor w:val="auto"/>
                <w:sz w:val="24"/>
                <w:szCs w:val="24"/>
              </w:rPr>
            </w:pPr>
            <w:r>
              <w:rPr>
                <w:rFonts w:hint="default" w:ascii="Times New Roman" w:hAnsi="Times New Roman"/>
                <w:color w:val="auto"/>
                <w:sz w:val="24"/>
                <w:szCs w:val="24"/>
              </w:rPr>
              <w:t>b）污泥消毒一般采用化学消毒方式。常用的消毒药剂为石灰和漂白粉。采用石灰消毒，石灰投量约为15g/L污泥，使pH为11~12，搅拌均匀接触30~60min，并存放7天以上。</w:t>
            </w:r>
          </w:p>
          <w:p w14:paraId="38128772">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宋体" w:hAnsi="宋体" w:eastAsia="宋体" w:cs="宋体"/>
                <w:color w:val="auto"/>
                <w:spacing w:val="0"/>
                <w:w w:val="100"/>
                <w:sz w:val="24"/>
                <w:szCs w:val="24"/>
              </w:rPr>
            </w:pPr>
            <w:r>
              <w:rPr>
                <w:rFonts w:hint="default" w:ascii="Times New Roman" w:hAnsi="Times New Roman" w:cs="宋体"/>
                <w:color w:val="auto"/>
                <w:kern w:val="2"/>
                <w:sz w:val="24"/>
                <w:szCs w:val="24"/>
              </w:rPr>
              <w:t>采用漂白粉消毒，漂白粉投加量约为泥量的10~15%。条件允许，可采用紫外线辐照消毒。</w:t>
            </w:r>
          </w:p>
          <w:p w14:paraId="486C872D">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ascii="宋体" w:hAnsi="宋体" w:eastAsia="宋体" w:cs="宋体"/>
                <w:color w:val="auto"/>
                <w:spacing w:val="0"/>
                <w:w w:val="100"/>
                <w:sz w:val="24"/>
                <w:szCs w:val="24"/>
              </w:rPr>
            </w:pPr>
            <w:r>
              <w:rPr>
                <w:rFonts w:ascii="宋体" w:hAnsi="宋体" w:eastAsia="宋体" w:cs="宋体"/>
                <w:color w:val="auto"/>
                <w:spacing w:val="0"/>
                <w:w w:val="100"/>
                <w:sz w:val="24"/>
                <w:szCs w:val="24"/>
              </w:rPr>
              <w:t>根据《中华人民共和国固体废物污染环境防治法》（</w:t>
            </w:r>
            <w:r>
              <w:rPr>
                <w:rFonts w:ascii="Times New Roman" w:hAnsi="Times New Roman" w:eastAsia="Times New Roman" w:cs="Times New Roman"/>
                <w:color w:val="auto"/>
                <w:spacing w:val="0"/>
                <w:w w:val="100"/>
                <w:sz w:val="24"/>
                <w:szCs w:val="24"/>
              </w:rPr>
              <w:t>2020</w:t>
            </w:r>
            <w:r>
              <w:rPr>
                <w:rFonts w:ascii="宋体" w:hAnsi="宋体" w:eastAsia="宋体" w:cs="宋体"/>
                <w:color w:val="auto"/>
                <w:spacing w:val="0"/>
                <w:w w:val="100"/>
                <w:sz w:val="24"/>
                <w:szCs w:val="24"/>
              </w:rPr>
              <w:t>年</w:t>
            </w:r>
            <w:r>
              <w:rPr>
                <w:rFonts w:ascii="Times New Roman" w:hAnsi="Times New Roman" w:eastAsia="Times New Roman" w:cs="Times New Roman"/>
                <w:color w:val="auto"/>
                <w:spacing w:val="0"/>
                <w:w w:val="100"/>
                <w:sz w:val="24"/>
                <w:szCs w:val="24"/>
              </w:rPr>
              <w:t>4</w:t>
            </w:r>
            <w:r>
              <w:rPr>
                <w:rFonts w:ascii="宋体" w:hAnsi="宋体" w:eastAsia="宋体" w:cs="宋体"/>
                <w:color w:val="auto"/>
                <w:spacing w:val="0"/>
                <w:w w:val="100"/>
                <w:sz w:val="24"/>
                <w:szCs w:val="24"/>
              </w:rPr>
              <w:t>月</w:t>
            </w:r>
            <w:r>
              <w:rPr>
                <w:rFonts w:ascii="Times New Roman" w:hAnsi="Times New Roman" w:eastAsia="Times New Roman" w:cs="Times New Roman"/>
                <w:color w:val="auto"/>
                <w:spacing w:val="0"/>
                <w:w w:val="100"/>
                <w:sz w:val="24"/>
                <w:szCs w:val="24"/>
              </w:rPr>
              <w:t>29</w:t>
            </w:r>
            <w:r>
              <w:rPr>
                <w:rFonts w:ascii="宋体" w:hAnsi="宋体" w:eastAsia="宋体" w:cs="宋体"/>
                <w:color w:val="auto"/>
                <w:spacing w:val="0"/>
                <w:w w:val="100"/>
                <w:sz w:val="24"/>
                <w:szCs w:val="24"/>
              </w:rPr>
              <w:t>日修正）、《固体废物鉴别标准通则》（</w:t>
            </w:r>
            <w:r>
              <w:rPr>
                <w:rFonts w:ascii="Times New Roman" w:hAnsi="Times New Roman" w:eastAsia="Times New Roman" w:cs="Times New Roman"/>
                <w:color w:val="auto"/>
                <w:spacing w:val="0"/>
                <w:w w:val="100"/>
                <w:sz w:val="24"/>
                <w:szCs w:val="24"/>
              </w:rPr>
              <w:t>GB34330-2017</w:t>
            </w:r>
            <w:r>
              <w:rPr>
                <w:rFonts w:ascii="宋体" w:hAnsi="宋体" w:eastAsia="宋体" w:cs="宋体"/>
                <w:color w:val="auto"/>
                <w:spacing w:val="0"/>
                <w:w w:val="100"/>
                <w:sz w:val="24"/>
                <w:szCs w:val="24"/>
              </w:rPr>
              <w:t>）的规定，对建设项目产生的副产物（除目标产物，即：产品、副产品外），依据产生来源、利用和处置过程鉴别其是否属于固体废物。本项目的固体废物鉴别情况见</w:t>
            </w:r>
            <w:r>
              <w:rPr>
                <w:rFonts w:hint="eastAsia" w:ascii="Times New Roman" w:hAnsi="Times New Roman" w:eastAsia="宋体" w:cs="Times New Roman"/>
                <w:color w:val="auto"/>
                <w:spacing w:val="0"/>
                <w:w w:val="100"/>
                <w:sz w:val="24"/>
                <w:szCs w:val="24"/>
                <w:lang w:val="en-US" w:eastAsia="zh-CN"/>
              </w:rPr>
              <w:t>4-</w:t>
            </w:r>
            <w:r>
              <w:rPr>
                <w:rFonts w:hint="eastAsia" w:cs="Times New Roman"/>
                <w:color w:val="auto"/>
                <w:spacing w:val="0"/>
                <w:w w:val="100"/>
                <w:sz w:val="24"/>
                <w:szCs w:val="24"/>
                <w:lang w:val="en-US" w:eastAsia="zh-CN"/>
              </w:rPr>
              <w:t>16</w:t>
            </w:r>
            <w:r>
              <w:rPr>
                <w:rFonts w:ascii="宋体" w:hAnsi="宋体" w:eastAsia="宋体" w:cs="宋体"/>
                <w:color w:val="auto"/>
                <w:spacing w:val="0"/>
                <w:w w:val="100"/>
                <w:sz w:val="24"/>
                <w:szCs w:val="24"/>
              </w:rPr>
              <w:t>。</w:t>
            </w:r>
          </w:p>
          <w:p w14:paraId="7B2C7F9B">
            <w:pPr>
              <w:bidi w:val="0"/>
              <w:spacing w:line="240" w:lineRule="auto"/>
              <w:jc w:val="center"/>
              <w:rPr>
                <w:rFonts w:hint="default" w:ascii="Times New Roman" w:hAnsi="Times New Roman" w:eastAsia="宋体" w:cs="Times New Roman"/>
                <w:b/>
                <w:bCs/>
                <w:color w:val="auto"/>
                <w:spacing w:val="0"/>
                <w:w w:val="100"/>
                <w:szCs w:val="21"/>
              </w:rPr>
            </w:pPr>
            <w:r>
              <w:rPr>
                <w:rFonts w:hint="default"/>
                <w:b/>
                <w:bCs/>
                <w:sz w:val="21"/>
                <w:szCs w:val="21"/>
                <w:lang w:val="en-US" w:eastAsia="zh-CN"/>
              </w:rPr>
              <w:t>表4-</w:t>
            </w:r>
            <w:r>
              <w:rPr>
                <w:rFonts w:hint="eastAsia"/>
                <w:b/>
                <w:bCs/>
                <w:sz w:val="21"/>
                <w:szCs w:val="21"/>
                <w:lang w:val="en-US" w:eastAsia="zh-CN"/>
              </w:rPr>
              <w:t>16</w:t>
            </w:r>
            <w:r>
              <w:rPr>
                <w:rFonts w:hint="default"/>
                <w:b/>
                <w:bCs/>
                <w:sz w:val="21"/>
                <w:szCs w:val="21"/>
              </w:rPr>
              <w:t>拟建项目固体废物属性判定表</w:t>
            </w:r>
          </w:p>
          <w:tbl>
            <w:tblPr>
              <w:tblStyle w:val="142"/>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2"/>
              <w:gridCol w:w="1391"/>
              <w:gridCol w:w="1073"/>
              <w:gridCol w:w="635"/>
              <w:gridCol w:w="1465"/>
              <w:gridCol w:w="739"/>
              <w:gridCol w:w="877"/>
              <w:gridCol w:w="673"/>
              <w:gridCol w:w="542"/>
            </w:tblGrid>
            <w:tr w14:paraId="4605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502" w:type="dxa"/>
                  <w:vMerge w:val="restart"/>
                  <w:vAlign w:val="center"/>
                </w:tcPr>
                <w:p w14:paraId="351C9A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序号</w:t>
                  </w:r>
                </w:p>
              </w:tc>
              <w:tc>
                <w:tcPr>
                  <w:tcW w:w="1391" w:type="dxa"/>
                  <w:vMerge w:val="restart"/>
                  <w:vAlign w:val="center"/>
                </w:tcPr>
                <w:p w14:paraId="0DF364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物质名称</w:t>
                  </w:r>
                </w:p>
              </w:tc>
              <w:tc>
                <w:tcPr>
                  <w:tcW w:w="1073" w:type="dxa"/>
                  <w:vMerge w:val="restart"/>
                  <w:vAlign w:val="center"/>
                </w:tcPr>
                <w:p w14:paraId="2CE1E41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产生工序</w:t>
                  </w:r>
                </w:p>
              </w:tc>
              <w:tc>
                <w:tcPr>
                  <w:tcW w:w="635" w:type="dxa"/>
                  <w:vMerge w:val="restart"/>
                  <w:vAlign w:val="center"/>
                </w:tcPr>
                <w:p w14:paraId="0692E4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形态</w:t>
                  </w:r>
                </w:p>
              </w:tc>
              <w:tc>
                <w:tcPr>
                  <w:tcW w:w="1465" w:type="dxa"/>
                  <w:vMerge w:val="restart"/>
                  <w:vAlign w:val="center"/>
                </w:tcPr>
                <w:p w14:paraId="4FEC82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主要成分</w:t>
                  </w:r>
                </w:p>
              </w:tc>
              <w:tc>
                <w:tcPr>
                  <w:tcW w:w="739" w:type="dxa"/>
                  <w:vMerge w:val="restart"/>
                  <w:vAlign w:val="center"/>
                </w:tcPr>
                <w:p w14:paraId="7E183A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产生量 t/a</w:t>
                  </w:r>
                </w:p>
              </w:tc>
              <w:tc>
                <w:tcPr>
                  <w:tcW w:w="2092" w:type="dxa"/>
                  <w:gridSpan w:val="3"/>
                  <w:vAlign w:val="center"/>
                </w:tcPr>
                <w:p w14:paraId="11F948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种类判断</w:t>
                  </w:r>
                </w:p>
              </w:tc>
            </w:tr>
            <w:tr w14:paraId="23D9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502" w:type="dxa"/>
                  <w:vMerge w:val="continue"/>
                  <w:vAlign w:val="center"/>
                </w:tcPr>
                <w:p w14:paraId="449898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p>
              </w:tc>
              <w:tc>
                <w:tcPr>
                  <w:tcW w:w="1391" w:type="dxa"/>
                  <w:vMerge w:val="continue"/>
                  <w:vAlign w:val="center"/>
                </w:tcPr>
                <w:p w14:paraId="7E2C3A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p>
              </w:tc>
              <w:tc>
                <w:tcPr>
                  <w:tcW w:w="1073" w:type="dxa"/>
                  <w:vMerge w:val="continue"/>
                  <w:vAlign w:val="center"/>
                </w:tcPr>
                <w:p w14:paraId="64401E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p>
              </w:tc>
              <w:tc>
                <w:tcPr>
                  <w:tcW w:w="635" w:type="dxa"/>
                  <w:vMerge w:val="continue"/>
                  <w:vAlign w:val="center"/>
                </w:tcPr>
                <w:p w14:paraId="08A511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p>
              </w:tc>
              <w:tc>
                <w:tcPr>
                  <w:tcW w:w="1465" w:type="dxa"/>
                  <w:vMerge w:val="continue"/>
                  <w:vAlign w:val="center"/>
                </w:tcPr>
                <w:p w14:paraId="3CCD4D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p>
              </w:tc>
              <w:tc>
                <w:tcPr>
                  <w:tcW w:w="739" w:type="dxa"/>
                  <w:vMerge w:val="continue"/>
                  <w:vAlign w:val="center"/>
                </w:tcPr>
                <w:p w14:paraId="343B82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p>
              </w:tc>
              <w:tc>
                <w:tcPr>
                  <w:tcW w:w="877" w:type="dxa"/>
                  <w:vAlign w:val="center"/>
                </w:tcPr>
                <w:p w14:paraId="1977B1F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是否属于固体废物</w:t>
                  </w:r>
                </w:p>
              </w:tc>
              <w:tc>
                <w:tcPr>
                  <w:tcW w:w="1215" w:type="dxa"/>
                  <w:gridSpan w:val="2"/>
                  <w:vAlign w:val="center"/>
                </w:tcPr>
                <w:p w14:paraId="115389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判定依据</w:t>
                  </w:r>
                </w:p>
              </w:tc>
            </w:tr>
            <w:tr w14:paraId="275C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502" w:type="dxa"/>
                  <w:vAlign w:val="center"/>
                </w:tcPr>
                <w:p w14:paraId="56E4B8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1</w:t>
                  </w:r>
                </w:p>
              </w:tc>
              <w:tc>
                <w:tcPr>
                  <w:tcW w:w="1391" w:type="dxa"/>
                  <w:vAlign w:val="center"/>
                </w:tcPr>
                <w:p w14:paraId="21DA47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lang w:eastAsia="zh-CN"/>
                    </w:rPr>
                  </w:pPr>
                  <w:r>
                    <w:rPr>
                      <w:rFonts w:hint="eastAsia" w:cs="Times New Roman"/>
                      <w:color w:val="auto"/>
                      <w:kern w:val="2"/>
                      <w:sz w:val="21"/>
                      <w:szCs w:val="21"/>
                      <w:lang w:val="en-US" w:eastAsia="zh-CN" w:bidi="ar-SA"/>
                    </w:rPr>
                    <w:t>未污染的一次性输液袋（瓶）、一次性医用外包装物</w:t>
                  </w:r>
                </w:p>
              </w:tc>
              <w:tc>
                <w:tcPr>
                  <w:tcW w:w="1073" w:type="dxa"/>
                  <w:vAlign w:val="center"/>
                </w:tcPr>
                <w:p w14:paraId="628424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lang w:eastAsia="zh-CN"/>
                    </w:rPr>
                  </w:pPr>
                  <w:r>
                    <w:rPr>
                      <w:rFonts w:hint="eastAsia" w:cs="Times New Roman"/>
                      <w:color w:val="auto"/>
                      <w:kern w:val="2"/>
                      <w:sz w:val="21"/>
                      <w:szCs w:val="21"/>
                      <w:lang w:val="en-US" w:eastAsia="zh-CN" w:bidi="ar-SA"/>
                    </w:rPr>
                    <w:t>医疗活动</w:t>
                  </w:r>
                </w:p>
              </w:tc>
              <w:tc>
                <w:tcPr>
                  <w:tcW w:w="635" w:type="dxa"/>
                  <w:vAlign w:val="center"/>
                </w:tcPr>
                <w:p w14:paraId="57513C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lang w:eastAsia="zh-CN"/>
                    </w:rPr>
                  </w:pPr>
                  <w:r>
                    <w:rPr>
                      <w:rFonts w:hint="default" w:ascii="Times New Roman" w:hAnsi="Times New Roman" w:eastAsia="宋体" w:cs="Times New Roman"/>
                      <w:color w:val="auto"/>
                      <w:spacing w:val="0"/>
                      <w:w w:val="100"/>
                      <w:sz w:val="21"/>
                      <w:szCs w:val="21"/>
                    </w:rPr>
                    <w:t>固态</w:t>
                  </w:r>
                </w:p>
              </w:tc>
              <w:tc>
                <w:tcPr>
                  <w:tcW w:w="1465" w:type="dxa"/>
                  <w:vAlign w:val="center"/>
                </w:tcPr>
                <w:p w14:paraId="09D4CE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w w:val="100"/>
                      <w:sz w:val="21"/>
                      <w:szCs w:val="21"/>
                      <w:lang w:eastAsia="zh-CN"/>
                    </w:rPr>
                  </w:pPr>
                  <w:r>
                    <w:rPr>
                      <w:rFonts w:hint="eastAsia" w:ascii="Times New Roman" w:hAnsi="Times New Roman" w:eastAsia="宋体" w:cs="Times New Roman"/>
                      <w:color w:val="auto"/>
                      <w:spacing w:val="0"/>
                      <w:w w:val="100"/>
                      <w:sz w:val="21"/>
                      <w:szCs w:val="21"/>
                      <w:lang w:val="en-US" w:eastAsia="zh-CN"/>
                    </w:rPr>
                    <w:t>/</w:t>
                  </w:r>
                </w:p>
              </w:tc>
              <w:tc>
                <w:tcPr>
                  <w:tcW w:w="739" w:type="dxa"/>
                  <w:vAlign w:val="center"/>
                </w:tcPr>
                <w:p w14:paraId="0E91CA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lang w:val="en-US" w:eastAsia="zh-CN"/>
                    </w:rPr>
                  </w:pPr>
                  <w:r>
                    <w:rPr>
                      <w:rFonts w:hint="eastAsia" w:cs="Times New Roman"/>
                      <w:color w:val="auto"/>
                      <w:sz w:val="21"/>
                      <w:szCs w:val="21"/>
                      <w:highlight w:val="none"/>
                      <w:lang w:val="en-US" w:eastAsia="zh-CN"/>
                    </w:rPr>
                    <w:t>0.022</w:t>
                  </w:r>
                </w:p>
              </w:tc>
              <w:tc>
                <w:tcPr>
                  <w:tcW w:w="877" w:type="dxa"/>
                  <w:vAlign w:val="center"/>
                </w:tcPr>
                <w:p w14:paraId="108315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w w:val="100"/>
                      <w:sz w:val="21"/>
                      <w:szCs w:val="21"/>
                      <w:lang w:eastAsia="zh-CN"/>
                    </w:rPr>
                  </w:pPr>
                  <w:r>
                    <w:rPr>
                      <w:rFonts w:hint="default" w:ascii="Times New Roman" w:hAnsi="Times New Roman" w:eastAsia="宋体" w:cs="Times New Roman"/>
                      <w:color w:val="auto"/>
                      <w:spacing w:val="0"/>
                      <w:w w:val="100"/>
                      <w:sz w:val="21"/>
                      <w:szCs w:val="21"/>
                    </w:rPr>
                    <w:t>是</w:t>
                  </w:r>
                </w:p>
              </w:tc>
              <w:tc>
                <w:tcPr>
                  <w:tcW w:w="673" w:type="dxa"/>
                  <w:vMerge w:val="restart"/>
                  <w:vAlign w:val="center"/>
                </w:tcPr>
                <w:p w14:paraId="515EE2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《固体废物鉴</w:t>
                  </w:r>
                </w:p>
                <w:p w14:paraId="477BF28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别标准 通则》 （GB34330-2017）</w:t>
                  </w:r>
                </w:p>
              </w:tc>
              <w:tc>
                <w:tcPr>
                  <w:tcW w:w="542" w:type="dxa"/>
                  <w:vAlign w:val="center"/>
                </w:tcPr>
                <w:p w14:paraId="3AB0170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rPr>
                    <w:t>4.</w:t>
                  </w:r>
                  <w:r>
                    <w:rPr>
                      <w:rFonts w:hint="eastAsia" w:ascii="Times New Roman" w:hAnsi="Times New Roman" w:eastAsia="宋体" w:cs="Times New Roman"/>
                      <w:color w:val="auto"/>
                      <w:spacing w:val="0"/>
                      <w:w w:val="100"/>
                      <w:sz w:val="21"/>
                      <w:szCs w:val="21"/>
                      <w:lang w:val="en-US" w:eastAsia="zh-CN"/>
                    </w:rPr>
                    <w:t>1h</w:t>
                  </w:r>
                </w:p>
              </w:tc>
            </w:tr>
            <w:tr w14:paraId="3945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02" w:type="dxa"/>
                  <w:vAlign w:val="center"/>
                </w:tcPr>
                <w:p w14:paraId="001A357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lang w:eastAsia="zh-CN"/>
                    </w:rPr>
                  </w:pPr>
                  <w:r>
                    <w:rPr>
                      <w:rFonts w:hint="default" w:ascii="Times New Roman" w:hAnsi="Times New Roman" w:eastAsia="宋体" w:cs="Times New Roman"/>
                      <w:color w:val="auto"/>
                      <w:spacing w:val="0"/>
                      <w:w w:val="100"/>
                      <w:sz w:val="21"/>
                      <w:szCs w:val="21"/>
                      <w:lang w:val="en-US" w:eastAsia="zh-CN"/>
                    </w:rPr>
                    <w:t>2</w:t>
                  </w:r>
                </w:p>
              </w:tc>
              <w:tc>
                <w:tcPr>
                  <w:tcW w:w="1391" w:type="dxa"/>
                  <w:vAlign w:val="center"/>
                </w:tcPr>
                <w:p w14:paraId="6084EA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rPr>
                  </w:pPr>
                  <w:r>
                    <w:rPr>
                      <w:rFonts w:hint="eastAsia" w:cs="Times New Roman"/>
                      <w:color w:val="auto"/>
                      <w:kern w:val="0"/>
                      <w:sz w:val="21"/>
                      <w:szCs w:val="21"/>
                      <w:lang w:eastAsia="zh-CN"/>
                    </w:rPr>
                    <w:t>制片边角料</w:t>
                  </w:r>
                </w:p>
              </w:tc>
              <w:tc>
                <w:tcPr>
                  <w:tcW w:w="1073" w:type="dxa"/>
                  <w:vAlign w:val="center"/>
                </w:tcPr>
                <w:p w14:paraId="6ACEE6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rPr>
                  </w:pPr>
                  <w:r>
                    <w:rPr>
                      <w:rFonts w:hint="eastAsia" w:cs="Times New Roman"/>
                      <w:color w:val="auto"/>
                      <w:kern w:val="2"/>
                      <w:sz w:val="21"/>
                      <w:szCs w:val="21"/>
                      <w:lang w:val="en-US" w:eastAsia="zh-CN" w:bidi="ar-SA"/>
                    </w:rPr>
                    <w:t>制镜室</w:t>
                  </w:r>
                </w:p>
              </w:tc>
              <w:tc>
                <w:tcPr>
                  <w:tcW w:w="635" w:type="dxa"/>
                  <w:vAlign w:val="center"/>
                </w:tcPr>
                <w:p w14:paraId="538E346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lang w:eastAsia="zh-CN"/>
                    </w:rPr>
                    <w:t>固态</w:t>
                  </w:r>
                </w:p>
              </w:tc>
              <w:tc>
                <w:tcPr>
                  <w:tcW w:w="1465" w:type="dxa"/>
                  <w:vAlign w:val="center"/>
                </w:tcPr>
                <w:p w14:paraId="39E1E7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w w:val="100"/>
                      <w:sz w:val="21"/>
                      <w:szCs w:val="21"/>
                      <w:lang w:eastAsia="zh-CN"/>
                    </w:rPr>
                  </w:pPr>
                  <w:r>
                    <w:rPr>
                      <w:rFonts w:hint="eastAsia" w:ascii="Times New Roman" w:hAnsi="Times New Roman" w:eastAsia="宋体" w:cs="Times New Roman"/>
                      <w:color w:val="auto"/>
                      <w:spacing w:val="0"/>
                      <w:w w:val="100"/>
                      <w:sz w:val="21"/>
                      <w:szCs w:val="21"/>
                      <w:lang w:val="en-US" w:eastAsia="zh-CN"/>
                    </w:rPr>
                    <w:t>/</w:t>
                  </w:r>
                </w:p>
              </w:tc>
              <w:tc>
                <w:tcPr>
                  <w:tcW w:w="739" w:type="dxa"/>
                  <w:vAlign w:val="center"/>
                </w:tcPr>
                <w:p w14:paraId="7FE0D1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lang w:val="en-US" w:eastAsia="zh-CN"/>
                    </w:rPr>
                  </w:pPr>
                  <w:r>
                    <w:rPr>
                      <w:rFonts w:hint="eastAsia"/>
                      <w:color w:val="auto"/>
                      <w:sz w:val="21"/>
                      <w:szCs w:val="21"/>
                      <w:lang w:val="en-US" w:eastAsia="zh-CN"/>
                    </w:rPr>
                    <w:t>0.0011</w:t>
                  </w:r>
                </w:p>
              </w:tc>
              <w:tc>
                <w:tcPr>
                  <w:tcW w:w="877" w:type="dxa"/>
                  <w:vAlign w:val="center"/>
                </w:tcPr>
                <w:p w14:paraId="232D91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r>
                    <w:rPr>
                      <w:rFonts w:hint="eastAsia" w:ascii="Times New Roman" w:hAnsi="Times New Roman" w:eastAsia="宋体" w:cs="Times New Roman"/>
                      <w:color w:val="auto"/>
                      <w:spacing w:val="0"/>
                      <w:w w:val="100"/>
                      <w:sz w:val="21"/>
                      <w:szCs w:val="21"/>
                      <w:lang w:eastAsia="zh-CN"/>
                    </w:rPr>
                    <w:t>是</w:t>
                  </w:r>
                </w:p>
              </w:tc>
              <w:tc>
                <w:tcPr>
                  <w:tcW w:w="673" w:type="dxa"/>
                  <w:vMerge w:val="continue"/>
                  <w:vAlign w:val="center"/>
                </w:tcPr>
                <w:p w14:paraId="218A5C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p>
              </w:tc>
              <w:tc>
                <w:tcPr>
                  <w:tcW w:w="542" w:type="dxa"/>
                  <w:vAlign w:val="center"/>
                </w:tcPr>
                <w:p w14:paraId="7F9754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4.</w:t>
                  </w:r>
                  <w:r>
                    <w:rPr>
                      <w:rFonts w:hint="eastAsia" w:ascii="Times New Roman" w:hAnsi="Times New Roman" w:eastAsia="宋体" w:cs="Times New Roman"/>
                      <w:color w:val="auto"/>
                      <w:spacing w:val="0"/>
                      <w:w w:val="100"/>
                      <w:sz w:val="21"/>
                      <w:szCs w:val="21"/>
                      <w:lang w:val="en-US" w:eastAsia="zh-CN"/>
                    </w:rPr>
                    <w:t>2</w:t>
                  </w:r>
                  <w:r>
                    <w:rPr>
                      <w:rFonts w:hint="default" w:ascii="Times New Roman" w:hAnsi="Times New Roman" w:eastAsia="宋体" w:cs="Times New Roman"/>
                      <w:color w:val="auto"/>
                      <w:spacing w:val="0"/>
                      <w:w w:val="100"/>
                      <w:sz w:val="21"/>
                      <w:szCs w:val="21"/>
                    </w:rPr>
                    <w:t>a</w:t>
                  </w:r>
                </w:p>
              </w:tc>
            </w:tr>
            <w:tr w14:paraId="4104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502" w:type="dxa"/>
                  <w:vAlign w:val="center"/>
                </w:tcPr>
                <w:p w14:paraId="15FF5A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sz w:val="21"/>
                      <w:szCs w:val="21"/>
                      <w:lang w:val="en-US" w:eastAsia="zh-CN"/>
                    </w:rPr>
                    <w:t>3</w:t>
                  </w:r>
                </w:p>
              </w:tc>
              <w:tc>
                <w:tcPr>
                  <w:tcW w:w="1391" w:type="dxa"/>
                  <w:vAlign w:val="center"/>
                </w:tcPr>
                <w:p w14:paraId="46E2D8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rPr>
                  </w:pPr>
                  <w:r>
                    <w:rPr>
                      <w:rFonts w:hint="eastAsia"/>
                      <w:color w:val="auto"/>
                      <w:sz w:val="21"/>
                      <w:szCs w:val="21"/>
                    </w:rPr>
                    <w:t>生活垃圾</w:t>
                  </w:r>
                </w:p>
              </w:tc>
              <w:tc>
                <w:tcPr>
                  <w:tcW w:w="1073" w:type="dxa"/>
                  <w:vAlign w:val="center"/>
                </w:tcPr>
                <w:p w14:paraId="53762B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rPr>
                  </w:pPr>
                  <w:r>
                    <w:rPr>
                      <w:rFonts w:hint="eastAsia" w:cs="Times New Roman"/>
                      <w:color w:val="auto"/>
                      <w:kern w:val="2"/>
                      <w:sz w:val="21"/>
                      <w:szCs w:val="21"/>
                      <w:lang w:val="en-US" w:eastAsia="zh-CN" w:bidi="ar-SA"/>
                    </w:rPr>
                    <w:t>员工办公、病床、门诊</w:t>
                  </w:r>
                </w:p>
              </w:tc>
              <w:tc>
                <w:tcPr>
                  <w:tcW w:w="635" w:type="dxa"/>
                  <w:vAlign w:val="center"/>
                </w:tcPr>
                <w:p w14:paraId="2960AA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固态</w:t>
                  </w:r>
                </w:p>
              </w:tc>
              <w:tc>
                <w:tcPr>
                  <w:tcW w:w="1465" w:type="dxa"/>
                  <w:vAlign w:val="center"/>
                </w:tcPr>
                <w:p w14:paraId="262E19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w w:val="100"/>
                      <w:sz w:val="21"/>
                      <w:szCs w:val="21"/>
                      <w:lang w:eastAsia="zh-CN"/>
                    </w:rPr>
                  </w:pPr>
                  <w:r>
                    <w:rPr>
                      <w:rFonts w:hint="default" w:ascii="Times New Roman" w:hAnsi="Times New Roman" w:eastAsia="宋体" w:cs="Times New Roman"/>
                      <w:color w:val="auto"/>
                      <w:spacing w:val="0"/>
                      <w:w w:val="100"/>
                      <w:sz w:val="21"/>
                      <w:szCs w:val="21"/>
                    </w:rPr>
                    <w:t>生活垃圾</w:t>
                  </w:r>
                </w:p>
              </w:tc>
              <w:tc>
                <w:tcPr>
                  <w:tcW w:w="739" w:type="dxa"/>
                  <w:vAlign w:val="center"/>
                </w:tcPr>
                <w:p w14:paraId="576A11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lang w:val="en-US"/>
                    </w:rPr>
                  </w:pPr>
                  <w:r>
                    <w:rPr>
                      <w:rFonts w:hint="eastAsia" w:cs="Times New Roman"/>
                      <w:color w:val="auto"/>
                      <w:kern w:val="2"/>
                      <w:sz w:val="21"/>
                      <w:szCs w:val="21"/>
                      <w:highlight w:val="none"/>
                      <w:lang w:val="en-US" w:eastAsia="zh-CN" w:bidi="ar-SA"/>
                    </w:rPr>
                    <w:t>42.5225</w:t>
                  </w:r>
                </w:p>
              </w:tc>
              <w:tc>
                <w:tcPr>
                  <w:tcW w:w="877" w:type="dxa"/>
                  <w:vAlign w:val="center"/>
                </w:tcPr>
                <w:p w14:paraId="37D380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是</w:t>
                  </w:r>
                </w:p>
              </w:tc>
              <w:tc>
                <w:tcPr>
                  <w:tcW w:w="673" w:type="dxa"/>
                  <w:vMerge w:val="continue"/>
                  <w:vAlign w:val="center"/>
                </w:tcPr>
                <w:p w14:paraId="07D6C9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p>
              </w:tc>
              <w:tc>
                <w:tcPr>
                  <w:tcW w:w="542" w:type="dxa"/>
                  <w:vAlign w:val="center"/>
                </w:tcPr>
                <w:p w14:paraId="78F2BC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4.1d</w:t>
                  </w:r>
                </w:p>
              </w:tc>
            </w:tr>
            <w:tr w14:paraId="30C1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02" w:type="dxa"/>
                  <w:vAlign w:val="center"/>
                </w:tcPr>
                <w:p w14:paraId="342E8C7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lang w:val="en-US" w:eastAsia="zh-CN"/>
                    </w:rPr>
                  </w:pPr>
                  <w:r>
                    <w:rPr>
                      <w:rFonts w:hint="eastAsia" w:ascii="Times New Roman" w:hAnsi="Times New Roman" w:eastAsia="宋体" w:cs="Times New Roman"/>
                      <w:color w:val="auto"/>
                      <w:spacing w:val="0"/>
                      <w:w w:val="100"/>
                      <w:sz w:val="21"/>
                      <w:szCs w:val="21"/>
                      <w:lang w:val="en-US" w:eastAsia="zh-CN"/>
                    </w:rPr>
                    <w:t>4</w:t>
                  </w:r>
                </w:p>
              </w:tc>
              <w:tc>
                <w:tcPr>
                  <w:tcW w:w="1391" w:type="dxa"/>
                  <w:vAlign w:val="center"/>
                </w:tcPr>
                <w:p w14:paraId="7DD464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color w:val="auto"/>
                      <w:sz w:val="21"/>
                      <w:szCs w:val="21"/>
                      <w:lang w:eastAsia="zh-CN"/>
                    </w:rPr>
                    <w:t>医疗废物</w:t>
                  </w:r>
                </w:p>
              </w:tc>
              <w:tc>
                <w:tcPr>
                  <w:tcW w:w="1073" w:type="dxa"/>
                  <w:vAlign w:val="center"/>
                </w:tcPr>
                <w:p w14:paraId="2C5B27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cs="Times New Roman"/>
                      <w:color w:val="auto"/>
                      <w:kern w:val="2"/>
                      <w:sz w:val="21"/>
                      <w:szCs w:val="21"/>
                      <w:lang w:val="en-US" w:eastAsia="zh-CN" w:bidi="ar-SA"/>
                    </w:rPr>
                    <w:t>医疗活动</w:t>
                  </w:r>
                </w:p>
              </w:tc>
              <w:tc>
                <w:tcPr>
                  <w:tcW w:w="635" w:type="dxa"/>
                  <w:vAlign w:val="center"/>
                </w:tcPr>
                <w:p w14:paraId="2E51E3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sz w:val="21"/>
                      <w:szCs w:val="21"/>
                    </w:rPr>
                    <w:t>固态</w:t>
                  </w:r>
                </w:p>
              </w:tc>
              <w:tc>
                <w:tcPr>
                  <w:tcW w:w="1465" w:type="dxa"/>
                  <w:vAlign w:val="center"/>
                </w:tcPr>
                <w:p w14:paraId="5AAA62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color w:val="auto"/>
                      <w:sz w:val="21"/>
                      <w:szCs w:val="21"/>
                      <w:lang w:val="en-US" w:eastAsia="zh-CN"/>
                    </w:rPr>
                    <w:t>感染性废物、病理性废物、损伤性废物、药物性废物及化学性废物</w:t>
                  </w:r>
                </w:p>
              </w:tc>
              <w:tc>
                <w:tcPr>
                  <w:tcW w:w="739" w:type="dxa"/>
                  <w:vAlign w:val="center"/>
                </w:tcPr>
                <w:p w14:paraId="040C83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cs="Times New Roman"/>
                      <w:color w:val="auto"/>
                      <w:kern w:val="2"/>
                      <w:sz w:val="21"/>
                      <w:szCs w:val="21"/>
                      <w:highlight w:val="none"/>
                      <w:lang w:val="en-US" w:eastAsia="zh-CN" w:bidi="ar-SA"/>
                    </w:rPr>
                    <w:t>14.105</w:t>
                  </w:r>
                </w:p>
              </w:tc>
              <w:tc>
                <w:tcPr>
                  <w:tcW w:w="877" w:type="dxa"/>
                  <w:vAlign w:val="center"/>
                </w:tcPr>
                <w:p w14:paraId="313F63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sz w:val="21"/>
                      <w:szCs w:val="21"/>
                    </w:rPr>
                  </w:pPr>
                  <w:r>
                    <w:rPr>
                      <w:rFonts w:hint="eastAsia" w:ascii="Times New Roman" w:hAnsi="Times New Roman" w:eastAsia="宋体" w:cs="Times New Roman"/>
                      <w:color w:val="auto"/>
                      <w:spacing w:val="0"/>
                      <w:w w:val="100"/>
                      <w:sz w:val="21"/>
                      <w:szCs w:val="21"/>
                      <w:lang w:eastAsia="zh-CN"/>
                    </w:rPr>
                    <w:t>是</w:t>
                  </w:r>
                </w:p>
              </w:tc>
              <w:tc>
                <w:tcPr>
                  <w:tcW w:w="673" w:type="dxa"/>
                  <w:vMerge w:val="continue"/>
                  <w:vAlign w:val="center"/>
                </w:tcPr>
                <w:p w14:paraId="75CA87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p>
              </w:tc>
              <w:tc>
                <w:tcPr>
                  <w:tcW w:w="542" w:type="dxa"/>
                  <w:vAlign w:val="center"/>
                </w:tcPr>
                <w:p w14:paraId="49738C3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4.</w:t>
                  </w:r>
                  <w:r>
                    <w:rPr>
                      <w:rFonts w:hint="eastAsia" w:ascii="Times New Roman" w:hAnsi="Times New Roman" w:eastAsia="宋体" w:cs="Times New Roman"/>
                      <w:color w:val="auto"/>
                      <w:spacing w:val="0"/>
                      <w:w w:val="100"/>
                      <w:sz w:val="21"/>
                      <w:szCs w:val="21"/>
                      <w:lang w:val="en-US" w:eastAsia="zh-CN"/>
                    </w:rPr>
                    <w:t>1c</w:t>
                  </w:r>
                </w:p>
              </w:tc>
            </w:tr>
            <w:tr w14:paraId="2582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02" w:type="dxa"/>
                  <w:vAlign w:val="center"/>
                </w:tcPr>
                <w:p w14:paraId="2217FB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lang w:val="en-US" w:eastAsia="zh-CN"/>
                    </w:rPr>
                  </w:pPr>
                  <w:r>
                    <w:rPr>
                      <w:rFonts w:hint="eastAsia" w:ascii="Times New Roman" w:hAnsi="Times New Roman" w:eastAsia="宋体" w:cs="Times New Roman"/>
                      <w:color w:val="auto"/>
                      <w:spacing w:val="0"/>
                      <w:w w:val="100"/>
                      <w:sz w:val="21"/>
                      <w:szCs w:val="21"/>
                      <w:lang w:val="en-US" w:eastAsia="zh-CN"/>
                    </w:rPr>
                    <w:t>5</w:t>
                  </w:r>
                </w:p>
              </w:tc>
              <w:tc>
                <w:tcPr>
                  <w:tcW w:w="1391" w:type="dxa"/>
                  <w:vAlign w:val="center"/>
                </w:tcPr>
                <w:p w14:paraId="6A652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color w:val="auto"/>
                      <w:sz w:val="21"/>
                      <w:szCs w:val="21"/>
                      <w:lang w:eastAsia="zh-CN"/>
                    </w:rPr>
                    <w:t>污水站污泥与栅渣</w:t>
                  </w:r>
                </w:p>
              </w:tc>
              <w:tc>
                <w:tcPr>
                  <w:tcW w:w="1073" w:type="dxa"/>
                  <w:vAlign w:val="center"/>
                </w:tcPr>
                <w:p w14:paraId="0B2B89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cs="Times New Roman"/>
                      <w:color w:val="auto"/>
                      <w:kern w:val="2"/>
                      <w:sz w:val="21"/>
                      <w:szCs w:val="21"/>
                      <w:lang w:val="en-US" w:eastAsia="zh-CN" w:bidi="ar-SA"/>
                    </w:rPr>
                    <w:t>污水处理站</w:t>
                  </w:r>
                </w:p>
              </w:tc>
              <w:tc>
                <w:tcPr>
                  <w:tcW w:w="635" w:type="dxa"/>
                  <w:vAlign w:val="center"/>
                </w:tcPr>
                <w:p w14:paraId="45375A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sz w:val="21"/>
                      <w:szCs w:val="21"/>
                      <w:lang w:eastAsia="zh-CN"/>
                    </w:rPr>
                    <w:t>半固态</w:t>
                  </w:r>
                </w:p>
              </w:tc>
              <w:tc>
                <w:tcPr>
                  <w:tcW w:w="1465" w:type="dxa"/>
                  <w:vAlign w:val="center"/>
                </w:tcPr>
                <w:p w14:paraId="79D775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color w:val="auto"/>
                      <w:sz w:val="21"/>
                      <w:szCs w:val="21"/>
                      <w:lang w:val="en-US" w:eastAsia="zh-CN"/>
                    </w:rPr>
                    <w:t>/</w:t>
                  </w:r>
                </w:p>
              </w:tc>
              <w:tc>
                <w:tcPr>
                  <w:tcW w:w="739" w:type="dxa"/>
                  <w:vAlign w:val="center"/>
                </w:tcPr>
                <w:p w14:paraId="3BBB07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eastAsia" w:cs="Times New Roman"/>
                      <w:color w:val="auto"/>
                      <w:kern w:val="2"/>
                      <w:sz w:val="21"/>
                      <w:szCs w:val="21"/>
                      <w:highlight w:val="none"/>
                      <w:lang w:val="en-US" w:eastAsia="zh-CN" w:bidi="ar-SA"/>
                    </w:rPr>
                    <w:t>51.2156</w:t>
                  </w:r>
                </w:p>
              </w:tc>
              <w:tc>
                <w:tcPr>
                  <w:tcW w:w="877" w:type="dxa"/>
                  <w:vAlign w:val="center"/>
                </w:tcPr>
                <w:p w14:paraId="4C3A8A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是</w:t>
                  </w:r>
                </w:p>
              </w:tc>
              <w:tc>
                <w:tcPr>
                  <w:tcW w:w="673" w:type="dxa"/>
                  <w:vMerge w:val="continue"/>
                  <w:vAlign w:val="center"/>
                </w:tcPr>
                <w:p w14:paraId="096C00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p>
              </w:tc>
              <w:tc>
                <w:tcPr>
                  <w:tcW w:w="542" w:type="dxa"/>
                  <w:vAlign w:val="center"/>
                </w:tcPr>
                <w:p w14:paraId="2CDBBE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lang w:val="en-US"/>
                    </w:rPr>
                  </w:pPr>
                  <w:r>
                    <w:rPr>
                      <w:rFonts w:hint="default" w:ascii="Times New Roman" w:hAnsi="Times New Roman" w:eastAsia="宋体" w:cs="Times New Roman"/>
                      <w:color w:val="auto"/>
                      <w:spacing w:val="0"/>
                      <w:w w:val="100"/>
                      <w:sz w:val="21"/>
                      <w:szCs w:val="21"/>
                    </w:rPr>
                    <w:t>4.</w:t>
                  </w:r>
                  <w:r>
                    <w:rPr>
                      <w:rFonts w:hint="eastAsia" w:ascii="Times New Roman" w:hAnsi="Times New Roman" w:eastAsia="宋体" w:cs="Times New Roman"/>
                      <w:color w:val="auto"/>
                      <w:spacing w:val="0"/>
                      <w:w w:val="100"/>
                      <w:sz w:val="21"/>
                      <w:szCs w:val="21"/>
                      <w:lang w:val="en-US" w:eastAsia="zh-CN"/>
                    </w:rPr>
                    <w:t>3e</w:t>
                  </w:r>
                </w:p>
              </w:tc>
            </w:tr>
          </w:tbl>
          <w:p w14:paraId="5A51580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同时依据《国家危险废物名录》和《危险废物鉴别标准》鉴别固废中的危险废物，具体见表</w:t>
            </w:r>
            <w:r>
              <w:rPr>
                <w:rFonts w:hint="eastAsia" w:ascii="Times New Roman" w:hAnsi="Times New Roman" w:eastAsia="宋体" w:cs="Times New Roman"/>
                <w:color w:val="auto"/>
                <w:spacing w:val="0"/>
                <w:w w:val="100"/>
                <w:sz w:val="24"/>
                <w:szCs w:val="24"/>
                <w:lang w:val="en-US" w:eastAsia="zh-CN"/>
              </w:rPr>
              <w:t>4-</w:t>
            </w:r>
            <w:r>
              <w:rPr>
                <w:rFonts w:hint="eastAsia" w:cs="Times New Roman"/>
                <w:color w:val="auto"/>
                <w:spacing w:val="0"/>
                <w:w w:val="100"/>
                <w:sz w:val="24"/>
                <w:szCs w:val="24"/>
                <w:lang w:val="en-US" w:eastAsia="zh-CN"/>
              </w:rPr>
              <w:t>17</w:t>
            </w:r>
            <w:r>
              <w:rPr>
                <w:rFonts w:hint="default" w:ascii="Times New Roman" w:hAnsi="Times New Roman" w:eastAsia="宋体" w:cs="Times New Roman"/>
                <w:color w:val="auto"/>
                <w:spacing w:val="0"/>
                <w:w w:val="100"/>
                <w:sz w:val="24"/>
                <w:szCs w:val="24"/>
              </w:rPr>
              <w:t>。</w:t>
            </w:r>
          </w:p>
          <w:p w14:paraId="5519D81F">
            <w:pPr>
              <w:bidi w:val="0"/>
              <w:spacing w:line="240" w:lineRule="auto"/>
              <w:jc w:val="center"/>
              <w:rPr>
                <w:rFonts w:hint="default"/>
                <w:b/>
                <w:bCs/>
                <w:sz w:val="21"/>
                <w:szCs w:val="21"/>
                <w:lang w:val="en-US" w:eastAsia="zh-CN"/>
              </w:rPr>
            </w:pPr>
            <w:r>
              <w:rPr>
                <w:rFonts w:hint="default"/>
                <w:b/>
                <w:bCs/>
                <w:sz w:val="21"/>
                <w:szCs w:val="21"/>
                <w:lang w:val="en-US" w:eastAsia="zh-CN"/>
              </w:rPr>
              <w:t>表4-</w:t>
            </w:r>
            <w:r>
              <w:rPr>
                <w:rFonts w:hint="eastAsia"/>
                <w:b/>
                <w:bCs/>
                <w:sz w:val="21"/>
                <w:szCs w:val="21"/>
                <w:lang w:val="en-US" w:eastAsia="zh-CN"/>
              </w:rPr>
              <w:t xml:space="preserve">17  </w:t>
            </w:r>
            <w:r>
              <w:rPr>
                <w:rFonts w:hint="default"/>
                <w:b/>
                <w:bCs/>
                <w:sz w:val="21"/>
                <w:szCs w:val="21"/>
                <w:lang w:val="en-US" w:eastAsia="zh-CN"/>
              </w:rPr>
              <w:t>拟建项目危险废物判定表</w:t>
            </w:r>
          </w:p>
          <w:p w14:paraId="687CFF34">
            <w:pPr>
              <w:spacing w:line="29" w:lineRule="exact"/>
              <w:rPr>
                <w:color w:val="auto"/>
              </w:rPr>
            </w:pPr>
          </w:p>
          <w:tbl>
            <w:tblPr>
              <w:tblStyle w:val="142"/>
              <w:tblW w:w="789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018"/>
              <w:gridCol w:w="796"/>
              <w:gridCol w:w="866"/>
              <w:gridCol w:w="1638"/>
              <w:gridCol w:w="819"/>
              <w:gridCol w:w="1374"/>
              <w:gridCol w:w="834"/>
            </w:tblGrid>
            <w:tr w14:paraId="01AEA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jc w:val="center"/>
              </w:trPr>
              <w:tc>
                <w:tcPr>
                  <w:tcW w:w="552" w:type="dxa"/>
                  <w:vAlign w:val="center"/>
                </w:tcPr>
                <w:p w14:paraId="25B582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序号</w:t>
                  </w:r>
                </w:p>
              </w:tc>
              <w:tc>
                <w:tcPr>
                  <w:tcW w:w="1018" w:type="dxa"/>
                  <w:vAlign w:val="center"/>
                </w:tcPr>
                <w:p w14:paraId="3058BD3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固废名称</w:t>
                  </w:r>
                </w:p>
              </w:tc>
              <w:tc>
                <w:tcPr>
                  <w:tcW w:w="796" w:type="dxa"/>
                  <w:vAlign w:val="center"/>
                </w:tcPr>
                <w:p w14:paraId="0F5417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产生工序</w:t>
                  </w:r>
                </w:p>
              </w:tc>
              <w:tc>
                <w:tcPr>
                  <w:tcW w:w="866" w:type="dxa"/>
                  <w:vAlign w:val="center"/>
                </w:tcPr>
                <w:p w14:paraId="5392ED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形态</w:t>
                  </w:r>
                </w:p>
              </w:tc>
              <w:tc>
                <w:tcPr>
                  <w:tcW w:w="1638" w:type="dxa"/>
                  <w:vAlign w:val="center"/>
                </w:tcPr>
                <w:p w14:paraId="3502E91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主要成分</w:t>
                  </w:r>
                </w:p>
              </w:tc>
              <w:tc>
                <w:tcPr>
                  <w:tcW w:w="819" w:type="dxa"/>
                  <w:vAlign w:val="center"/>
                </w:tcPr>
                <w:p w14:paraId="318E28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危险废物类别</w:t>
                  </w:r>
                </w:p>
              </w:tc>
              <w:tc>
                <w:tcPr>
                  <w:tcW w:w="1374" w:type="dxa"/>
                  <w:vAlign w:val="center"/>
                </w:tcPr>
                <w:p w14:paraId="24B399C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废物代码</w:t>
                  </w:r>
                </w:p>
              </w:tc>
              <w:tc>
                <w:tcPr>
                  <w:tcW w:w="834" w:type="dxa"/>
                  <w:vAlign w:val="center"/>
                </w:tcPr>
                <w:p w14:paraId="28A73E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产生量（t/a）</w:t>
                  </w:r>
                </w:p>
              </w:tc>
            </w:tr>
            <w:tr w14:paraId="4AA01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5" w:hRule="atLeast"/>
                <w:jc w:val="center"/>
              </w:trPr>
              <w:tc>
                <w:tcPr>
                  <w:tcW w:w="552" w:type="dxa"/>
                  <w:vAlign w:val="center"/>
                </w:tcPr>
                <w:p w14:paraId="763390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w w:val="100"/>
                      <w:sz w:val="21"/>
                      <w:szCs w:val="21"/>
                      <w:lang w:eastAsia="zh-CN"/>
                    </w:rPr>
                  </w:pPr>
                  <w:r>
                    <w:rPr>
                      <w:rFonts w:hint="eastAsia" w:ascii="Times New Roman" w:hAnsi="Times New Roman" w:eastAsia="宋体" w:cs="Times New Roman"/>
                      <w:color w:val="auto"/>
                      <w:spacing w:val="0"/>
                      <w:w w:val="100"/>
                      <w:sz w:val="21"/>
                      <w:szCs w:val="21"/>
                      <w:lang w:val="en-US" w:eastAsia="zh-CN"/>
                    </w:rPr>
                    <w:t>1</w:t>
                  </w:r>
                </w:p>
              </w:tc>
              <w:tc>
                <w:tcPr>
                  <w:tcW w:w="1018" w:type="dxa"/>
                  <w:vAlign w:val="center"/>
                </w:tcPr>
                <w:p w14:paraId="2727F1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sz w:val="21"/>
                      <w:szCs w:val="21"/>
                      <w:lang w:eastAsia="zh-CN"/>
                    </w:rPr>
                  </w:pPr>
                  <w:r>
                    <w:rPr>
                      <w:rFonts w:hint="eastAsia"/>
                      <w:color w:val="auto"/>
                      <w:sz w:val="21"/>
                      <w:szCs w:val="21"/>
                      <w:lang w:eastAsia="zh-CN"/>
                    </w:rPr>
                    <w:t>医疗废物</w:t>
                  </w:r>
                </w:p>
              </w:tc>
              <w:tc>
                <w:tcPr>
                  <w:tcW w:w="796" w:type="dxa"/>
                  <w:vAlign w:val="center"/>
                </w:tcPr>
                <w:p w14:paraId="42F788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rPr>
                  </w:pPr>
                  <w:r>
                    <w:rPr>
                      <w:rFonts w:hint="eastAsia" w:cs="Times New Roman"/>
                      <w:color w:val="auto"/>
                      <w:kern w:val="2"/>
                      <w:sz w:val="21"/>
                      <w:szCs w:val="21"/>
                      <w:lang w:val="en-US" w:eastAsia="zh-CN" w:bidi="ar-SA"/>
                    </w:rPr>
                    <w:t>医疗活动</w:t>
                  </w:r>
                </w:p>
              </w:tc>
              <w:tc>
                <w:tcPr>
                  <w:tcW w:w="866" w:type="dxa"/>
                  <w:vAlign w:val="center"/>
                </w:tcPr>
                <w:p w14:paraId="549B88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固态</w:t>
                  </w:r>
                </w:p>
              </w:tc>
              <w:tc>
                <w:tcPr>
                  <w:tcW w:w="1638" w:type="dxa"/>
                  <w:vAlign w:val="center"/>
                </w:tcPr>
                <w:p w14:paraId="60AD33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sz w:val="21"/>
                      <w:szCs w:val="21"/>
                      <w:lang w:eastAsia="zh-CN"/>
                    </w:rPr>
                  </w:pPr>
                  <w:r>
                    <w:rPr>
                      <w:rFonts w:hint="eastAsia"/>
                      <w:color w:val="auto"/>
                      <w:sz w:val="21"/>
                      <w:szCs w:val="21"/>
                      <w:lang w:val="en-US" w:eastAsia="zh-CN"/>
                    </w:rPr>
                    <w:t>感染性废物、病理性废物、损伤性废物、药物性废物及化学性废物</w:t>
                  </w:r>
                </w:p>
              </w:tc>
              <w:tc>
                <w:tcPr>
                  <w:tcW w:w="819" w:type="dxa"/>
                  <w:vAlign w:val="center"/>
                </w:tcPr>
                <w:p w14:paraId="2532B2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lang w:val="en-US" w:eastAsia="zh-CN"/>
                    </w:rPr>
                  </w:pPr>
                  <w:r>
                    <w:rPr>
                      <w:rFonts w:hint="default" w:eastAsiaTheme="minorEastAsia"/>
                      <w:color w:val="auto"/>
                      <w:sz w:val="21"/>
                      <w:szCs w:val="21"/>
                      <w:highlight w:val="none"/>
                      <w:lang w:val="en-US" w:eastAsia="zh-CN"/>
                    </w:rPr>
                    <w:t>HW</w:t>
                  </w:r>
                  <w:r>
                    <w:rPr>
                      <w:rFonts w:hint="eastAsia" w:eastAsiaTheme="minorEastAsia"/>
                      <w:color w:val="auto"/>
                      <w:sz w:val="21"/>
                      <w:szCs w:val="21"/>
                      <w:highlight w:val="none"/>
                      <w:lang w:val="en-US" w:eastAsia="zh-CN"/>
                    </w:rPr>
                    <w:t>01</w:t>
                  </w:r>
                </w:p>
              </w:tc>
              <w:tc>
                <w:tcPr>
                  <w:tcW w:w="1374" w:type="dxa"/>
                  <w:vAlign w:val="center"/>
                </w:tcPr>
                <w:p w14:paraId="155F8B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eastAsiaTheme="minorEastAsia"/>
                      <w:color w:val="auto"/>
                      <w:sz w:val="21"/>
                      <w:szCs w:val="21"/>
                      <w:highlight w:val="none"/>
                      <w:lang w:val="en-US" w:eastAsia="zh-CN"/>
                    </w:rPr>
                    <w:t>841-001-01</w:t>
                  </w:r>
                  <w:r>
                    <w:rPr>
                      <w:rFonts w:hint="eastAsia" w:eastAsiaTheme="minorEastAsia"/>
                      <w:color w:val="auto"/>
                      <w:sz w:val="21"/>
                      <w:szCs w:val="21"/>
                      <w:highlight w:val="none"/>
                      <w:lang w:val="en-US" w:eastAsia="zh-CN"/>
                    </w:rPr>
                    <w:t>、</w:t>
                  </w:r>
                  <w:r>
                    <w:rPr>
                      <w:rFonts w:hint="default" w:eastAsiaTheme="minorEastAsia"/>
                      <w:color w:val="auto"/>
                      <w:sz w:val="21"/>
                      <w:szCs w:val="21"/>
                      <w:highlight w:val="none"/>
                      <w:lang w:val="en-US" w:eastAsia="zh-CN"/>
                    </w:rPr>
                    <w:t>841-002-01</w:t>
                  </w:r>
                  <w:r>
                    <w:rPr>
                      <w:rFonts w:hint="eastAsia" w:eastAsiaTheme="minorEastAsia"/>
                      <w:color w:val="auto"/>
                      <w:sz w:val="21"/>
                      <w:szCs w:val="21"/>
                      <w:highlight w:val="none"/>
                      <w:lang w:val="en-US" w:eastAsia="zh-CN"/>
                    </w:rPr>
                    <w:t>、8</w:t>
                  </w:r>
                  <w:r>
                    <w:rPr>
                      <w:rFonts w:hint="default" w:eastAsiaTheme="minorEastAsia"/>
                      <w:color w:val="auto"/>
                      <w:sz w:val="21"/>
                      <w:szCs w:val="21"/>
                      <w:highlight w:val="none"/>
                      <w:lang w:val="en-US" w:eastAsia="zh-CN"/>
                    </w:rPr>
                    <w:t>41-003-01</w:t>
                  </w:r>
                  <w:r>
                    <w:rPr>
                      <w:rFonts w:hint="eastAsia" w:eastAsiaTheme="minorEastAsia"/>
                      <w:color w:val="auto"/>
                      <w:sz w:val="21"/>
                      <w:szCs w:val="21"/>
                      <w:highlight w:val="none"/>
                      <w:lang w:val="en-US" w:eastAsia="zh-CN"/>
                    </w:rPr>
                    <w:t>、8</w:t>
                  </w:r>
                  <w:r>
                    <w:rPr>
                      <w:rFonts w:hint="default" w:eastAsiaTheme="minorEastAsia"/>
                      <w:color w:val="auto"/>
                      <w:sz w:val="21"/>
                      <w:szCs w:val="21"/>
                      <w:highlight w:val="none"/>
                      <w:lang w:val="en-US" w:eastAsia="zh-CN"/>
                    </w:rPr>
                    <w:t>41-004-01</w:t>
                  </w:r>
                  <w:r>
                    <w:rPr>
                      <w:rFonts w:hint="eastAsia" w:eastAsiaTheme="minorEastAsia"/>
                      <w:color w:val="auto"/>
                      <w:sz w:val="21"/>
                      <w:szCs w:val="21"/>
                      <w:highlight w:val="none"/>
                      <w:lang w:val="en-US" w:eastAsia="zh-CN"/>
                    </w:rPr>
                    <w:t>、</w:t>
                  </w:r>
                  <w:r>
                    <w:rPr>
                      <w:rFonts w:hint="default" w:eastAsiaTheme="minorEastAsia"/>
                      <w:color w:val="auto"/>
                      <w:sz w:val="21"/>
                      <w:szCs w:val="21"/>
                      <w:highlight w:val="none"/>
                      <w:lang w:val="en-US" w:eastAsia="zh-CN"/>
                    </w:rPr>
                    <w:t>841-005-01</w:t>
                  </w:r>
                </w:p>
              </w:tc>
              <w:tc>
                <w:tcPr>
                  <w:tcW w:w="834" w:type="dxa"/>
                  <w:vAlign w:val="center"/>
                </w:tcPr>
                <w:p w14:paraId="242D42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lang w:val="en-US" w:eastAsia="zh-CN"/>
                    </w:rPr>
                  </w:pPr>
                  <w:r>
                    <w:rPr>
                      <w:rFonts w:hint="eastAsia" w:cs="Times New Roman"/>
                      <w:color w:val="auto"/>
                      <w:kern w:val="2"/>
                      <w:sz w:val="21"/>
                      <w:szCs w:val="21"/>
                      <w:highlight w:val="none"/>
                      <w:lang w:val="en-US" w:eastAsia="zh-CN" w:bidi="ar-SA"/>
                    </w:rPr>
                    <w:t>14.105</w:t>
                  </w:r>
                </w:p>
              </w:tc>
            </w:tr>
            <w:tr w14:paraId="38B41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jc w:val="center"/>
              </w:trPr>
              <w:tc>
                <w:tcPr>
                  <w:tcW w:w="552" w:type="dxa"/>
                  <w:vAlign w:val="center"/>
                </w:tcPr>
                <w:p w14:paraId="2EA12B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w w:val="100"/>
                      <w:sz w:val="21"/>
                      <w:szCs w:val="21"/>
                      <w:lang w:eastAsia="zh-CN"/>
                    </w:rPr>
                  </w:pPr>
                  <w:r>
                    <w:rPr>
                      <w:rFonts w:hint="eastAsia" w:ascii="Times New Roman" w:hAnsi="Times New Roman" w:eastAsia="宋体" w:cs="Times New Roman"/>
                      <w:color w:val="auto"/>
                      <w:spacing w:val="0"/>
                      <w:w w:val="100"/>
                      <w:sz w:val="21"/>
                      <w:szCs w:val="21"/>
                      <w:lang w:val="en-US" w:eastAsia="zh-CN"/>
                    </w:rPr>
                    <w:t>2</w:t>
                  </w:r>
                </w:p>
              </w:tc>
              <w:tc>
                <w:tcPr>
                  <w:tcW w:w="1018" w:type="dxa"/>
                  <w:vAlign w:val="center"/>
                </w:tcPr>
                <w:p w14:paraId="6008F6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0"/>
                      <w:w w:val="100"/>
                      <w:sz w:val="21"/>
                      <w:szCs w:val="21"/>
                      <w:lang w:eastAsia="zh-CN"/>
                    </w:rPr>
                  </w:pPr>
                  <w:r>
                    <w:rPr>
                      <w:rFonts w:hint="eastAsia"/>
                      <w:color w:val="auto"/>
                      <w:sz w:val="21"/>
                      <w:szCs w:val="21"/>
                      <w:lang w:eastAsia="zh-CN"/>
                    </w:rPr>
                    <w:t>污水站污泥与栅渣</w:t>
                  </w:r>
                </w:p>
              </w:tc>
              <w:tc>
                <w:tcPr>
                  <w:tcW w:w="796" w:type="dxa"/>
                  <w:vAlign w:val="center"/>
                </w:tcPr>
                <w:p w14:paraId="19FCFF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rPr>
                  </w:pPr>
                  <w:r>
                    <w:rPr>
                      <w:rFonts w:hint="eastAsia" w:cs="Times New Roman"/>
                      <w:color w:val="auto"/>
                      <w:kern w:val="2"/>
                      <w:sz w:val="21"/>
                      <w:szCs w:val="21"/>
                      <w:lang w:val="en-US" w:eastAsia="zh-CN" w:bidi="ar-SA"/>
                    </w:rPr>
                    <w:t>污水处理站</w:t>
                  </w:r>
                </w:p>
              </w:tc>
              <w:tc>
                <w:tcPr>
                  <w:tcW w:w="866" w:type="dxa"/>
                  <w:vAlign w:val="center"/>
                </w:tcPr>
                <w:p w14:paraId="5D7BAAB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w w:val="100"/>
                      <w:sz w:val="21"/>
                      <w:szCs w:val="21"/>
                      <w:lang w:eastAsia="zh-CN"/>
                    </w:rPr>
                  </w:pPr>
                  <w:r>
                    <w:rPr>
                      <w:rFonts w:hint="eastAsia" w:ascii="Times New Roman" w:hAnsi="Times New Roman" w:eastAsia="宋体" w:cs="Times New Roman"/>
                      <w:color w:val="auto"/>
                      <w:spacing w:val="0"/>
                      <w:w w:val="100"/>
                      <w:sz w:val="21"/>
                      <w:szCs w:val="21"/>
                      <w:lang w:eastAsia="zh-CN"/>
                    </w:rPr>
                    <w:t>半固态</w:t>
                  </w:r>
                </w:p>
              </w:tc>
              <w:tc>
                <w:tcPr>
                  <w:tcW w:w="1638" w:type="dxa"/>
                  <w:vAlign w:val="center"/>
                </w:tcPr>
                <w:p w14:paraId="09347B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rPr>
                  </w:pPr>
                  <w:r>
                    <w:rPr>
                      <w:rFonts w:hint="eastAsia"/>
                      <w:color w:val="auto"/>
                      <w:sz w:val="21"/>
                      <w:szCs w:val="21"/>
                      <w:lang w:val="en-US" w:eastAsia="zh-CN"/>
                    </w:rPr>
                    <w:t>/</w:t>
                  </w:r>
                </w:p>
              </w:tc>
              <w:tc>
                <w:tcPr>
                  <w:tcW w:w="819" w:type="dxa"/>
                  <w:vAlign w:val="center"/>
                </w:tcPr>
                <w:p w14:paraId="559C3A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lang w:val="en-US" w:eastAsia="zh-CN"/>
                    </w:rPr>
                  </w:pPr>
                  <w:r>
                    <w:rPr>
                      <w:rFonts w:hint="eastAsia" w:eastAsiaTheme="minorEastAsia"/>
                      <w:color w:val="auto"/>
                      <w:sz w:val="21"/>
                      <w:szCs w:val="21"/>
                      <w:highlight w:val="none"/>
                      <w:lang w:val="en-US" w:eastAsia="zh-CN"/>
                    </w:rPr>
                    <w:t>HW01</w:t>
                  </w:r>
                </w:p>
              </w:tc>
              <w:tc>
                <w:tcPr>
                  <w:tcW w:w="1374" w:type="dxa"/>
                  <w:vAlign w:val="center"/>
                </w:tcPr>
                <w:p w14:paraId="2CD1B8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rPr>
                  </w:pPr>
                  <w:r>
                    <w:rPr>
                      <w:rFonts w:hint="default" w:eastAsiaTheme="minorEastAsia"/>
                      <w:color w:val="auto"/>
                      <w:sz w:val="21"/>
                      <w:szCs w:val="21"/>
                      <w:highlight w:val="none"/>
                      <w:lang w:val="en-US" w:eastAsia="zh-CN"/>
                    </w:rPr>
                    <w:t>841-001-01</w:t>
                  </w:r>
                </w:p>
              </w:tc>
              <w:tc>
                <w:tcPr>
                  <w:tcW w:w="834" w:type="dxa"/>
                  <w:vAlign w:val="center"/>
                </w:tcPr>
                <w:p w14:paraId="0514CB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sz w:val="21"/>
                      <w:szCs w:val="21"/>
                      <w:lang w:val="en-US" w:eastAsia="zh-CN"/>
                    </w:rPr>
                  </w:pPr>
                  <w:r>
                    <w:rPr>
                      <w:rFonts w:hint="eastAsia" w:cs="Times New Roman"/>
                      <w:color w:val="auto"/>
                      <w:kern w:val="2"/>
                      <w:sz w:val="21"/>
                      <w:szCs w:val="21"/>
                      <w:highlight w:val="none"/>
                      <w:lang w:val="en-US" w:eastAsia="zh-CN" w:bidi="ar-SA"/>
                    </w:rPr>
                    <w:t>51.2156</w:t>
                  </w:r>
                </w:p>
              </w:tc>
            </w:tr>
          </w:tbl>
          <w:p w14:paraId="2DF6715A">
            <w:pPr>
              <w:pStyle w:val="141"/>
              <w:keepNext w:val="0"/>
              <w:keepLines w:val="0"/>
              <w:pageBreakBefore w:val="0"/>
              <w:kinsoku/>
              <w:wordWrap/>
              <w:overflowPunct/>
              <w:topLinePunct w:val="0"/>
              <w:autoSpaceDE/>
              <w:autoSpaceDN/>
              <w:bidi w:val="0"/>
              <w:spacing w:line="360" w:lineRule="auto"/>
              <w:ind w:left="0" w:leftChars="0" w:right="0" w:firstLine="0" w:firstLineChars="0"/>
              <w:textAlignment w:val="auto"/>
              <w:rPr>
                <w:rFonts w:hint="eastAsia"/>
                <w:color w:val="auto"/>
                <w:vertAlign w:val="baseline"/>
              </w:rPr>
            </w:pPr>
          </w:p>
        </w:tc>
      </w:tr>
    </w:tbl>
    <w:p w14:paraId="757F8841">
      <w:pPr>
        <w:ind w:left="0" w:leftChars="0" w:firstLine="0" w:firstLineChars="0"/>
        <w:rPr>
          <w:rFonts w:hint="eastAsia"/>
          <w:color w:val="auto"/>
        </w:rPr>
        <w:sectPr>
          <w:pgSz w:w="11905" w:h="16838"/>
          <w:pgMar w:top="1440" w:right="1800" w:bottom="1440" w:left="1800"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428"/>
      </w:tblGrid>
      <w:tr w14:paraId="3C64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6" w:type="dxa"/>
            <w:vAlign w:val="center"/>
          </w:tcPr>
          <w:p w14:paraId="7E15EF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vertAlign w:val="baseline"/>
              </w:rPr>
            </w:pPr>
            <w:r>
              <w:rPr>
                <w:rFonts w:hint="default" w:ascii="Times New Roman" w:hAnsi="Times New Roman" w:eastAsia="宋体" w:cs="Times New Roman"/>
                <w:b/>
                <w:bCs/>
                <w:color w:val="auto"/>
                <w:spacing w:val="0"/>
                <w:w w:val="100"/>
                <w:position w:val="0"/>
                <w:sz w:val="24"/>
                <w:szCs w:val="24"/>
              </w:rPr>
              <w:t>运营期环境影响和保护措施</w:t>
            </w:r>
          </w:p>
        </w:tc>
        <w:tc>
          <w:tcPr>
            <w:tcW w:w="13428" w:type="dxa"/>
          </w:tcPr>
          <w:p w14:paraId="6855AA5D">
            <w:pPr>
              <w:keepNext w:val="0"/>
              <w:keepLines w:val="0"/>
              <w:pageBreakBefore w:val="0"/>
              <w:widowControl w:val="0"/>
              <w:kinsoku/>
              <w:wordWrap/>
              <w:overflowPunct/>
              <w:topLinePunct w:val="0"/>
              <w:autoSpaceDE/>
              <w:autoSpaceDN/>
              <w:bidi w:val="0"/>
              <w:adjustRightInd/>
              <w:snapToGrid/>
              <w:spacing w:line="360" w:lineRule="auto"/>
              <w:ind w:left="0" w:right="0" w:firstLine="0"/>
              <w:jc w:val="both"/>
              <w:textAlignment w:val="auto"/>
              <w:rPr>
                <w:rFonts w:ascii="宋体" w:hAnsi="宋体" w:eastAsia="宋体" w:cs="宋体"/>
                <w:color w:val="auto"/>
                <w:spacing w:val="0"/>
                <w:w w:val="100"/>
                <w:sz w:val="24"/>
                <w:szCs w:val="24"/>
              </w:rPr>
            </w:pPr>
            <w:r>
              <w:rPr>
                <w:rFonts w:hint="default" w:ascii="Times New Roman" w:hAnsi="Times New Roman" w:eastAsia="宋体" w:cs="Times New Roman"/>
                <w:color w:val="auto"/>
                <w:spacing w:val="0"/>
                <w:w w:val="100"/>
                <w:sz w:val="24"/>
                <w:szCs w:val="24"/>
              </w:rPr>
              <w:t>本项目产生的主要固废以及处置情况见表</w:t>
            </w:r>
            <w:r>
              <w:rPr>
                <w:rFonts w:hint="eastAsia" w:ascii="Times New Roman" w:hAnsi="Times New Roman" w:eastAsia="宋体" w:cs="Times New Roman"/>
                <w:color w:val="auto"/>
                <w:spacing w:val="0"/>
                <w:w w:val="100"/>
                <w:sz w:val="24"/>
                <w:szCs w:val="24"/>
                <w:lang w:val="en-US" w:eastAsia="zh-CN"/>
              </w:rPr>
              <w:t>4-</w:t>
            </w:r>
            <w:r>
              <w:rPr>
                <w:rFonts w:hint="eastAsia" w:cs="Times New Roman"/>
                <w:color w:val="auto"/>
                <w:spacing w:val="0"/>
                <w:w w:val="100"/>
                <w:sz w:val="24"/>
                <w:szCs w:val="24"/>
                <w:lang w:val="en-US" w:eastAsia="zh-CN"/>
              </w:rPr>
              <w:t>18</w:t>
            </w:r>
            <w:r>
              <w:rPr>
                <w:rFonts w:hint="default" w:ascii="Times New Roman" w:hAnsi="Times New Roman" w:eastAsia="宋体" w:cs="Times New Roman"/>
                <w:color w:val="auto"/>
                <w:spacing w:val="0"/>
                <w:w w:val="100"/>
                <w:sz w:val="24"/>
                <w:szCs w:val="24"/>
              </w:rPr>
              <w:t>。</w:t>
            </w:r>
          </w:p>
          <w:p w14:paraId="75054A05">
            <w:pPr>
              <w:bidi w:val="0"/>
              <w:spacing w:line="240" w:lineRule="auto"/>
              <w:jc w:val="center"/>
              <w:rPr>
                <w:rFonts w:hint="eastAsia"/>
                <w:b/>
                <w:bCs/>
                <w:sz w:val="21"/>
                <w:szCs w:val="21"/>
                <w:lang w:val="en-US" w:eastAsia="zh-CN"/>
              </w:rPr>
            </w:pPr>
            <w:r>
              <w:rPr>
                <w:rFonts w:hint="default"/>
                <w:b/>
                <w:bCs/>
                <w:sz w:val="21"/>
                <w:szCs w:val="21"/>
                <w:lang w:val="en-US" w:eastAsia="zh-CN"/>
              </w:rPr>
              <w:t>表4-</w:t>
            </w:r>
            <w:r>
              <w:rPr>
                <w:rFonts w:hint="eastAsia"/>
                <w:b/>
                <w:bCs/>
                <w:sz w:val="21"/>
                <w:szCs w:val="21"/>
                <w:lang w:val="en-US" w:eastAsia="zh-CN"/>
              </w:rPr>
              <w:t>18</w:t>
            </w:r>
            <w:r>
              <w:rPr>
                <w:rFonts w:hint="default"/>
                <w:b/>
                <w:bCs/>
                <w:sz w:val="21"/>
                <w:szCs w:val="21"/>
                <w:lang w:val="en-US" w:eastAsia="zh-CN"/>
              </w:rPr>
              <w:t>拟建项目固体废物源强及处置情况</w:t>
            </w:r>
            <w:r>
              <w:rPr>
                <w:rFonts w:hint="eastAsia"/>
                <w:b/>
                <w:bCs/>
                <w:sz w:val="21"/>
                <w:szCs w:val="21"/>
                <w:lang w:val="en-US" w:eastAsia="zh-CN"/>
              </w:rPr>
              <w:t>表</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276"/>
              <w:gridCol w:w="917"/>
              <w:gridCol w:w="1245"/>
              <w:gridCol w:w="577"/>
              <w:gridCol w:w="1361"/>
              <w:gridCol w:w="842"/>
              <w:gridCol w:w="1004"/>
              <w:gridCol w:w="958"/>
              <w:gridCol w:w="1269"/>
              <w:gridCol w:w="732"/>
              <w:gridCol w:w="600"/>
              <w:gridCol w:w="1668"/>
              <w:gridCol w:w="908"/>
              <w:gridCol w:w="832"/>
            </w:tblGrid>
            <w:tr w14:paraId="1DD4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tblHeader/>
                <w:jc w:val="center"/>
              </w:trPr>
              <w:tc>
                <w:tcPr>
                  <w:tcW w:w="104" w:type="pct"/>
                  <w:vMerge w:val="restart"/>
                  <w:noWrap w:val="0"/>
                  <w:vAlign w:val="center"/>
                </w:tcPr>
                <w:p w14:paraId="39E6D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347" w:type="pct"/>
                  <w:vMerge w:val="restart"/>
                  <w:noWrap w:val="0"/>
                  <w:vAlign w:val="center"/>
                </w:tcPr>
                <w:p w14:paraId="3FAD23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产生环节</w:t>
                  </w:r>
                </w:p>
              </w:tc>
              <w:tc>
                <w:tcPr>
                  <w:tcW w:w="471" w:type="pct"/>
                  <w:vMerge w:val="restart"/>
                  <w:noWrap w:val="0"/>
                  <w:vAlign w:val="center"/>
                </w:tcPr>
                <w:p w14:paraId="41BAFF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固体废物</w:t>
                  </w:r>
                </w:p>
                <w:p w14:paraId="6D8C20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18" w:type="pct"/>
                  <w:vMerge w:val="restart"/>
                  <w:noWrap w:val="0"/>
                  <w:vAlign w:val="center"/>
                </w:tcPr>
                <w:p w14:paraId="1DB372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eastAsia="zh-CN"/>
                    </w:rPr>
                    <w:t>物理性状</w:t>
                  </w:r>
                </w:p>
              </w:tc>
              <w:tc>
                <w:tcPr>
                  <w:tcW w:w="515" w:type="pct"/>
                  <w:vMerge w:val="restart"/>
                  <w:noWrap w:val="0"/>
                  <w:vAlign w:val="center"/>
                </w:tcPr>
                <w:p w14:paraId="156707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主要成分</w:t>
                  </w:r>
                </w:p>
              </w:tc>
              <w:tc>
                <w:tcPr>
                  <w:tcW w:w="319" w:type="pct"/>
                  <w:vMerge w:val="restart"/>
                  <w:noWrap w:val="0"/>
                  <w:vAlign w:val="center"/>
                </w:tcPr>
                <w:p w14:paraId="56CFEB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产生量</w:t>
                  </w:r>
                  <w:r>
                    <w:rPr>
                      <w:rFonts w:hint="default" w:ascii="Times New Roman" w:hAnsi="Times New Roman" w:eastAsia="宋体" w:cs="Times New Roman"/>
                      <w:b/>
                      <w:bCs/>
                      <w:color w:val="auto"/>
                      <w:sz w:val="21"/>
                      <w:szCs w:val="21"/>
                    </w:rPr>
                    <w:t>（t/a）</w:t>
                  </w:r>
                </w:p>
              </w:tc>
              <w:tc>
                <w:tcPr>
                  <w:tcW w:w="380" w:type="pct"/>
                  <w:vMerge w:val="restart"/>
                  <w:noWrap w:val="0"/>
                  <w:vAlign w:val="center"/>
                </w:tcPr>
                <w:p w14:paraId="50B700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判定依据</w:t>
                  </w:r>
                </w:p>
              </w:tc>
              <w:tc>
                <w:tcPr>
                  <w:tcW w:w="363" w:type="pct"/>
                  <w:vMerge w:val="restart"/>
                  <w:noWrap w:val="0"/>
                  <w:vAlign w:val="center"/>
                </w:tcPr>
                <w:p w14:paraId="0C6487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废物类别</w:t>
                  </w:r>
                </w:p>
              </w:tc>
              <w:tc>
                <w:tcPr>
                  <w:tcW w:w="481" w:type="pct"/>
                  <w:vMerge w:val="restart"/>
                  <w:noWrap w:val="0"/>
                  <w:vAlign w:val="center"/>
                </w:tcPr>
                <w:p w14:paraId="230163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废物代码</w:t>
                  </w:r>
                </w:p>
              </w:tc>
              <w:tc>
                <w:tcPr>
                  <w:tcW w:w="277" w:type="pct"/>
                  <w:vMerge w:val="restart"/>
                  <w:noWrap w:val="0"/>
                  <w:vAlign w:val="center"/>
                </w:tcPr>
                <w:p w14:paraId="6C99A8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危险特性</w:t>
                  </w:r>
                </w:p>
              </w:tc>
              <w:tc>
                <w:tcPr>
                  <w:tcW w:w="227" w:type="pct"/>
                  <w:vMerge w:val="restart"/>
                  <w:noWrap w:val="0"/>
                  <w:vAlign w:val="center"/>
                </w:tcPr>
                <w:p w14:paraId="25A37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976" w:type="pct"/>
                  <w:gridSpan w:val="2"/>
                  <w:noWrap w:val="0"/>
                  <w:vAlign w:val="center"/>
                </w:tcPr>
                <w:p w14:paraId="12725C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利用或</w:t>
                  </w:r>
                  <w:r>
                    <w:rPr>
                      <w:rFonts w:hint="default" w:ascii="Times New Roman" w:hAnsi="Times New Roman" w:eastAsia="宋体" w:cs="Times New Roman"/>
                      <w:b/>
                      <w:bCs/>
                      <w:color w:val="auto"/>
                      <w:sz w:val="21"/>
                      <w:szCs w:val="21"/>
                    </w:rPr>
                    <w:t>处置措施</w:t>
                  </w:r>
                </w:p>
              </w:tc>
              <w:tc>
                <w:tcPr>
                  <w:tcW w:w="315" w:type="pct"/>
                  <w:vMerge w:val="restart"/>
                  <w:noWrap w:val="0"/>
                  <w:vAlign w:val="center"/>
                </w:tcPr>
                <w:p w14:paraId="02F472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最终去向</w:t>
                  </w:r>
                </w:p>
              </w:tc>
            </w:tr>
            <w:tr w14:paraId="52FC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09" w:hRule="atLeast"/>
                <w:tblHeader/>
                <w:jc w:val="center"/>
              </w:trPr>
              <w:tc>
                <w:tcPr>
                  <w:tcW w:w="104" w:type="pct"/>
                  <w:vMerge w:val="continue"/>
                  <w:noWrap w:val="0"/>
                  <w:vAlign w:val="center"/>
                </w:tcPr>
                <w:p w14:paraId="1F8438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347" w:type="pct"/>
                  <w:vMerge w:val="continue"/>
                  <w:noWrap w:val="0"/>
                  <w:vAlign w:val="center"/>
                </w:tcPr>
                <w:p w14:paraId="50FA4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71" w:type="pct"/>
                  <w:vMerge w:val="continue"/>
                  <w:noWrap w:val="0"/>
                  <w:vAlign w:val="center"/>
                </w:tcPr>
                <w:p w14:paraId="0F6234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18" w:type="pct"/>
                  <w:vMerge w:val="continue"/>
                  <w:noWrap w:val="0"/>
                  <w:vAlign w:val="center"/>
                </w:tcPr>
                <w:p w14:paraId="754BB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515" w:type="pct"/>
                  <w:vMerge w:val="continue"/>
                  <w:noWrap w:val="0"/>
                  <w:vAlign w:val="center"/>
                </w:tcPr>
                <w:p w14:paraId="73ACD9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319" w:type="pct"/>
                  <w:vMerge w:val="continue"/>
                  <w:noWrap w:val="0"/>
                  <w:vAlign w:val="center"/>
                </w:tcPr>
                <w:p w14:paraId="7E4C6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380" w:type="pct"/>
                  <w:vMerge w:val="continue"/>
                  <w:noWrap w:val="0"/>
                  <w:vAlign w:val="center"/>
                </w:tcPr>
                <w:p w14:paraId="6EB05C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363" w:type="pct"/>
                  <w:vMerge w:val="continue"/>
                  <w:noWrap w:val="0"/>
                  <w:vAlign w:val="center"/>
                </w:tcPr>
                <w:p w14:paraId="19B52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81" w:type="pct"/>
                  <w:vMerge w:val="continue"/>
                  <w:noWrap w:val="0"/>
                  <w:vAlign w:val="center"/>
                </w:tcPr>
                <w:p w14:paraId="33B4C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77" w:type="pct"/>
                  <w:vMerge w:val="continue"/>
                  <w:noWrap w:val="0"/>
                  <w:vAlign w:val="center"/>
                </w:tcPr>
                <w:p w14:paraId="733ADA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27" w:type="pct"/>
                  <w:vMerge w:val="continue"/>
                  <w:noWrap w:val="0"/>
                  <w:vAlign w:val="center"/>
                </w:tcPr>
                <w:p w14:paraId="329FCF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32" w:type="pct"/>
                  <w:noWrap w:val="0"/>
                  <w:vAlign w:val="center"/>
                </w:tcPr>
                <w:p w14:paraId="013BD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措施</w:t>
                  </w:r>
                </w:p>
              </w:tc>
              <w:tc>
                <w:tcPr>
                  <w:tcW w:w="344" w:type="pct"/>
                  <w:noWrap w:val="0"/>
                  <w:vAlign w:val="center"/>
                </w:tcPr>
                <w:p w14:paraId="4641CC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处置量（t/a）</w:t>
                  </w:r>
                </w:p>
              </w:tc>
              <w:tc>
                <w:tcPr>
                  <w:tcW w:w="315" w:type="pct"/>
                  <w:vMerge w:val="continue"/>
                  <w:noWrap w:val="0"/>
                  <w:vAlign w:val="center"/>
                </w:tcPr>
                <w:p w14:paraId="1E0E0C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6B43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04" w:type="pct"/>
                  <w:noWrap w:val="0"/>
                  <w:vAlign w:val="center"/>
                </w:tcPr>
                <w:p w14:paraId="695095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347" w:type="pct"/>
                  <w:noWrap w:val="0"/>
                  <w:vAlign w:val="center"/>
                </w:tcPr>
                <w:p w14:paraId="5D9E9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医疗活动</w:t>
                  </w:r>
                </w:p>
              </w:tc>
              <w:tc>
                <w:tcPr>
                  <w:tcW w:w="471" w:type="pct"/>
                  <w:noWrap w:val="0"/>
                  <w:vAlign w:val="center"/>
                </w:tcPr>
                <w:p w14:paraId="799906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SA"/>
                    </w:rPr>
                    <w:t>未污染的一次性输液袋（瓶）、一次性医用外包装物</w:t>
                  </w:r>
                </w:p>
              </w:tc>
              <w:tc>
                <w:tcPr>
                  <w:tcW w:w="218" w:type="pct"/>
                  <w:noWrap w:val="0"/>
                  <w:vAlign w:val="center"/>
                </w:tcPr>
                <w:p w14:paraId="276A61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固态</w:t>
                  </w:r>
                </w:p>
              </w:tc>
              <w:tc>
                <w:tcPr>
                  <w:tcW w:w="515" w:type="pct"/>
                  <w:noWrap w:val="0"/>
                  <w:vAlign w:val="center"/>
                </w:tcPr>
                <w:p w14:paraId="738578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19" w:type="pct"/>
                  <w:noWrap w:val="0"/>
                  <w:vAlign w:val="center"/>
                </w:tcPr>
                <w:p w14:paraId="61B949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w:t>
                  </w:r>
                  <w:r>
                    <w:rPr>
                      <w:rFonts w:hint="eastAsia" w:cs="Times New Roman"/>
                      <w:color w:val="auto"/>
                      <w:sz w:val="21"/>
                      <w:szCs w:val="21"/>
                      <w:highlight w:val="none"/>
                      <w:lang w:val="en-US" w:eastAsia="zh-CN"/>
                    </w:rPr>
                    <w:t>2</w:t>
                  </w:r>
                </w:p>
              </w:tc>
              <w:tc>
                <w:tcPr>
                  <w:tcW w:w="380" w:type="pct"/>
                  <w:noWrap w:val="0"/>
                  <w:vAlign w:val="center"/>
                </w:tcPr>
                <w:p w14:paraId="2593A2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0"/>
                      <w:w w:val="100"/>
                      <w:sz w:val="21"/>
                      <w:szCs w:val="21"/>
                    </w:rPr>
                    <w:t>根据废物性质判定</w:t>
                  </w:r>
                </w:p>
              </w:tc>
              <w:tc>
                <w:tcPr>
                  <w:tcW w:w="363" w:type="pct"/>
                  <w:noWrap w:val="0"/>
                  <w:vAlign w:val="center"/>
                </w:tcPr>
                <w:p w14:paraId="122232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一般固废</w:t>
                  </w:r>
                </w:p>
              </w:tc>
              <w:tc>
                <w:tcPr>
                  <w:tcW w:w="481" w:type="pct"/>
                  <w:noWrap w:val="0"/>
                  <w:vAlign w:val="center"/>
                </w:tcPr>
                <w:p w14:paraId="7143A0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841-005-99</w:t>
                  </w:r>
                </w:p>
              </w:tc>
              <w:tc>
                <w:tcPr>
                  <w:tcW w:w="277" w:type="pct"/>
                  <w:noWrap w:val="0"/>
                  <w:vAlign w:val="center"/>
                </w:tcPr>
                <w:p w14:paraId="0CE373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27" w:type="pct"/>
                  <w:noWrap w:val="0"/>
                  <w:vAlign w:val="center"/>
                </w:tcPr>
                <w:p w14:paraId="23F0C3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632" w:type="pct"/>
                  <w:noWrap w:val="0"/>
                  <w:vAlign w:val="center"/>
                </w:tcPr>
                <w:p w14:paraId="5CEDC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由专业单位回收利用或处置</w:t>
                  </w:r>
                </w:p>
              </w:tc>
              <w:tc>
                <w:tcPr>
                  <w:tcW w:w="908" w:type="dxa"/>
                  <w:noWrap w:val="0"/>
                  <w:vAlign w:val="center"/>
                </w:tcPr>
                <w:p w14:paraId="439736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0.02</w:t>
                  </w:r>
                  <w:r>
                    <w:rPr>
                      <w:rFonts w:hint="eastAsia" w:cs="Times New Roman"/>
                      <w:color w:val="auto"/>
                      <w:sz w:val="21"/>
                      <w:szCs w:val="21"/>
                      <w:highlight w:val="none"/>
                      <w:lang w:val="en-US" w:eastAsia="zh-CN"/>
                    </w:rPr>
                    <w:t>2</w:t>
                  </w:r>
                </w:p>
              </w:tc>
              <w:tc>
                <w:tcPr>
                  <w:tcW w:w="315" w:type="pct"/>
                  <w:noWrap w:val="0"/>
                  <w:vAlign w:val="center"/>
                </w:tcPr>
                <w:p w14:paraId="361AEF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委托处置</w:t>
                  </w:r>
                </w:p>
              </w:tc>
            </w:tr>
            <w:tr w14:paraId="5E33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04" w:type="pct"/>
                  <w:noWrap w:val="0"/>
                  <w:vAlign w:val="center"/>
                </w:tcPr>
                <w:p w14:paraId="425E0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347" w:type="pct"/>
                  <w:noWrap w:val="0"/>
                  <w:vAlign w:val="center"/>
                </w:tcPr>
                <w:p w14:paraId="27EF3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加工间</w:t>
                  </w:r>
                </w:p>
              </w:tc>
              <w:tc>
                <w:tcPr>
                  <w:tcW w:w="471" w:type="pct"/>
                  <w:noWrap w:val="0"/>
                  <w:vAlign w:val="center"/>
                </w:tcPr>
                <w:p w14:paraId="1666D1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制片边角料</w:t>
                  </w:r>
                </w:p>
              </w:tc>
              <w:tc>
                <w:tcPr>
                  <w:tcW w:w="218" w:type="pct"/>
                  <w:noWrap w:val="0"/>
                  <w:vAlign w:val="center"/>
                </w:tcPr>
                <w:p w14:paraId="757009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固态</w:t>
                  </w:r>
                </w:p>
              </w:tc>
              <w:tc>
                <w:tcPr>
                  <w:tcW w:w="515" w:type="pct"/>
                  <w:noWrap w:val="0"/>
                  <w:vAlign w:val="center"/>
                </w:tcPr>
                <w:p w14:paraId="660E37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19" w:type="pct"/>
                  <w:noWrap w:val="0"/>
                  <w:vAlign w:val="center"/>
                </w:tcPr>
                <w:p w14:paraId="0C2049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0.001</w:t>
                  </w:r>
                  <w:r>
                    <w:rPr>
                      <w:rFonts w:hint="eastAsia" w:cs="Times New Roman"/>
                      <w:color w:val="auto"/>
                      <w:sz w:val="21"/>
                      <w:szCs w:val="21"/>
                      <w:lang w:val="en-US" w:eastAsia="zh-CN"/>
                    </w:rPr>
                    <w:t>1</w:t>
                  </w:r>
                </w:p>
              </w:tc>
              <w:tc>
                <w:tcPr>
                  <w:tcW w:w="380" w:type="pct"/>
                  <w:noWrap w:val="0"/>
                  <w:vAlign w:val="center"/>
                </w:tcPr>
                <w:p w14:paraId="2BA699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pacing w:val="0"/>
                      <w:w w:val="100"/>
                      <w:sz w:val="21"/>
                      <w:szCs w:val="21"/>
                    </w:rPr>
                    <w:t>根据废物性质判定</w:t>
                  </w:r>
                </w:p>
              </w:tc>
              <w:tc>
                <w:tcPr>
                  <w:tcW w:w="363" w:type="pct"/>
                  <w:noWrap w:val="0"/>
                  <w:vAlign w:val="center"/>
                </w:tcPr>
                <w:p w14:paraId="092CE5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481" w:type="pct"/>
                  <w:noWrap w:val="0"/>
                  <w:vAlign w:val="center"/>
                </w:tcPr>
                <w:p w14:paraId="6696B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841-005-99</w:t>
                  </w:r>
                </w:p>
              </w:tc>
              <w:tc>
                <w:tcPr>
                  <w:tcW w:w="277" w:type="pct"/>
                  <w:noWrap w:val="0"/>
                  <w:vAlign w:val="center"/>
                </w:tcPr>
                <w:p w14:paraId="3BBC3A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27" w:type="pct"/>
                  <w:noWrap w:val="0"/>
                  <w:vAlign w:val="center"/>
                </w:tcPr>
                <w:p w14:paraId="152AA9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632" w:type="pct"/>
                  <w:noWrap w:val="0"/>
                  <w:vAlign w:val="center"/>
                </w:tcPr>
                <w:p w14:paraId="3C5EE5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vertAlign w:val="baseline"/>
                      <w:lang w:val="en-US" w:eastAsia="zh-CN"/>
                    </w:rPr>
                    <w:t>环卫部门清运</w:t>
                  </w:r>
                </w:p>
              </w:tc>
              <w:tc>
                <w:tcPr>
                  <w:tcW w:w="908" w:type="dxa"/>
                  <w:noWrap w:val="0"/>
                  <w:vAlign w:val="center"/>
                </w:tcPr>
                <w:p w14:paraId="7A3834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0.001</w:t>
                  </w:r>
                  <w:r>
                    <w:rPr>
                      <w:rFonts w:hint="eastAsia" w:cs="Times New Roman"/>
                      <w:color w:val="auto"/>
                      <w:sz w:val="21"/>
                      <w:szCs w:val="21"/>
                      <w:lang w:val="en-US" w:eastAsia="zh-CN"/>
                    </w:rPr>
                    <w:t>1</w:t>
                  </w:r>
                </w:p>
              </w:tc>
              <w:tc>
                <w:tcPr>
                  <w:tcW w:w="315" w:type="pct"/>
                  <w:noWrap w:val="0"/>
                  <w:vAlign w:val="center"/>
                </w:tcPr>
                <w:p w14:paraId="61162B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委托处置</w:t>
                  </w:r>
                </w:p>
              </w:tc>
            </w:tr>
            <w:tr w14:paraId="266E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04" w:type="pct"/>
                  <w:noWrap w:val="0"/>
                  <w:vAlign w:val="center"/>
                </w:tcPr>
                <w:p w14:paraId="341421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347" w:type="pct"/>
                  <w:noWrap w:val="0"/>
                  <w:vAlign w:val="center"/>
                </w:tcPr>
                <w:p w14:paraId="3CF083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员工办公、病床、门诊</w:t>
                  </w:r>
                </w:p>
              </w:tc>
              <w:tc>
                <w:tcPr>
                  <w:tcW w:w="471" w:type="pct"/>
                  <w:noWrap w:val="0"/>
                  <w:vAlign w:val="center"/>
                </w:tcPr>
                <w:p w14:paraId="4FD4E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生活垃圾</w:t>
                  </w:r>
                </w:p>
              </w:tc>
              <w:tc>
                <w:tcPr>
                  <w:tcW w:w="218" w:type="pct"/>
                  <w:noWrap w:val="0"/>
                  <w:vAlign w:val="center"/>
                </w:tcPr>
                <w:p w14:paraId="742FA1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固态</w:t>
                  </w:r>
                </w:p>
              </w:tc>
              <w:tc>
                <w:tcPr>
                  <w:tcW w:w="515" w:type="pct"/>
                  <w:noWrap w:val="0"/>
                  <w:vAlign w:val="center"/>
                </w:tcPr>
                <w:p w14:paraId="792EC4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19" w:type="pct"/>
                  <w:noWrap w:val="0"/>
                  <w:vAlign w:val="center"/>
                </w:tcPr>
                <w:p w14:paraId="5C497D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42.5225</w:t>
                  </w:r>
                </w:p>
              </w:tc>
              <w:tc>
                <w:tcPr>
                  <w:tcW w:w="380" w:type="pct"/>
                  <w:noWrap w:val="0"/>
                  <w:vAlign w:val="center"/>
                </w:tcPr>
                <w:p w14:paraId="18C51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w w:val="100"/>
                      <w:sz w:val="21"/>
                      <w:szCs w:val="21"/>
                    </w:rPr>
                    <w:t>根据废物性质判定</w:t>
                  </w:r>
                </w:p>
              </w:tc>
              <w:tc>
                <w:tcPr>
                  <w:tcW w:w="363" w:type="pct"/>
                  <w:noWrap w:val="0"/>
                  <w:vAlign w:val="center"/>
                </w:tcPr>
                <w:p w14:paraId="2C8ACF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生活垃圾</w:t>
                  </w:r>
                </w:p>
              </w:tc>
              <w:tc>
                <w:tcPr>
                  <w:tcW w:w="481" w:type="pct"/>
                  <w:noWrap w:val="0"/>
                  <w:vAlign w:val="center"/>
                </w:tcPr>
                <w:p w14:paraId="198567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77" w:type="pct"/>
                  <w:noWrap w:val="0"/>
                  <w:vAlign w:val="center"/>
                </w:tcPr>
                <w:p w14:paraId="68DF96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227" w:type="pct"/>
                  <w:noWrap w:val="0"/>
                  <w:vAlign w:val="center"/>
                </w:tcPr>
                <w:p w14:paraId="7344C6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垃圾桶</w:t>
                  </w:r>
                </w:p>
              </w:tc>
              <w:tc>
                <w:tcPr>
                  <w:tcW w:w="632" w:type="pct"/>
                  <w:noWrap w:val="0"/>
                  <w:vAlign w:val="center"/>
                </w:tcPr>
                <w:p w14:paraId="5A53E8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环卫部门清运</w:t>
                  </w:r>
                </w:p>
              </w:tc>
              <w:tc>
                <w:tcPr>
                  <w:tcW w:w="908" w:type="dxa"/>
                  <w:noWrap w:val="0"/>
                  <w:vAlign w:val="center"/>
                </w:tcPr>
                <w:p w14:paraId="339088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42.5225</w:t>
                  </w:r>
                </w:p>
              </w:tc>
              <w:tc>
                <w:tcPr>
                  <w:tcW w:w="315" w:type="pct"/>
                  <w:noWrap w:val="0"/>
                  <w:vAlign w:val="center"/>
                </w:tcPr>
                <w:p w14:paraId="6A7B34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委托处置</w:t>
                  </w:r>
                </w:p>
              </w:tc>
            </w:tr>
            <w:tr w14:paraId="7B2B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04" w:type="pct"/>
                  <w:noWrap w:val="0"/>
                  <w:vAlign w:val="center"/>
                </w:tcPr>
                <w:p w14:paraId="3AA255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347" w:type="pct"/>
                  <w:noWrap w:val="0"/>
                  <w:vAlign w:val="center"/>
                </w:tcPr>
                <w:p w14:paraId="76E778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医疗活动</w:t>
                  </w:r>
                </w:p>
              </w:tc>
              <w:tc>
                <w:tcPr>
                  <w:tcW w:w="471" w:type="pct"/>
                  <w:noWrap w:val="0"/>
                  <w:vAlign w:val="center"/>
                </w:tcPr>
                <w:p w14:paraId="0268A8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医疗废物</w:t>
                  </w:r>
                </w:p>
              </w:tc>
              <w:tc>
                <w:tcPr>
                  <w:tcW w:w="218" w:type="pct"/>
                  <w:noWrap w:val="0"/>
                  <w:vAlign w:val="center"/>
                </w:tcPr>
                <w:p w14:paraId="65828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固态</w:t>
                  </w:r>
                </w:p>
              </w:tc>
              <w:tc>
                <w:tcPr>
                  <w:tcW w:w="515" w:type="pct"/>
                  <w:noWrap w:val="0"/>
                  <w:vAlign w:val="center"/>
                </w:tcPr>
                <w:p w14:paraId="3B23ED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感染性废物、病理性废物、损伤性废物、药物性废物及化学性废物</w:t>
                  </w:r>
                </w:p>
              </w:tc>
              <w:tc>
                <w:tcPr>
                  <w:tcW w:w="319" w:type="pct"/>
                  <w:noWrap w:val="0"/>
                  <w:vAlign w:val="center"/>
                </w:tcPr>
                <w:p w14:paraId="1B0916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14.105</w:t>
                  </w:r>
                </w:p>
              </w:tc>
              <w:tc>
                <w:tcPr>
                  <w:tcW w:w="380" w:type="pct"/>
                  <w:noWrap w:val="0"/>
                  <w:vAlign w:val="center"/>
                </w:tcPr>
                <w:p w14:paraId="06E6C9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0"/>
                      <w:w w:val="100"/>
                      <w:sz w:val="21"/>
                      <w:szCs w:val="21"/>
                    </w:rPr>
                    <w:t>根据危废名录判定</w:t>
                  </w:r>
                </w:p>
              </w:tc>
              <w:tc>
                <w:tcPr>
                  <w:tcW w:w="363" w:type="pct"/>
                  <w:noWrap w:val="0"/>
                  <w:vAlign w:val="center"/>
                </w:tcPr>
                <w:p w14:paraId="48F000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HW01</w:t>
                  </w:r>
                </w:p>
              </w:tc>
              <w:tc>
                <w:tcPr>
                  <w:tcW w:w="481" w:type="pct"/>
                  <w:noWrap w:val="0"/>
                  <w:vAlign w:val="center"/>
                </w:tcPr>
                <w:p w14:paraId="43B88F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841-001-01、841-002-01、841-003-01、841-004-01、841-005-01</w:t>
                  </w:r>
                </w:p>
              </w:tc>
              <w:tc>
                <w:tcPr>
                  <w:tcW w:w="277" w:type="pct"/>
                  <w:noWrap w:val="0"/>
                  <w:vAlign w:val="center"/>
                </w:tcPr>
                <w:p w14:paraId="2710CF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In</w:t>
                  </w:r>
                </w:p>
              </w:tc>
              <w:tc>
                <w:tcPr>
                  <w:tcW w:w="227" w:type="pct"/>
                  <w:noWrap w:val="0"/>
                  <w:vAlign w:val="center"/>
                </w:tcPr>
                <w:p w14:paraId="73E60D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桶装</w:t>
                  </w:r>
                </w:p>
              </w:tc>
              <w:tc>
                <w:tcPr>
                  <w:tcW w:w="632" w:type="pct"/>
                  <w:noWrap w:val="0"/>
                  <w:vAlign w:val="center"/>
                </w:tcPr>
                <w:p w14:paraId="11EB1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委托有资质的单位进行处置</w:t>
                  </w:r>
                </w:p>
              </w:tc>
              <w:tc>
                <w:tcPr>
                  <w:tcW w:w="908" w:type="dxa"/>
                  <w:noWrap w:val="0"/>
                  <w:vAlign w:val="center"/>
                </w:tcPr>
                <w:p w14:paraId="374EDE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14.105</w:t>
                  </w:r>
                </w:p>
              </w:tc>
              <w:tc>
                <w:tcPr>
                  <w:tcW w:w="315" w:type="pct"/>
                  <w:noWrap w:val="0"/>
                  <w:vAlign w:val="center"/>
                </w:tcPr>
                <w:p w14:paraId="7003BD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委托处置</w:t>
                  </w:r>
                </w:p>
              </w:tc>
            </w:tr>
            <w:tr w14:paraId="1CA0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16" w:hRule="atLeast"/>
                <w:jc w:val="center"/>
              </w:trPr>
              <w:tc>
                <w:tcPr>
                  <w:tcW w:w="104" w:type="pct"/>
                  <w:noWrap w:val="0"/>
                  <w:vAlign w:val="center"/>
                </w:tcPr>
                <w:p w14:paraId="5C456D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347" w:type="pct"/>
                  <w:noWrap w:val="0"/>
                  <w:vAlign w:val="center"/>
                </w:tcPr>
                <w:p w14:paraId="75BA5A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污水处理站</w:t>
                  </w:r>
                </w:p>
              </w:tc>
              <w:tc>
                <w:tcPr>
                  <w:tcW w:w="471" w:type="pct"/>
                  <w:noWrap w:val="0"/>
                  <w:vAlign w:val="center"/>
                </w:tcPr>
                <w:p w14:paraId="543A9B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污水站污泥与栅渣</w:t>
                  </w:r>
                </w:p>
              </w:tc>
              <w:tc>
                <w:tcPr>
                  <w:tcW w:w="218" w:type="pct"/>
                  <w:noWrap w:val="0"/>
                  <w:vAlign w:val="center"/>
                </w:tcPr>
                <w:p w14:paraId="372D53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半固态</w:t>
                  </w:r>
                </w:p>
              </w:tc>
              <w:tc>
                <w:tcPr>
                  <w:tcW w:w="515" w:type="pct"/>
                  <w:noWrap w:val="0"/>
                  <w:vAlign w:val="center"/>
                </w:tcPr>
                <w:p w14:paraId="0027A6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19" w:type="pct"/>
                  <w:noWrap w:val="0"/>
                  <w:vAlign w:val="center"/>
                </w:tcPr>
                <w:p w14:paraId="06766D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51.2156</w:t>
                  </w:r>
                </w:p>
              </w:tc>
              <w:tc>
                <w:tcPr>
                  <w:tcW w:w="380" w:type="pct"/>
                  <w:noWrap w:val="0"/>
                  <w:vAlign w:val="center"/>
                </w:tcPr>
                <w:p w14:paraId="650313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0"/>
                      <w:w w:val="100"/>
                      <w:sz w:val="21"/>
                      <w:szCs w:val="21"/>
                    </w:rPr>
                    <w:t>根据危废名录判定</w:t>
                  </w:r>
                </w:p>
              </w:tc>
              <w:tc>
                <w:tcPr>
                  <w:tcW w:w="363" w:type="pct"/>
                  <w:noWrap w:val="0"/>
                  <w:vAlign w:val="center"/>
                </w:tcPr>
                <w:p w14:paraId="33FE75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HW01</w:t>
                  </w:r>
                </w:p>
              </w:tc>
              <w:tc>
                <w:tcPr>
                  <w:tcW w:w="481" w:type="pct"/>
                  <w:noWrap w:val="0"/>
                  <w:vAlign w:val="center"/>
                </w:tcPr>
                <w:p w14:paraId="3A007E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841-001-01</w:t>
                  </w:r>
                </w:p>
              </w:tc>
              <w:tc>
                <w:tcPr>
                  <w:tcW w:w="277" w:type="pct"/>
                  <w:noWrap w:val="0"/>
                  <w:vAlign w:val="center"/>
                </w:tcPr>
                <w:p w14:paraId="7CA64E44">
                  <w:pPr>
                    <w:keepNext w:val="0"/>
                    <w:keepLines w:val="0"/>
                    <w:widowControl/>
                    <w:suppressLineNumbers w:val="0"/>
                    <w:ind w:left="0" w:leftChars="0" w:firstLine="0" w:firstLineChars="0"/>
                    <w:jc w:val="center"/>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T/C/I/R</w:t>
                  </w:r>
                  <w:r>
                    <w:rPr>
                      <w:rFonts w:hint="default" w:ascii="Times New Roman" w:hAnsi="Times New Roman" w:eastAsia="宋体" w:cs="Times New Roman"/>
                      <w:color w:val="auto"/>
                      <w:spacing w:val="0"/>
                      <w:w w:val="100"/>
                      <w:kern w:val="2"/>
                      <w:sz w:val="21"/>
                      <w:szCs w:val="21"/>
                      <w:lang w:val="en-US" w:eastAsia="zh-CN" w:bidi="ar-SA"/>
                    </w:rPr>
                    <w:t>/In</w:t>
                  </w:r>
                </w:p>
              </w:tc>
              <w:tc>
                <w:tcPr>
                  <w:tcW w:w="227" w:type="pct"/>
                  <w:noWrap w:val="0"/>
                  <w:vAlign w:val="center"/>
                </w:tcPr>
                <w:p w14:paraId="73D364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污泥池</w:t>
                  </w:r>
                </w:p>
              </w:tc>
              <w:tc>
                <w:tcPr>
                  <w:tcW w:w="632" w:type="pct"/>
                  <w:noWrap w:val="0"/>
                  <w:vAlign w:val="center"/>
                </w:tcPr>
                <w:p w14:paraId="2299A7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eastAsia="zh-CN"/>
                    </w:rPr>
                    <w:t>定期清掏，消毒处理作为交由有资质单位处理</w:t>
                  </w:r>
                </w:p>
              </w:tc>
              <w:tc>
                <w:tcPr>
                  <w:tcW w:w="908" w:type="dxa"/>
                  <w:noWrap w:val="0"/>
                  <w:vAlign w:val="center"/>
                </w:tcPr>
                <w:p w14:paraId="2B318F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51.2156</w:t>
                  </w:r>
                </w:p>
              </w:tc>
              <w:tc>
                <w:tcPr>
                  <w:tcW w:w="315" w:type="pct"/>
                  <w:noWrap w:val="0"/>
                  <w:vAlign w:val="center"/>
                </w:tcPr>
                <w:p w14:paraId="69906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委托处置</w:t>
                  </w:r>
                </w:p>
              </w:tc>
            </w:tr>
          </w:tbl>
          <w:p w14:paraId="32586B80">
            <w:pPr>
              <w:pStyle w:val="8"/>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Times New Roman" w:hAnsi="Times New Roman" w:eastAsia="宋体" w:cs="Times New Roman"/>
                <w:b/>
                <w:color w:val="auto"/>
                <w:sz w:val="21"/>
                <w:lang w:val="en-US" w:eastAsia="zh-CN"/>
              </w:rPr>
            </w:pPr>
          </w:p>
          <w:p w14:paraId="40780675">
            <w:pPr>
              <w:pStyle w:val="9"/>
              <w:ind w:left="0" w:leftChars="0" w:firstLine="0" w:firstLineChars="0"/>
              <w:rPr>
                <w:rFonts w:hint="eastAsia"/>
                <w:color w:val="auto"/>
                <w:lang w:val="en-US" w:eastAsia="zh-CN"/>
              </w:rPr>
            </w:pPr>
          </w:p>
          <w:p w14:paraId="74F02215">
            <w:pPr>
              <w:spacing w:line="240" w:lineRule="auto"/>
              <w:rPr>
                <w:rFonts w:hint="eastAsia"/>
                <w:color w:val="auto"/>
                <w:vertAlign w:val="baseline"/>
              </w:rPr>
            </w:pPr>
          </w:p>
        </w:tc>
      </w:tr>
    </w:tbl>
    <w:p w14:paraId="28CD7B54">
      <w:pPr>
        <w:ind w:left="0" w:leftChars="0" w:firstLine="0" w:firstLineChars="0"/>
        <w:rPr>
          <w:rFonts w:hint="eastAsia"/>
          <w:color w:val="auto"/>
        </w:rPr>
        <w:sectPr>
          <w:pgSz w:w="16838" w:h="11905" w:orient="landscape"/>
          <w:pgMar w:top="1800" w:right="1440" w:bottom="1800" w:left="1440" w:header="851" w:footer="850" w:gutter="0"/>
          <w:pgBorders>
            <w:top w:val="none" w:sz="0" w:space="0"/>
            <w:left w:val="none" w:sz="0" w:space="0"/>
            <w:bottom w:val="none" w:sz="0" w:space="0"/>
            <w:right w:val="none" w:sz="0" w:space="0"/>
          </w:pgBorders>
          <w:pgNumType w:fmt="decimal"/>
          <w:cols w:space="720" w:num="1"/>
          <w:docGrid w:linePitch="312" w:charSpace="0"/>
        </w:sectPr>
      </w:pPr>
    </w:p>
    <w:tbl>
      <w:tblPr>
        <w:tblStyle w:val="29"/>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120"/>
      </w:tblGrid>
      <w:tr w14:paraId="599D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jc w:val="center"/>
        </w:trPr>
        <w:tc>
          <w:tcPr>
            <w:tcW w:w="736" w:type="dxa"/>
            <w:vAlign w:val="center"/>
          </w:tcPr>
          <w:p w14:paraId="567F7EEE">
            <w:pPr>
              <w:spacing w:line="240" w:lineRule="auto"/>
              <w:ind w:left="0" w:leftChars="0" w:firstLine="0" w:firstLineChars="0"/>
              <w:jc w:val="center"/>
              <w:rPr>
                <w:rFonts w:hint="eastAsia"/>
                <w:color w:val="auto"/>
                <w:vertAlign w:val="baseline"/>
              </w:rPr>
            </w:pPr>
            <w:r>
              <w:rPr>
                <w:rFonts w:hint="eastAsia"/>
                <w:b/>
                <w:bCs/>
                <w:color w:val="auto"/>
                <w:vertAlign w:val="baseline"/>
              </w:rPr>
              <w:t>运营期环境影响和保护措施</w:t>
            </w:r>
          </w:p>
        </w:tc>
        <w:tc>
          <w:tcPr>
            <w:tcW w:w="8120" w:type="dxa"/>
          </w:tcPr>
          <w:p w14:paraId="221E8BDF">
            <w:pPr>
              <w:bidi w:val="0"/>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一般工业固废管理要求</w:t>
            </w:r>
          </w:p>
          <w:p w14:paraId="15512C66">
            <w:pPr>
              <w:bidi w:val="0"/>
              <w:rPr>
                <w:rFonts w:hint="default" w:ascii="Times New Roman" w:hAnsi="Times New Roman" w:eastAsia="宋体" w:cs="Times New Roman"/>
              </w:rPr>
            </w:pPr>
            <w:r>
              <w:rPr>
                <w:rFonts w:hint="default" w:ascii="Times New Roman" w:hAnsi="Times New Roman" w:eastAsia="宋体" w:cs="Times New Roman"/>
              </w:rPr>
              <w:t>一般工业固废的暂存场所应按《一般工业固体废物贮存和填埋污染控制标准》（GB18599-2020）要求建设，具体要求如下：</w:t>
            </w:r>
          </w:p>
          <w:p w14:paraId="4667F06E">
            <w:pPr>
              <w:bidi w:val="0"/>
              <w:rPr>
                <w:rFonts w:hint="default" w:ascii="Times New Roman" w:hAnsi="Times New Roman" w:eastAsia="宋体" w:cs="Times New Roman"/>
              </w:rPr>
            </w:pPr>
            <w:r>
              <w:rPr>
                <w:rFonts w:hint="default" w:ascii="Times New Roman" w:hAnsi="Times New Roman" w:eastAsia="宋体" w:cs="Times New Roman"/>
              </w:rPr>
              <w:t>①贮存、处置场的建设类型与将要堆放的一般工业固体废物的类别相一致；</w:t>
            </w:r>
          </w:p>
          <w:p w14:paraId="23EA204E">
            <w:pPr>
              <w:bidi w:val="0"/>
              <w:rPr>
                <w:rFonts w:hint="default" w:ascii="Times New Roman" w:hAnsi="Times New Roman" w:eastAsia="宋体" w:cs="Times New Roman"/>
              </w:rPr>
            </w:pPr>
            <w:r>
              <w:rPr>
                <w:rFonts w:hint="default" w:ascii="Times New Roman" w:hAnsi="Times New Roman" w:eastAsia="宋体" w:cs="Times New Roman"/>
              </w:rPr>
              <w:t>②贮存、处置场采取防止粉尘污染的措施；</w:t>
            </w:r>
          </w:p>
          <w:p w14:paraId="5F877FA4">
            <w:pPr>
              <w:bidi w:val="0"/>
              <w:rPr>
                <w:rFonts w:hint="default" w:ascii="Times New Roman" w:hAnsi="Times New Roman" w:eastAsia="宋体" w:cs="Times New Roman"/>
              </w:rPr>
            </w:pPr>
            <w:r>
              <w:rPr>
                <w:rFonts w:hint="default" w:ascii="Times New Roman" w:hAnsi="Times New Roman" w:eastAsia="宋体" w:cs="Times New Roman"/>
              </w:rPr>
              <w:t>③为防止雨水径流进入贮存、处置场内，避免渗滤液量增加和滑坡，贮存、处置场周边设置导流渠。</w:t>
            </w:r>
          </w:p>
          <w:p w14:paraId="630F7CD8">
            <w:pPr>
              <w:bidi w:val="0"/>
              <w:rPr>
                <w:rFonts w:hint="default" w:ascii="Times New Roman" w:hAnsi="Times New Roman" w:eastAsia="宋体" w:cs="Times New Roman"/>
              </w:rPr>
            </w:pPr>
            <w:r>
              <w:rPr>
                <w:rFonts w:hint="default" w:ascii="Times New Roman" w:hAnsi="Times New Roman" w:eastAsia="宋体" w:cs="Times New Roman"/>
              </w:rPr>
              <w:t>（3）医疗废物处置环境管理要求</w:t>
            </w:r>
          </w:p>
          <w:p w14:paraId="08B9C231">
            <w:pPr>
              <w:bidi w:val="0"/>
              <w:rPr>
                <w:rFonts w:hint="default" w:ascii="Times New Roman" w:hAnsi="Times New Roman" w:eastAsia="宋体" w:cs="Times New Roman"/>
              </w:rPr>
            </w:pPr>
            <w:r>
              <w:rPr>
                <w:rFonts w:hint="default" w:ascii="Times New Roman" w:hAnsi="Times New Roman" w:eastAsia="宋体" w:cs="Times New Roman"/>
              </w:rPr>
              <w:t>项目运营期固体废物按照国务院﹝2003﹞第380号令《医疗废物管理条例》以及卫生部[2003]第36号令《医疗卫生机构医疗废物管理办法》的处理处置要求，提出以下污染防治措施：</w:t>
            </w:r>
          </w:p>
          <w:p w14:paraId="19C3752D">
            <w:pPr>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1）医疗废物暂存间建设要求</w:t>
            </w:r>
          </w:p>
          <w:p w14:paraId="1D6E096A">
            <w:pPr>
              <w:bidi w:val="0"/>
              <w:rPr>
                <w:rFonts w:hint="default" w:ascii="Times New Roman" w:hAnsi="Times New Roman" w:eastAsia="宋体" w:cs="Times New Roman"/>
              </w:rPr>
            </w:pPr>
            <w:r>
              <w:rPr>
                <w:rFonts w:hint="default" w:ascii="Times New Roman" w:hAnsi="Times New Roman" w:eastAsia="宋体" w:cs="Times New Roman"/>
              </w:rPr>
              <w:t>危险废物在厂内贮存时，执行《危险废物贮存污染控制标准》（GB18597-2023）中相关规定，规范建设</w:t>
            </w:r>
            <w:r>
              <w:rPr>
                <w:rFonts w:hint="default" w:ascii="Times New Roman" w:hAnsi="Times New Roman" w:eastAsia="宋体" w:cs="Times New Roman"/>
                <w:lang w:eastAsia="zh-CN"/>
              </w:rPr>
              <w:t>医疗废物暂存间</w:t>
            </w:r>
            <w:r>
              <w:rPr>
                <w:rFonts w:hint="default" w:ascii="Times New Roman" w:hAnsi="Times New Roman" w:eastAsia="宋体" w:cs="Times New Roman"/>
              </w:rPr>
              <w:t>，具体措施如下：</w:t>
            </w:r>
          </w:p>
          <w:p w14:paraId="0D1F54B4">
            <w:pPr>
              <w:bidi w:val="0"/>
              <w:rPr>
                <w:rFonts w:hint="default" w:ascii="Times New Roman" w:hAnsi="Times New Roman" w:eastAsia="宋体" w:cs="Times New Roman"/>
              </w:rPr>
            </w:pPr>
            <w:r>
              <w:rPr>
                <w:rFonts w:hint="default" w:ascii="Times New Roman" w:hAnsi="Times New Roman" w:eastAsia="宋体" w:cs="Times New Roman"/>
              </w:rPr>
              <w:t>A</w:t>
            </w:r>
            <w:r>
              <w:rPr>
                <w:rFonts w:hint="default" w:ascii="Times New Roman" w:hAnsi="Times New Roman" w:eastAsia="宋体" w:cs="Times New Roman"/>
                <w:lang w:eastAsia="zh-CN"/>
              </w:rPr>
              <w:t>.医疗废物暂存间</w:t>
            </w:r>
            <w:r>
              <w:rPr>
                <w:rFonts w:hint="default" w:ascii="Times New Roman" w:hAnsi="Times New Roman" w:eastAsia="宋体" w:cs="Times New Roman"/>
              </w:rPr>
              <w:t>应建有堵截泄漏的裙脚，地面与裙脚要用坚固、防渗材料建造，地面与裙角所围建容积不低于总储量的1/5；应有隔离设施和防风、防晒、防雨设施；</w:t>
            </w:r>
          </w:p>
          <w:p w14:paraId="7245C288">
            <w:pPr>
              <w:bidi w:val="0"/>
              <w:rPr>
                <w:rFonts w:hint="default" w:ascii="Times New Roman" w:hAnsi="Times New Roman" w:eastAsia="宋体" w:cs="Times New Roman"/>
              </w:rPr>
            </w:pPr>
            <w:r>
              <w:rPr>
                <w:rFonts w:hint="default" w:ascii="Times New Roman" w:hAnsi="Times New Roman" w:eastAsia="宋体" w:cs="Times New Roman"/>
              </w:rPr>
              <w:t>B</w:t>
            </w:r>
            <w:r>
              <w:rPr>
                <w:rFonts w:hint="default" w:ascii="Times New Roman" w:hAnsi="Times New Roman" w:eastAsia="宋体" w:cs="Times New Roman"/>
                <w:lang w:eastAsia="zh-CN"/>
              </w:rPr>
              <w:t>.</w:t>
            </w:r>
            <w:r>
              <w:rPr>
                <w:rFonts w:hint="default" w:ascii="Times New Roman" w:hAnsi="Times New Roman" w:eastAsia="宋体" w:cs="Times New Roman"/>
              </w:rPr>
              <w:t>贮存设施基础必须做防渗处理，防渗层为至少1m厚粘土层（渗透系数≤10</w:t>
            </w:r>
            <w:r>
              <w:rPr>
                <w:rFonts w:hint="default" w:ascii="Times New Roman" w:hAnsi="Times New Roman" w:eastAsia="宋体" w:cs="Times New Roman"/>
                <w:vertAlign w:val="superscript"/>
              </w:rPr>
              <w:t>-7</w:t>
            </w:r>
            <w:r>
              <w:rPr>
                <w:rFonts w:hint="default" w:ascii="Times New Roman" w:hAnsi="Times New Roman" w:eastAsia="宋体" w:cs="Times New Roman"/>
              </w:rPr>
              <w:t>cm/s），或2mm厚高密度聚乙烯，或至少2mm厚</w:t>
            </w:r>
            <w:r>
              <w:rPr>
                <w:rFonts w:hint="default" w:ascii="Times New Roman" w:hAnsi="Times New Roman" w:eastAsia="宋体" w:cs="Times New Roman"/>
                <w:lang w:eastAsia="zh-CN"/>
              </w:rPr>
              <w:t>的其他</w:t>
            </w:r>
            <w:r>
              <w:rPr>
                <w:rFonts w:hint="default" w:ascii="Times New Roman" w:hAnsi="Times New Roman" w:eastAsia="宋体" w:cs="Times New Roman"/>
              </w:rPr>
              <w:t>人工材料，渗透系数≤10</w:t>
            </w:r>
            <w:r>
              <w:rPr>
                <w:rFonts w:hint="default" w:ascii="Times New Roman" w:hAnsi="Times New Roman" w:eastAsia="宋体" w:cs="Times New Roman"/>
                <w:vertAlign w:val="superscript"/>
              </w:rPr>
              <w:t>-10</w:t>
            </w:r>
            <w:r>
              <w:rPr>
                <w:rFonts w:hint="default" w:ascii="Times New Roman" w:hAnsi="Times New Roman" w:eastAsia="宋体" w:cs="Times New Roman"/>
              </w:rPr>
              <w:t>cm/s；</w:t>
            </w:r>
          </w:p>
          <w:p w14:paraId="499CFA86">
            <w:pPr>
              <w:bidi w:val="0"/>
              <w:rPr>
                <w:rFonts w:hint="default" w:ascii="Times New Roman" w:hAnsi="Times New Roman" w:eastAsia="宋体" w:cs="Times New Roman"/>
              </w:rPr>
            </w:pPr>
            <w:r>
              <w:rPr>
                <w:rFonts w:hint="default" w:ascii="Times New Roman" w:hAnsi="Times New Roman" w:eastAsia="宋体" w:cs="Times New Roman"/>
                <w:lang w:val="en-US" w:eastAsia="zh-CN"/>
              </w:rPr>
              <w:t>C.</w:t>
            </w:r>
            <w:r>
              <w:rPr>
                <w:rFonts w:hint="default" w:ascii="Times New Roman" w:hAnsi="Times New Roman" w:eastAsia="宋体" w:cs="Times New Roman"/>
              </w:rPr>
              <w:t>危险废物要注重</w:t>
            </w:r>
            <w:r>
              <w:rPr>
                <w:rFonts w:hint="default" w:ascii="Times New Roman" w:hAnsi="Times New Roman" w:eastAsia="宋体" w:cs="Times New Roman"/>
                <w:lang w:eastAsia="zh-CN"/>
              </w:rPr>
              <w:t>“</w:t>
            </w:r>
            <w:r>
              <w:rPr>
                <w:rFonts w:hint="default" w:ascii="Times New Roman" w:hAnsi="Times New Roman" w:eastAsia="宋体" w:cs="Times New Roman"/>
              </w:rPr>
              <w:t>四防</w:t>
            </w:r>
            <w:r>
              <w:rPr>
                <w:rFonts w:hint="default" w:ascii="Times New Roman" w:hAnsi="Times New Roman" w:eastAsia="宋体" w:cs="Times New Roman"/>
                <w:lang w:eastAsia="zh-CN"/>
              </w:rPr>
              <w:t>”</w:t>
            </w:r>
            <w:r>
              <w:rPr>
                <w:rFonts w:hint="default" w:ascii="Times New Roman" w:hAnsi="Times New Roman" w:eastAsia="宋体" w:cs="Times New Roman"/>
              </w:rPr>
              <w:t>，即防风、防雨、防晒、防渗漏，</w:t>
            </w:r>
            <w:r>
              <w:rPr>
                <w:rFonts w:hint="default" w:ascii="Times New Roman" w:hAnsi="Times New Roman" w:eastAsia="宋体" w:cs="Times New Roman"/>
                <w:lang w:eastAsia="zh-CN"/>
              </w:rPr>
              <w:t>医疗废物暂存间</w:t>
            </w:r>
            <w:r>
              <w:rPr>
                <w:rFonts w:hint="default" w:ascii="Times New Roman" w:hAnsi="Times New Roman" w:eastAsia="宋体" w:cs="Times New Roman"/>
              </w:rPr>
              <w:t>建设时应采用混凝土、砖或经防腐处理的钢材等作为建材材料建成的相对封闭式场所，并设通风口；外部配套建设雨水导排系统，防止雨水进入危废暂存库内；</w:t>
            </w:r>
          </w:p>
          <w:p w14:paraId="64A5C66E">
            <w:pPr>
              <w:bidi w:val="0"/>
              <w:rPr>
                <w:rFonts w:hint="default" w:ascii="Times New Roman" w:hAnsi="Times New Roman" w:eastAsia="宋体" w:cs="Times New Roman"/>
              </w:rPr>
            </w:pPr>
            <w:r>
              <w:rPr>
                <w:rFonts w:hint="default" w:ascii="Times New Roman" w:hAnsi="Times New Roman" w:eastAsia="宋体" w:cs="Times New Roman"/>
                <w:lang w:val="en-US" w:eastAsia="zh-CN"/>
              </w:rPr>
              <w:t>D.</w:t>
            </w:r>
            <w:r>
              <w:rPr>
                <w:rFonts w:hint="default" w:ascii="Times New Roman" w:hAnsi="Times New Roman" w:eastAsia="宋体" w:cs="Times New Roman"/>
              </w:rPr>
              <w:t>危废仓库门上要张贴包含所有危废的标识、标牌，仓库内。对应墙上有标志标识，无法装入常用容器的危险废物可用防漏胶袋等盛装，包装桶、袋上有标签，危废仓库管理责任制要上墙。</w:t>
            </w:r>
          </w:p>
          <w:p w14:paraId="1A438926">
            <w:pPr>
              <w:bidi w:val="0"/>
              <w:rPr>
                <w:rFonts w:hint="default" w:ascii="Times New Roman" w:hAnsi="Times New Roman" w:eastAsia="宋体" w:cs="Times New Roman"/>
                <w:lang w:val="en-US" w:eastAsia="zh-CN"/>
              </w:rPr>
            </w:pPr>
          </w:p>
          <w:p w14:paraId="2F5BBC0B">
            <w:pPr>
              <w:bidi w:val="0"/>
              <w:rPr>
                <w:rFonts w:hint="default" w:ascii="Times New Roman" w:hAnsi="Times New Roman" w:eastAsia="宋体" w:cs="Times New Roman"/>
              </w:rPr>
            </w:pPr>
            <w:r>
              <w:rPr>
                <w:rFonts w:hint="default" w:ascii="Times New Roman" w:hAnsi="Times New Roman" w:eastAsia="宋体" w:cs="Times New Roman"/>
                <w:lang w:val="en-US" w:eastAsia="zh-CN"/>
              </w:rPr>
              <w:t>2</w:t>
            </w:r>
            <w:r>
              <w:rPr>
                <w:rFonts w:hint="default" w:ascii="Times New Roman" w:hAnsi="Times New Roman" w:eastAsia="宋体" w:cs="Times New Roman"/>
              </w:rPr>
              <w:t>）分类收集</w:t>
            </w:r>
          </w:p>
          <w:p w14:paraId="5BDF9BF3">
            <w:pPr>
              <w:bidi w:val="0"/>
              <w:rPr>
                <w:rFonts w:hint="default" w:ascii="Times New Roman" w:hAnsi="Times New Roman" w:eastAsia="宋体" w:cs="Times New Roman"/>
              </w:rPr>
            </w:pPr>
            <w:r>
              <w:rPr>
                <w:rFonts w:hint="default" w:ascii="Times New Roman" w:hAnsi="Times New Roman" w:eastAsia="宋体" w:cs="Times New Roman"/>
              </w:rPr>
              <w:t>根据医疗废物的类别，将医疗废物进行分类收集，分别置于符合《医疗废物专用包装物、容器的标准和警示标识的规定》的包装物或者容器内（塑料袋、锐器容器和废物箱）；在盛装医疗废物前，应当对医疗废物包装物或者容器进行认真检查，确保无破损、渗漏</w:t>
            </w:r>
            <w:r>
              <w:rPr>
                <w:rFonts w:hint="default" w:ascii="Times New Roman" w:hAnsi="Times New Roman" w:eastAsia="宋体" w:cs="Times New Roman"/>
                <w:lang w:eastAsia="zh-CN"/>
              </w:rPr>
              <w:t>和其他</w:t>
            </w:r>
            <w:r>
              <w:rPr>
                <w:rFonts w:hint="default" w:ascii="Times New Roman" w:hAnsi="Times New Roman" w:eastAsia="宋体" w:cs="Times New Roman"/>
              </w:rPr>
              <w:t>缺陷。废弃物的收集是否完善彻底、是否分类是医院废弃物处理处置的关键。结合处理处置措施的不同，医院废弃物可分为：</w:t>
            </w:r>
          </w:p>
          <w:p w14:paraId="38E71839">
            <w:pPr>
              <w:bidi w:val="0"/>
              <w:rPr>
                <w:rFonts w:hint="default" w:ascii="Times New Roman" w:hAnsi="Times New Roman" w:eastAsia="宋体" w:cs="Times New Roman"/>
              </w:rPr>
            </w:pPr>
            <w:r>
              <w:rPr>
                <w:rFonts w:hint="default" w:ascii="Times New Roman" w:hAnsi="Times New Roman" w:eastAsia="宋体" w:cs="Times New Roman"/>
              </w:rPr>
              <w:t>A</w:t>
            </w:r>
            <w:r>
              <w:rPr>
                <w:rFonts w:hint="default" w:ascii="Times New Roman" w:hAnsi="Times New Roman" w:eastAsia="宋体" w:cs="Times New Roman"/>
                <w:lang w:eastAsia="zh-CN"/>
              </w:rPr>
              <w:t>.</w:t>
            </w:r>
            <w:r>
              <w:rPr>
                <w:rFonts w:hint="default" w:ascii="Times New Roman" w:hAnsi="Times New Roman" w:eastAsia="宋体" w:cs="Times New Roman"/>
              </w:rPr>
              <w:t>损伤性废弃物，如手术刀、注射针等；</w:t>
            </w:r>
          </w:p>
          <w:p w14:paraId="5E7EA913">
            <w:pPr>
              <w:bidi w:val="0"/>
              <w:rPr>
                <w:rFonts w:hint="default" w:ascii="Times New Roman" w:hAnsi="Times New Roman" w:eastAsia="宋体" w:cs="Times New Roman"/>
              </w:rPr>
            </w:pPr>
            <w:r>
              <w:rPr>
                <w:rFonts w:hint="default" w:ascii="Times New Roman" w:hAnsi="Times New Roman" w:eastAsia="宋体" w:cs="Times New Roman"/>
              </w:rPr>
              <w:t>B</w:t>
            </w:r>
            <w:r>
              <w:rPr>
                <w:rFonts w:hint="default" w:ascii="Times New Roman" w:hAnsi="Times New Roman" w:eastAsia="宋体" w:cs="Times New Roman"/>
                <w:lang w:eastAsia="zh-CN"/>
              </w:rPr>
              <w:t>.</w:t>
            </w:r>
            <w:r>
              <w:rPr>
                <w:rFonts w:hint="default" w:ascii="Times New Roman" w:hAnsi="Times New Roman" w:eastAsia="宋体" w:cs="Times New Roman"/>
              </w:rPr>
              <w:t>病原性废弃物，如纱布、脱脂棉、输液管等；</w:t>
            </w:r>
          </w:p>
          <w:p w14:paraId="210A6CC8">
            <w:pPr>
              <w:bidi w:val="0"/>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宋体" w:cs="Times New Roman"/>
                <w:lang w:eastAsia="zh-CN"/>
              </w:rPr>
              <w:t>.</w:t>
            </w:r>
            <w:r>
              <w:rPr>
                <w:rFonts w:hint="default" w:ascii="Times New Roman" w:hAnsi="Times New Roman" w:eastAsia="宋体" w:cs="Times New Roman"/>
              </w:rPr>
              <w:t>一般可燃废弃物，如塑料包装袋等；</w:t>
            </w:r>
          </w:p>
          <w:p w14:paraId="39E4603E">
            <w:pPr>
              <w:bidi w:val="0"/>
              <w:rPr>
                <w:rFonts w:hint="default" w:ascii="Times New Roman" w:hAnsi="Times New Roman" w:eastAsia="宋体" w:cs="Times New Roman"/>
              </w:rPr>
            </w:pPr>
            <w:r>
              <w:rPr>
                <w:rFonts w:hint="default" w:ascii="Times New Roman" w:hAnsi="Times New Roman" w:eastAsia="宋体" w:cs="Times New Roman"/>
              </w:rPr>
              <w:t>D</w:t>
            </w:r>
            <w:r>
              <w:rPr>
                <w:rFonts w:hint="default" w:ascii="Times New Roman" w:hAnsi="Times New Roman" w:eastAsia="宋体" w:cs="Times New Roman"/>
                <w:lang w:eastAsia="zh-CN"/>
              </w:rPr>
              <w:t>.</w:t>
            </w:r>
            <w:r>
              <w:rPr>
                <w:rFonts w:hint="default" w:ascii="Times New Roman" w:hAnsi="Times New Roman" w:eastAsia="宋体" w:cs="Times New Roman"/>
              </w:rPr>
              <w:t>一般不可燃废弃物，如输液瓶等；</w:t>
            </w:r>
          </w:p>
          <w:p w14:paraId="5B78A308">
            <w:pPr>
              <w:bidi w:val="0"/>
              <w:rPr>
                <w:rFonts w:hint="default" w:ascii="Times New Roman" w:hAnsi="Times New Roman" w:eastAsia="宋体" w:cs="Times New Roman"/>
              </w:rPr>
            </w:pPr>
            <w:r>
              <w:rPr>
                <w:rFonts w:hint="default" w:ascii="Times New Roman" w:hAnsi="Times New Roman" w:eastAsia="宋体" w:cs="Times New Roman"/>
              </w:rPr>
              <w:t>E</w:t>
            </w:r>
            <w:r>
              <w:rPr>
                <w:rFonts w:hint="default" w:ascii="Times New Roman" w:hAnsi="Times New Roman" w:eastAsia="宋体" w:cs="Times New Roman"/>
                <w:lang w:eastAsia="zh-CN"/>
              </w:rPr>
              <w:t>.</w:t>
            </w:r>
            <w:r>
              <w:rPr>
                <w:rFonts w:hint="default" w:ascii="Times New Roman" w:hAnsi="Times New Roman" w:eastAsia="宋体" w:cs="Times New Roman"/>
              </w:rPr>
              <w:t>病理组织等；</w:t>
            </w:r>
          </w:p>
          <w:p w14:paraId="30D55708">
            <w:pPr>
              <w:bidi w:val="0"/>
              <w:rPr>
                <w:rFonts w:hint="default" w:ascii="Times New Roman" w:hAnsi="Times New Roman" w:eastAsia="宋体" w:cs="Times New Roman"/>
              </w:rPr>
            </w:pPr>
            <w:r>
              <w:rPr>
                <w:rFonts w:hint="default" w:ascii="Times New Roman" w:hAnsi="Times New Roman" w:eastAsia="宋体" w:cs="Times New Roman"/>
              </w:rPr>
              <w:t>F</w:t>
            </w:r>
            <w:r>
              <w:rPr>
                <w:rFonts w:hint="default" w:ascii="Times New Roman" w:hAnsi="Times New Roman" w:eastAsia="宋体" w:cs="Times New Roman"/>
                <w:lang w:eastAsia="zh-CN"/>
              </w:rPr>
              <w:t>.</w:t>
            </w:r>
            <w:r>
              <w:rPr>
                <w:rFonts w:hint="default" w:ascii="Times New Roman" w:hAnsi="Times New Roman" w:eastAsia="宋体" w:cs="Times New Roman"/>
              </w:rPr>
              <w:t>化学试剂和过期药品等，有机、无机，液体、固体必须分开收集。</w:t>
            </w:r>
          </w:p>
          <w:p w14:paraId="4AAD73DF">
            <w:pPr>
              <w:bidi w:val="0"/>
              <w:rPr>
                <w:rFonts w:hint="default" w:ascii="Times New Roman" w:hAnsi="Times New Roman" w:eastAsia="宋体" w:cs="Times New Roman"/>
              </w:rPr>
            </w:pPr>
            <w:r>
              <w:rPr>
                <w:rFonts w:hint="default" w:ascii="Times New Roman" w:hAnsi="Times New Roman" w:eastAsia="宋体" w:cs="Times New Roman"/>
                <w:lang w:val="en-US" w:eastAsia="zh-CN"/>
              </w:rPr>
              <w:t>3）</w:t>
            </w:r>
            <w:r>
              <w:rPr>
                <w:rFonts w:hint="default" w:ascii="Times New Roman" w:hAnsi="Times New Roman" w:eastAsia="宋体" w:cs="Times New Roman"/>
              </w:rPr>
              <w:t>暂时贮存措施</w:t>
            </w:r>
          </w:p>
          <w:p w14:paraId="0F1BF7C5">
            <w:pPr>
              <w:bidi w:val="0"/>
              <w:rPr>
                <w:rFonts w:hint="default" w:ascii="Times New Roman" w:hAnsi="Times New Roman" w:eastAsia="宋体" w:cs="Times New Roman"/>
              </w:rPr>
            </w:pPr>
            <w:r>
              <w:rPr>
                <w:rFonts w:hint="default" w:ascii="Times New Roman" w:hAnsi="Times New Roman" w:eastAsia="宋体" w:cs="Times New Roman"/>
              </w:rPr>
              <w:t>医疗废物的暂时贮存设施、设备应当定期消毒和清洁，应满足《危险废物贮存污染控制标准》（GB18597-2023）的要求。</w:t>
            </w:r>
          </w:p>
          <w:p w14:paraId="797A4F4D">
            <w:pPr>
              <w:bidi w:val="0"/>
              <w:rPr>
                <w:rFonts w:hint="default" w:ascii="Times New Roman" w:hAnsi="Times New Roman" w:eastAsia="宋体" w:cs="Times New Roman"/>
              </w:rPr>
            </w:pPr>
            <w:r>
              <w:rPr>
                <w:rFonts w:hint="default" w:ascii="Times New Roman" w:hAnsi="Times New Roman" w:eastAsia="宋体" w:cs="Times New Roman"/>
              </w:rPr>
              <w:t>A</w:t>
            </w:r>
            <w:r>
              <w:rPr>
                <w:rFonts w:hint="default" w:ascii="Times New Roman" w:hAnsi="Times New Roman" w:eastAsia="宋体" w:cs="Times New Roman"/>
                <w:lang w:eastAsia="zh-CN"/>
              </w:rPr>
              <w:t>.</w:t>
            </w:r>
            <w:r>
              <w:rPr>
                <w:rFonts w:hint="default" w:ascii="Times New Roman" w:hAnsi="Times New Roman" w:eastAsia="宋体" w:cs="Times New Roman"/>
              </w:rPr>
              <w:t>远离医疗区、人员活动区和生活垃圾存放场所，方便医疗废物运送人员及运送工具、车辆的出入；</w:t>
            </w:r>
          </w:p>
          <w:p w14:paraId="744C8CE6">
            <w:pPr>
              <w:bidi w:val="0"/>
              <w:rPr>
                <w:rFonts w:hint="default" w:ascii="Times New Roman" w:hAnsi="Times New Roman" w:eastAsia="宋体" w:cs="Times New Roman"/>
              </w:rPr>
            </w:pPr>
            <w:r>
              <w:rPr>
                <w:rFonts w:hint="default" w:ascii="Times New Roman" w:hAnsi="Times New Roman" w:eastAsia="宋体" w:cs="Times New Roman"/>
              </w:rPr>
              <w:t>B</w:t>
            </w:r>
            <w:r>
              <w:rPr>
                <w:rFonts w:hint="default" w:ascii="Times New Roman" w:hAnsi="Times New Roman" w:eastAsia="宋体" w:cs="Times New Roman"/>
                <w:lang w:eastAsia="zh-CN"/>
              </w:rPr>
              <w:t>.</w:t>
            </w:r>
            <w:r>
              <w:rPr>
                <w:rFonts w:hint="default" w:ascii="Times New Roman" w:hAnsi="Times New Roman" w:eastAsia="宋体" w:cs="Times New Roman"/>
              </w:rPr>
              <w:t>有严密的封闭措施，设专（兼）职人员管理，防止非工作人员接触医疗废物；</w:t>
            </w:r>
          </w:p>
          <w:p w14:paraId="670701A5">
            <w:pPr>
              <w:bidi w:val="0"/>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宋体" w:cs="Times New Roman"/>
                <w:lang w:eastAsia="zh-CN"/>
              </w:rPr>
              <w:t>.</w:t>
            </w:r>
            <w:r>
              <w:rPr>
                <w:rFonts w:hint="default" w:ascii="Times New Roman" w:hAnsi="Times New Roman" w:eastAsia="宋体" w:cs="Times New Roman"/>
              </w:rPr>
              <w:t>有防鼠、防蚊蝇、防蟑螂的安全措施；防止渗漏和雨水冲刷；易于清洁和消毒；避免阳光直射；</w:t>
            </w:r>
          </w:p>
          <w:p w14:paraId="02B82868">
            <w:pPr>
              <w:bidi w:val="0"/>
              <w:rPr>
                <w:rFonts w:hint="default" w:ascii="Times New Roman" w:hAnsi="Times New Roman" w:eastAsia="宋体" w:cs="Times New Roman"/>
              </w:rPr>
            </w:pPr>
            <w:r>
              <w:rPr>
                <w:rFonts w:hint="default" w:ascii="Times New Roman" w:hAnsi="Times New Roman" w:eastAsia="宋体" w:cs="Times New Roman"/>
              </w:rPr>
              <w:t>D</w:t>
            </w:r>
            <w:r>
              <w:rPr>
                <w:rFonts w:hint="default" w:ascii="Times New Roman" w:hAnsi="Times New Roman" w:eastAsia="宋体" w:cs="Times New Roman"/>
                <w:lang w:eastAsia="zh-CN"/>
              </w:rPr>
              <w:t>.</w:t>
            </w:r>
            <w:r>
              <w:rPr>
                <w:rFonts w:hint="default" w:ascii="Times New Roman" w:hAnsi="Times New Roman" w:eastAsia="宋体" w:cs="Times New Roman"/>
              </w:rPr>
              <w:t>设有明显的医疗废物警示标识和</w:t>
            </w:r>
            <w:r>
              <w:rPr>
                <w:rFonts w:hint="default" w:ascii="Times New Roman" w:hAnsi="Times New Roman" w:eastAsia="宋体" w:cs="Times New Roman"/>
                <w:lang w:eastAsia="zh-CN"/>
              </w:rPr>
              <w:t>“</w:t>
            </w:r>
            <w:r>
              <w:rPr>
                <w:rFonts w:hint="default" w:ascii="Times New Roman" w:hAnsi="Times New Roman" w:eastAsia="宋体" w:cs="Times New Roman"/>
              </w:rPr>
              <w:t>禁止吸烟、饮食</w:t>
            </w:r>
            <w:r>
              <w:rPr>
                <w:rFonts w:hint="default" w:ascii="Times New Roman" w:hAnsi="Times New Roman" w:eastAsia="宋体" w:cs="Times New Roman"/>
                <w:lang w:eastAsia="zh-CN"/>
              </w:rPr>
              <w:t>”</w:t>
            </w:r>
            <w:r>
              <w:rPr>
                <w:rFonts w:hint="default" w:ascii="Times New Roman" w:hAnsi="Times New Roman" w:eastAsia="宋体" w:cs="Times New Roman"/>
              </w:rPr>
              <w:t>的警示标识。</w:t>
            </w:r>
          </w:p>
          <w:p w14:paraId="52B83AEA">
            <w:pPr>
              <w:bidi w:val="0"/>
              <w:rPr>
                <w:rFonts w:hint="default" w:ascii="Times New Roman" w:hAnsi="Times New Roman" w:eastAsia="宋体" w:cs="Times New Roman"/>
              </w:rPr>
            </w:pPr>
            <w:r>
              <w:rPr>
                <w:rFonts w:hint="default" w:ascii="Times New Roman" w:hAnsi="Times New Roman" w:eastAsia="宋体" w:cs="Times New Roman"/>
              </w:rPr>
              <w:t>E</w:t>
            </w:r>
            <w:r>
              <w:rPr>
                <w:rFonts w:hint="default" w:ascii="Times New Roman" w:hAnsi="Times New Roman" w:eastAsia="宋体" w:cs="Times New Roman"/>
                <w:lang w:eastAsia="zh-CN"/>
              </w:rPr>
              <w:t>.</w:t>
            </w:r>
            <w:r>
              <w:rPr>
                <w:rFonts w:hint="default" w:ascii="Times New Roman" w:hAnsi="Times New Roman" w:eastAsia="宋体" w:cs="Times New Roman"/>
              </w:rPr>
              <w:t>暂时贮存病理性废物，应当具备低温贮存或者防腐条件。</w:t>
            </w:r>
          </w:p>
          <w:p w14:paraId="78134409">
            <w:pPr>
              <w:bidi w:val="0"/>
              <w:rPr>
                <w:rFonts w:hint="default" w:ascii="Times New Roman" w:hAnsi="Times New Roman" w:eastAsia="宋体" w:cs="Times New Roman"/>
              </w:rPr>
            </w:pPr>
            <w:r>
              <w:rPr>
                <w:rFonts w:hint="default" w:ascii="Times New Roman" w:hAnsi="Times New Roman" w:eastAsia="宋体" w:cs="Times New Roman"/>
              </w:rPr>
              <w:t>F</w:t>
            </w:r>
            <w:r>
              <w:rPr>
                <w:rFonts w:hint="default" w:ascii="Times New Roman" w:hAnsi="Times New Roman" w:eastAsia="宋体" w:cs="Times New Roman"/>
                <w:lang w:eastAsia="zh-CN"/>
              </w:rPr>
              <w:t>.</w:t>
            </w:r>
            <w:r>
              <w:rPr>
                <w:rFonts w:hint="default" w:ascii="Times New Roman" w:hAnsi="Times New Roman" w:eastAsia="宋体" w:cs="Times New Roman"/>
              </w:rPr>
              <w:t>医院医疗废物每日集中收集至医院暂存场所。医疗废物暂时贮存的时间不得超过2天。</w:t>
            </w:r>
          </w:p>
          <w:p w14:paraId="79EECC16">
            <w:pPr>
              <w:bidi w:val="0"/>
              <w:rPr>
                <w:rFonts w:hint="default" w:ascii="Times New Roman" w:hAnsi="Times New Roman" w:eastAsia="宋体" w:cs="Times New Roman"/>
              </w:rPr>
            </w:pPr>
            <w:r>
              <w:rPr>
                <w:rFonts w:hint="default" w:ascii="Times New Roman" w:hAnsi="Times New Roman" w:eastAsia="宋体" w:cs="Times New Roman"/>
                <w:lang w:val="en-US" w:eastAsia="zh-CN"/>
              </w:rPr>
              <w:t>4</w:t>
            </w:r>
            <w:r>
              <w:rPr>
                <w:rFonts w:hint="default" w:ascii="Times New Roman" w:hAnsi="Times New Roman" w:eastAsia="宋体" w:cs="Times New Roman"/>
              </w:rPr>
              <w:t>）医疗废物的交接</w:t>
            </w:r>
          </w:p>
          <w:p w14:paraId="14C80F7A">
            <w:pPr>
              <w:bidi w:val="0"/>
              <w:rPr>
                <w:rFonts w:hint="default" w:ascii="Times New Roman" w:hAnsi="Times New Roman" w:eastAsia="宋体" w:cs="Times New Roman"/>
              </w:rPr>
            </w:pPr>
            <w:r>
              <w:rPr>
                <w:rFonts w:hint="default" w:ascii="Times New Roman" w:hAnsi="Times New Roman" w:eastAsia="宋体" w:cs="Times New Roman"/>
              </w:rPr>
              <w:t>医疗废物运送人员在接收医疗废物时，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w:t>
            </w:r>
            <w:r>
              <w:rPr>
                <w:rFonts w:hint="default" w:ascii="Times New Roman" w:hAnsi="Times New Roman" w:eastAsia="宋体" w:cs="Times New Roman"/>
                <w:lang w:eastAsia="zh-CN"/>
              </w:rPr>
              <w:t>生态环境局</w:t>
            </w:r>
            <w:r>
              <w:rPr>
                <w:rFonts w:hint="default" w:ascii="Times New Roman" w:hAnsi="Times New Roman" w:eastAsia="宋体" w:cs="Times New Roman"/>
              </w:rPr>
              <w:t>报告。</w:t>
            </w:r>
          </w:p>
          <w:p w14:paraId="762F2F28">
            <w:pPr>
              <w:bidi w:val="0"/>
              <w:rPr>
                <w:rFonts w:hint="default" w:ascii="Times New Roman" w:hAnsi="Times New Roman" w:eastAsia="宋体" w:cs="Times New Roman"/>
              </w:rPr>
            </w:pPr>
            <w:r>
              <w:rPr>
                <w:rFonts w:hint="default" w:ascii="Times New Roman" w:hAnsi="Times New Roman" w:eastAsia="宋体" w:cs="Times New Roman"/>
              </w:rPr>
              <w:t>化学性医疗废物应由医疗卫生机构委托有经营资格的危险废物处置单位处置，未取得相应许可的处置单位医疗废物运送人员不得接收化学性医疗废物。</w:t>
            </w:r>
          </w:p>
          <w:p w14:paraId="4FC210B2">
            <w:pPr>
              <w:bidi w:val="0"/>
              <w:rPr>
                <w:rFonts w:hint="default" w:ascii="Times New Roman" w:hAnsi="Times New Roman" w:eastAsia="宋体" w:cs="Times New Roman"/>
              </w:rPr>
            </w:pPr>
            <w:r>
              <w:rPr>
                <w:rFonts w:hint="default" w:ascii="Times New Roman" w:hAnsi="Times New Roman" w:eastAsia="宋体" w:cs="Times New Roman"/>
              </w:rPr>
              <w:t>医疗卫生机构交予处置的废物采用危险废物转移联单管理。市</w:t>
            </w:r>
            <w:r>
              <w:rPr>
                <w:rFonts w:hint="default" w:ascii="Times New Roman" w:hAnsi="Times New Roman" w:eastAsia="宋体" w:cs="Times New Roman"/>
                <w:lang w:eastAsia="zh-CN"/>
              </w:rPr>
              <w:t>生态环境局</w:t>
            </w:r>
            <w:r>
              <w:rPr>
                <w:rFonts w:hint="default" w:ascii="Times New Roman" w:hAnsi="Times New Roman" w:eastAsia="宋体" w:cs="Times New Roman"/>
              </w:rPr>
              <w:t>对医疗废物转移计划进行审批。转移计划批准后，医疗废物产生单位和处置单位的日常医疗废物交接可采用简化的《危险废物转移联单》（医疗废物专用）。在医疗卫生机构、处置单位及运送方式变化后，应对医疗废物转移计划进行重新审批。《危险废物转移联单》（医疗废物专用）一式两份，每月一张，由处置单位医疗废物运送人员和医疗卫生机构医疗废物管理人员交接时共同填写，医疗卫生机构和处置单位分别保存，保存时间为5年。每车每次运送的医疗废物采用《医疗废物运送登记卡》管理，一车一卡，由医疗卫生机构医疗废物管理人员交接时填写并签字。当医疗废物运至处置单位时，处置厂接收人员确认该登记卡上填写的医疗废物数量真实、准确后签收。</w:t>
            </w:r>
          </w:p>
          <w:p w14:paraId="3231F1C1">
            <w:pPr>
              <w:bidi w:val="0"/>
              <w:rPr>
                <w:rFonts w:hint="default" w:ascii="Times New Roman" w:hAnsi="Times New Roman" w:eastAsia="宋体" w:cs="Times New Roman"/>
              </w:rPr>
            </w:pPr>
            <w:r>
              <w:rPr>
                <w:rFonts w:hint="default" w:ascii="Times New Roman" w:hAnsi="Times New Roman" w:eastAsia="宋体" w:cs="Times New Roman"/>
                <w:lang w:val="en-US" w:eastAsia="zh-CN"/>
              </w:rPr>
              <w:t>5</w:t>
            </w:r>
            <w:r>
              <w:rPr>
                <w:rFonts w:hint="default" w:ascii="Times New Roman" w:hAnsi="Times New Roman" w:eastAsia="宋体" w:cs="Times New Roman"/>
              </w:rPr>
              <w:t>）医疗废物的运输</w:t>
            </w:r>
          </w:p>
          <w:p w14:paraId="74A1F280">
            <w:pPr>
              <w:bidi w:val="0"/>
              <w:rPr>
                <w:rFonts w:hint="default" w:ascii="Times New Roman" w:hAnsi="Times New Roman" w:eastAsia="宋体" w:cs="Times New Roman"/>
              </w:rPr>
            </w:pPr>
            <w:r>
              <w:rPr>
                <w:rFonts w:hint="default" w:ascii="Times New Roman" w:hAnsi="Times New Roman" w:eastAsia="宋体" w:cs="Times New Roman"/>
              </w:rPr>
              <w:t>医疗废物运送应当使用专用车辆。车辆厢体应与驾驶室分离并密闭；厢体应达到气密性要求，内壁光滑平整，易于清洗消毒；厢体材料防水、耐腐蚀；厢体底部防液体渗漏，并设清洗污水的排水收集装置。运送车辆应符合《医疗废物转运车技术要求》（GB19217）。</w:t>
            </w:r>
          </w:p>
          <w:p w14:paraId="15897C52">
            <w:pPr>
              <w:bidi w:val="0"/>
              <w:rPr>
                <w:rFonts w:hint="default" w:ascii="Times New Roman" w:hAnsi="Times New Roman" w:eastAsia="宋体" w:cs="Times New Roman"/>
              </w:rPr>
            </w:pPr>
            <w:r>
              <w:rPr>
                <w:rFonts w:hint="default" w:ascii="Times New Roman" w:hAnsi="Times New Roman" w:eastAsia="宋体" w:cs="Times New Roman"/>
              </w:rPr>
              <w:t>运送车辆应配备：规范文本、《危险废物转移联单》（医疗废物专用）、《医疗废物运送登记卡》、运送路线图、通讯设备、医疗废物产生单位及其管理人员名单与电话号码、事故应急预案及联络单位和人员的名单、电话号码、收集医疗废物的工具、消毒器具与药品、备用的医疗废物专用袋和利器盒、备用的人员防护用品。</w:t>
            </w:r>
          </w:p>
          <w:p w14:paraId="6B2A4F92">
            <w:pPr>
              <w:bidi w:val="0"/>
              <w:rPr>
                <w:rFonts w:hint="default" w:ascii="Times New Roman" w:hAnsi="Times New Roman" w:eastAsia="宋体" w:cs="Times New Roman"/>
              </w:rPr>
            </w:pPr>
            <w:r>
              <w:rPr>
                <w:rFonts w:hint="default" w:ascii="Times New Roman" w:hAnsi="Times New Roman" w:eastAsia="宋体" w:cs="Times New Roman"/>
              </w:rPr>
              <w:t>对外运输单独通道的设置：要求建设单位设置一条医疗废物对外运输专用通道，保证医疗废物可以安全转移出院，不会通过人群密集场所。</w:t>
            </w:r>
          </w:p>
          <w:p w14:paraId="5674147B">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综上，在落实上述提出的相关措施后，项目营运期产生的各种固体废弃物都能够得到合理、有效</w:t>
            </w:r>
            <w:r>
              <w:rPr>
                <w:rFonts w:hint="eastAsia" w:ascii="Times New Roman" w:hAnsi="Times New Roman" w:cs="Times New Roman"/>
                <w:color w:val="auto"/>
                <w:spacing w:val="0"/>
                <w:w w:val="100"/>
                <w:position w:val="0"/>
                <w:sz w:val="24"/>
                <w:szCs w:val="24"/>
                <w:lang w:eastAsia="zh-CN"/>
              </w:rPr>
              <w:t>的</w:t>
            </w:r>
            <w:r>
              <w:rPr>
                <w:rFonts w:hint="default" w:ascii="Times New Roman" w:hAnsi="Times New Roman" w:eastAsia="宋体" w:cs="Times New Roman"/>
                <w:color w:val="auto"/>
                <w:spacing w:val="0"/>
                <w:w w:val="100"/>
                <w:position w:val="0"/>
                <w:sz w:val="24"/>
                <w:szCs w:val="24"/>
              </w:rPr>
              <w:t>处理处置，对区域环境基本无不良影响。</w:t>
            </w:r>
          </w:p>
          <w:p w14:paraId="17E152D1">
            <w:pPr>
              <w:pStyle w:val="141"/>
              <w:keepNext w:val="0"/>
              <w:keepLines w:val="0"/>
              <w:pageBreakBefore w:val="0"/>
              <w:kinsoku/>
              <w:wordWrap/>
              <w:overflowPunct/>
              <w:topLinePunct w:val="0"/>
              <w:autoSpaceDE/>
              <w:autoSpaceDN/>
              <w:bidi w:val="0"/>
              <w:spacing w:line="360" w:lineRule="auto"/>
              <w:ind w:right="0"/>
              <w:textAlignment w:val="auto"/>
              <w:rPr>
                <w:rFonts w:hint="default" w:ascii="Times New Roman" w:hAnsi="Times New Roman" w:eastAsia="宋体" w:cs="Times New Roman"/>
                <w:b/>
                <w:bCs/>
                <w:color w:val="auto"/>
                <w:spacing w:val="0"/>
                <w:w w:val="100"/>
                <w:position w:val="0"/>
                <w:sz w:val="24"/>
                <w:szCs w:val="24"/>
              </w:rPr>
            </w:pPr>
            <w:r>
              <w:rPr>
                <w:rFonts w:hint="default" w:ascii="Times New Roman" w:hAnsi="Times New Roman" w:eastAsia="宋体" w:cs="Times New Roman"/>
                <w:b/>
                <w:bCs/>
                <w:color w:val="auto"/>
                <w:spacing w:val="0"/>
                <w:w w:val="100"/>
                <w:position w:val="0"/>
                <w:sz w:val="24"/>
                <w:szCs w:val="24"/>
              </w:rPr>
              <w:t>5、地下水、土壤</w:t>
            </w:r>
          </w:p>
          <w:p w14:paraId="2EEEF4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宋体" w:cs="Times New Roman"/>
                <w:b w:val="0"/>
                <w:bCs w:val="0"/>
                <w:color w:val="auto"/>
                <w:lang w:val="en-US" w:eastAsia="zh-CN"/>
              </w:rPr>
            </w:pPr>
            <w:r>
              <w:rPr>
                <w:rFonts w:hint="eastAsia" w:cs="Times New Roman"/>
                <w:b w:val="0"/>
                <w:bCs w:val="0"/>
                <w:color w:val="auto"/>
                <w:lang w:val="en-US" w:eastAsia="zh-CN"/>
              </w:rPr>
              <w:t>（1）</w:t>
            </w:r>
            <w:r>
              <w:rPr>
                <w:rFonts w:hint="eastAsia" w:ascii="Times New Roman" w:hAnsi="Times New Roman" w:eastAsia="宋体" w:cs="Times New Roman"/>
                <w:b w:val="0"/>
                <w:bCs w:val="0"/>
                <w:color w:val="auto"/>
                <w:lang w:val="en-US" w:eastAsia="zh-CN"/>
              </w:rPr>
              <w:t>污染源及污染途径识别</w:t>
            </w:r>
          </w:p>
          <w:p w14:paraId="0156073C">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本项目土壤和地下水污染源主要为</w:t>
            </w:r>
            <w:r>
              <w:rPr>
                <w:rFonts w:hint="eastAsia" w:ascii="Times New Roman" w:hAnsi="Times New Roman" w:cs="Times New Roman"/>
                <w:color w:val="auto"/>
                <w:spacing w:val="0"/>
                <w:w w:val="100"/>
                <w:position w:val="0"/>
                <w:sz w:val="24"/>
                <w:szCs w:val="24"/>
                <w:lang w:eastAsia="zh-CN"/>
              </w:rPr>
              <w:t>医疗废物暂存间</w:t>
            </w:r>
            <w:r>
              <w:rPr>
                <w:rFonts w:hint="default" w:ascii="Times New Roman" w:hAnsi="Times New Roman" w:eastAsia="宋体" w:cs="Times New Roman"/>
                <w:color w:val="auto"/>
                <w:spacing w:val="0"/>
                <w:w w:val="100"/>
                <w:position w:val="0"/>
                <w:sz w:val="24"/>
                <w:szCs w:val="24"/>
              </w:rPr>
              <w:t>、污水处理站</w:t>
            </w:r>
            <w:r>
              <w:rPr>
                <w:rFonts w:hint="eastAsia" w:ascii="Times New Roman" w:hAnsi="Times New Roman" w:cs="Times New Roman"/>
                <w:color w:val="auto"/>
                <w:spacing w:val="0"/>
                <w:w w:val="100"/>
                <w:position w:val="0"/>
                <w:sz w:val="24"/>
                <w:szCs w:val="24"/>
                <w:lang w:eastAsia="zh-CN"/>
              </w:rPr>
              <w:t>、应急事故池、</w:t>
            </w:r>
            <w:r>
              <w:rPr>
                <w:rFonts w:hint="eastAsia" w:ascii="Times New Roman" w:hAnsi="Times New Roman" w:cs="Times New Roman"/>
                <w:color w:val="auto"/>
                <w:spacing w:val="0"/>
                <w:w w:val="100"/>
                <w:position w:val="0"/>
                <w:sz w:val="24"/>
                <w:szCs w:val="24"/>
                <w:lang w:val="en-US" w:eastAsia="zh-CN"/>
              </w:rPr>
              <w:t>储油间、二氧化氯制备间</w:t>
            </w:r>
            <w:r>
              <w:rPr>
                <w:rFonts w:hint="default" w:ascii="Times New Roman" w:hAnsi="Times New Roman" w:eastAsia="宋体" w:cs="Times New Roman"/>
                <w:color w:val="auto"/>
                <w:spacing w:val="0"/>
                <w:w w:val="100"/>
                <w:position w:val="0"/>
                <w:sz w:val="24"/>
                <w:szCs w:val="24"/>
              </w:rPr>
              <w:t>。</w:t>
            </w:r>
            <w:r>
              <w:rPr>
                <w:rFonts w:hint="eastAsia" w:ascii="Times New Roman" w:hAnsi="Times New Roman" w:cs="Times New Roman"/>
                <w:b w:val="0"/>
                <w:bCs w:val="0"/>
                <w:color w:val="auto"/>
                <w:lang w:val="en-US" w:eastAsia="zh-CN"/>
              </w:rPr>
              <w:t>在</w:t>
            </w:r>
            <w:r>
              <w:rPr>
                <w:rFonts w:hint="eastAsia" w:ascii="Times New Roman" w:hAnsi="Times New Roman" w:eastAsia="宋体" w:cs="Times New Roman"/>
                <w:b w:val="0"/>
                <w:bCs w:val="0"/>
                <w:color w:val="auto"/>
                <w:lang w:val="en-US" w:eastAsia="zh-CN"/>
              </w:rPr>
              <w:t>采取了重点防渗措施后，截断了污染途径</w:t>
            </w:r>
            <w:r>
              <w:rPr>
                <w:rFonts w:hint="default" w:ascii="Times New Roman" w:hAnsi="Times New Roman" w:eastAsia="宋体" w:cs="Times New Roman"/>
                <w:color w:val="auto"/>
                <w:spacing w:val="0"/>
                <w:w w:val="100"/>
                <w:position w:val="0"/>
                <w:sz w:val="24"/>
                <w:szCs w:val="24"/>
              </w:rPr>
              <w:t>。</w:t>
            </w:r>
          </w:p>
          <w:p w14:paraId="25B4E5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w:t>
            </w:r>
            <w:r>
              <w:rPr>
                <w:rFonts w:hint="eastAsia" w:cs="Times New Roman"/>
                <w:b w:val="0"/>
                <w:bCs w:val="0"/>
                <w:color w:val="auto"/>
                <w:lang w:val="en-US" w:eastAsia="zh-CN"/>
              </w:rPr>
              <w:t>2</w:t>
            </w:r>
            <w:r>
              <w:rPr>
                <w:rFonts w:hint="eastAsia" w:ascii="Times New Roman" w:hAnsi="Times New Roman" w:eastAsia="宋体" w:cs="Times New Roman"/>
                <w:b w:val="0"/>
                <w:bCs w:val="0"/>
                <w:color w:val="auto"/>
                <w:lang w:val="en-US" w:eastAsia="zh-CN"/>
              </w:rPr>
              <w:t>）防范措施</w:t>
            </w:r>
          </w:p>
          <w:p w14:paraId="2AE38A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本项目根据建设项目场地天然包气带防污性能、污染控制难易程度和污染物特性，按照HJ610-2016中参照表7中提出防渗技术要求进行划分及确定，具体见下表所示。</w:t>
            </w:r>
          </w:p>
          <w:p w14:paraId="160F626B">
            <w:pPr>
              <w:bidi w:val="0"/>
              <w:spacing w:line="240" w:lineRule="auto"/>
              <w:jc w:val="center"/>
              <w:rPr>
                <w:rFonts w:hint="eastAsia"/>
                <w:b/>
                <w:bCs/>
                <w:sz w:val="21"/>
                <w:szCs w:val="21"/>
                <w:lang w:val="en-US" w:eastAsia="zh-CN"/>
              </w:rPr>
            </w:pPr>
            <w:r>
              <w:rPr>
                <w:rFonts w:hint="default"/>
                <w:b/>
                <w:bCs/>
                <w:sz w:val="21"/>
                <w:szCs w:val="21"/>
                <w:lang w:val="en-US" w:eastAsia="zh-CN"/>
              </w:rPr>
              <w:t>表4-</w:t>
            </w:r>
            <w:r>
              <w:rPr>
                <w:rFonts w:hint="eastAsia"/>
                <w:b/>
                <w:bCs/>
                <w:sz w:val="21"/>
                <w:szCs w:val="21"/>
                <w:lang w:val="en-US" w:eastAsia="zh-CN"/>
              </w:rPr>
              <w:t>19分区防渗一览表</w:t>
            </w:r>
          </w:p>
          <w:tbl>
            <w:tblPr>
              <w:tblStyle w:val="28"/>
              <w:tblW w:w="7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990"/>
              <w:gridCol w:w="980"/>
              <w:gridCol w:w="3093"/>
              <w:gridCol w:w="1321"/>
            </w:tblGrid>
            <w:tr w14:paraId="33E4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54" w:type="dxa"/>
                  <w:noWrap w:val="0"/>
                  <w:vAlign w:val="center"/>
                </w:tcPr>
                <w:p w14:paraId="2D203C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990" w:type="dxa"/>
                  <w:noWrap w:val="0"/>
                  <w:vAlign w:val="center"/>
                </w:tcPr>
                <w:p w14:paraId="0DFA41A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980" w:type="dxa"/>
                  <w:noWrap w:val="0"/>
                  <w:vAlign w:val="center"/>
                </w:tcPr>
                <w:p w14:paraId="4CF564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防渗级别</w:t>
                  </w:r>
                </w:p>
              </w:tc>
              <w:tc>
                <w:tcPr>
                  <w:tcW w:w="3093" w:type="dxa"/>
                  <w:noWrap w:val="0"/>
                  <w:vAlign w:val="center"/>
                </w:tcPr>
                <w:p w14:paraId="12A33D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防渗要求</w:t>
                  </w:r>
                </w:p>
              </w:tc>
              <w:tc>
                <w:tcPr>
                  <w:tcW w:w="1321" w:type="dxa"/>
                  <w:noWrap w:val="0"/>
                  <w:vAlign w:val="center"/>
                </w:tcPr>
                <w:p w14:paraId="4C4CC2A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防渗措施</w:t>
                  </w:r>
                </w:p>
              </w:tc>
            </w:tr>
            <w:tr w14:paraId="75FF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54" w:type="dxa"/>
                  <w:noWrap w:val="0"/>
                  <w:vAlign w:val="center"/>
                </w:tcPr>
                <w:p w14:paraId="56DFDB5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990" w:type="dxa"/>
                  <w:noWrap w:val="0"/>
                  <w:vAlign w:val="center"/>
                </w:tcPr>
                <w:p w14:paraId="61118C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eastAsia="zh-CN"/>
                    </w:rPr>
                    <w:t>医疗废物暂存间</w:t>
                  </w:r>
                  <w:r>
                    <w:rPr>
                      <w:rFonts w:hint="eastAsia" w:cs="Times New Roman"/>
                      <w:color w:val="auto"/>
                      <w:sz w:val="21"/>
                      <w:szCs w:val="21"/>
                      <w:highlight w:val="none"/>
                      <w:lang w:val="en-US" w:eastAsia="zh-CN"/>
                    </w:rPr>
                    <w:t>、</w:t>
                  </w:r>
                  <w:r>
                    <w:rPr>
                      <w:rFonts w:hint="default" w:cs="Times New Roman"/>
                      <w:color w:val="auto"/>
                      <w:sz w:val="21"/>
                      <w:szCs w:val="21"/>
                      <w:highlight w:val="none"/>
                    </w:rPr>
                    <w:t>污水处理站</w:t>
                  </w:r>
                  <w:r>
                    <w:rPr>
                      <w:rFonts w:hint="eastAsia" w:cs="Times New Roman"/>
                      <w:color w:val="auto"/>
                      <w:sz w:val="21"/>
                      <w:szCs w:val="21"/>
                      <w:highlight w:val="none"/>
                      <w:lang w:eastAsia="zh-CN"/>
                    </w:rPr>
                    <w:t>、应急事故池、</w:t>
                  </w:r>
                  <w:r>
                    <w:rPr>
                      <w:rFonts w:hint="eastAsia" w:cs="Times New Roman"/>
                      <w:color w:val="auto"/>
                      <w:sz w:val="21"/>
                      <w:szCs w:val="21"/>
                      <w:highlight w:val="none"/>
                      <w:lang w:val="en-US" w:eastAsia="zh-CN"/>
                    </w:rPr>
                    <w:t>储油间、二氧化氯制备间</w:t>
                  </w:r>
                </w:p>
              </w:tc>
              <w:tc>
                <w:tcPr>
                  <w:tcW w:w="980" w:type="dxa"/>
                  <w:noWrap w:val="0"/>
                  <w:vAlign w:val="center"/>
                </w:tcPr>
                <w:p w14:paraId="1B26729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重点防渗区</w:t>
                  </w:r>
                </w:p>
              </w:tc>
              <w:tc>
                <w:tcPr>
                  <w:tcW w:w="3093" w:type="dxa"/>
                  <w:noWrap w:val="0"/>
                  <w:vAlign w:val="center"/>
                </w:tcPr>
                <w:p w14:paraId="1DECE9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eastAsia"/>
                      <w:color w:val="auto"/>
                      <w:sz w:val="21"/>
                      <w:szCs w:val="21"/>
                    </w:rPr>
                    <w:t>等效黏土防渗层Mb≥6.0m，满足K≤10</w:t>
                  </w:r>
                  <w:r>
                    <w:rPr>
                      <w:rFonts w:hint="eastAsia"/>
                      <w:color w:val="auto"/>
                      <w:sz w:val="21"/>
                      <w:szCs w:val="21"/>
                      <w:vertAlign w:val="superscript"/>
                    </w:rPr>
                    <w:t>-7</w:t>
                  </w:r>
                  <w:r>
                    <w:rPr>
                      <w:rFonts w:hint="eastAsia"/>
                      <w:color w:val="auto"/>
                      <w:sz w:val="21"/>
                      <w:szCs w:val="21"/>
                    </w:rPr>
                    <w:t>cm/s；或参照</w:t>
                  </w:r>
                  <w:r>
                    <w:rPr>
                      <w:rFonts w:hint="eastAsia"/>
                      <w:color w:val="auto"/>
                      <w:sz w:val="21"/>
                      <w:szCs w:val="21"/>
                      <w:lang w:val="en-US" w:eastAsia="zh-CN"/>
                    </w:rPr>
                    <w:t>G</w:t>
                  </w:r>
                  <w:r>
                    <w:rPr>
                      <w:rFonts w:hint="eastAsia"/>
                      <w:color w:val="auto"/>
                      <w:sz w:val="21"/>
                      <w:szCs w:val="21"/>
                    </w:rPr>
                    <w:t>B18598-2001执行</w:t>
                  </w:r>
                </w:p>
              </w:tc>
              <w:tc>
                <w:tcPr>
                  <w:tcW w:w="1321" w:type="dxa"/>
                  <w:noWrap w:val="0"/>
                  <w:vAlign w:val="center"/>
                </w:tcPr>
                <w:p w14:paraId="6D3EAD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color w:val="auto"/>
                      <w:sz w:val="21"/>
                      <w:szCs w:val="21"/>
                    </w:rPr>
                  </w:pPr>
                  <w:r>
                    <w:rPr>
                      <w:rFonts w:hint="eastAsia" w:cs="Times New Roman"/>
                      <w:b w:val="0"/>
                      <w:bCs w:val="0"/>
                      <w:color w:val="auto"/>
                      <w:sz w:val="21"/>
                      <w:szCs w:val="21"/>
                      <w:lang w:val="en-US" w:eastAsia="zh-CN"/>
                    </w:rPr>
                    <w:t>原有硬化基础上</w:t>
                  </w:r>
                  <w:r>
                    <w:rPr>
                      <w:rFonts w:hint="eastAsia" w:ascii="Times New Roman" w:hAnsi="Times New Roman" w:eastAsia="宋体" w:cs="Times New Roman"/>
                      <w:b w:val="0"/>
                      <w:bCs w:val="0"/>
                      <w:color w:val="auto"/>
                      <w:sz w:val="21"/>
                      <w:szCs w:val="21"/>
                      <w:lang w:val="en-US" w:eastAsia="zh-CN"/>
                    </w:rPr>
                    <w:t>铺环氧树脂防渗</w:t>
                  </w:r>
                </w:p>
              </w:tc>
            </w:tr>
            <w:tr w14:paraId="420C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454" w:type="dxa"/>
                  <w:noWrap w:val="0"/>
                  <w:vAlign w:val="center"/>
                </w:tcPr>
                <w:p w14:paraId="217FE95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990" w:type="dxa"/>
                  <w:noWrap w:val="0"/>
                  <w:vAlign w:val="center"/>
                </w:tcPr>
                <w:p w14:paraId="7F487A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办公区及其他场所</w:t>
                  </w:r>
                </w:p>
              </w:tc>
              <w:tc>
                <w:tcPr>
                  <w:tcW w:w="980" w:type="dxa"/>
                  <w:noWrap w:val="0"/>
                  <w:vAlign w:val="center"/>
                </w:tcPr>
                <w:p w14:paraId="7F852B5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一般防渗区</w:t>
                  </w:r>
                </w:p>
              </w:tc>
              <w:tc>
                <w:tcPr>
                  <w:tcW w:w="3093" w:type="dxa"/>
                  <w:noWrap w:val="0"/>
                  <w:vAlign w:val="center"/>
                </w:tcPr>
                <w:p w14:paraId="4654F4CA">
                  <w:pPr>
                    <w:pStyle w:val="135"/>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r>
                    <w:rPr>
                      <w:rFonts w:hint="eastAsia"/>
                      <w:color w:val="auto"/>
                      <w:sz w:val="21"/>
                      <w:szCs w:val="21"/>
                    </w:rPr>
                    <w:t>满足《一般工业固体废物贮存和填埋污染控制标准》（GB18599-2020），等效黏土防渗层Mb≥1.5m，K＜10</w:t>
                  </w:r>
                  <w:r>
                    <w:rPr>
                      <w:rFonts w:hint="eastAsia"/>
                      <w:color w:val="auto"/>
                      <w:sz w:val="21"/>
                      <w:szCs w:val="21"/>
                      <w:vertAlign w:val="superscript"/>
                    </w:rPr>
                    <w:t>-7</w:t>
                  </w:r>
                  <w:r>
                    <w:rPr>
                      <w:rFonts w:hint="eastAsia"/>
                      <w:color w:val="auto"/>
                      <w:sz w:val="21"/>
                      <w:szCs w:val="21"/>
                    </w:rPr>
                    <w:t>cm/s；或参照GB16889执行</w:t>
                  </w:r>
                </w:p>
              </w:tc>
              <w:tc>
                <w:tcPr>
                  <w:tcW w:w="1321" w:type="dxa"/>
                  <w:noWrap w:val="0"/>
                  <w:vAlign w:val="center"/>
                </w:tcPr>
                <w:p w14:paraId="4EC3B158">
                  <w:pPr>
                    <w:pStyle w:val="135"/>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bl>
          <w:p w14:paraId="0E46439B">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综上所述，在采取上述防渗、防腐处理措施后，项目对</w:t>
            </w:r>
            <w:r>
              <w:rPr>
                <w:rFonts w:hint="eastAsia" w:ascii="Times New Roman" w:hAnsi="Times New Roman" w:cs="Times New Roman"/>
                <w:color w:val="auto"/>
                <w:spacing w:val="0"/>
                <w:w w:val="100"/>
                <w:position w:val="0"/>
                <w:sz w:val="24"/>
                <w:szCs w:val="24"/>
                <w:lang w:eastAsia="zh-CN"/>
              </w:rPr>
              <w:t>土壤、</w:t>
            </w:r>
            <w:r>
              <w:rPr>
                <w:rFonts w:hint="default" w:ascii="Times New Roman" w:hAnsi="Times New Roman" w:eastAsia="宋体" w:cs="Times New Roman"/>
                <w:color w:val="auto"/>
                <w:spacing w:val="0"/>
                <w:w w:val="100"/>
                <w:position w:val="0"/>
                <w:sz w:val="24"/>
                <w:szCs w:val="24"/>
              </w:rPr>
              <w:t>地下水基本不会造成明显影响。此外还要加强管理，完善管理机制，建立严格的管理制度，遵守操作规程。</w:t>
            </w:r>
          </w:p>
          <w:p w14:paraId="79CD3C8C">
            <w:pPr>
              <w:pStyle w:val="141"/>
              <w:keepNext w:val="0"/>
              <w:keepLines w:val="0"/>
              <w:pageBreakBefore w:val="0"/>
              <w:kinsoku/>
              <w:wordWrap/>
              <w:overflowPunct/>
              <w:topLinePunct w:val="0"/>
              <w:autoSpaceDE/>
              <w:autoSpaceDN/>
              <w:bidi w:val="0"/>
              <w:spacing w:line="360" w:lineRule="auto"/>
              <w:ind w:left="0" w:right="0" w:firstLine="482" w:firstLineChars="200"/>
              <w:textAlignment w:val="auto"/>
              <w:rPr>
                <w:rFonts w:hint="default" w:ascii="Times New Roman" w:hAnsi="Times New Roman" w:eastAsia="宋体" w:cs="Times New Roman"/>
                <w:b/>
                <w:bCs/>
                <w:color w:val="auto"/>
                <w:spacing w:val="0"/>
                <w:w w:val="100"/>
                <w:position w:val="0"/>
                <w:sz w:val="24"/>
                <w:szCs w:val="24"/>
              </w:rPr>
            </w:pPr>
            <w:r>
              <w:rPr>
                <w:rFonts w:hint="default" w:ascii="Times New Roman" w:hAnsi="Times New Roman" w:eastAsia="宋体" w:cs="Times New Roman"/>
                <w:b/>
                <w:bCs/>
                <w:color w:val="auto"/>
                <w:spacing w:val="0"/>
                <w:w w:val="100"/>
                <w:position w:val="0"/>
                <w:sz w:val="24"/>
                <w:szCs w:val="24"/>
              </w:rPr>
              <w:t>6、生态环境</w:t>
            </w:r>
          </w:p>
          <w:p w14:paraId="577FB58D">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本项目</w:t>
            </w:r>
            <w:r>
              <w:rPr>
                <w:rFonts w:hint="eastAsia" w:ascii="Times New Roman" w:hAnsi="Times New Roman" w:cs="Times New Roman"/>
                <w:color w:val="auto"/>
                <w:spacing w:val="0"/>
                <w:w w:val="100"/>
                <w:position w:val="0"/>
                <w:sz w:val="24"/>
                <w:szCs w:val="24"/>
                <w:lang w:val="en-US" w:eastAsia="zh-CN"/>
              </w:rPr>
              <w:t>院</w:t>
            </w:r>
            <w:r>
              <w:rPr>
                <w:rFonts w:hint="default" w:ascii="Times New Roman" w:hAnsi="Times New Roman" w:eastAsia="宋体" w:cs="Times New Roman"/>
                <w:color w:val="auto"/>
                <w:spacing w:val="0"/>
                <w:w w:val="100"/>
                <w:position w:val="0"/>
                <w:sz w:val="24"/>
                <w:szCs w:val="24"/>
              </w:rPr>
              <w:t>区范围</w:t>
            </w:r>
            <w:r>
              <w:rPr>
                <w:rFonts w:hint="eastAsia" w:ascii="Times New Roman" w:hAnsi="Times New Roman" w:cs="Times New Roman"/>
                <w:color w:val="auto"/>
                <w:spacing w:val="0"/>
                <w:w w:val="100"/>
                <w:position w:val="0"/>
                <w:sz w:val="24"/>
                <w:szCs w:val="24"/>
                <w:lang w:val="en-US" w:eastAsia="zh-CN"/>
              </w:rPr>
              <w:t>内</w:t>
            </w:r>
            <w:r>
              <w:rPr>
                <w:rFonts w:hint="default" w:ascii="Times New Roman" w:hAnsi="Times New Roman" w:eastAsia="宋体" w:cs="Times New Roman"/>
                <w:color w:val="auto"/>
                <w:spacing w:val="0"/>
                <w:w w:val="100"/>
                <w:position w:val="0"/>
                <w:sz w:val="24"/>
                <w:szCs w:val="24"/>
              </w:rPr>
              <w:t>不含有生态环境保护目标，故项目不需开展生态环境影响评价。</w:t>
            </w:r>
          </w:p>
          <w:p w14:paraId="0F6AA391">
            <w:pPr>
              <w:pStyle w:val="141"/>
              <w:keepNext w:val="0"/>
              <w:keepLines w:val="0"/>
              <w:pageBreakBefore w:val="0"/>
              <w:kinsoku/>
              <w:wordWrap/>
              <w:overflowPunct/>
              <w:topLinePunct w:val="0"/>
              <w:autoSpaceDE/>
              <w:autoSpaceDN/>
              <w:bidi w:val="0"/>
              <w:spacing w:line="360" w:lineRule="auto"/>
              <w:ind w:left="0" w:right="0" w:firstLine="482" w:firstLineChars="200"/>
              <w:textAlignment w:val="auto"/>
              <w:rPr>
                <w:rFonts w:hint="default" w:ascii="Times New Roman" w:hAnsi="Times New Roman" w:eastAsia="宋体" w:cs="Times New Roman"/>
                <w:b/>
                <w:bCs/>
                <w:color w:val="auto"/>
                <w:spacing w:val="0"/>
                <w:w w:val="100"/>
                <w:position w:val="0"/>
                <w:sz w:val="24"/>
                <w:szCs w:val="24"/>
              </w:rPr>
            </w:pPr>
            <w:r>
              <w:rPr>
                <w:rFonts w:hint="default" w:ascii="Times New Roman" w:hAnsi="Times New Roman" w:eastAsia="宋体" w:cs="Times New Roman"/>
                <w:b/>
                <w:bCs/>
                <w:color w:val="auto"/>
                <w:spacing w:val="0"/>
                <w:w w:val="100"/>
                <w:position w:val="0"/>
                <w:sz w:val="24"/>
                <w:szCs w:val="24"/>
              </w:rPr>
              <w:t>7、环境风险分析</w:t>
            </w:r>
          </w:p>
          <w:p w14:paraId="351B0F69">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（1）风险调查</w:t>
            </w:r>
          </w:p>
          <w:p w14:paraId="4EA01E9E">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本项目主要环境风险来源于医疗废水非正常排放、医用酒精</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盐酸（31%）以及医疗废物在收集、贮存、运送过程</w:t>
            </w:r>
            <w:r>
              <w:rPr>
                <w:rFonts w:hint="eastAsia" w:ascii="Times New Roman" w:hAnsi="Times New Roman" w:cs="Times New Roman"/>
                <w:color w:val="auto"/>
                <w:spacing w:val="0"/>
                <w:w w:val="100"/>
                <w:position w:val="0"/>
                <w:sz w:val="24"/>
                <w:szCs w:val="24"/>
                <w:lang w:eastAsia="zh-CN"/>
              </w:rPr>
              <w:t>中</w:t>
            </w:r>
            <w:r>
              <w:rPr>
                <w:rFonts w:hint="default" w:ascii="Times New Roman" w:hAnsi="Times New Roman" w:eastAsia="宋体" w:cs="Times New Roman"/>
                <w:color w:val="auto"/>
                <w:spacing w:val="0"/>
                <w:w w:val="100"/>
                <w:position w:val="0"/>
                <w:sz w:val="24"/>
                <w:szCs w:val="24"/>
              </w:rPr>
              <w:t>存在的风险，废水非正常排放将会对污水处理厂进水水质产生影响，</w:t>
            </w:r>
            <w:r>
              <w:rPr>
                <w:rFonts w:hint="eastAsia" w:ascii="Times New Roman" w:hAnsi="Times New Roman" w:cs="Times New Roman"/>
                <w:color w:val="auto"/>
                <w:spacing w:val="0"/>
                <w:w w:val="100"/>
                <w:position w:val="0"/>
                <w:sz w:val="24"/>
                <w:szCs w:val="24"/>
                <w:lang w:val="en-US" w:eastAsia="zh-CN"/>
              </w:rPr>
              <w:t>柴油、</w:t>
            </w:r>
            <w:r>
              <w:rPr>
                <w:rFonts w:hint="default" w:ascii="Times New Roman" w:hAnsi="Times New Roman" w:eastAsia="宋体" w:cs="Times New Roman"/>
                <w:color w:val="auto"/>
                <w:spacing w:val="0"/>
                <w:w w:val="100"/>
                <w:position w:val="0"/>
                <w:sz w:val="24"/>
                <w:szCs w:val="24"/>
              </w:rPr>
              <w:t>医用酒精、盐酸（31%）以及医疗废物等因管理不善而发生</w:t>
            </w:r>
            <w:r>
              <w:rPr>
                <w:rFonts w:hint="eastAsia" w:ascii="Times New Roman" w:hAnsi="Times New Roman" w:cs="Times New Roman"/>
                <w:color w:val="auto"/>
                <w:spacing w:val="0"/>
                <w:w w:val="100"/>
                <w:position w:val="0"/>
                <w:sz w:val="24"/>
                <w:szCs w:val="24"/>
                <w:lang w:eastAsia="zh-CN"/>
              </w:rPr>
              <w:t>泄漏</w:t>
            </w:r>
            <w:r>
              <w:rPr>
                <w:rFonts w:hint="default" w:ascii="Times New Roman" w:hAnsi="Times New Roman" w:eastAsia="宋体" w:cs="Times New Roman"/>
                <w:color w:val="auto"/>
                <w:spacing w:val="0"/>
                <w:w w:val="100"/>
                <w:position w:val="0"/>
                <w:sz w:val="24"/>
                <w:szCs w:val="24"/>
              </w:rPr>
              <w:t>导致的环境污染事故。</w:t>
            </w:r>
          </w:p>
          <w:p w14:paraId="7DE40712">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（2）风险潜势初判</w:t>
            </w:r>
          </w:p>
          <w:p w14:paraId="4F7B6392">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①危险物质数量与临界量比值（Q）</w:t>
            </w:r>
          </w:p>
          <w:p w14:paraId="62E803B1">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计算所涉及的每种危险物质在医院边界内的最大存在总量与其在 HJ169－2018 附录 B 中对应临界量的比值 Q。在不同厂区的同一种物质，按其在医院边界内的最大存在总量计算。对于长输管线项目，按照两个截断阀室之间管段危险物质最大存在总量计算。</w:t>
            </w:r>
          </w:p>
          <w:p w14:paraId="59068D26">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当只涉及一种危险物质时，计算该物质的总量与其临界量比值，即为 Q；</w:t>
            </w:r>
          </w:p>
          <w:p w14:paraId="4CA51E4F">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当存在多种危险物质时，则按式（C.1）计算物质总量与其临界量比值（Q）：</w:t>
            </w:r>
          </w:p>
          <w:p w14:paraId="1ECABD20">
            <w:pPr>
              <w:keepNext w:val="0"/>
              <w:keepLines w:val="0"/>
              <w:pageBreakBefore w:val="0"/>
              <w:kinsoku/>
              <w:wordWrap/>
              <w:overflowPunct/>
              <w:topLinePunct w:val="0"/>
              <w:autoSpaceDE/>
              <w:autoSpaceDN/>
              <w:bidi w:val="0"/>
              <w:spacing w:line="360" w:lineRule="auto"/>
              <w:ind w:left="0" w:right="0" w:firstLine="0" w:firstLineChars="0"/>
              <w:jc w:val="center"/>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drawing>
                <wp:inline distT="0" distB="0" distL="0" distR="0">
                  <wp:extent cx="1927860" cy="575945"/>
                  <wp:effectExtent l="0" t="0" r="15240" b="14605"/>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9"/>
                          <a:stretch>
                            <a:fillRect/>
                          </a:stretch>
                        </pic:blipFill>
                        <pic:spPr>
                          <a:xfrm>
                            <a:off x="0" y="0"/>
                            <a:ext cx="1927860" cy="576071"/>
                          </a:xfrm>
                          <a:prstGeom prst="rect">
                            <a:avLst/>
                          </a:prstGeom>
                        </pic:spPr>
                      </pic:pic>
                    </a:graphicData>
                  </a:graphic>
                </wp:inline>
              </w:drawing>
            </w:r>
          </w:p>
          <w:p w14:paraId="539B3685">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式中：q1 ，q2 ，...，qn——每种危险物质的最大存在总量，t；</w:t>
            </w:r>
          </w:p>
          <w:p w14:paraId="6C379DA2">
            <w:pPr>
              <w:pStyle w:val="141"/>
              <w:keepNext w:val="0"/>
              <w:keepLines w:val="0"/>
              <w:pageBreakBefore w:val="0"/>
              <w:kinsoku/>
              <w:wordWrap/>
              <w:overflowPunct/>
              <w:topLinePunct w:val="0"/>
              <w:autoSpaceDE/>
              <w:autoSpaceDN/>
              <w:bidi w:val="0"/>
              <w:spacing w:line="360" w:lineRule="auto"/>
              <w:ind w:left="0" w:right="0" w:firstLine="1200" w:firstLineChars="5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Q1,Q2,...,Qn——每种危险物质的临界量，t。</w:t>
            </w:r>
          </w:p>
          <w:p w14:paraId="34F9E858">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当 Q＜1 时，该项目环境风险潜势为Ⅰ。</w:t>
            </w:r>
          </w:p>
          <w:p w14:paraId="01B01702">
            <w:pPr>
              <w:pStyle w:val="141"/>
              <w:keepNext w:val="0"/>
              <w:keepLines w:val="0"/>
              <w:pageBreakBefore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当 Q≥1 时，将 Q 值划分为：（1）1≤Q＜10；（2）10≤Q＜100；（3）Q≥100。</w:t>
            </w:r>
          </w:p>
          <w:p w14:paraId="04213FB1">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危险物质数量与临界量比值（Q）判定如表4-</w:t>
            </w:r>
            <w:r>
              <w:rPr>
                <w:rFonts w:hint="eastAsia" w:ascii="Times New Roman" w:hAnsi="Times New Roman" w:cs="Times New Roman"/>
                <w:color w:val="auto"/>
                <w:spacing w:val="0"/>
                <w:w w:val="100"/>
                <w:position w:val="0"/>
                <w:sz w:val="24"/>
                <w:szCs w:val="24"/>
                <w:lang w:val="en-US" w:eastAsia="zh-CN"/>
              </w:rPr>
              <w:t>20</w:t>
            </w:r>
            <w:r>
              <w:rPr>
                <w:rFonts w:hint="default" w:ascii="Times New Roman" w:hAnsi="Times New Roman" w:eastAsia="宋体" w:cs="Times New Roman"/>
                <w:color w:val="auto"/>
                <w:spacing w:val="0"/>
                <w:w w:val="100"/>
                <w:position w:val="0"/>
                <w:sz w:val="24"/>
                <w:szCs w:val="24"/>
              </w:rPr>
              <w:t>。</w:t>
            </w:r>
          </w:p>
          <w:p w14:paraId="1A951A58">
            <w:pPr>
              <w:bidi w:val="0"/>
              <w:spacing w:line="240" w:lineRule="auto"/>
              <w:jc w:val="center"/>
              <w:rPr>
                <w:rFonts w:hint="default"/>
                <w:b/>
                <w:bCs/>
                <w:sz w:val="21"/>
                <w:szCs w:val="21"/>
                <w:lang w:val="en-US" w:eastAsia="zh-CN"/>
              </w:rPr>
            </w:pPr>
            <w:r>
              <w:rPr>
                <w:rFonts w:hint="default"/>
                <w:b/>
                <w:bCs/>
                <w:sz w:val="21"/>
                <w:szCs w:val="21"/>
                <w:lang w:val="en-US" w:eastAsia="zh-CN"/>
              </w:rPr>
              <w:t>表4-</w:t>
            </w:r>
            <w:r>
              <w:rPr>
                <w:rFonts w:hint="eastAsia"/>
                <w:b/>
                <w:bCs/>
                <w:sz w:val="21"/>
                <w:szCs w:val="21"/>
                <w:lang w:val="en-US" w:eastAsia="zh-CN"/>
              </w:rPr>
              <w:t>20</w:t>
            </w:r>
            <w:r>
              <w:rPr>
                <w:rFonts w:hint="default"/>
                <w:b/>
                <w:bCs/>
                <w:sz w:val="21"/>
                <w:szCs w:val="21"/>
                <w:lang w:val="en-US" w:eastAsia="zh-CN"/>
              </w:rPr>
              <w:t>危险物质与临界量比值 Q 一览表</w:t>
            </w:r>
          </w:p>
          <w:tbl>
            <w:tblPr>
              <w:tblStyle w:val="142"/>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8"/>
              <w:gridCol w:w="2542"/>
              <w:gridCol w:w="2373"/>
              <w:gridCol w:w="1516"/>
              <w:gridCol w:w="897"/>
            </w:tblGrid>
            <w:tr w14:paraId="0BA6F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688" w:type="dxa"/>
                  <w:vAlign w:val="center"/>
                </w:tcPr>
                <w:p w14:paraId="5991C6E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color w:val="auto"/>
                      <w:kern w:val="2"/>
                      <w:sz w:val="21"/>
                      <w:szCs w:val="28"/>
                      <w:lang w:val="en-US" w:eastAsia="zh-CN" w:bidi="ar-SA"/>
                    </w:rPr>
                  </w:pPr>
                  <w:r>
                    <w:rPr>
                      <w:rFonts w:hint="default" w:ascii="Times New Roman" w:hAnsi="Times New Roman" w:eastAsia="宋体" w:cs="Times New Roman"/>
                      <w:b/>
                      <w:color w:val="auto"/>
                      <w:kern w:val="2"/>
                      <w:sz w:val="21"/>
                      <w:szCs w:val="28"/>
                      <w:lang w:val="en-US" w:eastAsia="zh-CN" w:bidi="ar-SA"/>
                    </w:rPr>
                    <w:t>序号</w:t>
                  </w:r>
                </w:p>
              </w:tc>
              <w:tc>
                <w:tcPr>
                  <w:tcW w:w="2542" w:type="dxa"/>
                  <w:vAlign w:val="center"/>
                </w:tcPr>
                <w:p w14:paraId="04F4AFD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color w:val="auto"/>
                      <w:kern w:val="2"/>
                      <w:sz w:val="21"/>
                      <w:szCs w:val="28"/>
                      <w:lang w:val="en-US" w:eastAsia="zh-CN" w:bidi="ar-SA"/>
                    </w:rPr>
                  </w:pPr>
                  <w:r>
                    <w:rPr>
                      <w:rFonts w:hint="default" w:ascii="Times New Roman" w:hAnsi="Times New Roman" w:eastAsia="宋体" w:cs="Times New Roman"/>
                      <w:b/>
                      <w:color w:val="auto"/>
                      <w:kern w:val="2"/>
                      <w:sz w:val="21"/>
                      <w:szCs w:val="28"/>
                      <w:lang w:val="en-US" w:eastAsia="zh-CN" w:bidi="ar-SA"/>
                    </w:rPr>
                    <w:t>名称</w:t>
                  </w:r>
                </w:p>
              </w:tc>
              <w:tc>
                <w:tcPr>
                  <w:tcW w:w="2373" w:type="dxa"/>
                  <w:vAlign w:val="center"/>
                </w:tcPr>
                <w:p w14:paraId="768C29F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color w:val="auto"/>
                      <w:kern w:val="2"/>
                      <w:sz w:val="21"/>
                      <w:szCs w:val="28"/>
                      <w:lang w:val="en-US" w:eastAsia="zh-CN" w:bidi="ar-SA"/>
                    </w:rPr>
                  </w:pPr>
                  <w:r>
                    <w:rPr>
                      <w:rFonts w:hint="default" w:ascii="Times New Roman" w:hAnsi="Times New Roman" w:eastAsia="宋体" w:cs="Times New Roman"/>
                      <w:b/>
                      <w:color w:val="auto"/>
                      <w:kern w:val="2"/>
                      <w:sz w:val="21"/>
                      <w:szCs w:val="28"/>
                      <w:lang w:val="en-US" w:eastAsia="zh-CN" w:bidi="ar-SA"/>
                    </w:rPr>
                    <w:t>最大储存量 w (t)</w:t>
                  </w:r>
                </w:p>
              </w:tc>
              <w:tc>
                <w:tcPr>
                  <w:tcW w:w="1516" w:type="dxa"/>
                  <w:vAlign w:val="center"/>
                </w:tcPr>
                <w:p w14:paraId="020C658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color w:val="auto"/>
                      <w:kern w:val="2"/>
                      <w:sz w:val="21"/>
                      <w:szCs w:val="28"/>
                      <w:lang w:val="en-US" w:eastAsia="zh-CN" w:bidi="ar-SA"/>
                    </w:rPr>
                  </w:pPr>
                  <w:r>
                    <w:rPr>
                      <w:rFonts w:hint="default" w:ascii="Times New Roman" w:hAnsi="Times New Roman" w:eastAsia="宋体" w:cs="Times New Roman"/>
                      <w:b/>
                      <w:color w:val="auto"/>
                      <w:kern w:val="2"/>
                      <w:sz w:val="21"/>
                      <w:szCs w:val="28"/>
                      <w:lang w:val="en-US" w:eastAsia="zh-CN" w:bidi="ar-SA"/>
                    </w:rPr>
                    <w:t>临界量 (t)</w:t>
                  </w:r>
                </w:p>
              </w:tc>
              <w:tc>
                <w:tcPr>
                  <w:tcW w:w="897" w:type="dxa"/>
                  <w:vAlign w:val="center"/>
                </w:tcPr>
                <w:p w14:paraId="5476DEA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color w:val="auto"/>
                      <w:kern w:val="2"/>
                      <w:sz w:val="21"/>
                      <w:szCs w:val="28"/>
                      <w:lang w:val="en-US" w:eastAsia="zh-CN" w:bidi="ar-SA"/>
                    </w:rPr>
                  </w:pPr>
                  <w:r>
                    <w:rPr>
                      <w:rFonts w:hint="default" w:ascii="Times New Roman" w:hAnsi="Times New Roman" w:eastAsia="宋体" w:cs="Times New Roman"/>
                      <w:b/>
                      <w:color w:val="auto"/>
                      <w:kern w:val="2"/>
                      <w:sz w:val="21"/>
                      <w:szCs w:val="28"/>
                      <w:lang w:val="en-US" w:eastAsia="zh-CN" w:bidi="ar-SA"/>
                    </w:rPr>
                    <w:t>q/Q</w:t>
                  </w:r>
                </w:p>
              </w:tc>
            </w:tr>
            <w:tr w14:paraId="7778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88" w:type="dxa"/>
                  <w:vAlign w:val="center"/>
                </w:tcPr>
                <w:p w14:paraId="39F0ABD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cs="Times New Roman"/>
                      <w:color w:val="auto"/>
                      <w:spacing w:val="0"/>
                      <w:w w:val="100"/>
                      <w:position w:val="0"/>
                      <w:sz w:val="21"/>
                      <w:szCs w:val="21"/>
                      <w:lang w:val="en-US" w:eastAsia="zh-CN"/>
                    </w:rPr>
                    <w:t>1</w:t>
                  </w:r>
                </w:p>
              </w:tc>
              <w:tc>
                <w:tcPr>
                  <w:tcW w:w="2542" w:type="dxa"/>
                  <w:vAlign w:val="center"/>
                </w:tcPr>
                <w:p w14:paraId="061FB58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医用酒精（乙醇75%）</w:t>
                  </w:r>
                </w:p>
              </w:tc>
              <w:tc>
                <w:tcPr>
                  <w:tcW w:w="2373" w:type="dxa"/>
                  <w:vAlign w:val="center"/>
                </w:tcPr>
                <w:p w14:paraId="25F97CD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cs="Times New Roman"/>
                      <w:color w:val="auto"/>
                      <w:spacing w:val="0"/>
                      <w:w w:val="100"/>
                      <w:position w:val="0"/>
                      <w:sz w:val="21"/>
                      <w:szCs w:val="21"/>
                      <w:lang w:val="en-US" w:eastAsia="zh-CN"/>
                    </w:rPr>
                    <w:t>2</w:t>
                  </w:r>
                </w:p>
              </w:tc>
              <w:tc>
                <w:tcPr>
                  <w:tcW w:w="1516" w:type="dxa"/>
                  <w:vAlign w:val="center"/>
                </w:tcPr>
                <w:p w14:paraId="50E7C50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50</w:t>
                  </w:r>
                </w:p>
              </w:tc>
              <w:tc>
                <w:tcPr>
                  <w:tcW w:w="897" w:type="dxa"/>
                  <w:vAlign w:val="center"/>
                </w:tcPr>
                <w:p w14:paraId="3169DE0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w w:val="100"/>
                      <w:position w:val="0"/>
                      <w:sz w:val="21"/>
                      <w:szCs w:val="21"/>
                      <w:lang w:eastAsia="zh-CN"/>
                    </w:rPr>
                  </w:pPr>
                  <w:r>
                    <w:rPr>
                      <w:rFonts w:hint="default" w:ascii="Times New Roman" w:hAnsi="Times New Roman" w:eastAsia="宋体" w:cs="Times New Roman"/>
                      <w:color w:val="auto"/>
                      <w:spacing w:val="0"/>
                      <w:w w:val="100"/>
                      <w:position w:val="0"/>
                      <w:sz w:val="21"/>
                      <w:szCs w:val="21"/>
                    </w:rPr>
                    <w:t>0.0</w:t>
                  </w:r>
                  <w:r>
                    <w:rPr>
                      <w:rFonts w:hint="eastAsia" w:ascii="Times New Roman" w:hAnsi="Times New Roman" w:cs="Times New Roman"/>
                      <w:color w:val="auto"/>
                      <w:spacing w:val="0"/>
                      <w:w w:val="100"/>
                      <w:position w:val="0"/>
                      <w:sz w:val="21"/>
                      <w:szCs w:val="21"/>
                      <w:lang w:val="en-US" w:eastAsia="zh-CN"/>
                    </w:rPr>
                    <w:t>4</w:t>
                  </w:r>
                </w:p>
              </w:tc>
            </w:tr>
            <w:tr w14:paraId="6F03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88" w:type="dxa"/>
                  <w:vAlign w:val="center"/>
                </w:tcPr>
                <w:p w14:paraId="6C2B3E56">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w w:val="100"/>
                      <w:kern w:val="2"/>
                      <w:position w:val="0"/>
                      <w:sz w:val="21"/>
                      <w:szCs w:val="21"/>
                      <w:lang w:val="en-US" w:eastAsia="zh-CN" w:bidi="ar-SA"/>
                    </w:rPr>
                  </w:pPr>
                  <w:r>
                    <w:rPr>
                      <w:rFonts w:hint="eastAsia" w:ascii="Times New Roman" w:hAnsi="Times New Roman" w:cs="Times New Roman"/>
                      <w:color w:val="auto"/>
                      <w:spacing w:val="0"/>
                      <w:w w:val="100"/>
                      <w:position w:val="0"/>
                      <w:sz w:val="21"/>
                      <w:szCs w:val="21"/>
                      <w:lang w:val="en-US" w:eastAsia="zh-CN"/>
                    </w:rPr>
                    <w:t>2</w:t>
                  </w:r>
                </w:p>
              </w:tc>
              <w:tc>
                <w:tcPr>
                  <w:tcW w:w="2542" w:type="dxa"/>
                  <w:vAlign w:val="center"/>
                </w:tcPr>
                <w:p w14:paraId="0A696FE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pacing w:val="0"/>
                      <w:w w:val="100"/>
                      <w:position w:val="0"/>
                      <w:sz w:val="21"/>
                      <w:szCs w:val="21"/>
                      <w:lang w:eastAsia="zh-CN"/>
                    </w:rPr>
                  </w:pPr>
                  <w:r>
                    <w:rPr>
                      <w:rFonts w:hint="eastAsia" w:ascii="Times New Roman" w:hAnsi="Times New Roman" w:cs="Times New Roman"/>
                      <w:color w:val="auto"/>
                      <w:spacing w:val="0"/>
                      <w:w w:val="100"/>
                      <w:position w:val="0"/>
                      <w:sz w:val="21"/>
                      <w:szCs w:val="21"/>
                      <w:lang w:eastAsia="zh-CN"/>
                    </w:rPr>
                    <w:t>盐酸</w:t>
                  </w:r>
                </w:p>
              </w:tc>
              <w:tc>
                <w:tcPr>
                  <w:tcW w:w="2373" w:type="dxa"/>
                  <w:vAlign w:val="center"/>
                </w:tcPr>
                <w:p w14:paraId="51F285F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pacing w:val="0"/>
                      <w:w w:val="100"/>
                      <w:position w:val="0"/>
                      <w:sz w:val="21"/>
                      <w:szCs w:val="21"/>
                      <w:lang w:eastAsia="zh-CN"/>
                    </w:rPr>
                  </w:pPr>
                  <w:r>
                    <w:rPr>
                      <w:rFonts w:hint="eastAsia" w:ascii="Times New Roman" w:hAnsi="Times New Roman" w:cs="Times New Roman"/>
                      <w:color w:val="auto"/>
                      <w:spacing w:val="0"/>
                      <w:w w:val="100"/>
                      <w:position w:val="0"/>
                      <w:sz w:val="21"/>
                      <w:szCs w:val="21"/>
                      <w:lang w:val="en-US" w:eastAsia="zh-CN"/>
                    </w:rPr>
                    <w:t>0.025</w:t>
                  </w:r>
                </w:p>
              </w:tc>
              <w:tc>
                <w:tcPr>
                  <w:tcW w:w="1516" w:type="dxa"/>
                  <w:vAlign w:val="center"/>
                </w:tcPr>
                <w:p w14:paraId="6286224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7.5</w:t>
                  </w:r>
                </w:p>
              </w:tc>
              <w:tc>
                <w:tcPr>
                  <w:tcW w:w="897" w:type="dxa"/>
                  <w:vAlign w:val="center"/>
                </w:tcPr>
                <w:p w14:paraId="3EBE6A9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0.0033</w:t>
                  </w:r>
                </w:p>
              </w:tc>
            </w:tr>
            <w:tr w14:paraId="46C6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88" w:type="dxa"/>
                  <w:vAlign w:val="center"/>
                </w:tcPr>
                <w:p w14:paraId="19690313">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3</w:t>
                  </w:r>
                </w:p>
              </w:tc>
              <w:tc>
                <w:tcPr>
                  <w:tcW w:w="2542" w:type="dxa"/>
                  <w:vAlign w:val="center"/>
                </w:tcPr>
                <w:p w14:paraId="45E9B38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pacing w:val="0"/>
                      <w:w w:val="100"/>
                      <w:position w:val="0"/>
                      <w:sz w:val="21"/>
                      <w:szCs w:val="21"/>
                      <w:lang w:eastAsia="zh-CN"/>
                    </w:rPr>
                  </w:pPr>
                  <w:r>
                    <w:rPr>
                      <w:rFonts w:hint="eastAsia" w:ascii="Times New Roman" w:hAnsi="Times New Roman" w:cs="Times New Roman"/>
                      <w:color w:val="auto"/>
                      <w:spacing w:val="0"/>
                      <w:w w:val="100"/>
                      <w:position w:val="0"/>
                      <w:sz w:val="21"/>
                      <w:szCs w:val="21"/>
                      <w:lang w:eastAsia="zh-CN"/>
                    </w:rPr>
                    <w:t>二氧化氯</w:t>
                  </w:r>
                </w:p>
              </w:tc>
              <w:tc>
                <w:tcPr>
                  <w:tcW w:w="2373" w:type="dxa"/>
                  <w:vAlign w:val="center"/>
                </w:tcPr>
                <w:p w14:paraId="76AF3FA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0.000125</w:t>
                  </w:r>
                </w:p>
              </w:tc>
              <w:tc>
                <w:tcPr>
                  <w:tcW w:w="1516" w:type="dxa"/>
                  <w:vAlign w:val="center"/>
                </w:tcPr>
                <w:p w14:paraId="0DC1913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0.5</w:t>
                  </w:r>
                </w:p>
              </w:tc>
              <w:tc>
                <w:tcPr>
                  <w:tcW w:w="897" w:type="dxa"/>
                  <w:vAlign w:val="center"/>
                </w:tcPr>
                <w:p w14:paraId="1D1C064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0.00025</w:t>
                  </w:r>
                </w:p>
              </w:tc>
            </w:tr>
            <w:tr w14:paraId="2FF2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688" w:type="dxa"/>
                  <w:vAlign w:val="center"/>
                </w:tcPr>
                <w:p w14:paraId="7B16F9E4">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4</w:t>
                  </w:r>
                </w:p>
              </w:tc>
              <w:tc>
                <w:tcPr>
                  <w:tcW w:w="2542" w:type="dxa"/>
                  <w:vAlign w:val="center"/>
                </w:tcPr>
                <w:p w14:paraId="47B2BBC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柴油</w:t>
                  </w:r>
                </w:p>
              </w:tc>
              <w:tc>
                <w:tcPr>
                  <w:tcW w:w="2373" w:type="dxa"/>
                  <w:vAlign w:val="center"/>
                </w:tcPr>
                <w:p w14:paraId="0283CA8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0.31</w:t>
                  </w:r>
                </w:p>
              </w:tc>
              <w:tc>
                <w:tcPr>
                  <w:tcW w:w="1516" w:type="dxa"/>
                  <w:vAlign w:val="center"/>
                </w:tcPr>
                <w:p w14:paraId="01065C0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2500</w:t>
                  </w:r>
                </w:p>
              </w:tc>
              <w:tc>
                <w:tcPr>
                  <w:tcW w:w="897" w:type="dxa"/>
                  <w:vAlign w:val="center"/>
                </w:tcPr>
                <w:p w14:paraId="79A6293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pacing w:val="0"/>
                      <w:w w:val="100"/>
                      <w:position w:val="0"/>
                      <w:sz w:val="21"/>
                      <w:szCs w:val="21"/>
                      <w:lang w:val="en-US" w:eastAsia="zh-CN"/>
                    </w:rPr>
                  </w:pPr>
                  <w:r>
                    <w:rPr>
                      <w:rFonts w:hint="eastAsia" w:ascii="Times New Roman" w:hAnsi="Times New Roman" w:cs="Times New Roman"/>
                      <w:color w:val="auto"/>
                      <w:spacing w:val="0"/>
                      <w:w w:val="100"/>
                      <w:position w:val="0"/>
                      <w:sz w:val="21"/>
                      <w:szCs w:val="21"/>
                      <w:lang w:val="en-US" w:eastAsia="zh-CN"/>
                    </w:rPr>
                    <w:t>0.000124</w:t>
                  </w:r>
                </w:p>
              </w:tc>
            </w:tr>
            <w:tr w14:paraId="7EDD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7119" w:type="dxa"/>
                  <w:gridSpan w:val="4"/>
                  <w:vAlign w:val="center"/>
                </w:tcPr>
                <w:p w14:paraId="7EAA63F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∑qn/Qn</w:t>
                  </w:r>
                </w:p>
              </w:tc>
              <w:tc>
                <w:tcPr>
                  <w:tcW w:w="897" w:type="dxa"/>
                  <w:vAlign w:val="center"/>
                </w:tcPr>
                <w:p w14:paraId="4A2B706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lang w:val="en-US" w:eastAsia="zh-CN"/>
                    </w:rPr>
                  </w:pPr>
                  <w:r>
                    <w:rPr>
                      <w:rFonts w:hint="default" w:ascii="Times New Roman" w:hAnsi="Times New Roman" w:eastAsia="宋体" w:cs="Times New Roman"/>
                      <w:color w:val="auto"/>
                      <w:spacing w:val="0"/>
                      <w:w w:val="100"/>
                      <w:position w:val="0"/>
                      <w:sz w:val="21"/>
                      <w:szCs w:val="21"/>
                    </w:rPr>
                    <w:t>0.0</w:t>
                  </w:r>
                  <w:r>
                    <w:rPr>
                      <w:rFonts w:hint="eastAsia" w:ascii="Times New Roman" w:hAnsi="Times New Roman" w:cs="Times New Roman"/>
                      <w:color w:val="auto"/>
                      <w:spacing w:val="0"/>
                      <w:w w:val="100"/>
                      <w:position w:val="0"/>
                      <w:sz w:val="21"/>
                      <w:szCs w:val="21"/>
                      <w:lang w:val="en-US" w:eastAsia="zh-CN"/>
                    </w:rPr>
                    <w:t>43674</w:t>
                  </w:r>
                </w:p>
              </w:tc>
            </w:tr>
            <w:tr w14:paraId="5F00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7119" w:type="dxa"/>
                  <w:gridSpan w:val="4"/>
                  <w:vAlign w:val="center"/>
                </w:tcPr>
                <w:p w14:paraId="0BCBEF2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重大危险源判定</w:t>
                  </w:r>
                </w:p>
              </w:tc>
              <w:tc>
                <w:tcPr>
                  <w:tcW w:w="897" w:type="dxa"/>
                  <w:vAlign w:val="center"/>
                </w:tcPr>
                <w:p w14:paraId="59130C2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w:t>
                  </w:r>
                </w:p>
              </w:tc>
            </w:tr>
          </w:tbl>
          <w:p w14:paraId="2C023F16">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根据 HJ 169－2018，当 Q＜1 时，该项目环境风险潜势为Ⅰ</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开展简单分析。</w:t>
            </w:r>
          </w:p>
          <w:p w14:paraId="56EB8F04">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（3）环境风险识别及风险分析</w:t>
            </w:r>
          </w:p>
          <w:p w14:paraId="2FE6CEE3">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本项目风险源主要为</w:t>
            </w:r>
            <w:r>
              <w:rPr>
                <w:rFonts w:hint="eastAsia" w:ascii="Times New Roman" w:hAnsi="Times New Roman" w:cs="Times New Roman"/>
                <w:color w:val="auto"/>
                <w:spacing w:val="0"/>
                <w:w w:val="100"/>
                <w:position w:val="0"/>
                <w:sz w:val="24"/>
                <w:szCs w:val="24"/>
                <w:lang w:eastAsia="zh-CN"/>
              </w:rPr>
              <w:t>化学试剂泄漏</w:t>
            </w:r>
            <w:r>
              <w:rPr>
                <w:rFonts w:hint="eastAsia" w:ascii="Times New Roman" w:hAnsi="Times New Roman" w:cs="Times New Roman"/>
                <w:color w:val="auto"/>
                <w:spacing w:val="0"/>
                <w:w w:val="100"/>
                <w:position w:val="0"/>
                <w:sz w:val="24"/>
                <w:szCs w:val="24"/>
                <w:lang w:val="en-US" w:eastAsia="zh-CN"/>
              </w:rPr>
              <w:t>、医疗废物流失</w:t>
            </w:r>
            <w:r>
              <w:rPr>
                <w:rFonts w:hint="default" w:ascii="Times New Roman" w:hAnsi="Times New Roman" w:eastAsia="宋体" w:cs="Times New Roman"/>
                <w:color w:val="auto"/>
                <w:spacing w:val="0"/>
                <w:w w:val="100"/>
                <w:position w:val="0"/>
                <w:sz w:val="24"/>
                <w:szCs w:val="24"/>
              </w:rPr>
              <w:t>、</w:t>
            </w:r>
            <w:r>
              <w:rPr>
                <w:rFonts w:hint="eastAsia" w:ascii="Times New Roman" w:hAnsi="Times New Roman" w:cs="Times New Roman"/>
                <w:color w:val="auto"/>
                <w:spacing w:val="0"/>
                <w:w w:val="100"/>
                <w:position w:val="0"/>
                <w:sz w:val="24"/>
                <w:szCs w:val="24"/>
                <w:lang w:eastAsia="zh-CN"/>
              </w:rPr>
              <w:t>医疗</w:t>
            </w:r>
            <w:r>
              <w:rPr>
                <w:rFonts w:hint="default" w:ascii="Times New Roman" w:hAnsi="Times New Roman" w:eastAsia="宋体" w:cs="Times New Roman"/>
                <w:color w:val="auto"/>
                <w:spacing w:val="0"/>
                <w:w w:val="100"/>
                <w:position w:val="0"/>
                <w:sz w:val="24"/>
                <w:szCs w:val="24"/>
              </w:rPr>
              <w:t>废水</w:t>
            </w:r>
            <w:r>
              <w:rPr>
                <w:rFonts w:hint="eastAsia" w:ascii="Times New Roman" w:hAnsi="Times New Roman" w:cs="Times New Roman"/>
                <w:color w:val="auto"/>
                <w:spacing w:val="0"/>
                <w:w w:val="100"/>
                <w:position w:val="0"/>
                <w:sz w:val="24"/>
                <w:szCs w:val="24"/>
                <w:lang w:eastAsia="zh-CN"/>
              </w:rPr>
              <w:t>事故排放、二氧化氯发生器泄漏、盐酸泄漏</w:t>
            </w:r>
            <w:r>
              <w:rPr>
                <w:rFonts w:hint="default" w:ascii="Times New Roman" w:hAnsi="Times New Roman" w:eastAsia="宋体" w:cs="Times New Roman"/>
                <w:color w:val="auto"/>
                <w:spacing w:val="0"/>
                <w:w w:val="100"/>
                <w:position w:val="0"/>
                <w:sz w:val="24"/>
                <w:szCs w:val="24"/>
              </w:rPr>
              <w:t>，可能导致周围地表水、地下水和土壤受到污染。</w:t>
            </w:r>
          </w:p>
          <w:p w14:paraId="284ACBFF">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（4）风险防范措施</w:t>
            </w:r>
          </w:p>
          <w:p w14:paraId="60CCF658">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建设单位应采取的环境风险防范措施如下：</w:t>
            </w:r>
          </w:p>
          <w:p w14:paraId="5A5ED768">
            <w:pPr>
              <w:ind w:firstLine="480" w:firstLineChars="200"/>
              <w:rPr>
                <w:rFonts w:hint="default" w:eastAsia="宋体"/>
                <w:color w:val="auto"/>
                <w:lang w:val="en-US" w:eastAsia="zh-CN"/>
              </w:rPr>
            </w:pPr>
            <w:r>
              <w:rPr>
                <w:rFonts w:hint="eastAsia"/>
                <w:color w:val="auto"/>
                <w:lang w:val="en-US" w:eastAsia="zh-CN"/>
              </w:rPr>
              <w:t>1）医疗</w:t>
            </w:r>
            <w:r>
              <w:rPr>
                <w:color w:val="auto"/>
              </w:rPr>
              <w:t>废水事故</w:t>
            </w:r>
            <w:r>
              <w:rPr>
                <w:rFonts w:hint="eastAsia"/>
                <w:color w:val="auto"/>
                <w:lang w:val="en-US" w:eastAsia="zh-CN"/>
              </w:rPr>
              <w:t>排放环境风险及防范措施</w:t>
            </w:r>
          </w:p>
          <w:p w14:paraId="042C41F1">
            <w:pPr>
              <w:ind w:firstLine="480" w:firstLineChars="200"/>
              <w:rPr>
                <w:rFonts w:hint="eastAsia"/>
                <w:color w:val="auto"/>
              </w:rPr>
            </w:pPr>
            <w:r>
              <w:rPr>
                <w:color w:val="auto"/>
              </w:rPr>
              <w:t>①</w:t>
            </w:r>
            <w:r>
              <w:rPr>
                <w:rFonts w:hint="eastAsia"/>
                <w:color w:val="auto"/>
              </w:rPr>
              <w:t>污水处理系统崩溃环境风险及防范措施</w:t>
            </w:r>
          </w:p>
          <w:p w14:paraId="58BF09B5">
            <w:pPr>
              <w:ind w:firstLine="480" w:firstLineChars="200"/>
              <w:rPr>
                <w:rFonts w:hint="eastAsia"/>
                <w:color w:val="auto"/>
                <w:lang w:eastAsia="zh-CN"/>
              </w:rPr>
            </w:pPr>
            <w:r>
              <w:rPr>
                <w:rFonts w:hint="eastAsia"/>
                <w:color w:val="auto"/>
              </w:rPr>
              <w:t>由于污水水量水质发生不可预见的变化，导致处理系统崩溃，出水水质急剧恶化，由于处理设施损坏而影响出水水质，污水处理系统出现非正常情况而影响出水水质的可能性是存在的。必须在设计时考虑这些因素并在日常运行中加强维护管理，以减少此类事故的发生。污水处理站一旦出现机械故障或停电，会直接影响污水处理站的正常运行，所以医院污水处理站应储存足够的消毒剂，在污水处理设施处于事故状态时，抢修污水处理设施使污水处理装置以最快的速度恢复工作，同时将污水处理设施内的污水返回调节池暂存，对</w:t>
            </w:r>
            <w:r>
              <w:rPr>
                <w:rFonts w:hint="eastAsia"/>
                <w:color w:val="auto"/>
                <w:lang w:eastAsia="zh-CN"/>
              </w:rPr>
              <w:t>泄漏</w:t>
            </w:r>
            <w:r>
              <w:rPr>
                <w:rFonts w:hint="eastAsia"/>
                <w:color w:val="auto"/>
              </w:rPr>
              <w:t>的事故废水进行收集和消毒，待污水处理系统恢复正常运行后返回污水处理系统处理</w:t>
            </w:r>
            <w:r>
              <w:rPr>
                <w:rFonts w:hint="eastAsia"/>
                <w:color w:val="auto"/>
                <w:lang w:eastAsia="zh-CN"/>
              </w:rPr>
              <w:t>。</w:t>
            </w:r>
          </w:p>
          <w:p w14:paraId="165479DF">
            <w:pPr>
              <w:ind w:firstLine="480" w:firstLineChars="200"/>
              <w:rPr>
                <w:rFonts w:hint="eastAsia"/>
                <w:color w:val="auto"/>
              </w:rPr>
            </w:pPr>
            <w:r>
              <w:rPr>
                <w:color w:val="auto"/>
              </w:rPr>
              <w:t>②</w:t>
            </w:r>
            <w:r>
              <w:rPr>
                <w:rFonts w:hint="eastAsia"/>
                <w:color w:val="auto"/>
              </w:rPr>
              <w:t>污水管网泄漏环境风险及防范措施</w:t>
            </w:r>
          </w:p>
          <w:p w14:paraId="7F97F0C4">
            <w:pPr>
              <w:ind w:firstLine="480" w:firstLineChars="200"/>
              <w:rPr>
                <w:rFonts w:hint="eastAsia"/>
                <w:color w:val="auto"/>
              </w:rPr>
            </w:pPr>
            <w:r>
              <w:rPr>
                <w:rFonts w:hint="eastAsia"/>
                <w:color w:val="auto"/>
              </w:rPr>
              <w:t>在发现污水管网破损而出现泄漏时，要及时抢修，防止含菌废水渗入地下而污染地下水。污水处理站应预留易损设备的备品备件，若出现机械故障，应立即抢修，更换备品备件。同时，要做好污水处理设施设备的日常保养工作和定期维护计划，确保水处理设施的正常运行，</w:t>
            </w:r>
          </w:p>
          <w:p w14:paraId="342952E9">
            <w:pPr>
              <w:ind w:firstLine="480" w:firstLineChars="200"/>
              <w:rPr>
                <w:rFonts w:hint="eastAsia"/>
                <w:color w:val="auto"/>
              </w:rPr>
            </w:pPr>
            <w:r>
              <w:rPr>
                <w:rFonts w:hint="eastAsia"/>
                <w:color w:val="auto"/>
              </w:rPr>
              <w:t>③加强医院污水处理设施设备、管线、阀门等设备元器件的维护保养，对系统的薄弱环节如消毒设备、曝气设备等易出故障的地方，加强检查、维护保养，及时更新。对处理设备故障要及时抢修，防止因处理设备故障抢修不及时而造成污水超标排放。</w:t>
            </w:r>
          </w:p>
          <w:p w14:paraId="14DD1498">
            <w:pPr>
              <w:ind w:left="480" w:leftChars="200" w:firstLine="0" w:firstLineChars="0"/>
              <w:rPr>
                <w:rFonts w:hint="eastAsia" w:eastAsia="宋体"/>
                <w:color w:val="auto"/>
                <w:lang w:eastAsia="zh-CN"/>
              </w:rPr>
            </w:pPr>
            <w:r>
              <w:rPr>
                <w:rFonts w:hint="eastAsia"/>
                <w:color w:val="auto"/>
              </w:rPr>
              <w:t>④医院污水处理设施设备要合理配电，防止因停电造成污水超标排放</w:t>
            </w:r>
            <w:r>
              <w:rPr>
                <w:rFonts w:hint="eastAsia"/>
                <w:color w:val="auto"/>
                <w:lang w:eastAsia="zh-CN"/>
              </w:rPr>
              <w:t>。</w:t>
            </w:r>
          </w:p>
          <w:p w14:paraId="00DD8EC1">
            <w:pPr>
              <w:ind w:left="0" w:leftChars="0" w:firstLine="480" w:firstLineChars="200"/>
              <w:rPr>
                <w:rFonts w:hint="eastAsia"/>
                <w:color w:val="auto"/>
              </w:rPr>
            </w:pPr>
            <w:r>
              <w:rPr>
                <w:rFonts w:hint="eastAsia"/>
                <w:color w:val="auto"/>
              </w:rPr>
              <w:t>⑤提高污水处理设施的自动化程度，提高投药准确率和污水处理设施的处理效果。在污水处理设施</w:t>
            </w:r>
            <w:r>
              <w:rPr>
                <w:rFonts w:hint="eastAsia"/>
                <w:color w:val="auto"/>
                <w:lang w:val="en-US" w:eastAsia="zh-CN"/>
              </w:rPr>
              <w:t>旁</w:t>
            </w:r>
            <w:r>
              <w:rPr>
                <w:rFonts w:hint="eastAsia"/>
                <w:color w:val="auto"/>
              </w:rPr>
              <w:t>准备诸如漂白粉之类的杀菌剂，在处理设施失效时，可采用人工方式杀菌消毒，防止带菌废水直排。</w:t>
            </w:r>
          </w:p>
          <w:p w14:paraId="7DAE7DDA">
            <w:pPr>
              <w:ind w:firstLine="480" w:firstLineChars="200"/>
              <w:rPr>
                <w:rFonts w:hint="eastAsia"/>
                <w:color w:val="auto"/>
              </w:rPr>
            </w:pPr>
            <w:r>
              <w:rPr>
                <w:rFonts w:hint="eastAsia"/>
                <w:color w:val="auto"/>
              </w:rPr>
              <w:t>⑥评价建议加大污水处理设施中调节池容量，使其可以容纳两天以上的事故废水，一方面在污水处理设施正常运行时可加大水力停留，有利于废水后续处理工序的进行，另一方面在污水处理设施出现故障待修时，可以接纳项目产生的废水，为污水处理设施的修理争取时间。</w:t>
            </w:r>
          </w:p>
          <w:p w14:paraId="5127207E">
            <w:pPr>
              <w:ind w:firstLine="480" w:firstLineChars="200"/>
              <w:rPr>
                <w:color w:val="auto"/>
              </w:rPr>
            </w:pPr>
            <w:r>
              <w:rPr>
                <w:rFonts w:hint="eastAsia"/>
                <w:color w:val="auto"/>
              </w:rPr>
              <w:t>⑦加强对污水处理设施技术人员和操作人员的培训，熟练掌握污水处理设施工艺技术原理和运行经验及设备的操作说明，加强工作人员的岗位责任管理，减少人员因素产生的故障，</w:t>
            </w:r>
          </w:p>
          <w:p w14:paraId="14FE26DE">
            <w:pPr>
              <w:ind w:firstLine="480" w:firstLineChars="200"/>
              <w:rPr>
                <w:color w:val="auto"/>
              </w:rPr>
            </w:pPr>
            <w:r>
              <w:rPr>
                <w:rFonts w:hint="eastAsia"/>
                <w:color w:val="auto"/>
                <w:lang w:val="en-US" w:eastAsia="zh-CN"/>
              </w:rPr>
              <w:t>2）</w:t>
            </w:r>
            <w:r>
              <w:rPr>
                <w:color w:val="auto"/>
              </w:rPr>
              <w:t>医疗废物事故</w:t>
            </w:r>
          </w:p>
          <w:p w14:paraId="3B2F0781">
            <w:pPr>
              <w:ind w:firstLine="480" w:firstLineChars="200"/>
              <w:rPr>
                <w:color w:val="auto"/>
              </w:rPr>
            </w:pPr>
            <w:r>
              <w:rPr>
                <w:color w:val="auto"/>
              </w:rPr>
              <w:t>医疗废物残留及衍生的大量病菌是十分有害的，如果不经分类收集、消毒等有效处理的话，很容易引起各种疾病的传播和蔓延。建议采取以下措施：</w:t>
            </w:r>
          </w:p>
          <w:p w14:paraId="202E030D">
            <w:pPr>
              <w:ind w:firstLine="480" w:firstLineChars="200"/>
              <w:rPr>
                <w:color w:val="auto"/>
              </w:rPr>
            </w:pPr>
            <w:r>
              <w:rPr>
                <w:color w:val="auto"/>
              </w:rPr>
              <w:t>A</w:t>
            </w:r>
            <w:r>
              <w:rPr>
                <w:rFonts w:hint="eastAsia"/>
                <w:color w:val="auto"/>
                <w:lang w:val="en-US" w:eastAsia="zh-CN"/>
              </w:rPr>
              <w:t>.</w:t>
            </w:r>
            <w:r>
              <w:rPr>
                <w:color w:val="auto"/>
              </w:rPr>
              <w:t>在收集转运医疗废物当中发生医疗废物泄漏、溢出、散落时，转运人员立即向医院急救事故小组报告，必要时和市卫生局或</w:t>
            </w:r>
            <w:r>
              <w:rPr>
                <w:rFonts w:hint="eastAsia"/>
                <w:color w:val="auto"/>
                <w:lang w:eastAsia="zh-CN"/>
              </w:rPr>
              <w:t>生态环境</w:t>
            </w:r>
            <w:r>
              <w:rPr>
                <w:color w:val="auto"/>
              </w:rPr>
              <w:t>局联系，以取得他们的支持。</w:t>
            </w:r>
          </w:p>
          <w:p w14:paraId="42500F4D">
            <w:pPr>
              <w:ind w:firstLine="480" w:firstLineChars="200"/>
              <w:rPr>
                <w:color w:val="auto"/>
              </w:rPr>
            </w:pPr>
            <w:r>
              <w:rPr>
                <w:color w:val="auto"/>
              </w:rPr>
              <w:t>B</w:t>
            </w:r>
            <w:r>
              <w:rPr>
                <w:rFonts w:hint="eastAsia"/>
                <w:color w:val="auto"/>
                <w:lang w:val="en-US" w:eastAsia="zh-CN"/>
              </w:rPr>
              <w:t>.</w:t>
            </w:r>
            <w:r>
              <w:rPr>
                <w:color w:val="auto"/>
              </w:rPr>
              <w:t>确定流失、泄漏、扩散的医疗废物的类别、数量、发生时间、影响范围和程度。</w:t>
            </w:r>
          </w:p>
          <w:p w14:paraId="6346734B">
            <w:pPr>
              <w:ind w:firstLine="480" w:firstLineChars="200"/>
              <w:rPr>
                <w:color w:val="auto"/>
              </w:rPr>
            </w:pPr>
            <w:r>
              <w:rPr>
                <w:color w:val="auto"/>
              </w:rPr>
              <w:t>C</w:t>
            </w:r>
            <w:r>
              <w:rPr>
                <w:rFonts w:hint="eastAsia"/>
                <w:color w:val="auto"/>
                <w:lang w:val="en-US" w:eastAsia="zh-CN"/>
              </w:rPr>
              <w:t>.</w:t>
            </w:r>
            <w:r>
              <w:rPr>
                <w:color w:val="auto"/>
              </w:rPr>
              <w:t>对被医疗废物污染的区域进行处理时，要尽量减少对病人、医护人员及现场其他人员和环境的影响。</w:t>
            </w:r>
          </w:p>
          <w:p w14:paraId="356FB951">
            <w:pPr>
              <w:ind w:firstLine="480" w:firstLineChars="200"/>
              <w:rPr>
                <w:color w:val="auto"/>
              </w:rPr>
            </w:pPr>
            <w:r>
              <w:rPr>
                <w:rFonts w:hint="eastAsia"/>
                <w:color w:val="auto"/>
                <w:lang w:val="en-US" w:eastAsia="zh-CN"/>
              </w:rPr>
              <w:t>D.</w:t>
            </w:r>
            <w:r>
              <w:rPr>
                <w:color w:val="auto"/>
              </w:rPr>
              <w:t>转运人员对泄漏、溢出、散落的医疗废物迅速收集、清理和消毒处理对于液体溢出物采用木屑等吸附材料吸收处理。并对受污染的区域、物品进行无害化处理，必要时封锁污染区，以防扩大污染。</w:t>
            </w:r>
          </w:p>
          <w:p w14:paraId="2E19023F">
            <w:pPr>
              <w:ind w:firstLine="480" w:firstLineChars="200"/>
              <w:rPr>
                <w:color w:val="auto"/>
              </w:rPr>
            </w:pPr>
            <w:r>
              <w:rPr>
                <w:rFonts w:hint="eastAsia"/>
                <w:color w:val="auto"/>
                <w:lang w:val="en-US" w:eastAsia="zh-CN"/>
              </w:rPr>
              <w:t>E.</w:t>
            </w:r>
            <w:r>
              <w:rPr>
                <w:color w:val="auto"/>
              </w:rPr>
              <w:t>管理科必须向院应急小组、卫生局、生态环境局报告事故发生情况，事故处理完毕后，要写书面报告交给院应急事故小组、卫生局、生态环境局。报告的内容包括：事故发生的地点、时间、原因及其简要经过；泄漏散落医疗废物的类别和数量、受污染的原因及医疗废物产生科室；医疗废物散落、泄漏造成的危害和潜在影响；已采取的应急处理措施和处理结果。</w:t>
            </w:r>
          </w:p>
          <w:p w14:paraId="200C9454">
            <w:pPr>
              <w:ind w:firstLine="480" w:firstLineChars="200"/>
              <w:rPr>
                <w:color w:val="auto"/>
              </w:rPr>
            </w:pPr>
            <w:r>
              <w:rPr>
                <w:color w:val="auto"/>
              </w:rPr>
              <w:t>G</w:t>
            </w:r>
            <w:r>
              <w:rPr>
                <w:rFonts w:hint="eastAsia"/>
                <w:color w:val="auto"/>
                <w:lang w:val="en-US" w:eastAsia="zh-CN"/>
              </w:rPr>
              <w:t>.</w:t>
            </w:r>
            <w:r>
              <w:rPr>
                <w:rFonts w:hint="eastAsia"/>
                <w:color w:val="auto"/>
              </w:rPr>
              <w:t>工作人员应当做好卫生安全防护后进行工作，戴口罩、帽子和手套，进行工作时应避免用污染的手套接触其他物品，以避免污染环境</w:t>
            </w:r>
            <w:r>
              <w:rPr>
                <w:color w:val="auto"/>
              </w:rPr>
              <w:t>。</w:t>
            </w:r>
          </w:p>
          <w:p w14:paraId="393F3C0E">
            <w:pPr>
              <w:ind w:firstLine="480" w:firstLineChars="200"/>
              <w:rPr>
                <w:color w:val="auto"/>
              </w:rPr>
            </w:pPr>
            <w:r>
              <w:rPr>
                <w:rFonts w:hint="eastAsia"/>
                <w:color w:val="auto"/>
                <w:lang w:val="en-US" w:eastAsia="zh-CN"/>
              </w:rPr>
              <w:t>3）</w:t>
            </w:r>
            <w:r>
              <w:rPr>
                <w:color w:val="auto"/>
              </w:rPr>
              <w:t>化学试剂</w:t>
            </w:r>
            <w:r>
              <w:rPr>
                <w:rFonts w:hint="eastAsia"/>
                <w:color w:val="auto"/>
                <w:lang w:eastAsia="zh-CN"/>
              </w:rPr>
              <w:t>泄漏</w:t>
            </w:r>
          </w:p>
          <w:p w14:paraId="1EEB43DB">
            <w:pPr>
              <w:ind w:firstLine="480" w:firstLineChars="200"/>
              <w:rPr>
                <w:color w:val="auto"/>
              </w:rPr>
            </w:pPr>
            <w:r>
              <w:rPr>
                <w:color w:val="auto"/>
              </w:rPr>
              <w:t>本项目所用化学试剂</w:t>
            </w:r>
            <w:r>
              <w:rPr>
                <w:rFonts w:hint="eastAsia"/>
                <w:color w:val="auto"/>
                <w:lang w:eastAsia="zh-CN"/>
              </w:rPr>
              <w:t>如</w:t>
            </w:r>
            <w:r>
              <w:rPr>
                <w:color w:val="auto"/>
              </w:rPr>
              <w:t>瓶罐破裂，化学试剂发生泄漏，进而对医院操作人员带来毒性、腐蚀性等不利影响，遇明火、高温则引发火灾爆炸，建议采取以下措施：</w:t>
            </w:r>
          </w:p>
          <w:p w14:paraId="6649C3DF">
            <w:pPr>
              <w:ind w:firstLine="480" w:firstLineChars="200"/>
              <w:rPr>
                <w:color w:val="auto"/>
              </w:rPr>
            </w:pPr>
            <w:r>
              <w:rPr>
                <w:color w:val="auto"/>
              </w:rPr>
              <w:t>A</w:t>
            </w:r>
            <w:r>
              <w:rPr>
                <w:rFonts w:hint="eastAsia"/>
                <w:color w:val="auto"/>
                <w:lang w:val="en-US" w:eastAsia="zh-CN"/>
              </w:rPr>
              <w:t>.</w:t>
            </w:r>
            <w:r>
              <w:rPr>
                <w:color w:val="auto"/>
              </w:rPr>
              <w:t>化学试剂的存放应制定安全操作管理规程，每日安排专人对化学试剂的安全存放、使用进行检查，努力确保化学试剂不发生泄漏及火灾爆炸。</w:t>
            </w:r>
          </w:p>
          <w:p w14:paraId="029570C4">
            <w:pPr>
              <w:ind w:firstLine="480" w:firstLineChars="200"/>
              <w:rPr>
                <w:color w:val="auto"/>
              </w:rPr>
            </w:pPr>
            <w:r>
              <w:rPr>
                <w:color w:val="auto"/>
              </w:rPr>
              <w:t>B</w:t>
            </w:r>
            <w:r>
              <w:rPr>
                <w:rFonts w:hint="eastAsia"/>
                <w:color w:val="auto"/>
                <w:lang w:val="en-US" w:eastAsia="zh-CN"/>
              </w:rPr>
              <w:t>.</w:t>
            </w:r>
            <w:r>
              <w:rPr>
                <w:color w:val="auto"/>
              </w:rPr>
              <w:t>加强对存在化学试剂的科室操作人员的环境安全宣传教育，严格按操作规程操作，杜绝化学试剂瓶罐破裂现象的发生，不使用化学试剂时要及时将瓶罐口封闭。</w:t>
            </w:r>
          </w:p>
          <w:p w14:paraId="3DB3B63D">
            <w:pPr>
              <w:ind w:firstLine="480" w:firstLineChars="200"/>
              <w:rPr>
                <w:color w:val="auto"/>
              </w:rPr>
            </w:pPr>
            <w:r>
              <w:rPr>
                <w:color w:val="auto"/>
              </w:rPr>
              <w:t>C</w:t>
            </w:r>
            <w:r>
              <w:rPr>
                <w:rFonts w:hint="eastAsia"/>
                <w:color w:val="auto"/>
                <w:lang w:val="en-US" w:eastAsia="zh-CN"/>
              </w:rPr>
              <w:t>.</w:t>
            </w:r>
            <w:r>
              <w:rPr>
                <w:color w:val="auto"/>
              </w:rPr>
              <w:t>存在化学试剂的科室应远离明火，最大限度地杜绝火灾爆炸现象的发生。</w:t>
            </w:r>
          </w:p>
          <w:p w14:paraId="53908EBB">
            <w:pPr>
              <w:ind w:firstLine="480" w:firstLineChars="200"/>
              <w:rPr>
                <w:color w:val="auto"/>
              </w:rPr>
            </w:pPr>
            <w:r>
              <w:rPr>
                <w:color w:val="auto"/>
              </w:rPr>
              <w:t>D</w:t>
            </w:r>
            <w:r>
              <w:rPr>
                <w:rFonts w:hint="eastAsia"/>
                <w:color w:val="auto"/>
                <w:lang w:val="en-US" w:eastAsia="zh-CN"/>
              </w:rPr>
              <w:t>.</w:t>
            </w:r>
            <w:r>
              <w:rPr>
                <w:color w:val="auto"/>
              </w:rPr>
              <w:t>结合化学试剂的理化性质，严格控制存在化学试剂的科室的室内温度，当室内温度较高时，应尽量减少使用或不用易挥发的化学试剂。</w:t>
            </w:r>
          </w:p>
          <w:p w14:paraId="52AC9CEE">
            <w:pPr>
              <w:ind w:firstLine="480" w:firstLineChars="200"/>
              <w:rPr>
                <w:rFonts w:hint="default" w:ascii="Times New Roman" w:hAnsi="Times New Roman" w:eastAsia="宋体" w:cs="Times New Roman"/>
                <w:color w:val="auto"/>
                <w:spacing w:val="0"/>
                <w:w w:val="100"/>
                <w:position w:val="0"/>
                <w:sz w:val="24"/>
                <w:szCs w:val="24"/>
              </w:rPr>
            </w:pPr>
            <w:r>
              <w:rPr>
                <w:color w:val="auto"/>
              </w:rPr>
              <w:t>E</w:t>
            </w:r>
            <w:r>
              <w:rPr>
                <w:rFonts w:hint="eastAsia"/>
                <w:color w:val="auto"/>
                <w:lang w:val="en-US" w:eastAsia="zh-CN"/>
              </w:rPr>
              <w:t>.</w:t>
            </w:r>
            <w:r>
              <w:rPr>
                <w:color w:val="auto"/>
              </w:rPr>
              <w:t>加强对化学试剂操作人员个体防护，如穿防护工作服、戴口罩及手套等</w:t>
            </w:r>
            <w:r>
              <w:rPr>
                <w:rFonts w:hint="default" w:ascii="Times New Roman" w:hAnsi="Times New Roman" w:eastAsia="宋体" w:cs="Times New Roman"/>
                <w:color w:val="auto"/>
                <w:spacing w:val="0"/>
                <w:w w:val="100"/>
                <w:position w:val="0"/>
                <w:sz w:val="24"/>
                <w:szCs w:val="24"/>
              </w:rPr>
              <w:t>。</w:t>
            </w:r>
          </w:p>
          <w:p w14:paraId="194D6D92">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Times New Roman" w:hAnsi="Times New Roman" w:eastAsia="宋体" w:cs="Times New Roman"/>
                <w:color w:val="auto"/>
                <w:spacing w:val="0"/>
                <w:w w:val="100"/>
                <w:position w:val="0"/>
                <w:sz w:val="24"/>
                <w:szCs w:val="24"/>
                <w:lang w:val="en-US" w:eastAsia="zh-CN"/>
              </w:rPr>
            </w:pPr>
            <w:r>
              <w:rPr>
                <w:rFonts w:hint="eastAsia" w:cs="Times New Roman"/>
                <w:color w:val="auto"/>
                <w:spacing w:val="0"/>
                <w:w w:val="100"/>
                <w:position w:val="0"/>
                <w:sz w:val="24"/>
                <w:szCs w:val="24"/>
                <w:lang w:val="en-US" w:eastAsia="zh-CN"/>
              </w:rPr>
              <w:t>4）盐酸泄露</w:t>
            </w:r>
          </w:p>
          <w:p w14:paraId="74F2D21F">
            <w:pPr>
              <w:ind w:firstLine="480" w:firstLineChars="200"/>
              <w:rPr>
                <w:color w:val="auto"/>
              </w:rPr>
            </w:pPr>
            <w:r>
              <w:rPr>
                <w:color w:val="auto"/>
              </w:rPr>
              <w:t>本项目</w:t>
            </w:r>
            <w:r>
              <w:rPr>
                <w:rFonts w:hint="eastAsia"/>
                <w:color w:val="auto"/>
                <w:lang w:eastAsia="zh-CN"/>
              </w:rPr>
              <w:t>盐酸存储桶</w:t>
            </w:r>
            <w:r>
              <w:rPr>
                <w:color w:val="auto"/>
              </w:rPr>
              <w:t>破裂，</w:t>
            </w:r>
            <w:r>
              <w:rPr>
                <w:rFonts w:hint="eastAsia"/>
                <w:color w:val="auto"/>
                <w:lang w:eastAsia="zh-CN"/>
              </w:rPr>
              <w:t>盐酸</w:t>
            </w:r>
            <w:r>
              <w:rPr>
                <w:color w:val="auto"/>
              </w:rPr>
              <w:t>发生泄漏，进而对医院操作人员带来毒性、腐蚀性等不利影响，遇明火、高温则引发火灾爆炸，建议采取以下措施：</w:t>
            </w:r>
          </w:p>
          <w:p w14:paraId="7819697E">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kern w:val="2"/>
                <w:position w:val="0"/>
                <w:sz w:val="24"/>
                <w:szCs w:val="24"/>
                <w:lang w:val="en-US" w:eastAsia="zh-CN" w:bidi="ar-SA"/>
              </w:rPr>
              <w:t>A.</w:t>
            </w:r>
            <w:r>
              <w:rPr>
                <w:rFonts w:hint="default" w:ascii="Times New Roman" w:hAnsi="Times New Roman" w:eastAsia="宋体" w:cs="Times New Roman"/>
                <w:color w:val="auto"/>
                <w:spacing w:val="0"/>
                <w:w w:val="100"/>
                <w:position w:val="0"/>
                <w:sz w:val="24"/>
                <w:szCs w:val="24"/>
              </w:rPr>
              <w:t>储存于阴凉、通风的库房。库温不超过30℃，相对湿度不超过85%。保持容器密封。</w:t>
            </w:r>
          </w:p>
          <w:p w14:paraId="1EFDFA84">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kern w:val="2"/>
                <w:position w:val="0"/>
                <w:sz w:val="24"/>
                <w:szCs w:val="24"/>
                <w:lang w:val="en-US" w:eastAsia="zh-CN" w:bidi="ar-SA"/>
              </w:rPr>
              <w:t>B.</w:t>
            </w:r>
            <w:r>
              <w:rPr>
                <w:rFonts w:hint="default" w:ascii="Times New Roman" w:hAnsi="Times New Roman" w:eastAsia="宋体" w:cs="Times New Roman"/>
                <w:color w:val="auto"/>
                <w:spacing w:val="0"/>
                <w:w w:val="100"/>
                <w:position w:val="0"/>
                <w:sz w:val="24"/>
                <w:szCs w:val="24"/>
              </w:rPr>
              <w:t>应与碱类、胺类、碱金属、易（可）燃物分开存放，切忌混储。</w:t>
            </w:r>
          </w:p>
          <w:p w14:paraId="0BC1A223">
            <w:pPr>
              <w:pStyle w:val="2"/>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kern w:val="2"/>
                <w:position w:val="0"/>
                <w:sz w:val="24"/>
                <w:szCs w:val="24"/>
                <w:lang w:val="en-US" w:eastAsia="zh-CN" w:bidi="ar-SA"/>
              </w:rPr>
              <w:t>C.</w:t>
            </w:r>
            <w:r>
              <w:rPr>
                <w:rFonts w:hint="eastAsia" w:cs="Times New Roman"/>
                <w:color w:val="auto"/>
                <w:spacing w:val="0"/>
                <w:w w:val="100"/>
                <w:position w:val="0"/>
                <w:sz w:val="24"/>
                <w:szCs w:val="24"/>
                <w:lang w:eastAsia="zh-CN"/>
              </w:rPr>
              <w:t>存储于容积大于</w:t>
            </w:r>
            <w:r>
              <w:rPr>
                <w:rFonts w:hint="eastAsia" w:cs="Times New Roman"/>
                <w:color w:val="auto"/>
                <w:spacing w:val="0"/>
                <w:w w:val="100"/>
                <w:position w:val="0"/>
                <w:sz w:val="24"/>
                <w:szCs w:val="24"/>
                <w:lang w:val="en-US" w:eastAsia="zh-CN"/>
              </w:rPr>
              <w:t>25L</w:t>
            </w:r>
            <w:r>
              <w:rPr>
                <w:rFonts w:hint="eastAsia" w:cs="Times New Roman"/>
                <w:color w:val="auto"/>
                <w:spacing w:val="0"/>
                <w:w w:val="100"/>
                <w:position w:val="0"/>
                <w:sz w:val="24"/>
                <w:szCs w:val="24"/>
                <w:lang w:eastAsia="zh-CN"/>
              </w:rPr>
              <w:t>的防渗漏托盘上。</w:t>
            </w:r>
          </w:p>
          <w:p w14:paraId="5BF30A27">
            <w:pPr>
              <w:rPr>
                <w:rFonts w:hint="default"/>
                <w:color w:val="auto"/>
              </w:rPr>
            </w:pPr>
            <w:r>
              <w:rPr>
                <w:rFonts w:hint="eastAsia"/>
                <w:color w:val="auto"/>
                <w:lang w:val="en-US" w:eastAsia="zh-CN"/>
              </w:rPr>
              <w:t>D.若发生泄漏，应</w:t>
            </w:r>
            <w:r>
              <w:rPr>
                <w:rFonts w:hint="default"/>
                <w:color w:val="auto"/>
              </w:rPr>
              <w:t>迅速撤离泄漏污染区人员至安全区，并进行隔离，严格限制出入。建议应急处理人员戴自给正压式呼吸器，穿防酸碱工作服。不要直接接触泄漏物。尽可能切断泄漏源。</w:t>
            </w:r>
          </w:p>
          <w:p w14:paraId="4B000739">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Times New Roman" w:hAnsi="Times New Roman" w:cs="Times New Roman"/>
                <w:color w:val="auto"/>
                <w:spacing w:val="0"/>
                <w:w w:val="100"/>
                <w:position w:val="0"/>
                <w:sz w:val="24"/>
                <w:szCs w:val="24"/>
                <w:lang w:val="en-US" w:eastAsia="zh-CN"/>
              </w:rPr>
              <w:t>5）</w:t>
            </w:r>
            <w:r>
              <w:rPr>
                <w:rFonts w:hint="default" w:ascii="Times New Roman" w:hAnsi="Times New Roman" w:eastAsia="宋体" w:cs="Times New Roman"/>
                <w:color w:val="auto"/>
                <w:spacing w:val="0"/>
                <w:w w:val="100"/>
                <w:position w:val="0"/>
                <w:sz w:val="24"/>
                <w:szCs w:val="24"/>
              </w:rPr>
              <w:t>二氧化氯发生器</w:t>
            </w:r>
            <w:r>
              <w:rPr>
                <w:rFonts w:hint="eastAsia" w:ascii="Times New Roman" w:hAnsi="Times New Roman" w:cs="Times New Roman"/>
                <w:color w:val="auto"/>
                <w:spacing w:val="0"/>
                <w:w w:val="100"/>
                <w:position w:val="0"/>
                <w:sz w:val="24"/>
                <w:szCs w:val="24"/>
                <w:lang w:eastAsia="zh-CN"/>
              </w:rPr>
              <w:t>泄漏</w:t>
            </w:r>
          </w:p>
          <w:p w14:paraId="3FF8FFEF">
            <w:pPr>
              <w:ind w:firstLine="480" w:firstLineChars="200"/>
              <w:rPr>
                <w:color w:val="auto"/>
              </w:rPr>
            </w:pPr>
            <w:r>
              <w:rPr>
                <w:rFonts w:hint="default" w:ascii="Times New Roman" w:hAnsi="Times New Roman" w:eastAsia="宋体" w:cs="Times New Roman"/>
                <w:color w:val="auto"/>
                <w:spacing w:val="0"/>
                <w:w w:val="100"/>
                <w:position w:val="0"/>
                <w:sz w:val="24"/>
                <w:szCs w:val="24"/>
              </w:rPr>
              <w:t>二氧化氯发生器产生事故的原因为操作失误、设备失修、腐蚀或设备本身的原因等。可能产生容器破裂、阀门断开或加药管线破损而引起二氧化氯和原料泄漏，最严重是因反应速度控制不当导致压力过大产生爆炸，气体或原料扩散形成危害。</w:t>
            </w:r>
            <w:r>
              <w:rPr>
                <w:color w:val="auto"/>
              </w:rPr>
              <w:t>建议采取以下措施：</w:t>
            </w:r>
          </w:p>
          <w:p w14:paraId="320448A9">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eastAsia" w:ascii="Times New Roman" w:hAnsi="Times New Roman" w:cs="Times New Roman"/>
                <w:color w:val="auto"/>
                <w:spacing w:val="0"/>
                <w:w w:val="100"/>
                <w:position w:val="0"/>
                <w:sz w:val="24"/>
                <w:szCs w:val="24"/>
                <w:lang w:val="en-US" w:eastAsia="zh-CN"/>
              </w:rPr>
              <w:t>A.</w:t>
            </w:r>
            <w:r>
              <w:rPr>
                <w:rFonts w:hint="default" w:ascii="Times New Roman" w:hAnsi="Times New Roman" w:eastAsia="宋体" w:cs="Times New Roman"/>
                <w:color w:val="auto"/>
                <w:spacing w:val="0"/>
                <w:w w:val="100"/>
                <w:position w:val="0"/>
                <w:sz w:val="24"/>
                <w:szCs w:val="24"/>
              </w:rPr>
              <w:t>二氧化氯</w:t>
            </w:r>
            <w:r>
              <w:rPr>
                <w:rFonts w:hint="eastAsia" w:ascii="Times New Roman" w:hAnsi="Times New Roman" w:cs="Times New Roman"/>
                <w:color w:val="auto"/>
                <w:spacing w:val="0"/>
                <w:w w:val="100"/>
                <w:position w:val="0"/>
                <w:sz w:val="24"/>
                <w:szCs w:val="24"/>
                <w:lang w:eastAsia="zh-CN"/>
              </w:rPr>
              <w:t>制备</w:t>
            </w:r>
            <w:r>
              <w:rPr>
                <w:rFonts w:hint="eastAsia" w:ascii="Times New Roman" w:hAnsi="Times New Roman" w:cs="Times New Roman"/>
                <w:color w:val="auto"/>
                <w:spacing w:val="0"/>
                <w:w w:val="100"/>
                <w:position w:val="0"/>
                <w:sz w:val="24"/>
                <w:szCs w:val="24"/>
                <w:lang w:val="en-US" w:eastAsia="zh-CN"/>
              </w:rPr>
              <w:t>间</w:t>
            </w:r>
            <w:r>
              <w:rPr>
                <w:rFonts w:hint="default" w:ascii="Times New Roman" w:hAnsi="Times New Roman" w:eastAsia="宋体" w:cs="Times New Roman"/>
                <w:color w:val="auto"/>
                <w:spacing w:val="0"/>
                <w:w w:val="100"/>
                <w:position w:val="0"/>
                <w:sz w:val="24"/>
                <w:szCs w:val="24"/>
              </w:rPr>
              <w:t>安装二氧化氯泄漏报警装置，出现泄漏，能够及时报警</w:t>
            </w:r>
            <w:r>
              <w:rPr>
                <w:rFonts w:hint="eastAsia" w:ascii="Times New Roman" w:hAnsi="Times New Roman" w:cs="Times New Roman"/>
                <w:color w:val="auto"/>
                <w:spacing w:val="0"/>
                <w:w w:val="100"/>
                <w:position w:val="0"/>
                <w:sz w:val="24"/>
                <w:szCs w:val="24"/>
                <w:lang w:eastAsia="zh-CN"/>
              </w:rPr>
              <w:t>；</w:t>
            </w:r>
            <w:r>
              <w:rPr>
                <w:rFonts w:hint="default" w:ascii="Times New Roman" w:hAnsi="Times New Roman" w:eastAsia="宋体" w:cs="Times New Roman"/>
                <w:color w:val="auto"/>
                <w:spacing w:val="0"/>
                <w:w w:val="100"/>
                <w:position w:val="0"/>
                <w:sz w:val="24"/>
                <w:szCs w:val="24"/>
              </w:rPr>
              <w:t>同时在设备间距地面300-500mm处安装2台能对流的排风扇，控制开关应远离设备间并易于操作，一旦出现一般性泄漏，能够及时抽排以确保安全。</w:t>
            </w:r>
          </w:p>
          <w:p w14:paraId="5B76F2B1">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eastAsia" w:ascii="Times New Roman" w:hAnsi="Times New Roman" w:eastAsia="宋体" w:cs="Times New Roman"/>
                <w:color w:val="auto"/>
                <w:spacing w:val="0"/>
                <w:w w:val="100"/>
                <w:position w:val="0"/>
                <w:sz w:val="24"/>
                <w:szCs w:val="24"/>
                <w:lang w:eastAsia="zh-CN"/>
              </w:rPr>
            </w:pPr>
            <w:r>
              <w:rPr>
                <w:rFonts w:hint="eastAsia" w:ascii="Times New Roman" w:hAnsi="Times New Roman" w:cs="Times New Roman"/>
                <w:color w:val="auto"/>
                <w:spacing w:val="0"/>
                <w:w w:val="100"/>
                <w:position w:val="0"/>
                <w:sz w:val="24"/>
                <w:szCs w:val="24"/>
                <w:lang w:val="en-US" w:eastAsia="zh-CN"/>
              </w:rPr>
              <w:t>B.</w:t>
            </w:r>
            <w:r>
              <w:rPr>
                <w:rFonts w:hint="eastAsia" w:ascii="Times New Roman" w:hAnsi="Times New Roman" w:cs="Times New Roman"/>
                <w:color w:val="auto"/>
                <w:spacing w:val="0"/>
                <w:w w:val="100"/>
                <w:position w:val="0"/>
                <w:sz w:val="24"/>
                <w:szCs w:val="24"/>
                <w:lang w:eastAsia="zh-CN"/>
              </w:rPr>
              <w:t>制备</w:t>
            </w:r>
            <w:r>
              <w:rPr>
                <w:rFonts w:hint="eastAsia" w:ascii="Times New Roman" w:hAnsi="Times New Roman" w:cs="Times New Roman"/>
                <w:color w:val="auto"/>
                <w:spacing w:val="0"/>
                <w:w w:val="100"/>
                <w:position w:val="0"/>
                <w:sz w:val="24"/>
                <w:szCs w:val="24"/>
                <w:lang w:val="en-US" w:eastAsia="zh-CN"/>
              </w:rPr>
              <w:t>间</w:t>
            </w:r>
            <w:r>
              <w:rPr>
                <w:rFonts w:hint="eastAsia" w:ascii="Times New Roman" w:hAnsi="Times New Roman" w:cs="Times New Roman"/>
                <w:color w:val="auto"/>
                <w:spacing w:val="0"/>
                <w:w w:val="100"/>
                <w:position w:val="0"/>
                <w:sz w:val="24"/>
                <w:szCs w:val="24"/>
                <w:lang w:eastAsia="zh-CN"/>
              </w:rPr>
              <w:t>应</w:t>
            </w:r>
            <w:r>
              <w:rPr>
                <w:rFonts w:hint="default" w:ascii="Times New Roman" w:hAnsi="Times New Roman" w:eastAsia="宋体" w:cs="Times New Roman"/>
                <w:color w:val="auto"/>
                <w:spacing w:val="0"/>
                <w:w w:val="100"/>
                <w:position w:val="0"/>
                <w:sz w:val="24"/>
                <w:szCs w:val="24"/>
              </w:rPr>
              <w:t>备多套过滤式防毒面具，同时岗位职工还按规定发放了口罩、橡胶手套等个人防护用品</w:t>
            </w:r>
            <w:r>
              <w:rPr>
                <w:rFonts w:hint="eastAsia" w:ascii="Times New Roman" w:hAnsi="Times New Roman" w:cs="Times New Roman"/>
                <w:color w:val="auto"/>
                <w:spacing w:val="0"/>
                <w:w w:val="100"/>
                <w:position w:val="0"/>
                <w:sz w:val="24"/>
                <w:szCs w:val="24"/>
                <w:lang w:eastAsia="zh-CN"/>
              </w:rPr>
              <w:t>。</w:t>
            </w:r>
          </w:p>
          <w:p w14:paraId="62A2963D">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cs="Times New Roman"/>
                <w:color w:val="auto"/>
                <w:spacing w:val="0"/>
                <w:w w:val="100"/>
                <w:position w:val="0"/>
                <w:sz w:val="24"/>
                <w:szCs w:val="24"/>
                <w:lang w:val="en-US" w:eastAsia="zh-CN"/>
              </w:rPr>
            </w:pPr>
            <w:r>
              <w:rPr>
                <w:rFonts w:hint="eastAsia" w:ascii="Times New Roman" w:hAnsi="Times New Roman" w:cs="Times New Roman"/>
                <w:color w:val="auto"/>
                <w:spacing w:val="0"/>
                <w:w w:val="100"/>
                <w:position w:val="0"/>
                <w:sz w:val="24"/>
                <w:szCs w:val="24"/>
                <w:lang w:val="en-US" w:eastAsia="zh-CN"/>
              </w:rPr>
              <w:t>C.</w:t>
            </w:r>
            <w:r>
              <w:rPr>
                <w:rFonts w:hint="default" w:ascii="Times New Roman" w:hAnsi="Times New Roman" w:eastAsia="宋体" w:cs="Times New Roman"/>
                <w:color w:val="auto"/>
                <w:spacing w:val="0"/>
                <w:w w:val="100"/>
                <w:position w:val="0"/>
                <w:sz w:val="24"/>
                <w:szCs w:val="24"/>
              </w:rPr>
              <w:t>当二氧化氯发生泄漏时，应迅速撤离泄漏污染区人员至上风处，并进行隔离，严格限制出入。建议应急处理人员戴自给正压式呼吸器，穿一般作业工作服。避免与可燃物或易燃物接触。尽可能切断泄漏源。</w:t>
            </w:r>
          </w:p>
          <w:p w14:paraId="05A2DF02">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eastAsia" w:ascii="Times New Roman" w:hAnsi="Times New Roman" w:cs="Times New Roman"/>
                <w:color w:val="auto"/>
                <w:spacing w:val="0"/>
                <w:w w:val="100"/>
                <w:position w:val="0"/>
                <w:sz w:val="24"/>
                <w:szCs w:val="24"/>
                <w:lang w:val="en-US" w:eastAsia="zh-CN"/>
              </w:rPr>
            </w:pPr>
            <w:r>
              <w:rPr>
                <w:rFonts w:hint="eastAsia" w:ascii="Times New Roman" w:hAnsi="Times New Roman" w:cs="Times New Roman"/>
                <w:color w:val="auto"/>
                <w:spacing w:val="0"/>
                <w:w w:val="100"/>
                <w:position w:val="0"/>
                <w:sz w:val="24"/>
                <w:szCs w:val="24"/>
                <w:lang w:val="en-US" w:eastAsia="zh-CN"/>
              </w:rPr>
              <w:t>6）事故废水环境风险防范措施</w:t>
            </w:r>
          </w:p>
          <w:p w14:paraId="23C54BFC">
            <w:pPr>
              <w:ind w:firstLine="480" w:firstLineChars="200"/>
              <w:rPr>
                <w:color w:val="auto"/>
              </w:rPr>
            </w:pPr>
            <w:r>
              <w:rPr>
                <w:color w:val="auto"/>
              </w:rPr>
              <w:t>根据《医院污水处理工程技术规范》（HJ2029-2013）“12.4.1 医院污水处理工程应设应急事故池，以贮存处理系统事故或其他突发事件时医院污水。</w:t>
            </w:r>
            <w:r>
              <w:rPr>
                <w:rFonts w:hint="eastAsia"/>
                <w:color w:val="auto"/>
              </w:rPr>
              <w:t>非传染病医院污水处理工程应急事故池容积不小于日排放量的30%</w:t>
            </w:r>
            <w:r>
              <w:rPr>
                <w:color w:val="auto"/>
              </w:rPr>
              <w:t>”。本项目污水日排量约为</w:t>
            </w:r>
            <w:r>
              <w:rPr>
                <w:rFonts w:hint="eastAsia"/>
                <w:color w:val="auto"/>
                <w:lang w:val="en-US" w:eastAsia="zh-CN"/>
              </w:rPr>
              <w:t>30.984</w:t>
            </w:r>
            <w:r>
              <w:rPr>
                <w:color w:val="auto"/>
              </w:rPr>
              <w:t>m</w:t>
            </w:r>
            <w:r>
              <w:rPr>
                <w:color w:val="auto"/>
                <w:vertAlign w:val="superscript"/>
              </w:rPr>
              <w:t>3</w:t>
            </w:r>
            <w:r>
              <w:rPr>
                <w:color w:val="auto"/>
              </w:rPr>
              <w:t>/d，因此其应急事故池容积不小</w:t>
            </w:r>
            <w:r>
              <w:rPr>
                <w:rFonts w:hint="eastAsia"/>
                <w:color w:val="auto"/>
                <w:lang w:val="en-US" w:eastAsia="zh-CN"/>
              </w:rPr>
              <w:t>10</w:t>
            </w:r>
            <w:r>
              <w:rPr>
                <w:color w:val="auto"/>
              </w:rPr>
              <w:t>m</w:t>
            </w:r>
            <w:r>
              <w:rPr>
                <w:color w:val="auto"/>
                <w:vertAlign w:val="superscript"/>
              </w:rPr>
              <w:t>3</w:t>
            </w:r>
            <w:r>
              <w:rPr>
                <w:rFonts w:hint="eastAsia"/>
                <w:color w:val="auto"/>
              </w:rPr>
              <w:t>；若消毒设施失灵，废水在进入事故池后需对事故池中废水进行消毒，以防污水外泄。</w:t>
            </w:r>
          </w:p>
          <w:p w14:paraId="425A6895">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（5）风险事故应急预案</w:t>
            </w:r>
          </w:p>
          <w:p w14:paraId="22AECF4C">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制定风险事故应急预案的</w:t>
            </w:r>
            <w:r>
              <w:rPr>
                <w:rFonts w:hint="eastAsia" w:ascii="Times New Roman" w:hAnsi="Times New Roman" w:cs="Times New Roman"/>
                <w:color w:val="auto"/>
                <w:spacing w:val="0"/>
                <w:w w:val="100"/>
                <w:position w:val="0"/>
                <w:sz w:val="24"/>
                <w:szCs w:val="24"/>
                <w:lang w:eastAsia="zh-CN"/>
              </w:rPr>
              <w:t>目的是</w:t>
            </w:r>
            <w:r>
              <w:rPr>
                <w:rFonts w:hint="default" w:ascii="Times New Roman" w:hAnsi="Times New Roman" w:eastAsia="宋体" w:cs="Times New Roman"/>
                <w:color w:val="auto"/>
                <w:spacing w:val="0"/>
                <w:w w:val="100"/>
                <w:position w:val="0"/>
                <w:sz w:val="24"/>
                <w:szCs w:val="24"/>
              </w:rPr>
              <w:t>在发生风险事故时，能以最快的速度发挥最大的效能，有序</w:t>
            </w:r>
            <w:r>
              <w:rPr>
                <w:rFonts w:hint="eastAsia" w:ascii="Times New Roman" w:hAnsi="Times New Roman" w:cs="Times New Roman"/>
                <w:color w:val="auto"/>
                <w:spacing w:val="0"/>
                <w:w w:val="100"/>
                <w:position w:val="0"/>
                <w:sz w:val="24"/>
                <w:szCs w:val="24"/>
                <w:lang w:eastAsia="zh-CN"/>
              </w:rPr>
              <w:t>地</w:t>
            </w:r>
            <w:r>
              <w:rPr>
                <w:rFonts w:hint="default" w:ascii="Times New Roman" w:hAnsi="Times New Roman" w:eastAsia="宋体" w:cs="Times New Roman"/>
                <w:color w:val="auto"/>
                <w:spacing w:val="0"/>
                <w:w w:val="100"/>
                <w:position w:val="0"/>
                <w:sz w:val="24"/>
                <w:szCs w:val="24"/>
              </w:rPr>
              <w:t>实施救援，尽快控制事态的发展，降低事故造成的危害，减少事故造成的损失。</w:t>
            </w:r>
          </w:p>
          <w:p w14:paraId="580B1900">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cs="Times New Roman"/>
                <w:color w:val="auto"/>
              </w:rPr>
              <w:t>根据《医院污水处理工程技术规范》（HJ2029-2013）</w:t>
            </w:r>
            <w:r>
              <w:rPr>
                <w:rFonts w:hint="default" w:ascii="Times New Roman" w:hAnsi="Times New Roman" w:cs="Times New Roman"/>
                <w:color w:val="auto"/>
                <w:lang w:eastAsia="zh-CN"/>
              </w:rPr>
              <w:t>“</w:t>
            </w:r>
            <w:r>
              <w:rPr>
                <w:rFonts w:hint="default" w:ascii="Times New Roman" w:hAnsi="Times New Roman" w:eastAsia="宋体" w:cs="Times New Roman"/>
                <w:color w:val="auto"/>
                <w:spacing w:val="0"/>
                <w:w w:val="100"/>
                <w:position w:val="0"/>
                <w:sz w:val="24"/>
                <w:szCs w:val="24"/>
              </w:rPr>
              <w:t>12.4.3 医院应编制事故应急预案（包括环保应急预案）。应急预案包括：应急预警、应急响应、应急指挥、应急处理等方面的内容，制定相应的应急处理措施，并配套相应的人力、设备、通讯等应急处理的必备条件</w:t>
            </w:r>
            <w:r>
              <w:rPr>
                <w:rFonts w:hint="default" w:ascii="Times New Roman" w:hAnsi="Times New Roman" w:eastAsia="宋体" w:cs="Times New Roman"/>
                <w:color w:val="auto"/>
                <w:spacing w:val="0"/>
                <w:w w:val="100"/>
                <w:position w:val="0"/>
                <w:sz w:val="24"/>
                <w:szCs w:val="24"/>
                <w:lang w:eastAsia="zh-CN"/>
              </w:rPr>
              <w:t>。</w:t>
            </w:r>
            <w:r>
              <w:rPr>
                <w:rFonts w:hint="default" w:ascii="Times New Roman" w:hAnsi="Times New Roman" w:cs="Times New Roman"/>
                <w:color w:val="auto"/>
                <w:lang w:eastAsia="zh-CN"/>
              </w:rPr>
              <w:t>”。</w:t>
            </w:r>
          </w:p>
          <w:p w14:paraId="120EA2FC">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综上，项目营运过程中必须严格执行国家的技术规范和操作规程要求，落实各项安全规章制度，避免事故的发生。在认真落实项目拟采取的风险防范措施及对策后，项目的事故对周围的影响是可以接受的。</w:t>
            </w:r>
          </w:p>
          <w:p w14:paraId="7FE9613D">
            <w:pPr>
              <w:pStyle w:val="141"/>
              <w:keepNext w:val="0"/>
              <w:keepLines w:val="0"/>
              <w:pageBreakBefore w:val="0"/>
              <w:kinsoku/>
              <w:wordWrap/>
              <w:overflowPunct/>
              <w:topLinePunct w:val="0"/>
              <w:autoSpaceDE/>
              <w:autoSpaceDN/>
              <w:bidi w:val="0"/>
              <w:spacing w:line="360" w:lineRule="auto"/>
              <w:ind w:left="0" w:right="0" w:firstLine="482" w:firstLineChars="200"/>
              <w:textAlignment w:val="auto"/>
              <w:rPr>
                <w:rFonts w:hint="eastAsia" w:ascii="Times New Roman" w:hAnsi="Times New Roman" w:eastAsia="宋体" w:cs="Times New Roman"/>
                <w:b/>
                <w:bCs/>
                <w:color w:val="auto"/>
                <w:spacing w:val="0"/>
                <w:w w:val="100"/>
                <w:position w:val="0"/>
                <w:sz w:val="24"/>
                <w:szCs w:val="24"/>
              </w:rPr>
            </w:pPr>
            <w:r>
              <w:rPr>
                <w:rFonts w:hint="eastAsia" w:ascii="Times New Roman" w:hAnsi="Times New Roman" w:eastAsia="宋体" w:cs="Times New Roman"/>
                <w:b/>
                <w:bCs/>
                <w:color w:val="auto"/>
                <w:spacing w:val="0"/>
                <w:w w:val="100"/>
                <w:position w:val="0"/>
                <w:sz w:val="24"/>
                <w:szCs w:val="24"/>
              </w:rPr>
              <w:t>8、电磁辐射</w:t>
            </w:r>
          </w:p>
          <w:p w14:paraId="5128F59D">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eastAsia" w:ascii="Times New Roman" w:hAnsi="Times New Roman" w:eastAsia="宋体" w:cs="Times New Roman"/>
                <w:color w:val="auto"/>
                <w:spacing w:val="0"/>
                <w:w w:val="100"/>
                <w:position w:val="0"/>
                <w:sz w:val="24"/>
                <w:szCs w:val="24"/>
              </w:rPr>
            </w:pPr>
            <w:r>
              <w:rPr>
                <w:rFonts w:hint="eastAsia" w:ascii="Times New Roman" w:hAnsi="Times New Roman" w:eastAsia="宋体" w:cs="Times New Roman"/>
                <w:color w:val="auto"/>
                <w:spacing w:val="0"/>
                <w:w w:val="100"/>
                <w:position w:val="0"/>
                <w:sz w:val="24"/>
                <w:szCs w:val="24"/>
              </w:rPr>
              <w:t>项目建设运营的辐射影响，不在本次评价范围之内，建设单位须依据《中华人民共和国环境影响评价法》、《建设项目环境保护管理条例》以及《关于加强危险废物医疗废物和放射性废物处置工程建设项目环境影响评价管理工作的通知》（环办〔2004〕11号）等相关规定以及有关部门的要求另作辐射环评。</w:t>
            </w:r>
          </w:p>
          <w:p w14:paraId="14301285">
            <w:pPr>
              <w:pStyle w:val="141"/>
              <w:keepNext w:val="0"/>
              <w:keepLines w:val="0"/>
              <w:pageBreakBefore w:val="0"/>
              <w:kinsoku/>
              <w:wordWrap/>
              <w:overflowPunct/>
              <w:topLinePunct w:val="0"/>
              <w:autoSpaceDE/>
              <w:autoSpaceDN/>
              <w:bidi w:val="0"/>
              <w:spacing w:line="360" w:lineRule="auto"/>
              <w:ind w:left="0" w:right="0" w:firstLine="482" w:firstLineChars="200"/>
              <w:textAlignment w:val="auto"/>
              <w:rPr>
                <w:rFonts w:hint="default" w:ascii="Times New Roman" w:hAnsi="Times New Roman" w:eastAsia="宋体" w:cs="Times New Roman"/>
                <w:b/>
                <w:bCs/>
                <w:color w:val="auto"/>
                <w:spacing w:val="0"/>
                <w:w w:val="100"/>
                <w:position w:val="0"/>
                <w:sz w:val="24"/>
                <w:szCs w:val="24"/>
              </w:rPr>
            </w:pPr>
            <w:r>
              <w:rPr>
                <w:rFonts w:hint="eastAsia" w:ascii="Times New Roman" w:hAnsi="Times New Roman" w:cs="Times New Roman"/>
                <w:b/>
                <w:bCs/>
                <w:color w:val="auto"/>
                <w:spacing w:val="0"/>
                <w:w w:val="100"/>
                <w:position w:val="0"/>
                <w:sz w:val="24"/>
                <w:szCs w:val="24"/>
                <w:lang w:val="en-US" w:eastAsia="zh-CN"/>
              </w:rPr>
              <w:t>9</w:t>
            </w:r>
            <w:r>
              <w:rPr>
                <w:rFonts w:hint="default" w:ascii="Times New Roman" w:hAnsi="Times New Roman" w:eastAsia="宋体" w:cs="Times New Roman"/>
                <w:b/>
                <w:bCs/>
                <w:color w:val="auto"/>
                <w:spacing w:val="0"/>
                <w:w w:val="100"/>
                <w:position w:val="0"/>
                <w:sz w:val="24"/>
                <w:szCs w:val="24"/>
              </w:rPr>
              <w:t>、环保投资</w:t>
            </w:r>
          </w:p>
          <w:p w14:paraId="3BD4B7D0">
            <w:pPr>
              <w:pStyle w:val="141"/>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项目总投资</w:t>
            </w:r>
            <w:r>
              <w:rPr>
                <w:rFonts w:hint="eastAsia" w:ascii="Times New Roman" w:hAnsi="Times New Roman" w:cs="Times New Roman"/>
                <w:color w:val="auto"/>
                <w:spacing w:val="0"/>
                <w:w w:val="100"/>
                <w:position w:val="0"/>
                <w:sz w:val="24"/>
                <w:szCs w:val="24"/>
                <w:lang w:val="en-US" w:eastAsia="zh-CN"/>
              </w:rPr>
              <w:t>6000</w:t>
            </w:r>
            <w:r>
              <w:rPr>
                <w:rFonts w:hint="default" w:ascii="Times New Roman" w:hAnsi="Times New Roman" w:eastAsia="宋体" w:cs="Times New Roman"/>
                <w:color w:val="auto"/>
                <w:spacing w:val="0"/>
                <w:w w:val="100"/>
                <w:position w:val="0"/>
                <w:sz w:val="24"/>
                <w:szCs w:val="24"/>
              </w:rPr>
              <w:t>万元，其中环保投资</w:t>
            </w:r>
            <w:r>
              <w:rPr>
                <w:rFonts w:hint="eastAsia" w:ascii="Times New Roman" w:hAnsi="Times New Roman" w:cs="Times New Roman"/>
                <w:color w:val="auto"/>
                <w:spacing w:val="0"/>
                <w:w w:val="100"/>
                <w:position w:val="0"/>
                <w:sz w:val="24"/>
                <w:szCs w:val="24"/>
                <w:lang w:val="en-US" w:eastAsia="zh-CN"/>
              </w:rPr>
              <w:t>60</w:t>
            </w:r>
            <w:r>
              <w:rPr>
                <w:rFonts w:hint="default" w:ascii="Times New Roman" w:hAnsi="Times New Roman" w:eastAsia="宋体" w:cs="Times New Roman"/>
                <w:color w:val="auto"/>
                <w:spacing w:val="0"/>
                <w:w w:val="100"/>
                <w:position w:val="0"/>
                <w:sz w:val="24"/>
                <w:szCs w:val="24"/>
              </w:rPr>
              <w:t>万元，占总投资的</w:t>
            </w:r>
            <w:r>
              <w:rPr>
                <w:rFonts w:hint="eastAsia" w:ascii="Times New Roman" w:hAnsi="Times New Roman" w:cs="Times New Roman"/>
                <w:color w:val="auto"/>
                <w:spacing w:val="0"/>
                <w:w w:val="100"/>
                <w:position w:val="0"/>
                <w:sz w:val="24"/>
                <w:szCs w:val="24"/>
                <w:lang w:val="en-US" w:eastAsia="zh-CN"/>
              </w:rPr>
              <w:t>1</w:t>
            </w:r>
            <w:r>
              <w:rPr>
                <w:rFonts w:hint="default" w:ascii="Times New Roman" w:hAnsi="Times New Roman" w:eastAsia="宋体" w:cs="Times New Roman"/>
                <w:color w:val="auto"/>
                <w:spacing w:val="0"/>
                <w:w w:val="100"/>
                <w:position w:val="0"/>
                <w:sz w:val="24"/>
                <w:szCs w:val="24"/>
              </w:rPr>
              <w:t>%，根据该项目的工程分析，污染因素分析及治理对策分析和调查，项目环保投资一览表如下。</w:t>
            </w:r>
          </w:p>
          <w:p w14:paraId="64A7F91E">
            <w:pPr>
              <w:bidi w:val="0"/>
              <w:spacing w:line="240" w:lineRule="auto"/>
              <w:jc w:val="center"/>
              <w:rPr>
                <w:rFonts w:hint="default"/>
                <w:b/>
                <w:bCs/>
                <w:sz w:val="21"/>
                <w:szCs w:val="21"/>
                <w:lang w:val="en-US" w:eastAsia="zh-CN"/>
              </w:rPr>
            </w:pPr>
            <w:r>
              <w:rPr>
                <w:rFonts w:hint="default"/>
                <w:b/>
                <w:bCs/>
                <w:sz w:val="21"/>
                <w:szCs w:val="21"/>
                <w:lang w:val="en-US" w:eastAsia="zh-CN"/>
              </w:rPr>
              <w:t>表4-</w:t>
            </w:r>
            <w:r>
              <w:rPr>
                <w:rFonts w:hint="eastAsia"/>
                <w:b/>
                <w:bCs/>
                <w:sz w:val="21"/>
                <w:szCs w:val="21"/>
                <w:lang w:val="en-US" w:eastAsia="zh-CN"/>
              </w:rPr>
              <w:t>21</w:t>
            </w:r>
            <w:r>
              <w:rPr>
                <w:rFonts w:hint="default"/>
                <w:b/>
                <w:bCs/>
                <w:sz w:val="21"/>
                <w:szCs w:val="21"/>
                <w:lang w:val="en-US" w:eastAsia="zh-CN"/>
              </w:rPr>
              <w:t>环保投资一览表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2"/>
              <w:gridCol w:w="1205"/>
              <w:gridCol w:w="2004"/>
              <w:gridCol w:w="3232"/>
              <w:gridCol w:w="921"/>
            </w:tblGrid>
            <w:tr w14:paraId="3EF5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5" w:hRule="atLeast"/>
                <w:jc w:val="center"/>
              </w:trPr>
              <w:tc>
                <w:tcPr>
                  <w:tcW w:w="532" w:type="dxa"/>
                  <w:tcMar>
                    <w:top w:w="0" w:type="dxa"/>
                    <w:left w:w="68" w:type="dxa"/>
                    <w:bottom w:w="0" w:type="dxa"/>
                    <w:right w:w="68" w:type="dxa"/>
                  </w:tcMar>
                  <w:vAlign w:val="center"/>
                </w:tcPr>
                <w:p w14:paraId="1E8B1850">
                  <w:pPr>
                    <w:spacing w:line="240" w:lineRule="auto"/>
                    <w:ind w:firstLine="0" w:firstLineChars="0"/>
                    <w:jc w:val="center"/>
                    <w:rPr>
                      <w:b/>
                      <w:bCs/>
                      <w:color w:val="auto"/>
                      <w:sz w:val="21"/>
                      <w:szCs w:val="21"/>
                    </w:rPr>
                  </w:pPr>
                  <w:r>
                    <w:rPr>
                      <w:b/>
                      <w:bCs/>
                      <w:color w:val="auto"/>
                      <w:sz w:val="21"/>
                      <w:szCs w:val="21"/>
                    </w:rPr>
                    <w:t>序号</w:t>
                  </w:r>
                </w:p>
              </w:tc>
              <w:tc>
                <w:tcPr>
                  <w:tcW w:w="1205" w:type="dxa"/>
                  <w:tcMar>
                    <w:top w:w="0" w:type="dxa"/>
                    <w:left w:w="68" w:type="dxa"/>
                    <w:bottom w:w="0" w:type="dxa"/>
                    <w:right w:w="68" w:type="dxa"/>
                  </w:tcMar>
                  <w:vAlign w:val="center"/>
                </w:tcPr>
                <w:p w14:paraId="149E848E">
                  <w:pPr>
                    <w:spacing w:line="240" w:lineRule="auto"/>
                    <w:ind w:firstLine="0" w:firstLineChars="0"/>
                    <w:jc w:val="center"/>
                    <w:rPr>
                      <w:b/>
                      <w:bCs/>
                      <w:color w:val="auto"/>
                      <w:sz w:val="21"/>
                      <w:szCs w:val="21"/>
                    </w:rPr>
                  </w:pPr>
                  <w:r>
                    <w:rPr>
                      <w:b/>
                      <w:bCs/>
                      <w:color w:val="auto"/>
                      <w:sz w:val="21"/>
                      <w:szCs w:val="21"/>
                    </w:rPr>
                    <w:t>污染源分类</w:t>
                  </w:r>
                </w:p>
              </w:tc>
              <w:tc>
                <w:tcPr>
                  <w:tcW w:w="2004" w:type="dxa"/>
                  <w:tcMar>
                    <w:top w:w="0" w:type="dxa"/>
                    <w:left w:w="68" w:type="dxa"/>
                    <w:bottom w:w="0" w:type="dxa"/>
                    <w:right w:w="68" w:type="dxa"/>
                  </w:tcMar>
                  <w:vAlign w:val="center"/>
                </w:tcPr>
                <w:p w14:paraId="72F6B1BB">
                  <w:pPr>
                    <w:spacing w:line="240" w:lineRule="auto"/>
                    <w:ind w:firstLine="0" w:firstLineChars="0"/>
                    <w:jc w:val="center"/>
                    <w:rPr>
                      <w:b/>
                      <w:bCs/>
                      <w:color w:val="auto"/>
                      <w:sz w:val="21"/>
                      <w:szCs w:val="21"/>
                    </w:rPr>
                  </w:pPr>
                  <w:r>
                    <w:rPr>
                      <w:b/>
                      <w:bCs/>
                      <w:color w:val="auto"/>
                      <w:sz w:val="21"/>
                      <w:szCs w:val="21"/>
                    </w:rPr>
                    <w:t>污染源</w:t>
                  </w:r>
                </w:p>
              </w:tc>
              <w:tc>
                <w:tcPr>
                  <w:tcW w:w="3232" w:type="dxa"/>
                  <w:tcMar>
                    <w:top w:w="0" w:type="dxa"/>
                    <w:left w:w="68" w:type="dxa"/>
                    <w:bottom w:w="0" w:type="dxa"/>
                    <w:right w:w="68" w:type="dxa"/>
                  </w:tcMar>
                  <w:vAlign w:val="center"/>
                </w:tcPr>
                <w:p w14:paraId="6961363B">
                  <w:pPr>
                    <w:spacing w:line="240" w:lineRule="auto"/>
                    <w:ind w:firstLine="0" w:firstLineChars="0"/>
                    <w:jc w:val="center"/>
                    <w:rPr>
                      <w:b/>
                      <w:bCs/>
                      <w:color w:val="auto"/>
                      <w:sz w:val="21"/>
                      <w:szCs w:val="21"/>
                    </w:rPr>
                  </w:pPr>
                  <w:r>
                    <w:rPr>
                      <w:b/>
                      <w:bCs/>
                      <w:color w:val="auto"/>
                      <w:sz w:val="21"/>
                      <w:szCs w:val="21"/>
                    </w:rPr>
                    <w:t>主要工程内容</w:t>
                  </w:r>
                </w:p>
              </w:tc>
              <w:tc>
                <w:tcPr>
                  <w:tcW w:w="921" w:type="dxa"/>
                  <w:tcMar>
                    <w:top w:w="0" w:type="dxa"/>
                    <w:left w:w="68" w:type="dxa"/>
                    <w:bottom w:w="0" w:type="dxa"/>
                    <w:right w:w="68" w:type="dxa"/>
                  </w:tcMar>
                  <w:vAlign w:val="center"/>
                </w:tcPr>
                <w:p w14:paraId="76C4DB43">
                  <w:pPr>
                    <w:spacing w:line="240" w:lineRule="auto"/>
                    <w:ind w:firstLine="0" w:firstLineChars="0"/>
                    <w:jc w:val="center"/>
                    <w:rPr>
                      <w:rFonts w:hAnsi="宋体"/>
                      <w:b/>
                      <w:bCs/>
                      <w:color w:val="auto"/>
                      <w:sz w:val="21"/>
                      <w:szCs w:val="21"/>
                    </w:rPr>
                  </w:pPr>
                  <w:r>
                    <w:rPr>
                      <w:rFonts w:hAnsi="宋体"/>
                      <w:b/>
                      <w:bCs/>
                      <w:color w:val="auto"/>
                      <w:sz w:val="21"/>
                      <w:szCs w:val="21"/>
                    </w:rPr>
                    <w:t>费用</w:t>
                  </w:r>
                </w:p>
                <w:p w14:paraId="2DDE756E">
                  <w:pPr>
                    <w:spacing w:line="240" w:lineRule="auto"/>
                    <w:ind w:firstLine="0" w:firstLineChars="0"/>
                    <w:jc w:val="center"/>
                    <w:rPr>
                      <w:b/>
                      <w:bCs/>
                      <w:color w:val="auto"/>
                      <w:sz w:val="21"/>
                      <w:szCs w:val="21"/>
                    </w:rPr>
                  </w:pPr>
                  <w:r>
                    <w:rPr>
                      <w:rFonts w:hAnsi="宋体"/>
                      <w:b/>
                      <w:bCs/>
                      <w:color w:val="auto"/>
                      <w:sz w:val="21"/>
                      <w:szCs w:val="21"/>
                    </w:rPr>
                    <w:t>（万元）</w:t>
                  </w:r>
                </w:p>
              </w:tc>
            </w:tr>
            <w:tr w14:paraId="14BB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1" w:hRule="atLeast"/>
                <w:jc w:val="center"/>
              </w:trPr>
              <w:tc>
                <w:tcPr>
                  <w:tcW w:w="532" w:type="dxa"/>
                  <w:tcMar>
                    <w:top w:w="0" w:type="dxa"/>
                    <w:left w:w="68" w:type="dxa"/>
                    <w:bottom w:w="0" w:type="dxa"/>
                    <w:right w:w="68" w:type="dxa"/>
                  </w:tcMar>
                  <w:vAlign w:val="center"/>
                </w:tcPr>
                <w:p w14:paraId="25490286">
                  <w:pPr>
                    <w:spacing w:line="240" w:lineRule="auto"/>
                    <w:ind w:firstLine="0" w:firstLineChars="0"/>
                    <w:jc w:val="center"/>
                    <w:rPr>
                      <w:color w:val="auto"/>
                      <w:sz w:val="21"/>
                      <w:szCs w:val="21"/>
                    </w:rPr>
                  </w:pPr>
                  <w:r>
                    <w:rPr>
                      <w:rFonts w:hint="eastAsia"/>
                      <w:color w:val="auto"/>
                      <w:sz w:val="21"/>
                      <w:szCs w:val="21"/>
                    </w:rPr>
                    <w:t>1</w:t>
                  </w:r>
                </w:p>
              </w:tc>
              <w:tc>
                <w:tcPr>
                  <w:tcW w:w="1205" w:type="dxa"/>
                  <w:tcMar>
                    <w:top w:w="0" w:type="dxa"/>
                    <w:left w:w="68" w:type="dxa"/>
                    <w:bottom w:w="0" w:type="dxa"/>
                    <w:right w:w="68" w:type="dxa"/>
                  </w:tcMar>
                  <w:vAlign w:val="center"/>
                </w:tcPr>
                <w:p w14:paraId="43BC7F0D">
                  <w:pPr>
                    <w:spacing w:line="240" w:lineRule="auto"/>
                    <w:ind w:firstLine="0" w:firstLineChars="0"/>
                    <w:jc w:val="center"/>
                    <w:rPr>
                      <w:color w:val="auto"/>
                      <w:sz w:val="21"/>
                      <w:szCs w:val="21"/>
                    </w:rPr>
                  </w:pPr>
                  <w:r>
                    <w:rPr>
                      <w:color w:val="auto"/>
                      <w:sz w:val="21"/>
                      <w:szCs w:val="21"/>
                    </w:rPr>
                    <w:t>大气污染</w:t>
                  </w:r>
                </w:p>
              </w:tc>
              <w:tc>
                <w:tcPr>
                  <w:tcW w:w="2004" w:type="dxa"/>
                  <w:tcMar>
                    <w:top w:w="0" w:type="dxa"/>
                    <w:left w:w="68" w:type="dxa"/>
                    <w:bottom w:w="0" w:type="dxa"/>
                    <w:right w:w="68" w:type="dxa"/>
                  </w:tcMar>
                  <w:vAlign w:val="center"/>
                </w:tcPr>
                <w:p w14:paraId="1A7B1E25">
                  <w:pPr>
                    <w:spacing w:line="240" w:lineRule="auto"/>
                    <w:ind w:firstLine="0" w:firstLineChars="0"/>
                    <w:jc w:val="center"/>
                    <w:rPr>
                      <w:color w:val="auto"/>
                      <w:sz w:val="21"/>
                      <w:szCs w:val="21"/>
                    </w:rPr>
                  </w:pPr>
                  <w:r>
                    <w:rPr>
                      <w:rFonts w:hint="default" w:ascii="Times New Roman" w:hAnsi="Times New Roman" w:eastAsia="宋体" w:cs="Times New Roman"/>
                      <w:color w:val="auto"/>
                      <w:spacing w:val="0"/>
                      <w:w w:val="100"/>
                      <w:position w:val="0"/>
                      <w:sz w:val="21"/>
                      <w:szCs w:val="21"/>
                    </w:rPr>
                    <w:t>污水处理站废气</w:t>
                  </w:r>
                </w:p>
              </w:tc>
              <w:tc>
                <w:tcPr>
                  <w:tcW w:w="3232" w:type="dxa"/>
                  <w:tcMar>
                    <w:top w:w="0" w:type="dxa"/>
                    <w:left w:w="68" w:type="dxa"/>
                    <w:bottom w:w="0" w:type="dxa"/>
                    <w:right w:w="68" w:type="dxa"/>
                  </w:tcMar>
                  <w:vAlign w:val="center"/>
                </w:tcPr>
                <w:p w14:paraId="0AD61B91">
                  <w:pPr>
                    <w:spacing w:line="240" w:lineRule="auto"/>
                    <w:ind w:left="24" w:leftChars="10" w:right="24" w:rightChars="10" w:firstLine="0" w:firstLineChars="0"/>
                    <w:jc w:val="center"/>
                    <w:rPr>
                      <w:rFonts w:hint="default"/>
                      <w:color w:val="auto"/>
                      <w:sz w:val="21"/>
                      <w:szCs w:val="21"/>
                      <w:lang w:val="en-US"/>
                    </w:rPr>
                  </w:pPr>
                  <w:r>
                    <w:rPr>
                      <w:rFonts w:hint="default" w:ascii="Times New Roman" w:hAnsi="Times New Roman" w:eastAsia="宋体" w:cs="Times New Roman"/>
                      <w:color w:val="auto"/>
                      <w:spacing w:val="0"/>
                      <w:position w:val="0"/>
                      <w:sz w:val="21"/>
                      <w:szCs w:val="21"/>
                    </w:rPr>
                    <w:t>加盖封闭</w:t>
                  </w:r>
                  <w:r>
                    <w:rPr>
                      <w:rFonts w:hint="eastAsia" w:ascii="Times New Roman" w:hAnsi="Times New Roman" w:cs="Times New Roman"/>
                      <w:color w:val="auto"/>
                      <w:spacing w:val="0"/>
                      <w:position w:val="0"/>
                      <w:sz w:val="21"/>
                      <w:szCs w:val="21"/>
                      <w:lang w:eastAsia="zh-CN"/>
                    </w:rPr>
                    <w:t>收集，</w:t>
                  </w:r>
                  <w:r>
                    <w:rPr>
                      <w:rFonts w:hint="eastAsia" w:cs="Times New Roman"/>
                      <w:color w:val="auto"/>
                      <w:spacing w:val="0"/>
                      <w:position w:val="0"/>
                      <w:sz w:val="21"/>
                      <w:szCs w:val="21"/>
                      <w:lang w:val="en-US" w:eastAsia="zh-CN"/>
                    </w:rPr>
                    <w:t>喷洒生物制剂除臭</w:t>
                  </w:r>
                </w:p>
              </w:tc>
              <w:tc>
                <w:tcPr>
                  <w:tcW w:w="921" w:type="dxa"/>
                  <w:tcMar>
                    <w:top w:w="0" w:type="dxa"/>
                    <w:left w:w="68" w:type="dxa"/>
                    <w:bottom w:w="0" w:type="dxa"/>
                    <w:right w:w="68" w:type="dxa"/>
                  </w:tcMar>
                  <w:vAlign w:val="center"/>
                </w:tcPr>
                <w:p w14:paraId="000B4C56">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r>
            <w:tr w14:paraId="1A2D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9" w:hRule="atLeast"/>
                <w:jc w:val="center"/>
              </w:trPr>
              <w:tc>
                <w:tcPr>
                  <w:tcW w:w="532" w:type="dxa"/>
                  <w:tcMar>
                    <w:top w:w="0" w:type="dxa"/>
                    <w:left w:w="68" w:type="dxa"/>
                    <w:bottom w:w="0" w:type="dxa"/>
                    <w:right w:w="68" w:type="dxa"/>
                  </w:tcMar>
                  <w:vAlign w:val="center"/>
                </w:tcPr>
                <w:p w14:paraId="5C804ADE">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1205" w:type="dxa"/>
                  <w:tcMar>
                    <w:top w:w="0" w:type="dxa"/>
                    <w:left w:w="68" w:type="dxa"/>
                    <w:bottom w:w="0" w:type="dxa"/>
                    <w:right w:w="68" w:type="dxa"/>
                  </w:tcMar>
                  <w:vAlign w:val="center"/>
                </w:tcPr>
                <w:p w14:paraId="76F5A28F">
                  <w:pPr>
                    <w:spacing w:line="240" w:lineRule="auto"/>
                    <w:ind w:firstLine="0" w:firstLineChars="0"/>
                    <w:jc w:val="center"/>
                    <w:rPr>
                      <w:color w:val="auto"/>
                      <w:sz w:val="21"/>
                      <w:szCs w:val="21"/>
                    </w:rPr>
                  </w:pPr>
                  <w:r>
                    <w:rPr>
                      <w:color w:val="auto"/>
                      <w:sz w:val="21"/>
                      <w:szCs w:val="21"/>
                    </w:rPr>
                    <w:t>水污染源</w:t>
                  </w:r>
                </w:p>
              </w:tc>
              <w:tc>
                <w:tcPr>
                  <w:tcW w:w="2004" w:type="dxa"/>
                  <w:tcMar>
                    <w:top w:w="0" w:type="dxa"/>
                    <w:left w:w="68" w:type="dxa"/>
                    <w:bottom w:w="0" w:type="dxa"/>
                    <w:right w:w="68" w:type="dxa"/>
                  </w:tcMar>
                  <w:vAlign w:val="center"/>
                </w:tcPr>
                <w:p w14:paraId="4AF0603C">
                  <w:pPr>
                    <w:spacing w:line="240" w:lineRule="auto"/>
                    <w:ind w:firstLine="0" w:firstLineChars="0"/>
                    <w:jc w:val="center"/>
                    <w:rPr>
                      <w:rFonts w:hint="default" w:eastAsia="宋体"/>
                      <w:bCs/>
                      <w:color w:val="auto"/>
                      <w:sz w:val="21"/>
                      <w:szCs w:val="21"/>
                      <w:lang w:val="en-US" w:eastAsia="zh-CN"/>
                    </w:rPr>
                  </w:pPr>
                  <w:r>
                    <w:rPr>
                      <w:rFonts w:hint="eastAsia" w:hAnsi="宋体"/>
                      <w:color w:val="auto"/>
                      <w:sz w:val="21"/>
                      <w:szCs w:val="21"/>
                      <w:lang w:eastAsia="zh-CN"/>
                    </w:rPr>
                    <w:t>医疗废水、</w:t>
                  </w:r>
                  <w:r>
                    <w:rPr>
                      <w:rFonts w:hint="eastAsia" w:hAnsi="宋体"/>
                      <w:color w:val="auto"/>
                      <w:sz w:val="21"/>
                      <w:szCs w:val="21"/>
                      <w:lang w:val="en-US" w:eastAsia="zh-CN"/>
                    </w:rPr>
                    <w:t>食堂废水</w:t>
                  </w:r>
                </w:p>
              </w:tc>
              <w:tc>
                <w:tcPr>
                  <w:tcW w:w="3232" w:type="dxa"/>
                  <w:tcMar>
                    <w:top w:w="0" w:type="dxa"/>
                    <w:left w:w="68" w:type="dxa"/>
                    <w:bottom w:w="0" w:type="dxa"/>
                    <w:right w:w="68" w:type="dxa"/>
                  </w:tcMar>
                  <w:vAlign w:val="center"/>
                </w:tcPr>
                <w:p w14:paraId="7CF28093">
                  <w:pPr>
                    <w:spacing w:line="240" w:lineRule="auto"/>
                    <w:ind w:firstLine="0" w:firstLineChars="0"/>
                    <w:jc w:val="center"/>
                    <w:rPr>
                      <w:rFonts w:hint="default" w:eastAsia="宋体"/>
                      <w:bCs/>
                      <w:color w:val="auto"/>
                      <w:sz w:val="21"/>
                      <w:szCs w:val="21"/>
                      <w:lang w:val="en-US" w:eastAsia="zh-CN"/>
                    </w:rPr>
                  </w:pPr>
                  <w:r>
                    <w:rPr>
                      <w:rFonts w:hint="eastAsia" w:cs="Times New Roman"/>
                      <w:color w:val="auto"/>
                      <w:spacing w:val="0"/>
                      <w:w w:val="100"/>
                      <w:position w:val="0"/>
                      <w:sz w:val="21"/>
                      <w:szCs w:val="21"/>
                      <w:lang w:val="en-US" w:eastAsia="zh-CN"/>
                    </w:rPr>
                    <w:t>污水处理站</w:t>
                  </w:r>
                </w:p>
              </w:tc>
              <w:tc>
                <w:tcPr>
                  <w:tcW w:w="921" w:type="dxa"/>
                  <w:tcMar>
                    <w:top w:w="0" w:type="dxa"/>
                    <w:left w:w="68" w:type="dxa"/>
                    <w:bottom w:w="0" w:type="dxa"/>
                    <w:right w:w="68" w:type="dxa"/>
                  </w:tcMar>
                  <w:vAlign w:val="center"/>
                </w:tcPr>
                <w:p w14:paraId="0C23488B">
                  <w:pPr>
                    <w:spacing w:line="240" w:lineRule="auto"/>
                    <w:ind w:firstLine="0" w:firstLineChars="0"/>
                    <w:jc w:val="center"/>
                    <w:rPr>
                      <w:rFonts w:hint="default"/>
                      <w:color w:val="auto"/>
                      <w:sz w:val="21"/>
                      <w:szCs w:val="21"/>
                      <w:lang w:val="en-US"/>
                    </w:rPr>
                  </w:pPr>
                  <w:r>
                    <w:rPr>
                      <w:rFonts w:hint="eastAsia"/>
                      <w:color w:val="auto"/>
                      <w:sz w:val="21"/>
                      <w:szCs w:val="21"/>
                      <w:lang w:val="en-US" w:eastAsia="zh-CN"/>
                    </w:rPr>
                    <w:t>10</w:t>
                  </w:r>
                </w:p>
              </w:tc>
            </w:tr>
            <w:tr w14:paraId="5A0F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532" w:type="dxa"/>
                  <w:tcMar>
                    <w:top w:w="0" w:type="dxa"/>
                    <w:left w:w="68" w:type="dxa"/>
                    <w:bottom w:w="0" w:type="dxa"/>
                    <w:right w:w="68" w:type="dxa"/>
                  </w:tcMar>
                  <w:vAlign w:val="center"/>
                </w:tcPr>
                <w:p w14:paraId="6E878A6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w:t>
                  </w:r>
                </w:p>
              </w:tc>
              <w:tc>
                <w:tcPr>
                  <w:tcW w:w="1205" w:type="dxa"/>
                  <w:tcMar>
                    <w:top w:w="0" w:type="dxa"/>
                    <w:left w:w="68" w:type="dxa"/>
                    <w:bottom w:w="0" w:type="dxa"/>
                    <w:right w:w="68" w:type="dxa"/>
                  </w:tcMar>
                  <w:vAlign w:val="center"/>
                </w:tcPr>
                <w:p w14:paraId="6722B029">
                  <w:pPr>
                    <w:spacing w:line="240" w:lineRule="auto"/>
                    <w:ind w:firstLine="0" w:firstLineChars="0"/>
                    <w:jc w:val="center"/>
                    <w:rPr>
                      <w:color w:val="auto"/>
                      <w:sz w:val="21"/>
                      <w:szCs w:val="21"/>
                    </w:rPr>
                  </w:pPr>
                  <w:r>
                    <w:rPr>
                      <w:color w:val="auto"/>
                      <w:sz w:val="21"/>
                      <w:szCs w:val="21"/>
                    </w:rPr>
                    <w:t>噪声</w:t>
                  </w:r>
                </w:p>
              </w:tc>
              <w:tc>
                <w:tcPr>
                  <w:tcW w:w="5236" w:type="dxa"/>
                  <w:gridSpan w:val="2"/>
                  <w:tcMar>
                    <w:top w:w="0" w:type="dxa"/>
                    <w:left w:w="68" w:type="dxa"/>
                    <w:bottom w:w="0" w:type="dxa"/>
                    <w:right w:w="68" w:type="dxa"/>
                  </w:tcMar>
                  <w:vAlign w:val="center"/>
                </w:tcPr>
                <w:p w14:paraId="6B4A6809">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选用低噪设备，加设减震基座等</w:t>
                  </w:r>
                </w:p>
              </w:tc>
              <w:tc>
                <w:tcPr>
                  <w:tcW w:w="921" w:type="dxa"/>
                  <w:tcMar>
                    <w:top w:w="0" w:type="dxa"/>
                    <w:left w:w="68" w:type="dxa"/>
                    <w:bottom w:w="0" w:type="dxa"/>
                    <w:right w:w="68" w:type="dxa"/>
                  </w:tcMar>
                  <w:vAlign w:val="center"/>
                </w:tcPr>
                <w:p w14:paraId="121A7F27">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2</w:t>
                  </w:r>
                </w:p>
              </w:tc>
            </w:tr>
            <w:tr w14:paraId="6B33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27" w:hRule="atLeast"/>
                <w:jc w:val="center"/>
              </w:trPr>
              <w:tc>
                <w:tcPr>
                  <w:tcW w:w="532" w:type="dxa"/>
                  <w:vAlign w:val="center"/>
                </w:tcPr>
                <w:p w14:paraId="56BF4D28">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1205" w:type="dxa"/>
                  <w:vMerge w:val="restart"/>
                  <w:vAlign w:val="center"/>
                </w:tcPr>
                <w:p w14:paraId="7C8D0BF1">
                  <w:pPr>
                    <w:spacing w:line="240" w:lineRule="auto"/>
                    <w:ind w:firstLine="0" w:firstLineChars="0"/>
                    <w:jc w:val="center"/>
                    <w:rPr>
                      <w:color w:val="auto"/>
                      <w:sz w:val="21"/>
                      <w:szCs w:val="21"/>
                    </w:rPr>
                  </w:pPr>
                  <w:r>
                    <w:rPr>
                      <w:color w:val="auto"/>
                      <w:sz w:val="21"/>
                      <w:szCs w:val="21"/>
                    </w:rPr>
                    <w:t>固体废物</w:t>
                  </w:r>
                </w:p>
              </w:tc>
              <w:tc>
                <w:tcPr>
                  <w:tcW w:w="2004" w:type="dxa"/>
                  <w:vAlign w:val="center"/>
                </w:tcPr>
                <w:p w14:paraId="4E6AEF2F">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en-US" w:bidi="ar-SA"/>
                    </w:rPr>
                  </w:pPr>
                  <w:r>
                    <w:rPr>
                      <w:rFonts w:hint="eastAsia" w:cs="Times New Roman"/>
                      <w:color w:val="auto"/>
                      <w:kern w:val="2"/>
                      <w:sz w:val="21"/>
                      <w:szCs w:val="21"/>
                      <w:lang w:val="en-US" w:eastAsia="zh-CN" w:bidi="ar-SA"/>
                    </w:rPr>
                    <w:t>未污染的一次性输液袋（瓶）、一次性医用外包装物</w:t>
                  </w:r>
                </w:p>
              </w:tc>
              <w:tc>
                <w:tcPr>
                  <w:tcW w:w="3232" w:type="dxa"/>
                  <w:tcMar>
                    <w:top w:w="0" w:type="dxa"/>
                    <w:left w:w="68" w:type="dxa"/>
                    <w:bottom w:w="0" w:type="dxa"/>
                    <w:right w:w="68" w:type="dxa"/>
                  </w:tcMar>
                  <w:vAlign w:val="center"/>
                </w:tcPr>
                <w:p w14:paraId="22653D2E">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en-US" w:bidi="ar-SA"/>
                    </w:rPr>
                  </w:pPr>
                  <w:r>
                    <w:rPr>
                      <w:rFonts w:hint="eastAsia" w:ascii="Times New Roman" w:hAnsi="Times New Roman" w:eastAsia="宋体" w:cs="Times New Roman"/>
                      <w:color w:val="auto"/>
                      <w:sz w:val="21"/>
                      <w:szCs w:val="21"/>
                      <w:highlight w:val="none"/>
                      <w:lang w:eastAsia="zh-CN"/>
                    </w:rPr>
                    <w:t>由专业单位回收利用或处置</w:t>
                  </w:r>
                </w:p>
              </w:tc>
              <w:tc>
                <w:tcPr>
                  <w:tcW w:w="921" w:type="dxa"/>
                  <w:vMerge w:val="restart"/>
                  <w:tcMar>
                    <w:top w:w="0" w:type="dxa"/>
                    <w:left w:w="68" w:type="dxa"/>
                    <w:bottom w:w="0" w:type="dxa"/>
                    <w:right w:w="68" w:type="dxa"/>
                  </w:tcMar>
                  <w:vAlign w:val="center"/>
                </w:tcPr>
                <w:p w14:paraId="5C3E43C5">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5</w:t>
                  </w:r>
                </w:p>
              </w:tc>
            </w:tr>
            <w:tr w14:paraId="519E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532" w:type="dxa"/>
                  <w:vAlign w:val="center"/>
                </w:tcPr>
                <w:p w14:paraId="3E7E92A0">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w:t>
                  </w:r>
                </w:p>
              </w:tc>
              <w:tc>
                <w:tcPr>
                  <w:tcW w:w="1205" w:type="dxa"/>
                  <w:vMerge w:val="continue"/>
                  <w:vAlign w:val="center"/>
                </w:tcPr>
                <w:p w14:paraId="03038572">
                  <w:pPr>
                    <w:spacing w:line="240" w:lineRule="auto"/>
                    <w:ind w:firstLine="0" w:firstLineChars="0"/>
                    <w:jc w:val="center"/>
                    <w:rPr>
                      <w:color w:val="auto"/>
                      <w:sz w:val="21"/>
                      <w:szCs w:val="21"/>
                    </w:rPr>
                  </w:pPr>
                </w:p>
              </w:tc>
              <w:tc>
                <w:tcPr>
                  <w:tcW w:w="2004" w:type="dxa"/>
                  <w:vAlign w:val="center"/>
                </w:tcPr>
                <w:p w14:paraId="6BFEC8F8">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w w:val="100"/>
                      <w:kern w:val="2"/>
                      <w:position w:val="0"/>
                      <w:sz w:val="21"/>
                      <w:szCs w:val="21"/>
                      <w:lang w:val="en-US" w:eastAsia="zh-CN" w:bidi="ar-SA"/>
                    </w:rPr>
                  </w:pPr>
                  <w:r>
                    <w:rPr>
                      <w:rFonts w:hint="default" w:ascii="Times New Roman" w:hAnsi="Times New Roman" w:eastAsia="宋体" w:cs="Times New Roman"/>
                      <w:color w:val="auto"/>
                      <w:spacing w:val="0"/>
                      <w:w w:val="100"/>
                      <w:position w:val="0"/>
                      <w:sz w:val="21"/>
                      <w:szCs w:val="21"/>
                    </w:rPr>
                    <w:t>医疗废物</w:t>
                  </w:r>
                </w:p>
              </w:tc>
              <w:tc>
                <w:tcPr>
                  <w:tcW w:w="3232" w:type="dxa"/>
                  <w:tcMar>
                    <w:top w:w="0" w:type="dxa"/>
                    <w:left w:w="68" w:type="dxa"/>
                    <w:bottom w:w="0" w:type="dxa"/>
                    <w:right w:w="68" w:type="dxa"/>
                  </w:tcMar>
                  <w:vAlign w:val="center"/>
                </w:tcPr>
                <w:p w14:paraId="5E78E14C">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w w:val="100"/>
                      <w:kern w:val="2"/>
                      <w:position w:val="0"/>
                      <w:sz w:val="21"/>
                      <w:szCs w:val="21"/>
                      <w:lang w:val="en-US" w:eastAsia="zh-CN" w:bidi="ar-SA"/>
                    </w:rPr>
                  </w:pPr>
                  <w:r>
                    <w:rPr>
                      <w:rFonts w:hint="eastAsia" w:ascii="Times New Roman" w:hAnsi="Times New Roman" w:eastAsia="宋体" w:cs="Times New Roman"/>
                      <w:color w:val="auto"/>
                      <w:spacing w:val="0"/>
                      <w:w w:val="100"/>
                      <w:position w:val="0"/>
                      <w:sz w:val="21"/>
                      <w:szCs w:val="21"/>
                      <w:lang w:eastAsia="zh-CN"/>
                    </w:rPr>
                    <w:t>分类</w:t>
                  </w:r>
                  <w:r>
                    <w:rPr>
                      <w:rFonts w:hint="default" w:ascii="Times New Roman" w:hAnsi="Times New Roman" w:eastAsia="宋体" w:cs="Times New Roman"/>
                      <w:color w:val="auto"/>
                      <w:spacing w:val="0"/>
                      <w:w w:val="100"/>
                      <w:position w:val="0"/>
                      <w:sz w:val="21"/>
                      <w:szCs w:val="21"/>
                    </w:rPr>
                    <w:t>收集</w:t>
                  </w:r>
                  <w:r>
                    <w:rPr>
                      <w:rFonts w:hint="eastAsia" w:ascii="Times New Roman" w:hAnsi="Times New Roman" w:eastAsia="宋体" w:cs="Times New Roman"/>
                      <w:color w:val="auto"/>
                      <w:spacing w:val="0"/>
                      <w:w w:val="100"/>
                      <w:position w:val="0"/>
                      <w:sz w:val="21"/>
                      <w:szCs w:val="21"/>
                      <w:lang w:eastAsia="zh-CN"/>
                    </w:rPr>
                    <w:t>后，</w:t>
                  </w:r>
                  <w:r>
                    <w:rPr>
                      <w:rFonts w:hint="default" w:ascii="Times New Roman" w:hAnsi="Times New Roman" w:eastAsia="宋体" w:cs="Times New Roman"/>
                      <w:color w:val="auto"/>
                      <w:spacing w:val="0"/>
                      <w:w w:val="100"/>
                      <w:position w:val="0"/>
                      <w:sz w:val="21"/>
                      <w:szCs w:val="21"/>
                    </w:rPr>
                    <w:t>暂存</w:t>
                  </w:r>
                  <w:r>
                    <w:rPr>
                      <w:rFonts w:hint="eastAsia" w:ascii="Times New Roman" w:hAnsi="Times New Roman" w:eastAsia="宋体" w:cs="Times New Roman"/>
                      <w:color w:val="auto"/>
                      <w:spacing w:val="0"/>
                      <w:w w:val="100"/>
                      <w:position w:val="0"/>
                      <w:sz w:val="21"/>
                      <w:szCs w:val="21"/>
                      <w:lang w:eastAsia="zh-CN"/>
                    </w:rPr>
                    <w:t>危废暂存间，</w:t>
                  </w:r>
                  <w:r>
                    <w:rPr>
                      <w:rFonts w:hint="default" w:ascii="Times New Roman" w:hAnsi="Times New Roman" w:eastAsia="宋体" w:cs="Times New Roman"/>
                      <w:color w:val="auto"/>
                      <w:spacing w:val="0"/>
                      <w:w w:val="100"/>
                      <w:position w:val="0"/>
                      <w:sz w:val="21"/>
                      <w:szCs w:val="21"/>
                    </w:rPr>
                    <w:t>委托有资质单位处置</w:t>
                  </w:r>
                </w:p>
              </w:tc>
              <w:tc>
                <w:tcPr>
                  <w:tcW w:w="921" w:type="dxa"/>
                  <w:vMerge w:val="continue"/>
                  <w:tcMar>
                    <w:top w:w="0" w:type="dxa"/>
                    <w:left w:w="68" w:type="dxa"/>
                    <w:bottom w:w="0" w:type="dxa"/>
                    <w:right w:w="68" w:type="dxa"/>
                  </w:tcMar>
                  <w:vAlign w:val="center"/>
                </w:tcPr>
                <w:p w14:paraId="260D368E">
                  <w:pPr>
                    <w:spacing w:line="240" w:lineRule="auto"/>
                    <w:ind w:firstLine="0" w:firstLineChars="0"/>
                    <w:jc w:val="center"/>
                    <w:rPr>
                      <w:color w:val="auto"/>
                      <w:sz w:val="21"/>
                      <w:szCs w:val="21"/>
                    </w:rPr>
                  </w:pPr>
                </w:p>
              </w:tc>
            </w:tr>
            <w:tr w14:paraId="1A04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0" w:hRule="atLeast"/>
                <w:jc w:val="center"/>
              </w:trPr>
              <w:tc>
                <w:tcPr>
                  <w:tcW w:w="532" w:type="dxa"/>
                  <w:vAlign w:val="center"/>
                </w:tcPr>
                <w:p w14:paraId="2FE4B4AC">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w:t>
                  </w:r>
                </w:p>
              </w:tc>
              <w:tc>
                <w:tcPr>
                  <w:tcW w:w="1205" w:type="dxa"/>
                  <w:vMerge w:val="continue"/>
                  <w:vAlign w:val="center"/>
                </w:tcPr>
                <w:p w14:paraId="180A6C90">
                  <w:pPr>
                    <w:spacing w:line="240" w:lineRule="auto"/>
                    <w:ind w:firstLine="0" w:firstLineChars="0"/>
                    <w:jc w:val="center"/>
                    <w:rPr>
                      <w:color w:val="auto"/>
                      <w:sz w:val="21"/>
                      <w:szCs w:val="21"/>
                    </w:rPr>
                  </w:pPr>
                </w:p>
              </w:tc>
              <w:tc>
                <w:tcPr>
                  <w:tcW w:w="2004" w:type="dxa"/>
                  <w:vAlign w:val="center"/>
                </w:tcPr>
                <w:p w14:paraId="5F10E94B">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w w:val="100"/>
                      <w:kern w:val="2"/>
                      <w:position w:val="0"/>
                      <w:sz w:val="21"/>
                      <w:szCs w:val="21"/>
                      <w:lang w:val="en-US" w:eastAsia="zh-CN" w:bidi="ar-SA"/>
                    </w:rPr>
                  </w:pPr>
                  <w:r>
                    <w:rPr>
                      <w:rFonts w:hint="eastAsia"/>
                      <w:color w:val="auto"/>
                      <w:sz w:val="21"/>
                      <w:szCs w:val="21"/>
                      <w:lang w:eastAsia="zh-CN"/>
                    </w:rPr>
                    <w:t>污水站污泥与栅渣</w:t>
                  </w:r>
                </w:p>
              </w:tc>
              <w:tc>
                <w:tcPr>
                  <w:tcW w:w="3232" w:type="dxa"/>
                  <w:tcMar>
                    <w:top w:w="0" w:type="dxa"/>
                    <w:left w:w="68" w:type="dxa"/>
                    <w:bottom w:w="0" w:type="dxa"/>
                    <w:right w:w="68" w:type="dxa"/>
                  </w:tcMar>
                  <w:vAlign w:val="center"/>
                </w:tcPr>
                <w:p w14:paraId="357D2304">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en-US" w:bidi="ar-SA"/>
                    </w:rPr>
                  </w:pPr>
                  <w:r>
                    <w:rPr>
                      <w:rFonts w:hint="default" w:ascii="Times New Roman" w:hAnsi="Times New Roman" w:eastAsia="宋体" w:cs="Times New Roman"/>
                      <w:color w:val="auto"/>
                      <w:spacing w:val="0"/>
                      <w:position w:val="0"/>
                      <w:sz w:val="21"/>
                      <w:szCs w:val="21"/>
                    </w:rPr>
                    <w:t>定期清掏，消毒后委托有资质单位处置</w:t>
                  </w:r>
                </w:p>
              </w:tc>
              <w:tc>
                <w:tcPr>
                  <w:tcW w:w="921" w:type="dxa"/>
                  <w:vMerge w:val="continue"/>
                  <w:tcMar>
                    <w:top w:w="0" w:type="dxa"/>
                    <w:left w:w="68" w:type="dxa"/>
                    <w:bottom w:w="0" w:type="dxa"/>
                    <w:right w:w="68" w:type="dxa"/>
                  </w:tcMar>
                  <w:vAlign w:val="center"/>
                </w:tcPr>
                <w:p w14:paraId="7D62E81D">
                  <w:pPr>
                    <w:spacing w:line="240" w:lineRule="auto"/>
                    <w:ind w:firstLine="0" w:firstLineChars="0"/>
                    <w:jc w:val="center"/>
                    <w:rPr>
                      <w:color w:val="auto"/>
                      <w:sz w:val="21"/>
                      <w:szCs w:val="21"/>
                    </w:rPr>
                  </w:pPr>
                </w:p>
              </w:tc>
            </w:tr>
            <w:tr w14:paraId="5C7B9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6" w:hRule="atLeast"/>
                <w:jc w:val="center"/>
              </w:trPr>
              <w:tc>
                <w:tcPr>
                  <w:tcW w:w="532" w:type="dxa"/>
                  <w:vAlign w:val="center"/>
                </w:tcPr>
                <w:p w14:paraId="3E6E9DA7">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1205" w:type="dxa"/>
                  <w:vMerge w:val="continue"/>
                  <w:vAlign w:val="center"/>
                </w:tcPr>
                <w:p w14:paraId="5ED55BD7">
                  <w:pPr>
                    <w:spacing w:line="240" w:lineRule="auto"/>
                    <w:ind w:firstLine="0" w:firstLineChars="0"/>
                    <w:jc w:val="center"/>
                    <w:rPr>
                      <w:color w:val="auto"/>
                      <w:sz w:val="21"/>
                      <w:szCs w:val="21"/>
                    </w:rPr>
                  </w:pPr>
                </w:p>
              </w:tc>
              <w:tc>
                <w:tcPr>
                  <w:tcW w:w="2004" w:type="dxa"/>
                  <w:vAlign w:val="center"/>
                </w:tcPr>
                <w:p w14:paraId="1DB86E46">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w w:val="100"/>
                      <w:kern w:val="2"/>
                      <w:position w:val="0"/>
                      <w:sz w:val="21"/>
                      <w:szCs w:val="21"/>
                      <w:lang w:val="en-US" w:eastAsia="zh-CN" w:bidi="ar-SA"/>
                    </w:rPr>
                  </w:pPr>
                  <w:r>
                    <w:rPr>
                      <w:rFonts w:hint="eastAsia" w:cs="Times New Roman"/>
                      <w:color w:val="auto"/>
                      <w:kern w:val="0"/>
                      <w:sz w:val="21"/>
                      <w:szCs w:val="21"/>
                      <w:lang w:eastAsia="zh-CN"/>
                    </w:rPr>
                    <w:t>制片边角料、</w:t>
                  </w:r>
                  <w:r>
                    <w:rPr>
                      <w:rFonts w:hint="default" w:ascii="Times New Roman" w:hAnsi="Times New Roman" w:eastAsia="宋体" w:cs="Times New Roman"/>
                      <w:color w:val="auto"/>
                      <w:spacing w:val="0"/>
                      <w:w w:val="100"/>
                      <w:position w:val="0"/>
                      <w:sz w:val="21"/>
                      <w:szCs w:val="21"/>
                    </w:rPr>
                    <w:t>生活垃圾</w:t>
                  </w:r>
                </w:p>
              </w:tc>
              <w:tc>
                <w:tcPr>
                  <w:tcW w:w="3232" w:type="dxa"/>
                  <w:tcMar>
                    <w:top w:w="0" w:type="dxa"/>
                    <w:left w:w="68" w:type="dxa"/>
                    <w:bottom w:w="0" w:type="dxa"/>
                    <w:right w:w="68" w:type="dxa"/>
                  </w:tcMar>
                  <w:vAlign w:val="center"/>
                </w:tcPr>
                <w:p w14:paraId="08D63FA1">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en-US" w:bidi="ar-SA"/>
                    </w:rPr>
                  </w:pPr>
                  <w:r>
                    <w:rPr>
                      <w:rFonts w:hint="default" w:ascii="Times New Roman" w:hAnsi="Times New Roman" w:eastAsia="宋体" w:cs="Times New Roman"/>
                      <w:color w:val="auto"/>
                      <w:spacing w:val="0"/>
                      <w:w w:val="100"/>
                      <w:position w:val="0"/>
                      <w:sz w:val="21"/>
                      <w:szCs w:val="21"/>
                    </w:rPr>
                    <w:t>设置生活垃圾桶若干，委托环卫部门处理</w:t>
                  </w:r>
                </w:p>
              </w:tc>
              <w:tc>
                <w:tcPr>
                  <w:tcW w:w="921" w:type="dxa"/>
                  <w:vMerge w:val="continue"/>
                  <w:tcMar>
                    <w:top w:w="0" w:type="dxa"/>
                    <w:left w:w="68" w:type="dxa"/>
                    <w:bottom w:w="0" w:type="dxa"/>
                    <w:right w:w="68" w:type="dxa"/>
                  </w:tcMar>
                  <w:vAlign w:val="center"/>
                </w:tcPr>
                <w:p w14:paraId="6F13D2EC">
                  <w:pPr>
                    <w:spacing w:line="240" w:lineRule="auto"/>
                    <w:ind w:firstLine="0" w:firstLineChars="0"/>
                    <w:jc w:val="center"/>
                    <w:rPr>
                      <w:color w:val="auto"/>
                      <w:sz w:val="21"/>
                      <w:szCs w:val="21"/>
                    </w:rPr>
                  </w:pPr>
                </w:p>
              </w:tc>
            </w:tr>
            <w:tr w14:paraId="70E3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77" w:hRule="atLeast"/>
                <w:jc w:val="center"/>
              </w:trPr>
              <w:tc>
                <w:tcPr>
                  <w:tcW w:w="532" w:type="dxa"/>
                  <w:vAlign w:val="center"/>
                </w:tcPr>
                <w:p w14:paraId="2CE210D7">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w:t>
                  </w:r>
                </w:p>
              </w:tc>
              <w:tc>
                <w:tcPr>
                  <w:tcW w:w="3209" w:type="dxa"/>
                  <w:gridSpan w:val="2"/>
                  <w:vAlign w:val="center"/>
                </w:tcPr>
                <w:p w14:paraId="007A9A95">
                  <w:pPr>
                    <w:adjustRightInd w:val="0"/>
                    <w:snapToGrid w:val="0"/>
                    <w:spacing w:line="240" w:lineRule="auto"/>
                    <w:ind w:firstLine="0" w:firstLineChars="0"/>
                    <w:jc w:val="center"/>
                    <w:rPr>
                      <w:bCs/>
                      <w:color w:val="auto"/>
                      <w:sz w:val="21"/>
                      <w:szCs w:val="21"/>
                    </w:rPr>
                  </w:pPr>
                  <w:r>
                    <w:rPr>
                      <w:rFonts w:hint="eastAsia"/>
                      <w:color w:val="auto"/>
                      <w:sz w:val="21"/>
                      <w:szCs w:val="21"/>
                    </w:rPr>
                    <w:t>土壤和地下水</w:t>
                  </w:r>
                </w:p>
              </w:tc>
              <w:tc>
                <w:tcPr>
                  <w:tcW w:w="3232" w:type="dxa"/>
                  <w:tcMar>
                    <w:top w:w="0" w:type="dxa"/>
                    <w:left w:w="68" w:type="dxa"/>
                    <w:bottom w:w="0" w:type="dxa"/>
                    <w:right w:w="68" w:type="dxa"/>
                  </w:tcMar>
                  <w:vAlign w:val="center"/>
                </w:tcPr>
                <w:p w14:paraId="490F4994">
                  <w:pPr>
                    <w:spacing w:line="240" w:lineRule="auto"/>
                    <w:ind w:firstLine="0" w:firstLineChars="0"/>
                    <w:jc w:val="center"/>
                    <w:rPr>
                      <w:color w:val="auto"/>
                      <w:sz w:val="21"/>
                      <w:szCs w:val="21"/>
                    </w:rPr>
                  </w:pPr>
                  <w:r>
                    <w:rPr>
                      <w:rFonts w:hint="default" w:ascii="Times New Roman" w:hAnsi="Times New Roman" w:eastAsia="宋体" w:cs="Times New Roman"/>
                      <w:color w:val="auto"/>
                      <w:spacing w:val="0"/>
                      <w:w w:val="100"/>
                      <w:position w:val="0"/>
                      <w:sz w:val="21"/>
                      <w:szCs w:val="21"/>
                    </w:rPr>
                    <w:t>医疗废物暂存间、污水处理站、事故池</w:t>
                  </w:r>
                  <w:r>
                    <w:rPr>
                      <w:rFonts w:hint="eastAsia" w:cs="Times New Roman"/>
                      <w:color w:val="auto"/>
                      <w:spacing w:val="0"/>
                      <w:w w:val="100"/>
                      <w:position w:val="0"/>
                      <w:sz w:val="21"/>
                      <w:szCs w:val="21"/>
                      <w:lang w:eastAsia="zh-CN"/>
                    </w:rPr>
                    <w:t>、</w:t>
                  </w:r>
                  <w:r>
                    <w:rPr>
                      <w:rFonts w:hint="eastAsia" w:cs="Times New Roman"/>
                      <w:color w:val="auto"/>
                      <w:spacing w:val="0"/>
                      <w:w w:val="100"/>
                      <w:position w:val="0"/>
                      <w:sz w:val="21"/>
                      <w:szCs w:val="21"/>
                      <w:lang w:val="en-US" w:eastAsia="zh-CN"/>
                    </w:rPr>
                    <w:t>储油间、二氧化氯制备间</w:t>
                  </w:r>
                  <w:r>
                    <w:rPr>
                      <w:rFonts w:hint="default" w:ascii="Times New Roman" w:hAnsi="Times New Roman" w:eastAsia="宋体" w:cs="Times New Roman"/>
                      <w:color w:val="auto"/>
                      <w:spacing w:val="0"/>
                      <w:w w:val="100"/>
                      <w:position w:val="0"/>
                      <w:sz w:val="21"/>
                      <w:szCs w:val="21"/>
                    </w:rPr>
                    <w:t>等采取重点防渗</w:t>
                  </w:r>
                  <w:r>
                    <w:rPr>
                      <w:rFonts w:hint="eastAsia"/>
                      <w:color w:val="auto"/>
                      <w:sz w:val="21"/>
                      <w:szCs w:val="21"/>
                    </w:rPr>
                    <w:t>，</w:t>
                  </w:r>
                  <w:r>
                    <w:rPr>
                      <w:rFonts w:hint="eastAsia"/>
                      <w:color w:val="auto"/>
                      <w:sz w:val="21"/>
                      <w:szCs w:val="21"/>
                      <w:lang w:eastAsia="zh-CN"/>
                    </w:rPr>
                    <w:t>办公室及其他场所</w:t>
                  </w:r>
                  <w:r>
                    <w:rPr>
                      <w:rFonts w:hint="eastAsia"/>
                      <w:color w:val="auto"/>
                      <w:sz w:val="21"/>
                      <w:szCs w:val="21"/>
                    </w:rPr>
                    <w:t>一般防渗</w:t>
                  </w:r>
                </w:p>
              </w:tc>
              <w:tc>
                <w:tcPr>
                  <w:tcW w:w="921" w:type="dxa"/>
                  <w:tcMar>
                    <w:top w:w="0" w:type="dxa"/>
                    <w:left w:w="68" w:type="dxa"/>
                    <w:bottom w:w="0" w:type="dxa"/>
                    <w:right w:w="68" w:type="dxa"/>
                  </w:tcMar>
                  <w:vAlign w:val="center"/>
                </w:tcPr>
                <w:p w14:paraId="383800D6">
                  <w:pPr>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3</w:t>
                  </w:r>
                </w:p>
              </w:tc>
            </w:tr>
            <w:tr w14:paraId="6026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532" w:type="dxa"/>
                  <w:vAlign w:val="center"/>
                </w:tcPr>
                <w:p w14:paraId="66411C1A">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9</w:t>
                  </w:r>
                </w:p>
              </w:tc>
              <w:tc>
                <w:tcPr>
                  <w:tcW w:w="3209" w:type="dxa"/>
                  <w:gridSpan w:val="2"/>
                  <w:vAlign w:val="center"/>
                </w:tcPr>
                <w:p w14:paraId="138E18AA">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0"/>
                      <w:w w:val="100"/>
                      <w:kern w:val="2"/>
                      <w:position w:val="0"/>
                      <w:sz w:val="21"/>
                      <w:szCs w:val="21"/>
                      <w:lang w:val="en-US" w:eastAsia="en-US" w:bidi="ar-SA"/>
                    </w:rPr>
                  </w:pPr>
                  <w:r>
                    <w:rPr>
                      <w:rFonts w:hint="default" w:ascii="Times New Roman" w:hAnsi="Times New Roman" w:eastAsia="宋体" w:cs="Times New Roman"/>
                      <w:color w:val="auto"/>
                      <w:spacing w:val="0"/>
                      <w:w w:val="100"/>
                      <w:position w:val="0"/>
                      <w:sz w:val="21"/>
                      <w:szCs w:val="21"/>
                    </w:rPr>
                    <w:t>环境风险</w:t>
                  </w:r>
                </w:p>
              </w:tc>
              <w:tc>
                <w:tcPr>
                  <w:tcW w:w="3232" w:type="dxa"/>
                  <w:tcMar>
                    <w:top w:w="0" w:type="dxa"/>
                    <w:left w:w="68" w:type="dxa"/>
                    <w:bottom w:w="0" w:type="dxa"/>
                    <w:right w:w="68" w:type="dxa"/>
                  </w:tcMar>
                  <w:vAlign w:val="center"/>
                </w:tcPr>
                <w:p w14:paraId="2529A4A8">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en-US" w:bidi="ar-SA"/>
                    </w:rPr>
                  </w:pPr>
                  <w:r>
                    <w:rPr>
                      <w:rFonts w:hint="default" w:ascii="Times New Roman" w:hAnsi="Times New Roman" w:eastAsia="宋体" w:cs="Times New Roman"/>
                      <w:color w:val="auto"/>
                      <w:spacing w:val="0"/>
                      <w:w w:val="100"/>
                      <w:position w:val="0"/>
                      <w:sz w:val="21"/>
                      <w:szCs w:val="21"/>
                    </w:rPr>
                    <w:t>制定环境风险应急预案，建设1座</w:t>
                  </w:r>
                  <w:r>
                    <w:rPr>
                      <w:rFonts w:hint="eastAsia" w:ascii="Times New Roman" w:hAnsi="Times New Roman" w:cs="Times New Roman"/>
                      <w:color w:val="auto"/>
                      <w:spacing w:val="0"/>
                      <w:w w:val="100"/>
                      <w:position w:val="0"/>
                      <w:sz w:val="21"/>
                      <w:szCs w:val="21"/>
                      <w:lang w:val="en-US" w:eastAsia="zh-CN"/>
                    </w:rPr>
                    <w:t>10</w:t>
                  </w:r>
                  <w:r>
                    <w:rPr>
                      <w:rFonts w:hint="default" w:ascii="Times New Roman" w:hAnsi="Times New Roman" w:eastAsia="宋体" w:cs="Times New Roman"/>
                      <w:color w:val="auto"/>
                      <w:spacing w:val="0"/>
                      <w:w w:val="100"/>
                      <w:position w:val="0"/>
                      <w:sz w:val="21"/>
                      <w:szCs w:val="21"/>
                    </w:rPr>
                    <w:t>m</w:t>
                  </w:r>
                  <w:r>
                    <w:rPr>
                      <w:rFonts w:hint="default" w:ascii="Times New Roman" w:hAnsi="Times New Roman" w:eastAsia="宋体" w:cs="Times New Roman"/>
                      <w:color w:val="auto"/>
                      <w:spacing w:val="0"/>
                      <w:w w:val="100"/>
                      <w:position w:val="0"/>
                      <w:sz w:val="21"/>
                      <w:szCs w:val="21"/>
                      <w:vertAlign w:val="superscript"/>
                    </w:rPr>
                    <w:t>2</w:t>
                  </w:r>
                  <w:r>
                    <w:rPr>
                      <w:rFonts w:hint="default" w:ascii="Times New Roman" w:hAnsi="Times New Roman" w:eastAsia="宋体" w:cs="Times New Roman"/>
                      <w:color w:val="auto"/>
                      <w:spacing w:val="0"/>
                      <w:w w:val="100"/>
                      <w:position w:val="0"/>
                      <w:sz w:val="21"/>
                      <w:szCs w:val="21"/>
                    </w:rPr>
                    <w:t>事故池</w:t>
                  </w:r>
                </w:p>
              </w:tc>
              <w:tc>
                <w:tcPr>
                  <w:tcW w:w="921" w:type="dxa"/>
                  <w:tcMar>
                    <w:top w:w="0" w:type="dxa"/>
                    <w:left w:w="68" w:type="dxa"/>
                    <w:bottom w:w="0" w:type="dxa"/>
                    <w:right w:w="68" w:type="dxa"/>
                  </w:tcMar>
                  <w:vAlign w:val="center"/>
                </w:tcPr>
                <w:p w14:paraId="53D3B0C3">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30</w:t>
                  </w:r>
                </w:p>
              </w:tc>
            </w:tr>
            <w:tr w14:paraId="0B23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973" w:type="dxa"/>
                  <w:gridSpan w:val="4"/>
                  <w:vAlign w:val="center"/>
                </w:tcPr>
                <w:p w14:paraId="59B4458A">
                  <w:pPr>
                    <w:pStyle w:val="14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w w:val="100"/>
                      <w:position w:val="0"/>
                      <w:sz w:val="21"/>
                      <w:szCs w:val="21"/>
                    </w:rPr>
                  </w:pPr>
                  <w:r>
                    <w:rPr>
                      <w:rFonts w:hint="eastAsia"/>
                      <w:b/>
                      <w:bCs/>
                      <w:color w:val="auto"/>
                      <w:sz w:val="21"/>
                      <w:szCs w:val="21"/>
                      <w:lang w:val="en-US" w:eastAsia="zh-CN"/>
                    </w:rPr>
                    <w:t>总计</w:t>
                  </w:r>
                </w:p>
              </w:tc>
              <w:tc>
                <w:tcPr>
                  <w:tcW w:w="921" w:type="dxa"/>
                  <w:tcMar>
                    <w:top w:w="0" w:type="dxa"/>
                    <w:left w:w="68" w:type="dxa"/>
                    <w:bottom w:w="0" w:type="dxa"/>
                    <w:right w:w="68" w:type="dxa"/>
                  </w:tcMar>
                  <w:vAlign w:val="center"/>
                </w:tcPr>
                <w:p w14:paraId="2A38C1AF">
                  <w:pPr>
                    <w:keepNext w:val="0"/>
                    <w:keepLines w:val="0"/>
                    <w:pageBreakBefore w:val="0"/>
                    <w:widowControl w:val="0"/>
                    <w:tabs>
                      <w:tab w:val="left" w:pos="262"/>
                    </w:tabs>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lang w:val="en-US" w:eastAsia="zh-CN"/>
                    </w:rPr>
                  </w:pPr>
                  <w:r>
                    <w:rPr>
                      <w:rFonts w:hint="eastAsia"/>
                      <w:b/>
                      <w:bCs/>
                      <w:color w:val="auto"/>
                      <w:sz w:val="21"/>
                      <w:szCs w:val="21"/>
                      <w:lang w:val="en-US" w:eastAsia="zh-CN"/>
                    </w:rPr>
                    <w:t>60</w:t>
                  </w:r>
                </w:p>
              </w:tc>
            </w:tr>
          </w:tbl>
          <w:p w14:paraId="55EE667B">
            <w:pPr>
              <w:spacing w:line="240" w:lineRule="auto"/>
              <w:ind w:left="0" w:leftChars="0" w:firstLine="0" w:firstLineChars="0"/>
              <w:rPr>
                <w:rFonts w:hint="eastAsia"/>
                <w:color w:val="auto"/>
                <w:vertAlign w:val="baseline"/>
              </w:rPr>
            </w:pPr>
          </w:p>
        </w:tc>
      </w:tr>
    </w:tbl>
    <w:p w14:paraId="7C13C39D">
      <w:pPr>
        <w:ind w:left="0" w:leftChars="0" w:firstLine="0" w:firstLineChars="0"/>
        <w:rPr>
          <w:rFonts w:hint="eastAsia"/>
          <w:color w:val="auto"/>
        </w:rPr>
        <w:sectPr>
          <w:pgSz w:w="11905" w:h="16838"/>
          <w:pgMar w:top="1440" w:right="1800" w:bottom="1440" w:left="1800" w:header="851" w:footer="850" w:gutter="0"/>
          <w:pgBorders>
            <w:top w:val="none" w:sz="0" w:space="0"/>
            <w:left w:val="none" w:sz="0" w:space="0"/>
            <w:bottom w:val="none" w:sz="0" w:space="0"/>
            <w:right w:val="none" w:sz="0" w:space="0"/>
          </w:pgBorders>
          <w:pgNumType w:fmt="decimal"/>
          <w:cols w:space="720" w:num="1"/>
          <w:docGrid w:linePitch="312" w:charSpace="0"/>
        </w:sectPr>
      </w:pPr>
    </w:p>
    <w:p w14:paraId="211D7DC1">
      <w:pPr>
        <w:pStyle w:val="3"/>
        <w:keepNext w:val="0"/>
        <w:keepLines w:val="0"/>
        <w:pageBreakBefore w:val="0"/>
        <w:widowControl w:val="0"/>
        <w:numPr>
          <w:ilvl w:val="-1"/>
          <w:numId w:val="0"/>
        </w:numPr>
        <w:kinsoku/>
        <w:wordWrap/>
        <w:overflowPunct/>
        <w:topLinePunct w:val="0"/>
        <w:autoSpaceDE/>
        <w:autoSpaceDN/>
        <w:bidi w:val="0"/>
        <w:adjustRightInd w:val="0"/>
        <w:snapToGrid/>
        <w:spacing w:before="0" w:beforeLines="0" w:after="0" w:afterLines="0"/>
        <w:ind w:firstLine="0"/>
        <w:jc w:val="center"/>
        <w:textAlignment w:val="auto"/>
        <w:rPr>
          <w:rFonts w:hint="eastAsia"/>
          <w:color w:val="auto"/>
          <w:lang w:eastAsia="zh-CN"/>
        </w:rPr>
      </w:pPr>
      <w:r>
        <w:rPr>
          <w:rFonts w:hint="eastAsia"/>
          <w:color w:val="auto"/>
          <w:lang w:eastAsia="zh-CN"/>
        </w:rPr>
        <w:t>五、</w:t>
      </w:r>
      <w:bookmarkStart w:id="0" w:name="_Hlk54167917"/>
      <w:r>
        <w:rPr>
          <w:rFonts w:hint="eastAsia"/>
          <w:color w:val="auto"/>
          <w:lang w:eastAsia="zh-CN"/>
        </w:rPr>
        <w:t>环境保护措施监督检查清单</w:t>
      </w:r>
      <w:bookmarkEnd w:id="0"/>
    </w:p>
    <w:tbl>
      <w:tblPr>
        <w:tblStyle w:val="28"/>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563"/>
        <w:gridCol w:w="2025"/>
        <w:gridCol w:w="1516"/>
        <w:gridCol w:w="2337"/>
      </w:tblGrid>
      <w:tr w14:paraId="3A8F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9" w:type="dxa"/>
            <w:tcBorders>
              <w:tl2br w:val="single" w:color="auto" w:sz="4" w:space="0"/>
            </w:tcBorders>
            <w:noWrap w:val="0"/>
            <w:vAlign w:val="top"/>
          </w:tcPr>
          <w:p w14:paraId="4E265510">
            <w:pPr>
              <w:adjustRightInd w:val="0"/>
              <w:snapToGrid w:val="0"/>
              <w:spacing w:line="240" w:lineRule="auto"/>
              <w:ind w:firstLine="0" w:firstLineChars="0"/>
              <w:jc w:val="right"/>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内容</w:t>
            </w:r>
          </w:p>
          <w:p w14:paraId="6BD7F3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要素</w:t>
            </w:r>
          </w:p>
        </w:tc>
        <w:tc>
          <w:tcPr>
            <w:tcW w:w="1563" w:type="dxa"/>
            <w:noWrap w:val="0"/>
            <w:vAlign w:val="center"/>
          </w:tcPr>
          <w:p w14:paraId="406956F9">
            <w:pPr>
              <w:adjustRightInd w:val="0"/>
              <w:snapToGrid w:val="0"/>
              <w:spacing w:line="240" w:lineRule="auto"/>
              <w:ind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排放口</w:t>
            </w:r>
            <w:r>
              <w:rPr>
                <w:rFonts w:hint="eastAsia" w:ascii="宋体" w:hAnsi="宋体" w:cs="宋体"/>
                <w:b/>
                <w:bCs/>
                <w:color w:val="auto"/>
                <w:sz w:val="24"/>
                <w:szCs w:val="24"/>
                <w:lang w:eastAsia="zh-CN"/>
              </w:rPr>
              <w:t>（</w:t>
            </w:r>
            <w:r>
              <w:rPr>
                <w:rFonts w:hint="eastAsia" w:ascii="宋体" w:hAnsi="宋体" w:eastAsia="宋体" w:cs="宋体"/>
                <w:b/>
                <w:bCs/>
                <w:color w:val="auto"/>
                <w:sz w:val="24"/>
                <w:szCs w:val="24"/>
              </w:rPr>
              <w:t>编号、名称</w:t>
            </w:r>
            <w:r>
              <w:rPr>
                <w:rFonts w:hint="eastAsia" w:ascii="宋体" w:hAnsi="宋体" w:cs="宋体"/>
                <w:b/>
                <w:bCs/>
                <w:color w:val="auto"/>
                <w:sz w:val="24"/>
                <w:szCs w:val="24"/>
                <w:lang w:eastAsia="zh-CN"/>
              </w:rPr>
              <w:t>）</w:t>
            </w:r>
            <w:r>
              <w:rPr>
                <w:rFonts w:hint="eastAsia" w:ascii="宋体" w:hAnsi="宋体" w:eastAsia="宋体" w:cs="宋体"/>
                <w:b/>
                <w:bCs/>
                <w:color w:val="auto"/>
                <w:sz w:val="24"/>
                <w:szCs w:val="24"/>
              </w:rPr>
              <w:t>/污染源</w:t>
            </w:r>
          </w:p>
        </w:tc>
        <w:tc>
          <w:tcPr>
            <w:tcW w:w="2025" w:type="dxa"/>
            <w:noWrap w:val="0"/>
            <w:vAlign w:val="center"/>
          </w:tcPr>
          <w:p w14:paraId="616AF3CF">
            <w:pPr>
              <w:adjustRightInd w:val="0"/>
              <w:snapToGrid w:val="0"/>
              <w:spacing w:line="240" w:lineRule="auto"/>
              <w:ind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污染物项目</w:t>
            </w:r>
          </w:p>
        </w:tc>
        <w:tc>
          <w:tcPr>
            <w:tcW w:w="1516" w:type="dxa"/>
            <w:noWrap w:val="0"/>
            <w:vAlign w:val="center"/>
          </w:tcPr>
          <w:p w14:paraId="417C6828">
            <w:pPr>
              <w:adjustRightInd w:val="0"/>
              <w:snapToGrid w:val="0"/>
              <w:spacing w:line="240" w:lineRule="auto"/>
              <w:ind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环境保护措施</w:t>
            </w:r>
          </w:p>
        </w:tc>
        <w:tc>
          <w:tcPr>
            <w:tcW w:w="2337" w:type="dxa"/>
            <w:noWrap w:val="0"/>
            <w:vAlign w:val="center"/>
          </w:tcPr>
          <w:p w14:paraId="787FA7AE">
            <w:pPr>
              <w:adjustRightInd w:val="0"/>
              <w:snapToGrid w:val="0"/>
              <w:spacing w:line="240" w:lineRule="auto"/>
              <w:ind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执行标准</w:t>
            </w:r>
          </w:p>
        </w:tc>
      </w:tr>
      <w:tr w14:paraId="0DBF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59" w:type="dxa"/>
            <w:noWrap w:val="0"/>
            <w:vAlign w:val="center"/>
          </w:tcPr>
          <w:p w14:paraId="1BD90EE3">
            <w:pPr>
              <w:adjustRightInd w:val="0"/>
              <w:snapToGrid w:val="0"/>
              <w:spacing w:line="240" w:lineRule="auto"/>
              <w:ind w:firstLine="0" w:firstLineChars="0"/>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大气环境</w:t>
            </w:r>
          </w:p>
        </w:tc>
        <w:tc>
          <w:tcPr>
            <w:tcW w:w="1563" w:type="dxa"/>
            <w:noWrap w:val="0"/>
            <w:vAlign w:val="center"/>
          </w:tcPr>
          <w:p w14:paraId="23828141">
            <w:pPr>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污水处理站废气</w:t>
            </w:r>
          </w:p>
        </w:tc>
        <w:tc>
          <w:tcPr>
            <w:tcW w:w="2025" w:type="dxa"/>
            <w:noWrap w:val="0"/>
            <w:vAlign w:val="center"/>
          </w:tcPr>
          <w:p w14:paraId="37698611">
            <w:pPr>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NH</w:t>
            </w:r>
            <w:r>
              <w:rPr>
                <w:rFonts w:hint="eastAsia" w:cs="Times New Roman"/>
                <w:color w:val="auto"/>
                <w:sz w:val="24"/>
                <w:szCs w:val="24"/>
                <w:vertAlign w:val="subscript"/>
                <w:lang w:val="en-US" w:eastAsia="zh-CN"/>
              </w:rPr>
              <w:t>3</w:t>
            </w:r>
            <w:r>
              <w:rPr>
                <w:rFonts w:hint="eastAsia" w:cs="Times New Roman"/>
                <w:color w:val="auto"/>
                <w:sz w:val="24"/>
                <w:szCs w:val="24"/>
                <w:lang w:val="en-US" w:eastAsia="zh-CN"/>
              </w:rPr>
              <w:t>、H</w:t>
            </w:r>
            <w:r>
              <w:rPr>
                <w:rFonts w:hint="eastAsia" w:cs="Times New Roman"/>
                <w:color w:val="auto"/>
                <w:sz w:val="24"/>
                <w:szCs w:val="24"/>
                <w:vertAlign w:val="subscript"/>
                <w:lang w:val="en-US" w:eastAsia="zh-CN"/>
              </w:rPr>
              <w:t>2</w:t>
            </w:r>
            <w:r>
              <w:rPr>
                <w:rFonts w:hint="eastAsia" w:cs="Times New Roman"/>
                <w:color w:val="auto"/>
                <w:sz w:val="24"/>
                <w:szCs w:val="24"/>
                <w:lang w:val="en-US" w:eastAsia="zh-CN"/>
              </w:rPr>
              <w:t>S、臭气浓度</w:t>
            </w:r>
          </w:p>
        </w:tc>
        <w:tc>
          <w:tcPr>
            <w:tcW w:w="1516" w:type="dxa"/>
            <w:noWrap w:val="0"/>
            <w:vAlign w:val="center"/>
          </w:tcPr>
          <w:p w14:paraId="5C7C90A9">
            <w:pPr>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pacing w:val="0"/>
                <w:position w:val="0"/>
                <w:sz w:val="24"/>
                <w:szCs w:val="24"/>
              </w:rPr>
              <w:t>污水处理站为地埋式，构筑物加盖封闭，喷洒生物制剂除臭处理后，无组织排放</w:t>
            </w:r>
          </w:p>
        </w:tc>
        <w:tc>
          <w:tcPr>
            <w:tcW w:w="2337" w:type="dxa"/>
            <w:noWrap w:val="0"/>
            <w:vAlign w:val="center"/>
          </w:tcPr>
          <w:p w14:paraId="2A5AC8C6">
            <w:pPr>
              <w:adjustRightInd w:val="0"/>
              <w:snapToGrid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《医疗机构水污染物排放标准》(GB18466-2005</w:t>
            </w:r>
            <w:r>
              <w:rPr>
                <w:rFonts w:hint="eastAsia" w:cs="Times New Roman"/>
                <w:color w:val="auto"/>
                <w:sz w:val="24"/>
                <w:szCs w:val="24"/>
                <w:lang w:eastAsia="zh-CN"/>
              </w:rPr>
              <w:t>）</w:t>
            </w:r>
            <w:r>
              <w:rPr>
                <w:rFonts w:hint="default" w:ascii="Times New Roman" w:hAnsi="Times New Roman" w:cs="Times New Roman"/>
                <w:color w:val="auto"/>
                <w:sz w:val="24"/>
                <w:szCs w:val="24"/>
              </w:rPr>
              <w:t>表3</w:t>
            </w:r>
            <w:r>
              <w:rPr>
                <w:rFonts w:hint="default" w:ascii="Times New Roman" w:hAnsi="Times New Roman" w:eastAsia="宋体" w:cs="Times New Roman"/>
                <w:color w:val="auto"/>
                <w:kern w:val="0"/>
                <w:sz w:val="24"/>
                <w:szCs w:val="24"/>
                <w:highlight w:val="none"/>
                <w:lang w:val="en-US" w:eastAsia="zh-CN" w:bidi="ar"/>
              </w:rPr>
              <w:t>标准限值</w:t>
            </w:r>
            <w:r>
              <w:rPr>
                <w:rFonts w:hint="eastAsia"/>
                <w:color w:val="auto"/>
                <w:sz w:val="24"/>
                <w:szCs w:val="24"/>
                <w:lang w:val="en-US" w:eastAsia="zh-CN"/>
              </w:rPr>
              <w:t>及《恶臭污染物排放标准》（GB14554-93）</w:t>
            </w:r>
          </w:p>
        </w:tc>
      </w:tr>
      <w:tr w14:paraId="39B8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1359" w:type="dxa"/>
            <w:noWrap w:val="0"/>
            <w:vAlign w:val="center"/>
          </w:tcPr>
          <w:p w14:paraId="4B74B9D8">
            <w:pPr>
              <w:adjustRightInd w:val="0"/>
              <w:snapToGrid w:val="0"/>
              <w:spacing w:line="240" w:lineRule="auto"/>
              <w:ind w:firstLine="0" w:firstLineChars="0"/>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地表水环境</w:t>
            </w:r>
          </w:p>
        </w:tc>
        <w:tc>
          <w:tcPr>
            <w:tcW w:w="1563" w:type="dxa"/>
            <w:noWrap w:val="0"/>
            <w:vAlign w:val="center"/>
          </w:tcPr>
          <w:p w14:paraId="52B65BFA">
            <w:pPr>
              <w:adjustRightInd w:val="0"/>
              <w:snapToGrid w:val="0"/>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厂区废水总排口DW001</w:t>
            </w:r>
          </w:p>
        </w:tc>
        <w:tc>
          <w:tcPr>
            <w:tcW w:w="2025" w:type="dxa"/>
            <w:noWrap w:val="0"/>
            <w:vAlign w:val="center"/>
          </w:tcPr>
          <w:p w14:paraId="72496B9E">
            <w:pPr>
              <w:adjustRightInd w:val="0"/>
              <w:snapToGrid w:val="0"/>
              <w:spacing w:line="240" w:lineRule="auto"/>
              <w:ind w:firstLine="0" w:firstLineChars="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pH、</w:t>
            </w:r>
            <w:r>
              <w:rPr>
                <w:rFonts w:hint="default" w:ascii="Times New Roman" w:hAnsi="Times New Roman" w:eastAsia="宋体" w:cs="Times New Roman"/>
                <w:color w:val="auto"/>
                <w:sz w:val="24"/>
                <w:szCs w:val="24"/>
              </w:rPr>
              <w:t>COD、BOD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、氨氮、SS、粪大肠杆菌数</w:t>
            </w:r>
            <w:r>
              <w:rPr>
                <w:rFonts w:hint="eastAsia" w:cs="Times New Roman"/>
                <w:color w:val="auto"/>
                <w:sz w:val="24"/>
                <w:szCs w:val="24"/>
                <w:lang w:eastAsia="zh-CN"/>
              </w:rPr>
              <w:t>、动植物油、阴离子表面活性剂、总余氯</w:t>
            </w:r>
          </w:p>
        </w:tc>
        <w:tc>
          <w:tcPr>
            <w:tcW w:w="1516" w:type="dxa"/>
            <w:noWrap w:val="0"/>
            <w:vAlign w:val="center"/>
          </w:tcPr>
          <w:p w14:paraId="0B20A9C2">
            <w:pPr>
              <w:adjustRightInd w:val="0"/>
              <w:snapToGrid w:val="0"/>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color w:val="auto"/>
                <w:sz w:val="24"/>
                <w:szCs w:val="24"/>
                <w:highlight w:val="none"/>
                <w:lang w:val="en-US" w:eastAsia="zh-CN"/>
              </w:rPr>
              <w:t>隔油池+一体化生化处理设备+二氧化氯消毒</w:t>
            </w:r>
          </w:p>
        </w:tc>
        <w:tc>
          <w:tcPr>
            <w:tcW w:w="2337" w:type="dxa"/>
            <w:noWrap w:val="0"/>
            <w:vAlign w:val="center"/>
          </w:tcPr>
          <w:p w14:paraId="73BBA87F">
            <w:pPr>
              <w:adjustRightInd w:val="0"/>
              <w:snapToGrid w:val="0"/>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《医疗机构水污染物排放标准》(GB18466-2005</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表2</w:t>
            </w:r>
            <w:r>
              <w:rPr>
                <w:rFonts w:hint="default" w:ascii="Times New Roman" w:hAnsi="Times New Roman" w:eastAsia="宋体" w:cs="Times New Roman"/>
                <w:color w:val="auto"/>
                <w:kern w:val="0"/>
                <w:sz w:val="24"/>
                <w:szCs w:val="24"/>
                <w:highlight w:val="none"/>
                <w:lang w:val="en-US" w:eastAsia="zh-CN" w:bidi="ar"/>
              </w:rPr>
              <w:t>中标准限值</w:t>
            </w:r>
            <w:r>
              <w:rPr>
                <w:rFonts w:hint="default" w:ascii="Times New Roman" w:hAnsi="Times New Roman" w:cs="Times New Roman"/>
                <w:color w:val="auto"/>
                <w:kern w:val="0"/>
                <w:sz w:val="24"/>
                <w:szCs w:val="24"/>
                <w:highlight w:val="none"/>
                <w:lang w:val="en-US" w:eastAsia="zh-CN" w:bidi="ar"/>
              </w:rPr>
              <w:t>和</w:t>
            </w:r>
            <w:r>
              <w:rPr>
                <w:rFonts w:hint="eastAsia" w:cs="Times New Roman"/>
                <w:color w:val="auto"/>
                <w:sz w:val="24"/>
                <w:szCs w:val="24"/>
                <w:highlight w:val="none"/>
                <w:lang w:val="en-US" w:eastAsia="zh-CN"/>
              </w:rPr>
              <w:t>泗县污水处理厂</w:t>
            </w:r>
            <w:r>
              <w:rPr>
                <w:rFonts w:hint="default" w:ascii="Times New Roman" w:hAnsi="Times New Roman" w:cs="Times New Roman"/>
                <w:color w:val="auto"/>
                <w:sz w:val="24"/>
                <w:szCs w:val="24"/>
                <w:highlight w:val="none"/>
                <w:lang w:val="en-US" w:eastAsia="zh-CN"/>
              </w:rPr>
              <w:t>接管标准</w:t>
            </w:r>
          </w:p>
        </w:tc>
      </w:tr>
      <w:tr w14:paraId="231C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359" w:type="dxa"/>
            <w:noWrap w:val="0"/>
            <w:vAlign w:val="center"/>
          </w:tcPr>
          <w:p w14:paraId="79C650E9">
            <w:pPr>
              <w:adjustRightInd w:val="0"/>
              <w:snapToGrid w:val="0"/>
              <w:spacing w:line="240" w:lineRule="auto"/>
              <w:ind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声环境</w:t>
            </w:r>
          </w:p>
        </w:tc>
        <w:tc>
          <w:tcPr>
            <w:tcW w:w="7441" w:type="dxa"/>
            <w:gridSpan w:val="4"/>
            <w:noWrap w:val="0"/>
            <w:vAlign w:val="center"/>
          </w:tcPr>
          <w:p w14:paraId="24698A11">
            <w:pPr>
              <w:adjustRightInd w:val="0"/>
              <w:snapToGrid w:val="0"/>
              <w:spacing w:line="240" w:lineRule="auto"/>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经过选用低噪声设备，</w:t>
            </w:r>
            <w:r>
              <w:rPr>
                <w:rFonts w:hint="eastAsia" w:cs="Times New Roman"/>
                <w:color w:val="auto"/>
                <w:sz w:val="24"/>
                <w:szCs w:val="24"/>
                <w:lang w:val="en-US" w:eastAsia="zh-CN"/>
              </w:rPr>
              <w:t>加设减震基座</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院区东、南、西</w:t>
            </w:r>
            <w:r>
              <w:rPr>
                <w:rFonts w:hint="default" w:ascii="Times New Roman" w:hAnsi="Times New Roman" w:eastAsia="宋体" w:cs="Times New Roman"/>
                <w:color w:val="auto"/>
                <w:sz w:val="24"/>
                <w:szCs w:val="24"/>
                <w:lang w:val="en-US" w:eastAsia="zh-CN"/>
              </w:rPr>
              <w:t>厂</w:t>
            </w:r>
            <w:r>
              <w:rPr>
                <w:rFonts w:hint="default" w:ascii="Times New Roman" w:hAnsi="Times New Roman" w:eastAsia="宋体" w:cs="Times New Roman"/>
                <w:color w:val="auto"/>
                <w:sz w:val="24"/>
                <w:szCs w:val="24"/>
              </w:rPr>
              <w:t>界噪声达到《工业企业厂界环境噪声排放标准》（GB12348-2008）中的</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类功能区标准要求</w:t>
            </w:r>
            <w:r>
              <w:rPr>
                <w:rFonts w:hint="eastAsia" w:cs="Times New Roman"/>
                <w:color w:val="auto"/>
                <w:sz w:val="24"/>
                <w:szCs w:val="24"/>
                <w:lang w:eastAsia="zh-CN"/>
              </w:rPr>
              <w:t>，</w:t>
            </w:r>
            <w:r>
              <w:rPr>
                <w:rFonts w:hint="eastAsia" w:cs="Times New Roman"/>
                <w:color w:val="auto"/>
                <w:sz w:val="24"/>
                <w:szCs w:val="24"/>
                <w:lang w:val="en-US" w:eastAsia="zh-CN"/>
              </w:rPr>
              <w:t>院区北厂界</w:t>
            </w:r>
            <w:r>
              <w:rPr>
                <w:rFonts w:hint="default" w:ascii="Times New Roman" w:hAnsi="Times New Roman" w:eastAsia="宋体" w:cs="Times New Roman"/>
                <w:color w:val="auto"/>
                <w:sz w:val="24"/>
                <w:szCs w:val="24"/>
              </w:rPr>
              <w:t>达到《工业企业厂界环境噪声排放标准》（GB12348-2008）中的</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类功能区标准要求。</w:t>
            </w:r>
          </w:p>
        </w:tc>
      </w:tr>
      <w:tr w14:paraId="2CA4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359" w:type="dxa"/>
            <w:noWrap w:val="0"/>
            <w:vAlign w:val="center"/>
          </w:tcPr>
          <w:p w14:paraId="1A68E8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24"/>
                <w:szCs w:val="24"/>
              </w:rPr>
            </w:pPr>
            <w:r>
              <w:rPr>
                <w:rFonts w:hint="eastAsia"/>
                <w:b/>
                <w:bCs/>
                <w:color w:val="auto"/>
                <w:sz w:val="24"/>
                <w:szCs w:val="24"/>
                <w:vertAlign w:val="baseline"/>
              </w:rPr>
              <w:t>电磁辐射</w:t>
            </w:r>
          </w:p>
        </w:tc>
        <w:tc>
          <w:tcPr>
            <w:tcW w:w="7441" w:type="dxa"/>
            <w:gridSpan w:val="4"/>
            <w:noWrap w:val="0"/>
            <w:vAlign w:val="center"/>
          </w:tcPr>
          <w:p w14:paraId="59DAB8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r>
              <w:rPr>
                <w:rFonts w:hint="eastAsia"/>
                <w:b w:val="0"/>
                <w:bCs w:val="0"/>
                <w:color w:val="auto"/>
                <w:sz w:val="24"/>
                <w:szCs w:val="24"/>
                <w:vertAlign w:val="baseline"/>
                <w:lang w:val="en-US" w:eastAsia="zh-CN"/>
              </w:rPr>
              <w:t>无</w:t>
            </w:r>
          </w:p>
        </w:tc>
      </w:tr>
      <w:tr w14:paraId="49AD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59" w:type="dxa"/>
            <w:noWrap w:val="0"/>
            <w:vAlign w:val="center"/>
          </w:tcPr>
          <w:p w14:paraId="6E11A6DB">
            <w:pPr>
              <w:adjustRightInd w:val="0"/>
              <w:snapToGrid w:val="0"/>
              <w:spacing w:line="240" w:lineRule="auto"/>
              <w:ind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固体废物</w:t>
            </w:r>
          </w:p>
        </w:tc>
        <w:tc>
          <w:tcPr>
            <w:tcW w:w="7441" w:type="dxa"/>
            <w:gridSpan w:val="4"/>
            <w:noWrap w:val="0"/>
            <w:vAlign w:val="center"/>
          </w:tcPr>
          <w:p w14:paraId="38B6C43E">
            <w:pPr>
              <w:adjustRightInd w:val="0"/>
              <w:snapToGrid w:val="0"/>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医疗废物分类收集后，暂存</w:t>
            </w:r>
            <w:r>
              <w:rPr>
                <w:rFonts w:hint="eastAsia" w:cs="Times New Roman"/>
                <w:color w:val="auto"/>
                <w:sz w:val="24"/>
                <w:szCs w:val="24"/>
                <w:lang w:val="en-US" w:eastAsia="zh-CN"/>
              </w:rPr>
              <w:t>医疗废物暂存间</w:t>
            </w:r>
            <w:r>
              <w:rPr>
                <w:rFonts w:hint="default" w:ascii="Times New Roman" w:hAnsi="Times New Roman" w:eastAsia="宋体" w:cs="Times New Roman"/>
                <w:color w:val="auto"/>
                <w:sz w:val="24"/>
                <w:szCs w:val="24"/>
                <w:lang w:val="en-US" w:eastAsia="zh-CN"/>
              </w:rPr>
              <w:t>，委托有资质单位处置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污水站污泥与栅渣定期清掏</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消毒后委托有资质单位处置；未污染的一次性输液袋（瓶）、一次性医用外包装物</w:t>
            </w:r>
            <w:r>
              <w:rPr>
                <w:rFonts w:hint="eastAsia" w:cs="Times New Roman"/>
                <w:color w:val="auto"/>
                <w:sz w:val="24"/>
                <w:szCs w:val="24"/>
                <w:lang w:val="en-US" w:eastAsia="zh-CN"/>
              </w:rPr>
              <w:t>，由专业单位回收利用或处置；制片边角料、</w:t>
            </w:r>
            <w:r>
              <w:rPr>
                <w:rFonts w:hint="default" w:ascii="Times New Roman" w:hAnsi="Times New Roman" w:eastAsia="宋体" w:cs="Times New Roman"/>
                <w:color w:val="auto"/>
                <w:sz w:val="24"/>
                <w:szCs w:val="24"/>
                <w:lang w:val="en-US" w:eastAsia="zh-CN"/>
              </w:rPr>
              <w:t>生活垃圾分类集中收集后由环卫部门统一清运。</w:t>
            </w:r>
          </w:p>
        </w:tc>
      </w:tr>
      <w:tr w14:paraId="610D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59" w:type="dxa"/>
            <w:noWrap w:val="0"/>
            <w:vAlign w:val="center"/>
          </w:tcPr>
          <w:p w14:paraId="0D9C7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4"/>
                <w:szCs w:val="24"/>
                <w:vertAlign w:val="baseline"/>
                <w:lang w:val="en-US" w:eastAsia="zh-CN" w:bidi="ar-SA"/>
              </w:rPr>
            </w:pPr>
            <w:r>
              <w:rPr>
                <w:rFonts w:hint="eastAsia"/>
                <w:b/>
                <w:bCs/>
                <w:color w:val="auto"/>
                <w:sz w:val="24"/>
                <w:szCs w:val="24"/>
              </w:rPr>
              <w:t>土壤及地下水污染防治措施</w:t>
            </w:r>
          </w:p>
        </w:tc>
        <w:tc>
          <w:tcPr>
            <w:tcW w:w="7441" w:type="dxa"/>
            <w:gridSpan w:val="4"/>
            <w:noWrap w:val="0"/>
            <w:vAlign w:val="center"/>
          </w:tcPr>
          <w:p w14:paraId="65D28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b w:val="0"/>
                <w:bCs w:val="0"/>
                <w:color w:val="auto"/>
                <w:sz w:val="24"/>
                <w:szCs w:val="24"/>
                <w:vertAlign w:val="baseline"/>
                <w:lang w:val="en-US" w:eastAsia="zh-CN"/>
              </w:rPr>
              <w:t>分区防渗，医疗废物暂存间、污水处理站、应急事故池、储油间、二氧化氯制备间等重点防渗，办公室及其他场所一般防渗</w:t>
            </w:r>
          </w:p>
        </w:tc>
      </w:tr>
      <w:tr w14:paraId="4A2B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59" w:type="dxa"/>
            <w:noWrap w:val="0"/>
            <w:vAlign w:val="center"/>
          </w:tcPr>
          <w:p w14:paraId="062B60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4"/>
                <w:szCs w:val="24"/>
              </w:rPr>
            </w:pPr>
            <w:r>
              <w:rPr>
                <w:rFonts w:hint="eastAsia" w:ascii="宋体" w:hAnsi="宋体" w:cs="宋体"/>
                <w:b/>
                <w:bCs/>
                <w:color w:val="auto"/>
                <w:szCs w:val="21"/>
              </w:rPr>
              <w:t>生态保护措施</w:t>
            </w:r>
          </w:p>
        </w:tc>
        <w:tc>
          <w:tcPr>
            <w:tcW w:w="7441" w:type="dxa"/>
            <w:gridSpan w:val="4"/>
            <w:noWrap w:val="0"/>
            <w:vAlign w:val="center"/>
          </w:tcPr>
          <w:p w14:paraId="7052D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4"/>
                <w:szCs w:val="24"/>
                <w:vertAlign w:val="baseline"/>
                <w:lang w:val="en-US" w:eastAsia="zh-CN"/>
              </w:rPr>
            </w:pPr>
            <w:r>
              <w:rPr>
                <w:rFonts w:hint="eastAsia"/>
                <w:b w:val="0"/>
                <w:bCs w:val="0"/>
                <w:color w:val="auto"/>
                <w:sz w:val="24"/>
                <w:szCs w:val="24"/>
                <w:vertAlign w:val="baseline"/>
                <w:lang w:val="en-US" w:eastAsia="zh-CN"/>
              </w:rPr>
              <w:t>无</w:t>
            </w:r>
          </w:p>
        </w:tc>
      </w:tr>
      <w:tr w14:paraId="1BA4E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1359" w:type="dxa"/>
            <w:noWrap w:val="0"/>
            <w:vAlign w:val="center"/>
          </w:tcPr>
          <w:p w14:paraId="443EE2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
                <w:bCs/>
                <w:color w:val="auto"/>
                <w:szCs w:val="21"/>
              </w:rPr>
            </w:pPr>
            <w:r>
              <w:rPr>
                <w:rFonts w:hint="eastAsia" w:ascii="宋体" w:hAnsi="宋体" w:cs="宋体"/>
                <w:b/>
                <w:bCs/>
                <w:color w:val="auto"/>
                <w:szCs w:val="21"/>
              </w:rPr>
              <w:t>环境风险</w:t>
            </w:r>
          </w:p>
          <w:p w14:paraId="691F07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
                <w:bCs/>
                <w:color w:val="auto"/>
                <w:szCs w:val="21"/>
              </w:rPr>
            </w:pPr>
            <w:r>
              <w:rPr>
                <w:rFonts w:hint="eastAsia" w:ascii="宋体" w:hAnsi="宋体" w:cs="宋体"/>
                <w:b/>
                <w:bCs/>
                <w:color w:val="auto"/>
                <w:szCs w:val="21"/>
              </w:rPr>
              <w:t>防范措施</w:t>
            </w:r>
          </w:p>
        </w:tc>
        <w:tc>
          <w:tcPr>
            <w:tcW w:w="7441" w:type="dxa"/>
            <w:gridSpan w:val="4"/>
            <w:noWrap w:val="0"/>
            <w:vAlign w:val="center"/>
          </w:tcPr>
          <w:p w14:paraId="3715D8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新建一座10m</w:t>
            </w:r>
            <w:r>
              <w:rPr>
                <w:rFonts w:hint="eastAsia"/>
                <w:b w:val="0"/>
                <w:bCs w:val="0"/>
                <w:color w:val="auto"/>
                <w:sz w:val="24"/>
                <w:szCs w:val="24"/>
                <w:vertAlign w:val="superscript"/>
                <w:lang w:val="en-US" w:eastAsia="zh-CN"/>
              </w:rPr>
              <w:t>3</w:t>
            </w:r>
            <w:r>
              <w:rPr>
                <w:rFonts w:hint="eastAsia"/>
                <w:b w:val="0"/>
                <w:bCs w:val="0"/>
                <w:color w:val="auto"/>
                <w:sz w:val="24"/>
                <w:szCs w:val="24"/>
                <w:vertAlign w:val="baseline"/>
                <w:lang w:val="en-US" w:eastAsia="zh-CN"/>
              </w:rPr>
              <w:t>应急事故池；编制企业突发环境事件应急预案，并报生态环境主管部门备案</w:t>
            </w:r>
          </w:p>
        </w:tc>
      </w:tr>
      <w:tr w14:paraId="33C6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1359" w:type="dxa"/>
            <w:noWrap w:val="0"/>
            <w:vAlign w:val="center"/>
          </w:tcPr>
          <w:p w14:paraId="7428C9CF">
            <w:pPr>
              <w:adjustRightInd w:val="0"/>
              <w:snapToGrid w:val="0"/>
              <w:spacing w:line="240" w:lineRule="auto"/>
              <w:ind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其他环境</w:t>
            </w:r>
          </w:p>
          <w:p w14:paraId="6158CA93">
            <w:pPr>
              <w:adjustRightInd w:val="0"/>
              <w:snapToGrid w:val="0"/>
              <w:spacing w:line="240" w:lineRule="auto"/>
              <w:ind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管理要求</w:t>
            </w:r>
          </w:p>
        </w:tc>
        <w:tc>
          <w:tcPr>
            <w:tcW w:w="7441" w:type="dxa"/>
            <w:gridSpan w:val="4"/>
            <w:noWrap w:val="0"/>
            <w:vAlign w:val="center"/>
          </w:tcPr>
          <w:p w14:paraId="5C3E2859">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outlineLvl w:val="1"/>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排污口规范化</w:t>
            </w:r>
          </w:p>
          <w:p w14:paraId="407620C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sz w:val="24"/>
                <w:szCs w:val="24"/>
                <w:highlight w:val="none"/>
              </w:rPr>
            </w:pPr>
            <w:r>
              <w:rPr>
                <w:rFonts w:hint="default" w:ascii="Times New Roman" w:hAnsi="Times New Roman" w:eastAsia="宋体" w:cs="Times New Roman"/>
                <w:color w:val="auto"/>
                <w:spacing w:val="0"/>
                <w:w w:val="100"/>
                <w:sz w:val="24"/>
                <w:szCs w:val="24"/>
                <w:highlight w:val="none"/>
              </w:rPr>
              <w:t>根据国家标准《环境保护图形标志—排放口（源）》和国家环保总局《排污口规范化整治要求（试行）》的技术要求，企业所有排放口必须按照“便于采样、便于计量监测、便于日常现场监督检查”的原则和规范化要求，设置排污口标志牌，绘制企业排污口公布图，同时对污水排放口安装流量计，对治理设施安装运行监控装置。</w:t>
            </w:r>
          </w:p>
          <w:p w14:paraId="30939B4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sz w:val="24"/>
                <w:szCs w:val="24"/>
                <w:highlight w:val="none"/>
              </w:rPr>
            </w:pPr>
          </w:p>
          <w:p w14:paraId="6C6FC0D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sz w:val="24"/>
                <w:szCs w:val="24"/>
                <w:highlight w:val="none"/>
              </w:rPr>
            </w:pPr>
            <w:r>
              <w:rPr>
                <w:rFonts w:hint="default" w:ascii="Times New Roman" w:hAnsi="Times New Roman" w:eastAsia="宋体" w:cs="Times New Roman"/>
                <w:color w:val="auto"/>
                <w:spacing w:val="0"/>
                <w:w w:val="100"/>
                <w:sz w:val="24"/>
                <w:szCs w:val="24"/>
                <w:highlight w:val="none"/>
              </w:rPr>
              <w:t>（1）废水排放口</w:t>
            </w:r>
          </w:p>
          <w:p w14:paraId="014B8F2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sz w:val="24"/>
                <w:szCs w:val="24"/>
                <w:highlight w:val="none"/>
              </w:rPr>
            </w:pPr>
            <w:r>
              <w:rPr>
                <w:rFonts w:hint="default" w:ascii="Times New Roman" w:hAnsi="Times New Roman" w:eastAsia="宋体" w:cs="Times New Roman"/>
                <w:color w:val="auto"/>
                <w:spacing w:val="0"/>
                <w:w w:val="100"/>
                <w:sz w:val="24"/>
                <w:szCs w:val="24"/>
                <w:highlight w:val="none"/>
              </w:rPr>
              <w:t>建设项目厂区的排水体制必须实施“雨污分流”制，即全厂设置污水排放口一个，雨水排放口一个，排污口必须进行规范化建设，便于采样、监测，并设置排污口标志。</w:t>
            </w:r>
          </w:p>
          <w:p w14:paraId="6AA565C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sz w:val="24"/>
                <w:szCs w:val="24"/>
                <w:highlight w:val="none"/>
              </w:rPr>
            </w:pPr>
            <w:r>
              <w:rPr>
                <w:rFonts w:hint="default" w:ascii="Times New Roman" w:hAnsi="Times New Roman" w:eastAsia="宋体" w:cs="Times New Roman"/>
                <w:color w:val="auto"/>
                <w:spacing w:val="0"/>
                <w:w w:val="100"/>
                <w:sz w:val="24"/>
                <w:szCs w:val="24"/>
                <w:highlight w:val="none"/>
              </w:rPr>
              <w:t>（</w:t>
            </w:r>
            <w:r>
              <w:rPr>
                <w:rFonts w:hint="eastAsia" w:eastAsia="宋体" w:cs="Times New Roman"/>
                <w:color w:val="auto"/>
                <w:spacing w:val="0"/>
                <w:w w:val="100"/>
                <w:sz w:val="24"/>
                <w:szCs w:val="24"/>
                <w:highlight w:val="none"/>
                <w:lang w:val="en-US" w:eastAsia="zh-CN"/>
              </w:rPr>
              <w:t>2</w:t>
            </w:r>
            <w:r>
              <w:rPr>
                <w:rFonts w:hint="default" w:ascii="Times New Roman" w:hAnsi="Times New Roman" w:eastAsia="宋体" w:cs="Times New Roman"/>
                <w:color w:val="auto"/>
                <w:spacing w:val="0"/>
                <w:w w:val="100"/>
                <w:sz w:val="24"/>
                <w:szCs w:val="24"/>
                <w:highlight w:val="none"/>
              </w:rPr>
              <w:t>）固定噪声排放源</w:t>
            </w:r>
          </w:p>
          <w:p w14:paraId="39CAAC3A">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sz w:val="24"/>
                <w:szCs w:val="24"/>
                <w:highlight w:val="none"/>
              </w:rPr>
            </w:pPr>
            <w:r>
              <w:rPr>
                <w:rFonts w:hint="default" w:ascii="Times New Roman" w:hAnsi="Times New Roman" w:eastAsia="宋体" w:cs="Times New Roman"/>
                <w:color w:val="auto"/>
                <w:spacing w:val="0"/>
                <w:w w:val="100"/>
                <w:sz w:val="24"/>
                <w:szCs w:val="24"/>
                <w:highlight w:val="none"/>
              </w:rPr>
              <w:t>按规定对固定噪声源进行治理，并在企业边界噪声敏感点且对外影响最大处设置标志牌。</w:t>
            </w:r>
          </w:p>
          <w:p w14:paraId="76F5854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sz w:val="24"/>
                <w:szCs w:val="24"/>
                <w:highlight w:val="none"/>
              </w:rPr>
            </w:pPr>
            <w:r>
              <w:rPr>
                <w:rFonts w:hint="default" w:ascii="Times New Roman" w:hAnsi="Times New Roman" w:eastAsia="宋体" w:cs="Times New Roman"/>
                <w:color w:val="auto"/>
                <w:spacing w:val="0"/>
                <w:w w:val="100"/>
                <w:sz w:val="24"/>
                <w:szCs w:val="24"/>
                <w:highlight w:val="none"/>
              </w:rPr>
              <w:t>（</w:t>
            </w:r>
            <w:r>
              <w:rPr>
                <w:rFonts w:hint="eastAsia" w:eastAsia="宋体" w:cs="Times New Roman"/>
                <w:color w:val="auto"/>
                <w:spacing w:val="0"/>
                <w:w w:val="100"/>
                <w:sz w:val="24"/>
                <w:szCs w:val="24"/>
                <w:highlight w:val="none"/>
                <w:lang w:val="en-US" w:eastAsia="zh-CN"/>
              </w:rPr>
              <w:t>3</w:t>
            </w:r>
            <w:r>
              <w:rPr>
                <w:rFonts w:hint="default" w:ascii="Times New Roman" w:hAnsi="Times New Roman" w:eastAsia="宋体" w:cs="Times New Roman"/>
                <w:color w:val="auto"/>
                <w:spacing w:val="0"/>
                <w:w w:val="100"/>
                <w:sz w:val="24"/>
                <w:szCs w:val="24"/>
                <w:highlight w:val="none"/>
              </w:rPr>
              <w:t>）固体废物贮存（处置）场</w:t>
            </w:r>
          </w:p>
          <w:p w14:paraId="75770F5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sz w:val="24"/>
                <w:szCs w:val="24"/>
                <w:highlight w:val="none"/>
              </w:rPr>
            </w:pPr>
            <w:r>
              <w:rPr>
                <w:rFonts w:hint="default" w:ascii="Times New Roman" w:hAnsi="Times New Roman" w:eastAsia="宋体" w:cs="Times New Roman"/>
                <w:color w:val="auto"/>
                <w:spacing w:val="0"/>
                <w:w w:val="100"/>
                <w:sz w:val="24"/>
                <w:szCs w:val="24"/>
                <w:highlight w:val="none"/>
              </w:rPr>
              <w:t>对各种固体废物应分别收集、贮存和运输，设置专用危险废物暂存场所，有防止雨淋、防扬散、防流失、防渗漏等措施，并设置标志牌。</w:t>
            </w:r>
          </w:p>
          <w:p w14:paraId="49AC1886">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sz w:val="24"/>
                <w:szCs w:val="24"/>
                <w:highlight w:val="none"/>
              </w:rPr>
            </w:pPr>
            <w:r>
              <w:rPr>
                <w:rFonts w:hint="default" w:ascii="Times New Roman" w:hAnsi="Times New Roman" w:eastAsia="宋体" w:cs="Times New Roman"/>
                <w:color w:val="auto"/>
                <w:spacing w:val="0"/>
                <w:w w:val="100"/>
                <w:sz w:val="24"/>
                <w:szCs w:val="24"/>
                <w:highlight w:val="none"/>
              </w:rPr>
              <w:t>（5）设置标志牌要求</w:t>
            </w:r>
          </w:p>
          <w:p w14:paraId="03BF192C">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sz w:val="24"/>
                <w:szCs w:val="24"/>
                <w:highlight w:val="none"/>
              </w:rPr>
            </w:pPr>
            <w:r>
              <w:rPr>
                <w:rFonts w:hint="default" w:ascii="Times New Roman" w:hAnsi="Times New Roman" w:eastAsia="宋体" w:cs="Times New Roman"/>
                <w:color w:val="auto"/>
                <w:spacing w:val="0"/>
                <w:w w:val="100"/>
                <w:sz w:val="24"/>
                <w:szCs w:val="24"/>
                <w:highlight w:val="none"/>
              </w:rPr>
              <w:t>一般污染物排放口设置提示标志牌，排放有毒有害等污染物的排放口设置警告式标志牌。</w:t>
            </w:r>
          </w:p>
          <w:p w14:paraId="4E00CA9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sz w:val="24"/>
                <w:szCs w:val="24"/>
                <w:highlight w:val="none"/>
              </w:rPr>
            </w:pPr>
            <w:r>
              <w:rPr>
                <w:rFonts w:hint="default" w:ascii="Times New Roman" w:hAnsi="Times New Roman" w:eastAsia="宋体" w:cs="Times New Roman"/>
                <w:color w:val="auto"/>
                <w:spacing w:val="0"/>
                <w:w w:val="100"/>
                <w:sz w:val="24"/>
                <w:szCs w:val="24"/>
                <w:highlight w:val="none"/>
              </w:rPr>
              <w:t>标志牌应设置在排污口（采样点）附近且醒目处，高度为标志牌上缘离地面 2 米，排污口附近1米范围内有建筑物的，设平面式标志牌，无建筑物的设立式标志牌。排污口的有关设置（如</w:t>
            </w:r>
            <w:r>
              <w:rPr>
                <w:rFonts w:hint="eastAsia" w:ascii="Times New Roman" w:hAnsi="Times New Roman" w:eastAsia="宋体" w:cs="Times New Roman"/>
                <w:color w:val="auto"/>
                <w:spacing w:val="0"/>
                <w:w w:val="100"/>
                <w:sz w:val="24"/>
                <w:szCs w:val="24"/>
                <w:highlight w:val="none"/>
                <w:lang w:eastAsia="zh-CN"/>
              </w:rPr>
              <w:t>方</w:t>
            </w:r>
            <w:r>
              <w:rPr>
                <w:rFonts w:hint="default" w:ascii="Times New Roman" w:hAnsi="Times New Roman" w:eastAsia="宋体" w:cs="Times New Roman"/>
                <w:color w:val="auto"/>
                <w:spacing w:val="0"/>
                <w:w w:val="100"/>
                <w:sz w:val="24"/>
                <w:szCs w:val="24"/>
                <w:highlight w:val="none"/>
              </w:rPr>
              <w:t>形标志牌、计量装置、监控装置等）属环保设施，排污单位必须负责日常的维护保养，任何单位和个人不得擅自拆除，如需要变更的须报当地生态环境局同意并办理变更手续。</w:t>
            </w:r>
          </w:p>
          <w:p w14:paraId="3C8B57DC">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olor w:val="auto"/>
                <w:spacing w:val="0"/>
                <w:w w:val="100"/>
                <w:sz w:val="24"/>
                <w:szCs w:val="24"/>
                <w:highlight w:val="none"/>
              </w:rPr>
            </w:pPr>
            <w:r>
              <w:rPr>
                <w:rFonts w:hint="default" w:ascii="Times New Roman" w:hAnsi="Times New Roman" w:eastAsia="宋体" w:cs="Times New Roman"/>
                <w:color w:val="auto"/>
                <w:spacing w:val="0"/>
                <w:w w:val="100"/>
                <w:sz w:val="24"/>
                <w:szCs w:val="24"/>
                <w:highlight w:val="none"/>
              </w:rPr>
              <w:t>各环保标志详见下表。</w:t>
            </w:r>
          </w:p>
          <w:p w14:paraId="294E1D93">
            <w:pPr>
              <w:keepNext w:val="0"/>
              <w:keepLines w:val="0"/>
              <w:pageBreakBefore w:val="0"/>
              <w:widowControl/>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表</w:t>
            </w:r>
            <w:r>
              <w:rPr>
                <w:rFonts w:hint="eastAsia" w:eastAsia="宋体" w:cs="Times New Roman"/>
                <w:b/>
                <w:bCs/>
                <w:color w:val="auto"/>
                <w:spacing w:val="0"/>
                <w:sz w:val="21"/>
                <w:szCs w:val="21"/>
                <w:lang w:val="en-US" w:eastAsia="zh-CN"/>
              </w:rPr>
              <w:t>5</w:t>
            </w:r>
            <w:r>
              <w:rPr>
                <w:rFonts w:hint="default" w:ascii="Times New Roman" w:hAnsi="Times New Roman" w:eastAsia="宋体" w:cs="Times New Roman"/>
                <w:b/>
                <w:bCs/>
                <w:color w:val="auto"/>
                <w:spacing w:val="0"/>
                <w:sz w:val="21"/>
                <w:szCs w:val="21"/>
              </w:rPr>
              <w:t>-1 环境保护图形标志</w:t>
            </w:r>
          </w:p>
          <w:tbl>
            <w:tblPr>
              <w:tblStyle w:val="28"/>
              <w:tblW w:w="7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823"/>
              <w:gridCol w:w="1731"/>
              <w:gridCol w:w="1419"/>
              <w:gridCol w:w="1608"/>
            </w:tblGrid>
            <w:tr w14:paraId="5371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76" w:type="dxa"/>
                  <w:noWrap w:val="0"/>
                  <w:vAlign w:val="center"/>
                </w:tcPr>
                <w:p w14:paraId="5A3B1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21"/>
                      <w:szCs w:val="21"/>
                    </w:rPr>
                  </w:pPr>
                  <w:r>
                    <w:rPr>
                      <w:rFonts w:hint="eastAsia" w:ascii="Times New Roman" w:hAnsi="Times New Roman" w:eastAsia="宋体"/>
                      <w:b/>
                      <w:color w:val="auto"/>
                      <w:sz w:val="21"/>
                      <w:szCs w:val="21"/>
                    </w:rPr>
                    <w:t>序号</w:t>
                  </w:r>
                </w:p>
              </w:tc>
              <w:tc>
                <w:tcPr>
                  <w:tcW w:w="1823" w:type="dxa"/>
                  <w:noWrap w:val="0"/>
                  <w:vAlign w:val="center"/>
                </w:tcPr>
                <w:p w14:paraId="2375A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21"/>
                      <w:szCs w:val="21"/>
                    </w:rPr>
                  </w:pPr>
                  <w:r>
                    <w:rPr>
                      <w:rFonts w:hint="eastAsia" w:ascii="Times New Roman" w:hAnsi="Times New Roman" w:eastAsia="宋体"/>
                      <w:b/>
                      <w:color w:val="auto"/>
                      <w:sz w:val="21"/>
                      <w:szCs w:val="21"/>
                    </w:rPr>
                    <w:t>提示图形符号</w:t>
                  </w:r>
                </w:p>
              </w:tc>
              <w:tc>
                <w:tcPr>
                  <w:tcW w:w="1731" w:type="dxa"/>
                  <w:noWrap w:val="0"/>
                  <w:vAlign w:val="center"/>
                </w:tcPr>
                <w:p w14:paraId="60A76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21"/>
                      <w:szCs w:val="21"/>
                    </w:rPr>
                  </w:pPr>
                  <w:r>
                    <w:rPr>
                      <w:rFonts w:hint="eastAsia" w:ascii="Times New Roman" w:hAnsi="Times New Roman" w:eastAsia="宋体"/>
                      <w:b/>
                      <w:color w:val="auto"/>
                      <w:sz w:val="21"/>
                      <w:szCs w:val="21"/>
                    </w:rPr>
                    <w:t>警告图形符号</w:t>
                  </w:r>
                </w:p>
              </w:tc>
              <w:tc>
                <w:tcPr>
                  <w:tcW w:w="1419" w:type="dxa"/>
                  <w:noWrap w:val="0"/>
                  <w:vAlign w:val="center"/>
                </w:tcPr>
                <w:p w14:paraId="7F5B3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21"/>
                      <w:szCs w:val="21"/>
                    </w:rPr>
                  </w:pPr>
                  <w:r>
                    <w:rPr>
                      <w:rFonts w:hint="eastAsia" w:ascii="Times New Roman" w:hAnsi="Times New Roman" w:eastAsia="宋体"/>
                      <w:b/>
                      <w:color w:val="auto"/>
                      <w:sz w:val="21"/>
                      <w:szCs w:val="21"/>
                    </w:rPr>
                    <w:t>名称</w:t>
                  </w:r>
                </w:p>
              </w:tc>
              <w:tc>
                <w:tcPr>
                  <w:tcW w:w="1608" w:type="dxa"/>
                  <w:noWrap w:val="0"/>
                  <w:vAlign w:val="center"/>
                </w:tcPr>
                <w:p w14:paraId="7B033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b/>
                      <w:color w:val="auto"/>
                      <w:sz w:val="21"/>
                      <w:szCs w:val="21"/>
                    </w:rPr>
                  </w:pPr>
                  <w:r>
                    <w:rPr>
                      <w:rFonts w:hint="eastAsia" w:ascii="Times New Roman" w:hAnsi="Times New Roman" w:eastAsia="宋体"/>
                      <w:b/>
                      <w:color w:val="auto"/>
                      <w:sz w:val="21"/>
                      <w:szCs w:val="21"/>
                    </w:rPr>
                    <w:t>功能</w:t>
                  </w:r>
                </w:p>
              </w:tc>
            </w:tr>
            <w:tr w14:paraId="5738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676" w:type="dxa"/>
                  <w:noWrap w:val="0"/>
                  <w:vAlign w:val="center"/>
                </w:tcPr>
                <w:p w14:paraId="5F401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823" w:type="dxa"/>
                  <w:noWrap w:val="0"/>
                  <w:vAlign w:val="center"/>
                </w:tcPr>
                <w:p w14:paraId="4C5F5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898525" cy="906145"/>
                        <wp:effectExtent l="0" t="0" r="15875"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0"/>
                                <a:stretch>
                                  <a:fillRect/>
                                </a:stretch>
                              </pic:blipFill>
                              <pic:spPr>
                                <a:xfrm>
                                  <a:off x="0" y="0"/>
                                  <a:ext cx="898525" cy="906145"/>
                                </a:xfrm>
                                <a:prstGeom prst="rect">
                                  <a:avLst/>
                                </a:prstGeom>
                                <a:noFill/>
                                <a:ln>
                                  <a:noFill/>
                                </a:ln>
                              </pic:spPr>
                            </pic:pic>
                          </a:graphicData>
                        </a:graphic>
                      </wp:inline>
                    </w:drawing>
                  </w:r>
                </w:p>
              </w:tc>
              <w:tc>
                <w:tcPr>
                  <w:tcW w:w="1731" w:type="dxa"/>
                  <w:noWrap w:val="0"/>
                  <w:vAlign w:val="center"/>
                </w:tcPr>
                <w:p w14:paraId="07A9E9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898525" cy="882650"/>
                        <wp:effectExtent l="0" t="0" r="15875"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1"/>
                                <a:stretch>
                                  <a:fillRect/>
                                </a:stretch>
                              </pic:blipFill>
                              <pic:spPr>
                                <a:xfrm>
                                  <a:off x="0" y="0"/>
                                  <a:ext cx="898525" cy="882650"/>
                                </a:xfrm>
                                <a:prstGeom prst="rect">
                                  <a:avLst/>
                                </a:prstGeom>
                                <a:noFill/>
                                <a:ln>
                                  <a:noFill/>
                                </a:ln>
                              </pic:spPr>
                            </pic:pic>
                          </a:graphicData>
                        </a:graphic>
                      </wp:inline>
                    </w:drawing>
                  </w:r>
                </w:p>
              </w:tc>
              <w:tc>
                <w:tcPr>
                  <w:tcW w:w="1419" w:type="dxa"/>
                  <w:noWrap w:val="0"/>
                  <w:vAlign w:val="center"/>
                </w:tcPr>
                <w:p w14:paraId="57ECB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废气排放口</w:t>
                  </w:r>
                </w:p>
              </w:tc>
              <w:tc>
                <w:tcPr>
                  <w:tcW w:w="1608" w:type="dxa"/>
                  <w:noWrap w:val="0"/>
                  <w:vAlign w:val="center"/>
                </w:tcPr>
                <w:p w14:paraId="50EB38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表示废气向大气环境排放</w:t>
                  </w:r>
                </w:p>
              </w:tc>
            </w:tr>
            <w:tr w14:paraId="10C7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676" w:type="dxa"/>
                  <w:noWrap w:val="0"/>
                  <w:vAlign w:val="center"/>
                </w:tcPr>
                <w:p w14:paraId="2A0C09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823" w:type="dxa"/>
                  <w:noWrap w:val="0"/>
                  <w:vAlign w:val="center"/>
                </w:tcPr>
                <w:p w14:paraId="55ECC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898525" cy="906145"/>
                        <wp:effectExtent l="0" t="0" r="15875"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2"/>
                                <a:stretch>
                                  <a:fillRect/>
                                </a:stretch>
                              </pic:blipFill>
                              <pic:spPr>
                                <a:xfrm>
                                  <a:off x="0" y="0"/>
                                  <a:ext cx="898525" cy="906145"/>
                                </a:xfrm>
                                <a:prstGeom prst="rect">
                                  <a:avLst/>
                                </a:prstGeom>
                                <a:noFill/>
                                <a:ln>
                                  <a:noFill/>
                                </a:ln>
                              </pic:spPr>
                            </pic:pic>
                          </a:graphicData>
                        </a:graphic>
                      </wp:inline>
                    </w:drawing>
                  </w:r>
                </w:p>
              </w:tc>
              <w:tc>
                <w:tcPr>
                  <w:tcW w:w="1731" w:type="dxa"/>
                  <w:noWrap w:val="0"/>
                  <w:vAlign w:val="center"/>
                </w:tcPr>
                <w:p w14:paraId="357E8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898525" cy="906145"/>
                        <wp:effectExtent l="0" t="0" r="15875"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3"/>
                                <a:stretch>
                                  <a:fillRect/>
                                </a:stretch>
                              </pic:blipFill>
                              <pic:spPr>
                                <a:xfrm>
                                  <a:off x="0" y="0"/>
                                  <a:ext cx="898525" cy="906145"/>
                                </a:xfrm>
                                <a:prstGeom prst="rect">
                                  <a:avLst/>
                                </a:prstGeom>
                                <a:noFill/>
                                <a:ln>
                                  <a:noFill/>
                                </a:ln>
                              </pic:spPr>
                            </pic:pic>
                          </a:graphicData>
                        </a:graphic>
                      </wp:inline>
                    </w:drawing>
                  </w:r>
                </w:p>
              </w:tc>
              <w:tc>
                <w:tcPr>
                  <w:tcW w:w="1419" w:type="dxa"/>
                  <w:noWrap w:val="0"/>
                  <w:vAlign w:val="center"/>
                </w:tcPr>
                <w:p w14:paraId="58867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废水排放口</w:t>
                  </w:r>
                </w:p>
              </w:tc>
              <w:tc>
                <w:tcPr>
                  <w:tcW w:w="1608" w:type="dxa"/>
                  <w:noWrap w:val="0"/>
                  <w:vAlign w:val="center"/>
                </w:tcPr>
                <w:p w14:paraId="049D6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表示废水向水体排放</w:t>
                  </w:r>
                </w:p>
              </w:tc>
            </w:tr>
            <w:tr w14:paraId="6CEC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676" w:type="dxa"/>
                  <w:noWrap w:val="0"/>
                  <w:vAlign w:val="center"/>
                </w:tcPr>
                <w:p w14:paraId="1F442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823" w:type="dxa"/>
                  <w:noWrap w:val="0"/>
                  <w:vAlign w:val="center"/>
                </w:tcPr>
                <w:p w14:paraId="6DADFF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882650" cy="866775"/>
                        <wp:effectExtent l="0" t="0" r="12700"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4"/>
                                <a:stretch>
                                  <a:fillRect/>
                                </a:stretch>
                              </pic:blipFill>
                              <pic:spPr>
                                <a:xfrm>
                                  <a:off x="0" y="0"/>
                                  <a:ext cx="882650" cy="866775"/>
                                </a:xfrm>
                                <a:prstGeom prst="rect">
                                  <a:avLst/>
                                </a:prstGeom>
                                <a:noFill/>
                                <a:ln>
                                  <a:noFill/>
                                </a:ln>
                              </pic:spPr>
                            </pic:pic>
                          </a:graphicData>
                        </a:graphic>
                      </wp:inline>
                    </w:drawing>
                  </w:r>
                </w:p>
              </w:tc>
              <w:tc>
                <w:tcPr>
                  <w:tcW w:w="1731" w:type="dxa"/>
                  <w:noWrap w:val="0"/>
                  <w:vAlign w:val="center"/>
                </w:tcPr>
                <w:p w14:paraId="1985EA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898525" cy="795020"/>
                        <wp:effectExtent l="0" t="0" r="15875" b="508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35"/>
                                <a:stretch>
                                  <a:fillRect/>
                                </a:stretch>
                              </pic:blipFill>
                              <pic:spPr>
                                <a:xfrm>
                                  <a:off x="0" y="0"/>
                                  <a:ext cx="898525" cy="795020"/>
                                </a:xfrm>
                                <a:prstGeom prst="rect">
                                  <a:avLst/>
                                </a:prstGeom>
                                <a:noFill/>
                                <a:ln>
                                  <a:noFill/>
                                </a:ln>
                              </pic:spPr>
                            </pic:pic>
                          </a:graphicData>
                        </a:graphic>
                      </wp:inline>
                    </w:drawing>
                  </w:r>
                </w:p>
              </w:tc>
              <w:tc>
                <w:tcPr>
                  <w:tcW w:w="1419" w:type="dxa"/>
                  <w:noWrap w:val="0"/>
                  <w:vAlign w:val="center"/>
                </w:tcPr>
                <w:p w14:paraId="3B229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噪声源</w:t>
                  </w:r>
                </w:p>
              </w:tc>
              <w:tc>
                <w:tcPr>
                  <w:tcW w:w="1608" w:type="dxa"/>
                  <w:noWrap w:val="0"/>
                  <w:vAlign w:val="center"/>
                </w:tcPr>
                <w:p w14:paraId="6841C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表示噪声向外环境排放</w:t>
                  </w:r>
                </w:p>
              </w:tc>
            </w:tr>
            <w:tr w14:paraId="301A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676" w:type="dxa"/>
                  <w:noWrap w:val="0"/>
                  <w:vAlign w:val="center"/>
                </w:tcPr>
                <w:p w14:paraId="64B884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4</w:t>
                  </w:r>
                </w:p>
              </w:tc>
              <w:tc>
                <w:tcPr>
                  <w:tcW w:w="1823" w:type="dxa"/>
                  <w:noWrap w:val="0"/>
                  <w:vAlign w:val="center"/>
                </w:tcPr>
                <w:p w14:paraId="24D43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898525" cy="906145"/>
                        <wp:effectExtent l="0" t="0" r="15875" b="825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6"/>
                                <a:stretch>
                                  <a:fillRect/>
                                </a:stretch>
                              </pic:blipFill>
                              <pic:spPr>
                                <a:xfrm>
                                  <a:off x="0" y="0"/>
                                  <a:ext cx="898525" cy="906145"/>
                                </a:xfrm>
                                <a:prstGeom prst="rect">
                                  <a:avLst/>
                                </a:prstGeom>
                                <a:noFill/>
                                <a:ln>
                                  <a:noFill/>
                                </a:ln>
                              </pic:spPr>
                            </pic:pic>
                          </a:graphicData>
                        </a:graphic>
                      </wp:inline>
                    </w:drawing>
                  </w:r>
                </w:p>
              </w:tc>
              <w:tc>
                <w:tcPr>
                  <w:tcW w:w="1731" w:type="dxa"/>
                  <w:noWrap w:val="0"/>
                  <w:vAlign w:val="center"/>
                </w:tcPr>
                <w:p w14:paraId="4C231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882650" cy="819150"/>
                        <wp:effectExtent l="0" t="0" r="1270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37"/>
                                <a:stretch>
                                  <a:fillRect/>
                                </a:stretch>
                              </pic:blipFill>
                              <pic:spPr>
                                <a:xfrm>
                                  <a:off x="0" y="0"/>
                                  <a:ext cx="882650" cy="819150"/>
                                </a:xfrm>
                                <a:prstGeom prst="rect">
                                  <a:avLst/>
                                </a:prstGeom>
                                <a:noFill/>
                                <a:ln>
                                  <a:noFill/>
                                </a:ln>
                              </pic:spPr>
                            </pic:pic>
                          </a:graphicData>
                        </a:graphic>
                      </wp:inline>
                    </w:drawing>
                  </w:r>
                </w:p>
              </w:tc>
              <w:tc>
                <w:tcPr>
                  <w:tcW w:w="1419" w:type="dxa"/>
                  <w:noWrap w:val="0"/>
                  <w:vAlign w:val="center"/>
                </w:tcPr>
                <w:p w14:paraId="5E2AC4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一般固体废物</w:t>
                  </w:r>
                </w:p>
              </w:tc>
              <w:tc>
                <w:tcPr>
                  <w:tcW w:w="1608" w:type="dxa"/>
                  <w:noWrap w:val="0"/>
                  <w:vAlign w:val="center"/>
                </w:tcPr>
                <w:p w14:paraId="6E648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表示一般固体废物贮存、处置</w:t>
                  </w:r>
                </w:p>
                <w:p w14:paraId="4F8292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场</w:t>
                  </w:r>
                </w:p>
              </w:tc>
            </w:tr>
            <w:tr w14:paraId="0B90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676" w:type="dxa"/>
                  <w:noWrap w:val="0"/>
                  <w:vAlign w:val="center"/>
                </w:tcPr>
                <w:p w14:paraId="20AF0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5</w:t>
                  </w:r>
                </w:p>
              </w:tc>
              <w:tc>
                <w:tcPr>
                  <w:tcW w:w="1823" w:type="dxa"/>
                  <w:noWrap w:val="0"/>
                  <w:vAlign w:val="center"/>
                </w:tcPr>
                <w:p w14:paraId="76365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1731" w:type="dxa"/>
                  <w:noWrap w:val="0"/>
                  <w:vAlign w:val="center"/>
                </w:tcPr>
                <w:p w14:paraId="7BA8AA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drawing>
                      <wp:inline distT="0" distB="0" distL="114300" distR="114300">
                        <wp:extent cx="938530" cy="938530"/>
                        <wp:effectExtent l="0" t="0" r="13970" b="13970"/>
                        <wp:docPr id="12" name="图片 9" descr="014df48883c91e21c2ba7c0624872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014df48883c91e21c2ba7c0624872c6"/>
                                <pic:cNvPicPr>
                                  <a:picLocks noChangeAspect="1"/>
                                </pic:cNvPicPr>
                              </pic:nvPicPr>
                              <pic:blipFill>
                                <a:blip r:embed="rId38"/>
                                <a:stretch>
                                  <a:fillRect/>
                                </a:stretch>
                              </pic:blipFill>
                              <pic:spPr>
                                <a:xfrm>
                                  <a:off x="0" y="0"/>
                                  <a:ext cx="938530" cy="938530"/>
                                </a:xfrm>
                                <a:prstGeom prst="rect">
                                  <a:avLst/>
                                </a:prstGeom>
                                <a:noFill/>
                                <a:ln>
                                  <a:noFill/>
                                </a:ln>
                              </pic:spPr>
                            </pic:pic>
                          </a:graphicData>
                        </a:graphic>
                      </wp:inline>
                    </w:drawing>
                  </w:r>
                </w:p>
              </w:tc>
              <w:tc>
                <w:tcPr>
                  <w:tcW w:w="1419" w:type="dxa"/>
                  <w:noWrap w:val="0"/>
                  <w:vAlign w:val="center"/>
                </w:tcPr>
                <w:p w14:paraId="110A7E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危险固废</w:t>
                  </w:r>
                </w:p>
              </w:tc>
              <w:tc>
                <w:tcPr>
                  <w:tcW w:w="1608" w:type="dxa"/>
                  <w:noWrap w:val="0"/>
                  <w:vAlign w:val="center"/>
                </w:tcPr>
                <w:p w14:paraId="61BFB9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危险固废暂存场所</w:t>
                  </w:r>
                </w:p>
              </w:tc>
            </w:tr>
            <w:tr w14:paraId="4793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676" w:type="dxa"/>
                  <w:noWrap w:val="0"/>
                  <w:vAlign w:val="center"/>
                </w:tcPr>
                <w:p w14:paraId="69629D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6</w:t>
                  </w:r>
                </w:p>
              </w:tc>
              <w:tc>
                <w:tcPr>
                  <w:tcW w:w="1823" w:type="dxa"/>
                  <w:noWrap w:val="0"/>
                  <w:vAlign w:val="center"/>
                </w:tcPr>
                <w:p w14:paraId="027D0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w:t>
                  </w:r>
                </w:p>
              </w:tc>
              <w:tc>
                <w:tcPr>
                  <w:tcW w:w="1731" w:type="dxa"/>
                  <w:noWrap w:val="0"/>
                  <w:vAlign w:val="center"/>
                </w:tcPr>
                <w:p w14:paraId="04D68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color w:val="auto"/>
                    </w:rPr>
                    <w:drawing>
                      <wp:inline distT="0" distB="0" distL="114300" distR="114300">
                        <wp:extent cx="863600" cy="774700"/>
                        <wp:effectExtent l="0" t="0" r="12700" b="635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39"/>
                                <a:stretch>
                                  <a:fillRect/>
                                </a:stretch>
                              </pic:blipFill>
                              <pic:spPr>
                                <a:xfrm>
                                  <a:off x="0" y="0"/>
                                  <a:ext cx="863600" cy="774700"/>
                                </a:xfrm>
                                <a:prstGeom prst="rect">
                                  <a:avLst/>
                                </a:prstGeom>
                              </pic:spPr>
                            </pic:pic>
                          </a:graphicData>
                        </a:graphic>
                      </wp:inline>
                    </w:drawing>
                  </w:r>
                </w:p>
              </w:tc>
              <w:tc>
                <w:tcPr>
                  <w:tcW w:w="1419" w:type="dxa"/>
                  <w:noWrap w:val="0"/>
                  <w:vAlign w:val="center"/>
                </w:tcPr>
                <w:p w14:paraId="20F42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olor w:val="auto"/>
                      <w:sz w:val="21"/>
                      <w:szCs w:val="21"/>
                      <w:lang w:val="en-US" w:eastAsia="zh-CN"/>
                    </w:rPr>
                  </w:pPr>
                  <w:r>
                    <w:rPr>
                      <w:rFonts w:hint="eastAsia"/>
                      <w:color w:val="auto"/>
                      <w:sz w:val="21"/>
                      <w:szCs w:val="21"/>
                      <w:lang w:val="en-US" w:eastAsia="zh-CN"/>
                    </w:rPr>
                    <w:t>医疗废物</w:t>
                  </w:r>
                </w:p>
              </w:tc>
              <w:tc>
                <w:tcPr>
                  <w:tcW w:w="1608" w:type="dxa"/>
                  <w:noWrap w:val="0"/>
                  <w:vAlign w:val="center"/>
                </w:tcPr>
                <w:p w14:paraId="779A50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olor w:val="auto"/>
                      <w:sz w:val="21"/>
                      <w:szCs w:val="21"/>
                    </w:rPr>
                  </w:pPr>
                  <w:r>
                    <w:rPr>
                      <w:rFonts w:hint="eastAsia"/>
                      <w:color w:val="auto"/>
                      <w:sz w:val="21"/>
                      <w:szCs w:val="21"/>
                      <w:lang w:eastAsia="zh-CN"/>
                    </w:rPr>
                    <w:t>医疗废物</w:t>
                  </w:r>
                  <w:r>
                    <w:rPr>
                      <w:rFonts w:hint="eastAsia" w:ascii="Times New Roman" w:hAnsi="Times New Roman" w:eastAsia="宋体"/>
                      <w:color w:val="auto"/>
                      <w:sz w:val="21"/>
                      <w:szCs w:val="21"/>
                    </w:rPr>
                    <w:t>暂存场所</w:t>
                  </w:r>
                </w:p>
              </w:tc>
            </w:tr>
          </w:tbl>
          <w:p w14:paraId="3DD4E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jc w:val="both"/>
              <w:textAlignment w:val="auto"/>
              <w:outlineLvl w:val="9"/>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、环境管理与监测计划</w:t>
            </w:r>
          </w:p>
          <w:p w14:paraId="4492A64C">
            <w:pPr>
              <w:pStyle w:val="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rPr>
              <w:t>（1）</w:t>
            </w:r>
            <w:r>
              <w:rPr>
                <w:rFonts w:hint="default" w:ascii="Times New Roman" w:hAnsi="Times New Roman" w:eastAsia="宋体" w:cs="Times New Roman"/>
                <w:bCs/>
                <w:color w:val="auto"/>
                <w:kern w:val="2"/>
                <w:sz w:val="24"/>
                <w:szCs w:val="24"/>
              </w:rPr>
              <w:t>环境管理</w:t>
            </w:r>
          </w:p>
          <w:p w14:paraId="0D21F6ED">
            <w:pPr>
              <w:pStyle w:val="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 xml:space="preserve">企业的环境管理是企业的管理者为实现预期的环境目标，运用环保法律、法规、技术、经济、教育等手段对企业合理开发利用资源、能源、控制环境污染与保护环境所实施重要措施。 </w:t>
            </w:r>
          </w:p>
          <w:p w14:paraId="3D8CA797">
            <w:pPr>
              <w:pStyle w:val="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环境监测制度是为环境管理服务的一项重要制度，通过环境监测，及时了解企业的环境状况，不断完善，改进防治措施，不断适应环境保护发展的要求；是实现企业环境管理定量化，规范化的重要举措。建立一套完善的行之有效的环境管理与监测制度是企业环境保护工作的重要组成部分。</w:t>
            </w:r>
          </w:p>
          <w:p w14:paraId="0AD9DFD2">
            <w:pPr>
              <w:pStyle w:val="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 xml:space="preserve">①环境管理的基本任务和措施 </w:t>
            </w:r>
          </w:p>
          <w:p w14:paraId="271A5F85">
            <w:pPr>
              <w:pStyle w:val="8"/>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 xml:space="preserve">进行环境管理，首先要转变传统的环境管理模式，因为传统管理模式已难以适应日益严格的环境法律、法规和环境标准。实施环境管理的宗旨是降低物耗、能耗、提高产品质量，降低成本，减少污染，增强企业市场竞争力，是实现企业生产与环境持续发展的必由之路。环境管理应将清洁生产贯穿于生产的全过程，建立相互联系、自我约束的管理机制，力求环境与生产的协调发展。为实现环境管理的基本任务，公司应建立专门的环境管理机构，在原材料的使用，生产计划、生产工艺、技术质量、人员和环保资金投入等方面加强管理，把环境管理 渗透到企业的环境管理之中，将生产目标和环境保护的目标和任务融为一体，争取“三个效益”的有机统一。环境管理的措施可概括为： </w:t>
            </w:r>
          </w:p>
          <w:p w14:paraId="548B2B48">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a</w:t>
            </w:r>
            <w:r>
              <w:rPr>
                <w:rFonts w:hint="eastAsia" w:ascii="Times New Roman" w:hAnsi="Times New Roman" w:eastAsia="宋体" w:cs="Times New Roman"/>
                <w:bCs/>
                <w:color w:val="auto"/>
                <w:kern w:val="2"/>
                <w:sz w:val="24"/>
                <w:szCs w:val="24"/>
                <w:lang w:eastAsia="zh-CN"/>
              </w:rPr>
              <w:t>、</w:t>
            </w:r>
            <w:r>
              <w:rPr>
                <w:rFonts w:hint="default" w:ascii="Times New Roman" w:hAnsi="Times New Roman" w:eastAsia="宋体" w:cs="Times New Roman"/>
                <w:bCs/>
                <w:color w:val="auto"/>
                <w:kern w:val="2"/>
                <w:sz w:val="24"/>
                <w:szCs w:val="24"/>
              </w:rPr>
              <w:t>以治本为主，在生产过程中控制污染物的产生，兼顾末端治理，达标排放，降低末端治理成本；</w:t>
            </w:r>
          </w:p>
          <w:p w14:paraId="2351E2D9">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b、</w:t>
            </w:r>
            <w:r>
              <w:rPr>
                <w:rFonts w:hint="default" w:ascii="Times New Roman" w:hAnsi="Times New Roman" w:eastAsia="宋体" w:cs="Times New Roman"/>
                <w:bCs/>
                <w:color w:val="auto"/>
                <w:kern w:val="2"/>
                <w:sz w:val="24"/>
                <w:szCs w:val="24"/>
              </w:rPr>
              <w:t>尽量选用无污染、少污染的原料和燃料，最大限度地将污染物消除在生产工艺前和生产过程中；</w:t>
            </w:r>
          </w:p>
          <w:p w14:paraId="40C11565">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c</w:t>
            </w:r>
            <w:r>
              <w:rPr>
                <w:rFonts w:hint="eastAsia" w:ascii="Times New Roman" w:hAnsi="Times New Roman" w:eastAsia="宋体" w:cs="Times New Roman"/>
                <w:bCs/>
                <w:color w:val="auto"/>
                <w:kern w:val="2"/>
                <w:sz w:val="24"/>
                <w:szCs w:val="24"/>
                <w:lang w:eastAsia="zh-CN"/>
              </w:rPr>
              <w:t>、</w:t>
            </w:r>
            <w:r>
              <w:rPr>
                <w:rFonts w:hint="default" w:ascii="Times New Roman" w:hAnsi="Times New Roman" w:eastAsia="宋体" w:cs="Times New Roman"/>
                <w:bCs/>
                <w:color w:val="auto"/>
                <w:kern w:val="2"/>
                <w:sz w:val="24"/>
                <w:szCs w:val="24"/>
              </w:rPr>
              <w:t>坚持环境效益和经济效益双赢的目标；</w:t>
            </w:r>
          </w:p>
          <w:p w14:paraId="12AEB210">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d、</w:t>
            </w:r>
            <w:r>
              <w:rPr>
                <w:rFonts w:hint="default" w:ascii="Times New Roman" w:hAnsi="Times New Roman" w:eastAsia="宋体" w:cs="Times New Roman"/>
                <w:bCs/>
                <w:color w:val="auto"/>
                <w:kern w:val="2"/>
                <w:sz w:val="24"/>
                <w:szCs w:val="24"/>
              </w:rPr>
              <w:t>把环境管理</w:t>
            </w:r>
            <w:r>
              <w:rPr>
                <w:rFonts w:hint="eastAsia" w:cs="Times New Roman"/>
                <w:bCs/>
                <w:color w:val="auto"/>
                <w:kern w:val="2"/>
                <w:sz w:val="24"/>
                <w:szCs w:val="24"/>
                <w:lang w:eastAsia="zh-CN"/>
              </w:rPr>
              <w:t>纳入</w:t>
            </w:r>
            <w:r>
              <w:rPr>
                <w:rFonts w:hint="default" w:ascii="Times New Roman" w:hAnsi="Times New Roman" w:eastAsia="宋体" w:cs="Times New Roman"/>
                <w:bCs/>
                <w:color w:val="auto"/>
                <w:kern w:val="2"/>
                <w:sz w:val="24"/>
                <w:szCs w:val="24"/>
              </w:rPr>
              <w:t>生产管理中，建立有环境考核指标的岗位责任制和管理职责；提高环境管理工作的有效性。</w:t>
            </w:r>
          </w:p>
          <w:p w14:paraId="21CD89D4">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 xml:space="preserve">②环境管理体系建设 </w:t>
            </w:r>
          </w:p>
          <w:p w14:paraId="677246B5">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为做好环境管理工作，公司应建立环境管理体系，将环境管理工作自上而下的贯穿到公司的生产管理中，现就建立环境管理体系提出如下建议：</w:t>
            </w:r>
          </w:p>
          <w:p w14:paraId="0F54E8C7">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a</w:t>
            </w:r>
            <w:r>
              <w:rPr>
                <w:rFonts w:hint="eastAsia" w:ascii="Times New Roman" w:hAnsi="Times New Roman" w:eastAsia="宋体" w:cs="Times New Roman"/>
                <w:bCs/>
                <w:color w:val="auto"/>
                <w:kern w:val="2"/>
                <w:sz w:val="24"/>
                <w:szCs w:val="24"/>
                <w:lang w:eastAsia="zh-CN"/>
              </w:rPr>
              <w:t>、</w:t>
            </w:r>
            <w:r>
              <w:rPr>
                <w:rFonts w:hint="default" w:ascii="Times New Roman" w:hAnsi="Times New Roman" w:eastAsia="宋体" w:cs="Times New Roman"/>
                <w:bCs/>
                <w:color w:val="auto"/>
                <w:kern w:val="2"/>
                <w:sz w:val="24"/>
                <w:szCs w:val="24"/>
              </w:rPr>
              <w:t xml:space="preserve">公司的环境管理工作实行公司主要负责人负责制，以便在制定环保方针、制度、规划，协调人力、物力和财力等方面，将环境管理和生产管理结合起来。 </w:t>
            </w:r>
          </w:p>
          <w:p w14:paraId="1A6415CF">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b、</w:t>
            </w:r>
            <w:r>
              <w:rPr>
                <w:rFonts w:hint="default" w:ascii="Times New Roman" w:hAnsi="Times New Roman" w:eastAsia="宋体" w:cs="Times New Roman"/>
                <w:bCs/>
                <w:color w:val="auto"/>
                <w:kern w:val="2"/>
                <w:sz w:val="24"/>
                <w:szCs w:val="24"/>
              </w:rPr>
              <w:t xml:space="preserve">以水、气、声等环境要素的保护和改善作为推动企业环境保护工作的基础，并在生产工作中检查环境管理的成效。 </w:t>
            </w:r>
          </w:p>
          <w:p w14:paraId="46838354">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c</w:t>
            </w:r>
            <w:r>
              <w:rPr>
                <w:rFonts w:hint="eastAsia" w:ascii="Times New Roman" w:hAnsi="Times New Roman" w:eastAsia="宋体" w:cs="Times New Roman"/>
                <w:bCs/>
                <w:color w:val="auto"/>
                <w:kern w:val="2"/>
                <w:sz w:val="24"/>
                <w:szCs w:val="24"/>
                <w:lang w:eastAsia="zh-CN"/>
              </w:rPr>
              <w:t>、</w:t>
            </w:r>
            <w:r>
              <w:rPr>
                <w:rFonts w:hint="default" w:ascii="Times New Roman" w:hAnsi="Times New Roman" w:eastAsia="宋体" w:cs="Times New Roman"/>
                <w:bCs/>
                <w:color w:val="auto"/>
                <w:kern w:val="2"/>
                <w:sz w:val="24"/>
                <w:szCs w:val="24"/>
              </w:rPr>
              <w:t>按照所制定的环保方针和环境管理方案，将环境管理目标和指标层层分解，落实到各生产部门</w:t>
            </w:r>
            <w:r>
              <w:rPr>
                <w:rFonts w:hint="eastAsia" w:cs="Times New Roman"/>
                <w:bCs/>
                <w:color w:val="auto"/>
                <w:kern w:val="2"/>
                <w:sz w:val="24"/>
                <w:szCs w:val="24"/>
                <w:lang w:eastAsia="zh-CN"/>
              </w:rPr>
              <w:t>和个</w:t>
            </w:r>
            <w:r>
              <w:rPr>
                <w:rFonts w:hint="default" w:ascii="Times New Roman" w:hAnsi="Times New Roman" w:eastAsia="宋体" w:cs="Times New Roman"/>
                <w:bCs/>
                <w:color w:val="auto"/>
                <w:kern w:val="2"/>
                <w:sz w:val="24"/>
                <w:szCs w:val="24"/>
              </w:rPr>
              <w:t xml:space="preserve">人，签订责任书，定期考核。 </w:t>
            </w:r>
          </w:p>
          <w:p w14:paraId="70F32884">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d、</w:t>
            </w:r>
            <w:r>
              <w:rPr>
                <w:rFonts w:hint="default" w:ascii="Times New Roman" w:hAnsi="Times New Roman" w:eastAsia="宋体" w:cs="Times New Roman"/>
                <w:bCs/>
                <w:color w:val="auto"/>
                <w:kern w:val="2"/>
                <w:sz w:val="24"/>
                <w:szCs w:val="24"/>
              </w:rPr>
              <w:t xml:space="preserve">按照环境管理的要求，将计划实现的目标和过程编制成文件，有关指标制成目标管理图表，标明工作内容和进度，以便与目标对比，及时掌握环保工作进展情况。 </w:t>
            </w:r>
          </w:p>
          <w:p w14:paraId="1067553F">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 xml:space="preserve">③环境管理机构的主要职责 </w:t>
            </w:r>
          </w:p>
          <w:p w14:paraId="1CB2F787">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公司环境管理机构主要职责是：</w:t>
            </w:r>
          </w:p>
          <w:p w14:paraId="194A41AF">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a、</w:t>
            </w:r>
            <w:r>
              <w:rPr>
                <w:rFonts w:hint="default" w:ascii="Times New Roman" w:hAnsi="Times New Roman" w:eastAsia="宋体" w:cs="Times New Roman"/>
                <w:bCs/>
                <w:color w:val="auto"/>
                <w:kern w:val="2"/>
                <w:sz w:val="24"/>
                <w:szCs w:val="24"/>
              </w:rPr>
              <w:t>贯彻执行中华人民共和国的环境保护法规和标准，接受环保主管部门的检查监督，定期上报各项管理工作的执行情况。</w:t>
            </w:r>
          </w:p>
          <w:p w14:paraId="55010397">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b</w:t>
            </w:r>
            <w:r>
              <w:rPr>
                <w:rFonts w:hint="eastAsia" w:ascii="Times New Roman" w:hAnsi="Times New Roman" w:eastAsia="宋体" w:cs="Times New Roman"/>
                <w:bCs/>
                <w:color w:val="auto"/>
                <w:kern w:val="2"/>
                <w:sz w:val="24"/>
                <w:szCs w:val="24"/>
                <w:lang w:eastAsia="zh-CN"/>
              </w:rPr>
              <w:t>、</w:t>
            </w:r>
            <w:r>
              <w:rPr>
                <w:rFonts w:hint="default" w:ascii="Times New Roman" w:hAnsi="Times New Roman" w:eastAsia="宋体" w:cs="Times New Roman"/>
                <w:bCs/>
                <w:color w:val="auto"/>
                <w:kern w:val="2"/>
                <w:sz w:val="24"/>
                <w:szCs w:val="24"/>
              </w:rPr>
              <w:t>接受环境保护主管部门的检查，定期上报各项管理工作的执行情况。</w:t>
            </w:r>
          </w:p>
          <w:p w14:paraId="283AE840">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c、</w:t>
            </w:r>
            <w:r>
              <w:rPr>
                <w:rFonts w:hint="default" w:ascii="Times New Roman" w:hAnsi="Times New Roman" w:eastAsia="宋体" w:cs="Times New Roman"/>
                <w:bCs/>
                <w:color w:val="auto"/>
                <w:kern w:val="2"/>
                <w:sz w:val="24"/>
                <w:szCs w:val="24"/>
              </w:rPr>
              <w:t>如实向环保主管部门申报公司使用的各种化学品，如有变更，事先征得主管部门许可，培训并让每个员工掌握这些化学品的危险性、毒性、腐蚀性物质的特征及防护措施。</w:t>
            </w:r>
          </w:p>
          <w:p w14:paraId="5CBD8E1D">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d</w:t>
            </w:r>
            <w:r>
              <w:rPr>
                <w:rFonts w:hint="eastAsia" w:ascii="Times New Roman" w:hAnsi="Times New Roman" w:eastAsia="宋体" w:cs="Times New Roman"/>
                <w:bCs/>
                <w:color w:val="auto"/>
                <w:kern w:val="2"/>
                <w:sz w:val="24"/>
                <w:szCs w:val="24"/>
                <w:lang w:eastAsia="zh-CN"/>
              </w:rPr>
              <w:t>、</w:t>
            </w:r>
            <w:r>
              <w:rPr>
                <w:rFonts w:hint="default" w:ascii="Times New Roman" w:hAnsi="Times New Roman" w:eastAsia="宋体" w:cs="Times New Roman"/>
                <w:bCs/>
                <w:color w:val="auto"/>
                <w:kern w:val="2"/>
                <w:sz w:val="24"/>
                <w:szCs w:val="24"/>
              </w:rPr>
              <w:t>组织制定工厂内各部门的环保管理规章制度，并监督执行。</w:t>
            </w:r>
          </w:p>
          <w:p w14:paraId="1889E0D2">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e、</w:t>
            </w:r>
            <w:r>
              <w:rPr>
                <w:rFonts w:hint="default" w:ascii="Times New Roman" w:hAnsi="Times New Roman" w:eastAsia="宋体" w:cs="Times New Roman"/>
                <w:bCs/>
                <w:color w:val="auto"/>
                <w:kern w:val="2"/>
                <w:sz w:val="24"/>
                <w:szCs w:val="24"/>
              </w:rPr>
              <w:t>公司内部环保治理设备的运转以及日常维护保养，保证其正常运转。</w:t>
            </w:r>
          </w:p>
          <w:p w14:paraId="7B706E2E">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f</w:t>
            </w:r>
            <w:r>
              <w:rPr>
                <w:rFonts w:hint="eastAsia" w:ascii="Times New Roman" w:hAnsi="Times New Roman" w:eastAsia="宋体" w:cs="Times New Roman"/>
                <w:bCs/>
                <w:color w:val="auto"/>
                <w:kern w:val="2"/>
                <w:sz w:val="24"/>
                <w:szCs w:val="24"/>
                <w:lang w:eastAsia="zh-CN"/>
              </w:rPr>
              <w:t>、</w:t>
            </w:r>
            <w:r>
              <w:rPr>
                <w:rFonts w:hint="default" w:ascii="Times New Roman" w:hAnsi="Times New Roman" w:eastAsia="宋体" w:cs="Times New Roman"/>
                <w:bCs/>
                <w:color w:val="auto"/>
                <w:kern w:val="2"/>
                <w:sz w:val="24"/>
                <w:szCs w:val="24"/>
              </w:rPr>
              <w:t>组织参加环境监测工作。</w:t>
            </w:r>
          </w:p>
          <w:p w14:paraId="3A097F3A">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Chars="0" w:right="0" w:rightChars="0" w:firstLine="480" w:firstLineChars="200"/>
              <w:textAlignment w:val="auto"/>
              <w:rPr>
                <w:rFonts w:hint="default"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g</w:t>
            </w:r>
            <w:r>
              <w:rPr>
                <w:rFonts w:hint="eastAsia" w:ascii="Times New Roman" w:hAnsi="Times New Roman" w:eastAsia="宋体" w:cs="Times New Roman"/>
                <w:bCs/>
                <w:color w:val="auto"/>
                <w:kern w:val="2"/>
                <w:sz w:val="24"/>
                <w:szCs w:val="24"/>
                <w:lang w:eastAsia="zh-CN"/>
              </w:rPr>
              <w:t>、</w:t>
            </w:r>
            <w:r>
              <w:rPr>
                <w:rFonts w:hint="default" w:ascii="Times New Roman" w:hAnsi="Times New Roman" w:eastAsia="宋体" w:cs="Times New Roman"/>
                <w:bCs/>
                <w:color w:val="auto"/>
                <w:kern w:val="2"/>
                <w:sz w:val="24"/>
                <w:szCs w:val="24"/>
              </w:rPr>
              <w:t>定期进行审计，检查环境管理计划实施情况，使环境污染的治理、管理和 控制不断得到改善，使企业对环境的影响降到最低程度。</w:t>
            </w:r>
          </w:p>
          <w:p w14:paraId="12551360">
            <w:pPr>
              <w:pStyle w:val="8"/>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 xml:space="preserve">④本项目环境管理重点 </w:t>
            </w:r>
          </w:p>
          <w:p w14:paraId="5CE37A2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rPr>
              <w:t>根据《建设项目环境保护设计规定》中的有关规定，为加强环境管理工作，建设单位应设环保科，并配备了专职环境管理人员。专职环境管理人员的主要职责是：在生产运行</w:t>
            </w:r>
            <w:r>
              <w:rPr>
                <w:rFonts w:hint="eastAsia" w:cs="Times New Roman"/>
                <w:bCs/>
                <w:color w:val="auto"/>
                <w:kern w:val="2"/>
                <w:sz w:val="24"/>
                <w:szCs w:val="24"/>
                <w:lang w:eastAsia="zh-CN"/>
              </w:rPr>
              <w:t>期间</w:t>
            </w:r>
            <w:r>
              <w:rPr>
                <w:rFonts w:hint="default" w:ascii="Times New Roman" w:hAnsi="Times New Roman" w:eastAsia="宋体" w:cs="Times New Roman"/>
                <w:bCs/>
                <w:color w:val="auto"/>
                <w:kern w:val="2"/>
                <w:sz w:val="24"/>
                <w:szCs w:val="24"/>
              </w:rPr>
              <w:t>，负责贯彻执行环境保护法规及有关环保标准的实施，检查、监督以保证环保设施正常运行，组织并配合进行本厂的环境监测、污染状况调查和环境统计等工作</w:t>
            </w:r>
            <w:r>
              <w:rPr>
                <w:rFonts w:hint="default" w:ascii="Times New Roman" w:hAnsi="Times New Roman" w:eastAsia="宋体" w:cs="Times New Roman"/>
                <w:color w:val="auto"/>
                <w:sz w:val="24"/>
                <w:szCs w:val="24"/>
              </w:rPr>
              <w:t>。</w:t>
            </w:r>
          </w:p>
          <w:p w14:paraId="21F2402A">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cs="Times New Roman"/>
                <w:b w:val="0"/>
                <w:bCs w:val="0"/>
                <w:color w:val="auto"/>
                <w:kern w:val="2"/>
                <w:sz w:val="24"/>
                <w:szCs w:val="24"/>
              </w:rPr>
              <w:t>监测计划</w:t>
            </w:r>
          </w:p>
          <w:p w14:paraId="4894E35F">
            <w:pPr>
              <w:pStyle w:val="15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rPr>
            </w:pPr>
            <w:r>
              <w:rPr>
                <w:rFonts w:hint="default" w:ascii="Times New Roman" w:hAnsi="Times New Roman" w:eastAsia="宋体" w:cs="Times New Roman"/>
                <w:color w:val="auto"/>
                <w:sz w:val="24"/>
                <w:szCs w:val="24"/>
              </w:rPr>
              <w:t>为确保项目运行期各种污染物能够达标排放，不对周边环境造成明显的不利影响，按照前文的监测计划进行监测。</w:t>
            </w:r>
          </w:p>
          <w:p w14:paraId="1AA594E1">
            <w:pPr>
              <w:numPr>
                <w:ilvl w:val="0"/>
                <w:numId w:val="0"/>
              </w:numPr>
              <w:spacing w:beforeLines="0" w:afterLines="0"/>
              <w:ind w:firstLine="482" w:firstLineChars="200"/>
              <w:jc w:val="both"/>
              <w:rPr>
                <w:rFonts w:hint="eastAsia"/>
                <w:b/>
                <w:bCs/>
                <w:color w:val="auto"/>
              </w:rPr>
            </w:pPr>
            <w:r>
              <w:rPr>
                <w:rFonts w:hint="eastAsia"/>
                <w:b/>
                <w:bCs/>
                <w:color w:val="auto"/>
                <w:lang w:val="en-US" w:eastAsia="zh-CN"/>
              </w:rPr>
              <w:t>3</w:t>
            </w:r>
            <w:r>
              <w:rPr>
                <w:rFonts w:hint="eastAsia"/>
                <w:b/>
                <w:bCs/>
                <w:color w:val="auto"/>
              </w:rPr>
              <w:t>、排污许可申报</w:t>
            </w:r>
          </w:p>
          <w:p w14:paraId="238FBE2C">
            <w:pPr>
              <w:ind w:firstLine="480"/>
              <w:jc w:val="both"/>
              <w:rPr>
                <w:color w:val="auto"/>
              </w:rPr>
            </w:pPr>
            <w:r>
              <w:rPr>
                <w:rFonts w:hint="eastAsia"/>
                <w:color w:val="auto"/>
              </w:rPr>
              <w:t>根据《排污许可管理办法（试行）》，建设单位在取得建设项目环境影响评价审批意见后应进行排污许可证的申报；</w:t>
            </w:r>
          </w:p>
          <w:p w14:paraId="48E24EDA">
            <w:pPr>
              <w:ind w:firstLine="480"/>
              <w:jc w:val="both"/>
              <w:rPr>
                <w:rFonts w:hint="eastAsia"/>
                <w:color w:val="auto"/>
              </w:rPr>
            </w:pPr>
            <w:r>
              <w:rPr>
                <w:rFonts w:hint="eastAsia"/>
                <w:color w:val="auto"/>
              </w:rPr>
              <w:t>根据“安徽省生态环境厅关于统筹做好固定污染源排污许可日常管理监督工作的通知”（皖环发[2021]7号文），属于现行《固定污染源排污许可分类管理名录》内重点管理和简化管理的行业，建设单位在组织编制建设项目环境影响报告书（表）时，可结合相应排污许可证申请与核发技术规范，在环评文件中一并明确“建设项目环境影响评价与排污许可联动内容”</w:t>
            </w:r>
            <w:r>
              <w:rPr>
                <w:rFonts w:hint="eastAsia"/>
                <w:color w:val="auto"/>
                <w:lang w:eastAsia="zh-CN"/>
              </w:rPr>
              <w:t>；</w:t>
            </w:r>
          </w:p>
          <w:p w14:paraId="0F2E8FE5">
            <w:pPr>
              <w:numPr>
                <w:ilvl w:val="0"/>
                <w:numId w:val="0"/>
              </w:numPr>
              <w:spacing w:beforeLines="0" w:afterLines="0"/>
              <w:ind w:firstLine="480" w:firstLineChars="200"/>
              <w:jc w:val="both"/>
              <w:rPr>
                <w:rFonts w:hint="default"/>
                <w:color w:val="auto"/>
                <w:lang w:val="en-US" w:eastAsia="zh-CN"/>
              </w:rPr>
            </w:pPr>
            <w:r>
              <w:rPr>
                <w:rFonts w:hint="eastAsia"/>
                <w:color w:val="auto"/>
              </w:rPr>
              <w:t>根据《固定污染源排污许可分类管理名录》（20</w:t>
            </w:r>
            <w:r>
              <w:rPr>
                <w:rFonts w:hint="eastAsia"/>
                <w:color w:val="auto"/>
                <w:lang w:val="en-US" w:eastAsia="zh-CN"/>
              </w:rPr>
              <w:t>19</w:t>
            </w:r>
            <w:r>
              <w:rPr>
                <w:rFonts w:hint="eastAsia"/>
                <w:color w:val="auto"/>
              </w:rPr>
              <w:t>年版）名录，“</w:t>
            </w:r>
            <w:r>
              <w:rPr>
                <w:rFonts w:hint="eastAsia"/>
                <w:color w:val="auto"/>
                <w:lang w:val="en-US" w:eastAsia="zh-CN"/>
              </w:rPr>
              <w:t>四十九</w:t>
            </w:r>
            <w:r>
              <w:rPr>
                <w:rFonts w:hint="eastAsia"/>
                <w:color w:val="auto"/>
              </w:rPr>
              <w:t>、</w:t>
            </w:r>
            <w:r>
              <w:rPr>
                <w:rFonts w:hint="eastAsia"/>
                <w:color w:val="auto"/>
                <w:lang w:val="en-US" w:eastAsia="zh-CN"/>
              </w:rPr>
              <w:t>卫生84</w:t>
            </w:r>
            <w:r>
              <w:rPr>
                <w:rFonts w:hint="eastAsia"/>
                <w:color w:val="auto"/>
              </w:rPr>
              <w:t>-</w:t>
            </w:r>
            <w:r>
              <w:rPr>
                <w:rFonts w:hint="eastAsia"/>
                <w:color w:val="auto"/>
                <w:lang w:val="en-US" w:eastAsia="zh-CN"/>
              </w:rPr>
              <w:t>107、疾病预防控制中心 8431，床位100张以下的综合医院 8411、中医医院 8412、中西医结合医院 8413、民族医院8414、专科医院 8415、疗养院 8416</w:t>
            </w:r>
            <w:r>
              <w:rPr>
                <w:rFonts w:hint="eastAsia"/>
                <w:color w:val="auto"/>
              </w:rPr>
              <w:t>”</w:t>
            </w:r>
            <w:r>
              <w:rPr>
                <w:rFonts w:hint="eastAsia"/>
                <w:color w:val="auto"/>
                <w:lang w:eastAsia="zh-CN"/>
              </w:rPr>
              <w:t>，</w:t>
            </w:r>
            <w:r>
              <w:rPr>
                <w:rFonts w:hint="eastAsia"/>
                <w:color w:val="auto"/>
                <w:lang w:val="en-US" w:eastAsia="zh-CN"/>
              </w:rPr>
              <w:t>本项目床位60张的专科医院，</w:t>
            </w:r>
            <w:r>
              <w:rPr>
                <w:rFonts w:hint="eastAsia"/>
                <w:color w:val="auto"/>
              </w:rPr>
              <w:t>为</w:t>
            </w:r>
            <w:r>
              <w:rPr>
                <w:rFonts w:hint="eastAsia"/>
                <w:color w:val="auto"/>
                <w:lang w:val="en-US" w:eastAsia="zh-CN"/>
              </w:rPr>
              <w:t>登记</w:t>
            </w:r>
            <w:r>
              <w:rPr>
                <w:rFonts w:hint="eastAsia"/>
                <w:color w:val="auto"/>
              </w:rPr>
              <w:t>管理项目。</w:t>
            </w:r>
            <w:r>
              <w:rPr>
                <w:rFonts w:hint="eastAsia"/>
                <w:color w:val="auto"/>
                <w:lang w:eastAsia="zh-CN"/>
              </w:rPr>
              <w:t>无需编制</w:t>
            </w:r>
            <w:r>
              <w:rPr>
                <w:rFonts w:hint="eastAsia"/>
                <w:color w:val="auto"/>
              </w:rPr>
              <w:t>建设项目环境影响评价与排污许可联动内容</w:t>
            </w:r>
            <w:r>
              <w:rPr>
                <w:rFonts w:hint="eastAsia"/>
                <w:color w:val="auto"/>
                <w:lang w:eastAsia="zh-CN"/>
              </w:rPr>
              <w:t>。</w:t>
            </w:r>
          </w:p>
        </w:tc>
      </w:tr>
    </w:tbl>
    <w:p w14:paraId="416EE9AD">
      <w:pPr>
        <w:pStyle w:val="3"/>
        <w:keepNext w:val="0"/>
        <w:keepLines w:val="0"/>
        <w:pageBreakBefore w:val="0"/>
        <w:widowControl w:val="0"/>
        <w:numPr>
          <w:ilvl w:val="-1"/>
          <w:numId w:val="0"/>
        </w:numPr>
        <w:kinsoku/>
        <w:wordWrap/>
        <w:overflowPunct/>
        <w:topLinePunct w:val="0"/>
        <w:autoSpaceDE/>
        <w:autoSpaceDN/>
        <w:bidi w:val="0"/>
        <w:adjustRightInd w:val="0"/>
        <w:snapToGrid/>
        <w:spacing w:before="0" w:beforeLines="0" w:after="0" w:afterLines="0"/>
        <w:ind w:firstLine="0"/>
        <w:jc w:val="center"/>
        <w:textAlignment w:val="auto"/>
        <w:rPr>
          <w:rFonts w:hint="eastAsia"/>
          <w:color w:val="auto"/>
          <w:lang w:eastAsia="zh-CN"/>
        </w:rPr>
        <w:sectPr>
          <w:pgSz w:w="11905" w:h="16838"/>
          <w:pgMar w:top="1440" w:right="1800" w:bottom="1440" w:left="1800" w:header="851" w:footer="850" w:gutter="0"/>
          <w:pgBorders>
            <w:top w:val="none" w:sz="0" w:space="0"/>
            <w:left w:val="none" w:sz="0" w:space="0"/>
            <w:bottom w:val="none" w:sz="0" w:space="0"/>
            <w:right w:val="none" w:sz="0" w:space="0"/>
          </w:pgBorders>
          <w:pgNumType w:fmt="decimal"/>
          <w:cols w:space="720" w:num="1"/>
          <w:docGrid w:linePitch="312" w:charSpace="0"/>
        </w:sectPr>
      </w:pPr>
    </w:p>
    <w:p w14:paraId="56E75CB6">
      <w:pPr>
        <w:pStyle w:val="3"/>
        <w:keepNext w:val="0"/>
        <w:keepLines w:val="0"/>
        <w:pageBreakBefore w:val="0"/>
        <w:widowControl w:val="0"/>
        <w:numPr>
          <w:ilvl w:val="-1"/>
          <w:numId w:val="0"/>
        </w:numPr>
        <w:kinsoku/>
        <w:wordWrap/>
        <w:overflowPunct/>
        <w:topLinePunct w:val="0"/>
        <w:autoSpaceDE/>
        <w:autoSpaceDN/>
        <w:bidi w:val="0"/>
        <w:adjustRightInd w:val="0"/>
        <w:snapToGrid/>
        <w:spacing w:before="0" w:beforeLines="0" w:after="0" w:afterLines="0"/>
        <w:ind w:firstLine="0"/>
        <w:jc w:val="center"/>
        <w:textAlignment w:val="auto"/>
        <w:rPr>
          <w:rFonts w:hint="eastAsia"/>
          <w:color w:val="auto"/>
          <w:lang w:eastAsia="zh-CN"/>
        </w:rPr>
      </w:pPr>
      <w:r>
        <w:rPr>
          <w:rFonts w:hint="eastAsia"/>
          <w:color w:val="auto"/>
          <w:lang w:eastAsia="zh-CN"/>
        </w:rPr>
        <w:t>六、结论</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0A9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6CB217F2">
            <w:pPr>
              <w:ind w:firstLine="480"/>
              <w:jc w:val="both"/>
              <w:rPr>
                <w:color w:val="auto"/>
              </w:rPr>
            </w:pPr>
            <w:r>
              <w:rPr>
                <w:rFonts w:hint="eastAsia"/>
                <w:color w:val="auto"/>
              </w:rPr>
              <w:t>本次</w:t>
            </w:r>
            <w:r>
              <w:rPr>
                <w:rFonts w:hint="eastAsia"/>
                <w:color w:val="auto"/>
                <w:highlight w:val="none"/>
                <w:lang w:eastAsia="zh-CN"/>
              </w:rPr>
              <w:t>《</w:t>
            </w:r>
            <w:r>
              <w:rPr>
                <w:rFonts w:hint="eastAsia"/>
                <w:b w:val="0"/>
                <w:bCs w:val="0"/>
                <w:color w:val="auto"/>
                <w:sz w:val="24"/>
                <w:szCs w:val="24"/>
                <w:lang w:val="en-US" w:eastAsia="zh-CN"/>
              </w:rPr>
              <w:t>泗县眼科专科医院项目</w:t>
            </w:r>
            <w:r>
              <w:rPr>
                <w:rFonts w:hint="eastAsia"/>
                <w:color w:val="auto"/>
                <w:highlight w:val="none"/>
                <w:lang w:eastAsia="zh-CN"/>
              </w:rPr>
              <w:t>》</w:t>
            </w:r>
            <w:r>
              <w:rPr>
                <w:rFonts w:hint="eastAsia"/>
                <w:color w:val="auto"/>
              </w:rPr>
              <w:t>选址和产业均符合相关政策，</w:t>
            </w:r>
            <w:r>
              <w:rPr>
                <w:color w:val="auto"/>
              </w:rPr>
              <w:t>建设内容及规模符合国家、地方有关环境保护法律法规、规范、政策要求</w:t>
            </w:r>
            <w:r>
              <w:rPr>
                <w:rFonts w:hint="eastAsia"/>
                <w:color w:val="auto"/>
                <w:lang w:eastAsia="zh-CN"/>
              </w:rPr>
              <w:t>，</w:t>
            </w:r>
            <w:r>
              <w:rPr>
                <w:color w:val="auto"/>
              </w:rPr>
              <w:t>符合</w:t>
            </w:r>
            <w:r>
              <w:rPr>
                <w:rFonts w:hint="eastAsia"/>
                <w:color w:val="auto"/>
                <w:lang w:eastAsia="zh-CN"/>
              </w:rPr>
              <w:t>“</w:t>
            </w:r>
            <w:r>
              <w:rPr>
                <w:color w:val="auto"/>
              </w:rPr>
              <w:t>三线一单</w:t>
            </w:r>
            <w:r>
              <w:rPr>
                <w:rFonts w:hint="eastAsia"/>
                <w:color w:val="auto"/>
                <w:lang w:eastAsia="zh-CN"/>
              </w:rPr>
              <w:t>”</w:t>
            </w:r>
            <w:r>
              <w:rPr>
                <w:color w:val="auto"/>
              </w:rPr>
              <w:t>要求；</w:t>
            </w:r>
            <w:r>
              <w:rPr>
                <w:rFonts w:hint="eastAsia"/>
                <w:color w:val="auto"/>
              </w:rPr>
              <w:t>项目建成投入使用后项目对环境的影响程度较小，本次评价认为，企业在认真、切实落实</w:t>
            </w:r>
            <w:r>
              <w:rPr>
                <w:rFonts w:hint="eastAsia"/>
                <w:color w:val="auto"/>
                <w:lang w:val="en-US" w:eastAsia="zh-CN"/>
              </w:rPr>
              <w:t>本</w:t>
            </w:r>
            <w:r>
              <w:rPr>
                <w:color w:val="auto"/>
              </w:rPr>
              <w:t>报告</w:t>
            </w:r>
            <w:r>
              <w:rPr>
                <w:rFonts w:hint="eastAsia"/>
                <w:color w:val="auto"/>
                <w:lang w:val="en-US" w:eastAsia="zh-CN"/>
              </w:rPr>
              <w:t>表</w:t>
            </w:r>
            <w:r>
              <w:rPr>
                <w:color w:val="auto"/>
              </w:rPr>
              <w:t>提出的各项污染防治措施、风险防范措施，从环境影响角度考虑，该项目建设可行。</w:t>
            </w:r>
          </w:p>
          <w:p w14:paraId="7CFF2ACE">
            <w:pPr>
              <w:jc w:val="center"/>
              <w:rPr>
                <w:rFonts w:ascii="宋体"/>
                <w:color w:val="auto"/>
              </w:rPr>
            </w:pPr>
          </w:p>
        </w:tc>
      </w:tr>
    </w:tbl>
    <w:p w14:paraId="200BB5FE">
      <w:pPr>
        <w:rPr>
          <w:rFonts w:ascii="宋体"/>
          <w:color w:val="auto"/>
        </w:rPr>
        <w:sectPr>
          <w:pgSz w:w="11905" w:h="16838"/>
          <w:pgMar w:top="1440" w:right="1800" w:bottom="1440" w:left="1800" w:header="851" w:footer="850" w:gutter="0"/>
          <w:pgBorders>
            <w:top w:val="none" w:sz="0" w:space="0"/>
            <w:left w:val="none" w:sz="0" w:space="0"/>
            <w:bottom w:val="none" w:sz="0" w:space="0"/>
            <w:right w:val="none" w:sz="0" w:space="0"/>
          </w:pgBorders>
          <w:pgNumType w:fmt="decimal"/>
          <w:cols w:space="720" w:num="1"/>
          <w:docGrid w:linePitch="312" w:charSpace="0"/>
        </w:sectPr>
      </w:pPr>
    </w:p>
    <w:p w14:paraId="79E781AE">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7D454EC4">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8"/>
        <w:tblpPr w:leftFromText="180" w:rightFromText="180" w:vertAnchor="text" w:horzAnchor="page" w:tblpX="1135" w:tblpY="142"/>
        <w:tblOverlap w:val="never"/>
        <w:tblW w:w="146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2879"/>
        <w:gridCol w:w="1714"/>
        <w:gridCol w:w="1308"/>
        <w:gridCol w:w="1446"/>
        <w:gridCol w:w="1511"/>
        <w:gridCol w:w="1468"/>
        <w:gridCol w:w="1825"/>
        <w:gridCol w:w="1490"/>
      </w:tblGrid>
      <w:tr w14:paraId="72C0B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1035" w:type="dxa"/>
            <w:tcBorders>
              <w:tl2br w:val="single" w:color="auto" w:sz="4" w:space="0"/>
            </w:tcBorders>
            <w:noWrap w:val="0"/>
            <w:tcMar>
              <w:left w:w="28" w:type="dxa"/>
              <w:right w:w="28" w:type="dxa"/>
            </w:tcMar>
            <w:vAlign w:val="center"/>
          </w:tcPr>
          <w:p w14:paraId="1AE5141B">
            <w:pPr>
              <w:spacing w:line="240" w:lineRule="auto"/>
              <w:jc w:val="center"/>
              <w:rPr>
                <w:rFonts w:hint="eastAsia" w:ascii="Times New Roman" w:hAnsi="Times New Roman" w:eastAsia="宋体" w:cs="Times New Roman"/>
                <w:b/>
                <w:color w:val="auto"/>
                <w:sz w:val="21"/>
                <w:lang w:val="en-US" w:eastAsia="zh-CN"/>
              </w:rPr>
            </w:pPr>
            <w:r>
              <w:rPr>
                <w:rFonts w:hint="eastAsia" w:ascii="Times New Roman" w:hAnsi="Times New Roman" w:eastAsia="宋体" w:cs="Times New Roman"/>
                <w:b/>
                <w:color w:val="auto"/>
                <w:sz w:val="21"/>
                <w:lang w:val="en-US" w:eastAsia="zh-CN"/>
              </w:rPr>
              <w:t>项目</w:t>
            </w:r>
          </w:p>
          <w:p w14:paraId="1A561FD7">
            <w:pPr>
              <w:spacing w:line="240" w:lineRule="auto"/>
              <w:ind w:left="0" w:leftChars="0" w:firstLine="0" w:firstLineChars="0"/>
              <w:jc w:val="both"/>
              <w:rPr>
                <w:rFonts w:hint="eastAsia" w:ascii="Times New Roman" w:hAnsi="Times New Roman" w:eastAsia="宋体" w:cs="Times New Roman"/>
                <w:b/>
                <w:color w:val="auto"/>
                <w:sz w:val="21"/>
                <w:lang w:val="en-US" w:eastAsia="zh-CN"/>
              </w:rPr>
            </w:pPr>
            <w:r>
              <w:rPr>
                <w:rFonts w:hint="eastAsia" w:ascii="Times New Roman" w:hAnsi="Times New Roman" w:eastAsia="宋体" w:cs="Times New Roman"/>
                <w:b/>
                <w:color w:val="auto"/>
                <w:sz w:val="21"/>
                <w:lang w:val="en-US" w:eastAsia="zh-CN"/>
              </w:rPr>
              <w:t>分类</w:t>
            </w:r>
          </w:p>
        </w:tc>
        <w:tc>
          <w:tcPr>
            <w:tcW w:w="2879" w:type="dxa"/>
            <w:noWrap w:val="0"/>
            <w:tcMar>
              <w:left w:w="28" w:type="dxa"/>
              <w:right w:w="28" w:type="dxa"/>
            </w:tcMar>
            <w:vAlign w:val="center"/>
          </w:tcPr>
          <w:p w14:paraId="677850FB">
            <w:pPr>
              <w:spacing w:line="240" w:lineRule="auto"/>
              <w:jc w:val="center"/>
              <w:rPr>
                <w:rFonts w:hint="eastAsia" w:ascii="Times New Roman" w:hAnsi="Times New Roman" w:eastAsia="宋体" w:cs="Times New Roman"/>
                <w:b/>
                <w:color w:val="auto"/>
                <w:sz w:val="21"/>
                <w:lang w:val="en-US" w:eastAsia="zh-CN"/>
              </w:rPr>
            </w:pPr>
            <w:r>
              <w:rPr>
                <w:rFonts w:hint="eastAsia" w:ascii="Times New Roman" w:hAnsi="Times New Roman" w:eastAsia="宋体" w:cs="Times New Roman"/>
                <w:b/>
                <w:color w:val="auto"/>
                <w:sz w:val="21"/>
                <w:lang w:val="en-US" w:eastAsia="zh-CN"/>
              </w:rPr>
              <w:t>污染物名称</w:t>
            </w:r>
          </w:p>
        </w:tc>
        <w:tc>
          <w:tcPr>
            <w:tcW w:w="1714" w:type="dxa"/>
            <w:noWrap w:val="0"/>
            <w:tcMar>
              <w:left w:w="28" w:type="dxa"/>
              <w:right w:w="28" w:type="dxa"/>
            </w:tcMar>
            <w:vAlign w:val="center"/>
          </w:tcPr>
          <w:p w14:paraId="1F96334A">
            <w:pPr>
              <w:spacing w:line="240" w:lineRule="auto"/>
              <w:ind w:left="0" w:leftChars="0" w:firstLine="0" w:firstLineChars="0"/>
              <w:jc w:val="center"/>
              <w:rPr>
                <w:rFonts w:ascii="Times New Roman" w:hAnsi="Times New Roman" w:eastAsia="宋体" w:cs="Times New Roman"/>
                <w:b/>
                <w:color w:val="auto"/>
                <w:sz w:val="21"/>
                <w:lang w:val="en-US" w:eastAsia="zh-CN"/>
              </w:rPr>
            </w:pPr>
            <w:r>
              <w:rPr>
                <w:rFonts w:ascii="Times New Roman" w:hAnsi="Times New Roman" w:eastAsia="宋体" w:cs="Times New Roman"/>
                <w:b/>
                <w:color w:val="auto"/>
                <w:sz w:val="21"/>
                <w:lang w:val="en-US" w:eastAsia="zh-CN"/>
              </w:rPr>
              <w:t>现有工程排放量（固</w:t>
            </w:r>
            <w:r>
              <w:rPr>
                <w:rFonts w:hint="eastAsia" w:ascii="Times New Roman" w:hAnsi="Times New Roman" w:eastAsia="宋体" w:cs="Times New Roman"/>
                <w:b/>
                <w:color w:val="auto"/>
                <w:sz w:val="21"/>
                <w:lang w:val="en-US" w:eastAsia="zh-CN"/>
              </w:rPr>
              <w:t>体</w:t>
            </w:r>
            <w:r>
              <w:rPr>
                <w:rFonts w:ascii="Times New Roman" w:hAnsi="Times New Roman" w:eastAsia="宋体" w:cs="Times New Roman"/>
                <w:b/>
                <w:color w:val="auto"/>
                <w:sz w:val="21"/>
                <w:lang w:val="en-US" w:eastAsia="zh-CN"/>
              </w:rPr>
              <w:t>废</w:t>
            </w:r>
            <w:r>
              <w:rPr>
                <w:rFonts w:hint="eastAsia" w:ascii="Times New Roman" w:hAnsi="Times New Roman" w:eastAsia="宋体" w:cs="Times New Roman"/>
                <w:b/>
                <w:color w:val="auto"/>
                <w:sz w:val="21"/>
                <w:lang w:val="en-US" w:eastAsia="zh-CN"/>
              </w:rPr>
              <w:t>物</w:t>
            </w:r>
            <w:r>
              <w:rPr>
                <w:rFonts w:ascii="Times New Roman" w:hAnsi="Times New Roman" w:eastAsia="宋体" w:cs="Times New Roman"/>
                <w:b/>
                <w:color w:val="auto"/>
                <w:sz w:val="21"/>
                <w:lang w:val="en-US" w:eastAsia="zh-CN"/>
              </w:rPr>
              <w:t>产生量）</w:t>
            </w:r>
            <w:r>
              <w:rPr>
                <w:rFonts w:ascii="Times New Roman" w:hAnsi="Times New Roman" w:eastAsia="宋体" w:cs="Times New Roman"/>
                <w:b/>
                <w:color w:val="auto"/>
                <w:sz w:val="21"/>
                <w:lang w:val="en-US" w:eastAsia="zh-CN"/>
              </w:rPr>
              <w:fldChar w:fldCharType="begin"/>
            </w:r>
            <w:r>
              <w:rPr>
                <w:rFonts w:ascii="Times New Roman" w:hAnsi="Times New Roman" w:eastAsia="宋体" w:cs="Times New Roman"/>
                <w:b/>
                <w:color w:val="auto"/>
                <w:sz w:val="21"/>
                <w:lang w:val="en-US" w:eastAsia="zh-CN"/>
              </w:rPr>
              <w:instrText xml:space="preserve"> = 1 \* GB3 \* MERGEFORMAT </w:instrText>
            </w:r>
            <w:r>
              <w:rPr>
                <w:rFonts w:ascii="Times New Roman" w:hAnsi="Times New Roman" w:eastAsia="宋体" w:cs="Times New Roman"/>
                <w:b/>
                <w:color w:val="auto"/>
                <w:sz w:val="21"/>
                <w:lang w:val="en-US" w:eastAsia="zh-CN"/>
              </w:rPr>
              <w:fldChar w:fldCharType="separate"/>
            </w:r>
            <w:r>
              <w:rPr>
                <w:rFonts w:hint="eastAsia" w:ascii="Times New Roman" w:hAnsi="Times New Roman" w:eastAsia="宋体" w:cs="Times New Roman"/>
                <w:b/>
                <w:color w:val="auto"/>
                <w:sz w:val="21"/>
                <w:lang w:val="en-US" w:eastAsia="zh-CN"/>
              </w:rPr>
              <w:t>①</w:t>
            </w:r>
            <w:r>
              <w:rPr>
                <w:rFonts w:ascii="Times New Roman" w:hAnsi="Times New Roman" w:eastAsia="宋体" w:cs="Times New Roman"/>
                <w:b/>
                <w:color w:val="auto"/>
                <w:sz w:val="21"/>
                <w:lang w:val="en-US" w:eastAsia="zh-CN"/>
              </w:rPr>
              <w:fldChar w:fldCharType="end"/>
            </w:r>
          </w:p>
        </w:tc>
        <w:tc>
          <w:tcPr>
            <w:tcW w:w="1308" w:type="dxa"/>
            <w:noWrap w:val="0"/>
            <w:tcMar>
              <w:left w:w="28" w:type="dxa"/>
              <w:right w:w="28" w:type="dxa"/>
            </w:tcMar>
            <w:vAlign w:val="center"/>
          </w:tcPr>
          <w:p w14:paraId="687EDC05">
            <w:pPr>
              <w:spacing w:line="240" w:lineRule="auto"/>
              <w:ind w:left="0" w:leftChars="0" w:firstLine="0" w:firstLineChars="0"/>
              <w:jc w:val="center"/>
              <w:rPr>
                <w:rFonts w:ascii="Times New Roman" w:hAnsi="Times New Roman" w:eastAsia="宋体" w:cs="Times New Roman"/>
                <w:b/>
                <w:color w:val="auto"/>
                <w:sz w:val="21"/>
                <w:lang w:val="en-US" w:eastAsia="zh-CN"/>
              </w:rPr>
            </w:pPr>
            <w:r>
              <w:rPr>
                <w:rFonts w:ascii="Times New Roman" w:hAnsi="Times New Roman" w:eastAsia="宋体" w:cs="Times New Roman"/>
                <w:b/>
                <w:color w:val="auto"/>
                <w:sz w:val="21"/>
                <w:lang w:val="en-US" w:eastAsia="zh-CN"/>
              </w:rPr>
              <w:t>现有工程许可排放量</w:t>
            </w:r>
            <w:r>
              <w:rPr>
                <w:rFonts w:ascii="Times New Roman" w:hAnsi="Times New Roman" w:eastAsia="宋体" w:cs="Times New Roman"/>
                <w:b/>
                <w:color w:val="auto"/>
                <w:sz w:val="21"/>
                <w:lang w:val="en-US" w:eastAsia="zh-CN"/>
              </w:rPr>
              <w:fldChar w:fldCharType="begin"/>
            </w:r>
            <w:r>
              <w:rPr>
                <w:rFonts w:ascii="Times New Roman" w:hAnsi="Times New Roman" w:eastAsia="宋体" w:cs="Times New Roman"/>
                <w:b/>
                <w:color w:val="auto"/>
                <w:sz w:val="21"/>
                <w:lang w:val="en-US" w:eastAsia="zh-CN"/>
              </w:rPr>
              <w:instrText xml:space="preserve"> = 2 \* GB3 \* MERGEFORMAT </w:instrText>
            </w:r>
            <w:r>
              <w:rPr>
                <w:rFonts w:ascii="Times New Roman" w:hAnsi="Times New Roman" w:eastAsia="宋体" w:cs="Times New Roman"/>
                <w:b/>
                <w:color w:val="auto"/>
                <w:sz w:val="21"/>
                <w:lang w:val="en-US" w:eastAsia="zh-CN"/>
              </w:rPr>
              <w:fldChar w:fldCharType="separate"/>
            </w:r>
            <w:r>
              <w:rPr>
                <w:rFonts w:hint="eastAsia" w:ascii="Times New Roman" w:hAnsi="Times New Roman" w:eastAsia="宋体" w:cs="Times New Roman"/>
                <w:b/>
                <w:color w:val="auto"/>
                <w:sz w:val="21"/>
                <w:lang w:val="en-US" w:eastAsia="zh-CN"/>
              </w:rPr>
              <w:t>②</w:t>
            </w:r>
            <w:r>
              <w:rPr>
                <w:rFonts w:ascii="Times New Roman" w:hAnsi="Times New Roman" w:eastAsia="宋体" w:cs="Times New Roman"/>
                <w:b/>
                <w:color w:val="auto"/>
                <w:sz w:val="21"/>
                <w:lang w:val="en-US" w:eastAsia="zh-CN"/>
              </w:rPr>
              <w:fldChar w:fldCharType="end"/>
            </w:r>
          </w:p>
        </w:tc>
        <w:tc>
          <w:tcPr>
            <w:tcW w:w="1446" w:type="dxa"/>
            <w:noWrap w:val="0"/>
            <w:tcMar>
              <w:left w:w="28" w:type="dxa"/>
              <w:right w:w="28" w:type="dxa"/>
            </w:tcMar>
            <w:vAlign w:val="center"/>
          </w:tcPr>
          <w:p w14:paraId="4942B9EE">
            <w:pPr>
              <w:spacing w:line="240" w:lineRule="auto"/>
              <w:ind w:left="0" w:leftChars="0" w:firstLine="0" w:firstLineChars="0"/>
              <w:jc w:val="center"/>
              <w:rPr>
                <w:rFonts w:ascii="Times New Roman" w:hAnsi="Times New Roman" w:eastAsia="宋体" w:cs="Times New Roman"/>
                <w:b/>
                <w:color w:val="auto"/>
                <w:sz w:val="21"/>
                <w:lang w:val="en-US" w:eastAsia="zh-CN"/>
              </w:rPr>
            </w:pPr>
            <w:r>
              <w:rPr>
                <w:rFonts w:ascii="Times New Roman" w:hAnsi="Times New Roman" w:eastAsia="宋体" w:cs="Times New Roman"/>
                <w:b/>
                <w:color w:val="auto"/>
                <w:sz w:val="21"/>
                <w:lang w:val="en-US" w:eastAsia="zh-CN"/>
              </w:rPr>
              <w:t>在建工程排放量（固</w:t>
            </w:r>
            <w:r>
              <w:rPr>
                <w:rFonts w:hint="eastAsia" w:ascii="Times New Roman" w:hAnsi="Times New Roman" w:eastAsia="宋体" w:cs="Times New Roman"/>
                <w:b/>
                <w:color w:val="auto"/>
                <w:sz w:val="21"/>
                <w:lang w:val="en-US" w:eastAsia="zh-CN"/>
              </w:rPr>
              <w:t>体</w:t>
            </w:r>
            <w:r>
              <w:rPr>
                <w:rFonts w:ascii="Times New Roman" w:hAnsi="Times New Roman" w:eastAsia="宋体" w:cs="Times New Roman"/>
                <w:b/>
                <w:color w:val="auto"/>
                <w:sz w:val="21"/>
                <w:lang w:val="en-US" w:eastAsia="zh-CN"/>
              </w:rPr>
              <w:t>废</w:t>
            </w:r>
            <w:r>
              <w:rPr>
                <w:rFonts w:hint="eastAsia" w:ascii="Times New Roman" w:hAnsi="Times New Roman" w:eastAsia="宋体" w:cs="Times New Roman"/>
                <w:b/>
                <w:color w:val="auto"/>
                <w:sz w:val="21"/>
                <w:lang w:val="en-US" w:eastAsia="zh-CN"/>
              </w:rPr>
              <w:t>物</w:t>
            </w:r>
            <w:r>
              <w:rPr>
                <w:rFonts w:ascii="Times New Roman" w:hAnsi="Times New Roman" w:eastAsia="宋体" w:cs="Times New Roman"/>
                <w:b/>
                <w:color w:val="auto"/>
                <w:sz w:val="21"/>
                <w:lang w:val="en-US" w:eastAsia="zh-CN"/>
              </w:rPr>
              <w:t>产生量）</w:t>
            </w:r>
            <w:r>
              <w:rPr>
                <w:rFonts w:ascii="Times New Roman" w:hAnsi="Times New Roman" w:eastAsia="宋体" w:cs="Times New Roman"/>
                <w:b/>
                <w:color w:val="auto"/>
                <w:sz w:val="21"/>
                <w:lang w:val="en-US" w:eastAsia="zh-CN"/>
              </w:rPr>
              <w:fldChar w:fldCharType="begin"/>
            </w:r>
            <w:r>
              <w:rPr>
                <w:rFonts w:ascii="Times New Roman" w:hAnsi="Times New Roman" w:eastAsia="宋体" w:cs="Times New Roman"/>
                <w:b/>
                <w:color w:val="auto"/>
                <w:sz w:val="21"/>
                <w:lang w:val="en-US" w:eastAsia="zh-CN"/>
              </w:rPr>
              <w:instrText xml:space="preserve"> = 3 \* GB3 \* MERGEFORMAT </w:instrText>
            </w:r>
            <w:r>
              <w:rPr>
                <w:rFonts w:ascii="Times New Roman" w:hAnsi="Times New Roman" w:eastAsia="宋体" w:cs="Times New Roman"/>
                <w:b/>
                <w:color w:val="auto"/>
                <w:sz w:val="21"/>
                <w:lang w:val="en-US" w:eastAsia="zh-CN"/>
              </w:rPr>
              <w:fldChar w:fldCharType="separate"/>
            </w:r>
            <w:r>
              <w:rPr>
                <w:rFonts w:hint="eastAsia" w:ascii="Times New Roman" w:hAnsi="Times New Roman" w:eastAsia="宋体" w:cs="Times New Roman"/>
                <w:b/>
                <w:color w:val="auto"/>
                <w:sz w:val="21"/>
                <w:lang w:val="en-US" w:eastAsia="zh-CN"/>
              </w:rPr>
              <w:t>③</w:t>
            </w:r>
            <w:r>
              <w:rPr>
                <w:rFonts w:ascii="Times New Roman" w:hAnsi="Times New Roman" w:eastAsia="宋体" w:cs="Times New Roman"/>
                <w:b/>
                <w:color w:val="auto"/>
                <w:sz w:val="21"/>
                <w:lang w:val="en-US" w:eastAsia="zh-CN"/>
              </w:rPr>
              <w:fldChar w:fldCharType="end"/>
            </w:r>
          </w:p>
        </w:tc>
        <w:tc>
          <w:tcPr>
            <w:tcW w:w="1511" w:type="dxa"/>
            <w:noWrap w:val="0"/>
            <w:tcMar>
              <w:left w:w="28" w:type="dxa"/>
              <w:right w:w="28" w:type="dxa"/>
            </w:tcMar>
            <w:vAlign w:val="center"/>
          </w:tcPr>
          <w:p w14:paraId="7719C02B">
            <w:pPr>
              <w:spacing w:line="240" w:lineRule="auto"/>
              <w:ind w:left="0" w:leftChars="0" w:firstLine="0" w:firstLineChars="0"/>
              <w:jc w:val="center"/>
              <w:rPr>
                <w:rFonts w:ascii="Times New Roman" w:hAnsi="Times New Roman" w:eastAsia="宋体" w:cs="Times New Roman"/>
                <w:b/>
                <w:color w:val="auto"/>
                <w:sz w:val="21"/>
                <w:lang w:val="en-US" w:eastAsia="zh-CN"/>
              </w:rPr>
            </w:pPr>
            <w:r>
              <w:rPr>
                <w:rFonts w:ascii="Times New Roman" w:hAnsi="Times New Roman" w:eastAsia="宋体" w:cs="Times New Roman"/>
                <w:b/>
                <w:color w:val="auto"/>
                <w:sz w:val="21"/>
                <w:lang w:val="en-US" w:eastAsia="zh-CN"/>
              </w:rPr>
              <w:t>本项目排放量（固</w:t>
            </w:r>
            <w:r>
              <w:rPr>
                <w:rFonts w:hint="eastAsia" w:ascii="Times New Roman" w:hAnsi="Times New Roman" w:eastAsia="宋体" w:cs="Times New Roman"/>
                <w:b/>
                <w:color w:val="auto"/>
                <w:sz w:val="21"/>
                <w:lang w:val="en-US" w:eastAsia="zh-CN"/>
              </w:rPr>
              <w:t>体</w:t>
            </w:r>
            <w:r>
              <w:rPr>
                <w:rFonts w:ascii="Times New Roman" w:hAnsi="Times New Roman" w:eastAsia="宋体" w:cs="Times New Roman"/>
                <w:b/>
                <w:color w:val="auto"/>
                <w:sz w:val="21"/>
                <w:lang w:val="en-US" w:eastAsia="zh-CN"/>
              </w:rPr>
              <w:t>废</w:t>
            </w:r>
            <w:r>
              <w:rPr>
                <w:rFonts w:hint="eastAsia" w:ascii="Times New Roman" w:hAnsi="Times New Roman" w:eastAsia="宋体" w:cs="Times New Roman"/>
                <w:b/>
                <w:color w:val="auto"/>
                <w:sz w:val="21"/>
                <w:lang w:val="en-US" w:eastAsia="zh-CN"/>
              </w:rPr>
              <w:t>物</w:t>
            </w:r>
            <w:r>
              <w:rPr>
                <w:rFonts w:ascii="Times New Roman" w:hAnsi="Times New Roman" w:eastAsia="宋体" w:cs="Times New Roman"/>
                <w:b/>
                <w:color w:val="auto"/>
                <w:sz w:val="21"/>
                <w:lang w:val="en-US" w:eastAsia="zh-CN"/>
              </w:rPr>
              <w:t>产生量）</w:t>
            </w:r>
            <w:r>
              <w:rPr>
                <w:rFonts w:ascii="Times New Roman" w:hAnsi="Times New Roman" w:eastAsia="宋体" w:cs="Times New Roman"/>
                <w:b/>
                <w:color w:val="auto"/>
                <w:sz w:val="21"/>
                <w:lang w:val="en-US" w:eastAsia="zh-CN"/>
              </w:rPr>
              <w:fldChar w:fldCharType="begin"/>
            </w:r>
            <w:r>
              <w:rPr>
                <w:rFonts w:ascii="Times New Roman" w:hAnsi="Times New Roman" w:eastAsia="宋体" w:cs="Times New Roman"/>
                <w:b/>
                <w:color w:val="auto"/>
                <w:sz w:val="21"/>
                <w:lang w:val="en-US" w:eastAsia="zh-CN"/>
              </w:rPr>
              <w:instrText xml:space="preserve"> = 4 \* GB3 \* MERGEFORMAT </w:instrText>
            </w:r>
            <w:r>
              <w:rPr>
                <w:rFonts w:ascii="Times New Roman" w:hAnsi="Times New Roman" w:eastAsia="宋体" w:cs="Times New Roman"/>
                <w:b/>
                <w:color w:val="auto"/>
                <w:sz w:val="21"/>
                <w:lang w:val="en-US" w:eastAsia="zh-CN"/>
              </w:rPr>
              <w:fldChar w:fldCharType="separate"/>
            </w:r>
            <w:r>
              <w:rPr>
                <w:rFonts w:hint="eastAsia" w:ascii="Times New Roman" w:hAnsi="Times New Roman" w:eastAsia="宋体" w:cs="Times New Roman"/>
                <w:b/>
                <w:color w:val="auto"/>
                <w:sz w:val="21"/>
                <w:lang w:val="en-US" w:eastAsia="zh-CN"/>
              </w:rPr>
              <w:t>④</w:t>
            </w:r>
            <w:r>
              <w:rPr>
                <w:rFonts w:ascii="Times New Roman" w:hAnsi="Times New Roman" w:eastAsia="宋体" w:cs="Times New Roman"/>
                <w:b/>
                <w:color w:val="auto"/>
                <w:sz w:val="21"/>
                <w:lang w:val="en-US" w:eastAsia="zh-CN"/>
              </w:rPr>
              <w:fldChar w:fldCharType="end"/>
            </w:r>
          </w:p>
        </w:tc>
        <w:tc>
          <w:tcPr>
            <w:tcW w:w="1468" w:type="dxa"/>
            <w:noWrap w:val="0"/>
            <w:tcMar>
              <w:left w:w="28" w:type="dxa"/>
              <w:right w:w="28" w:type="dxa"/>
            </w:tcMar>
            <w:vAlign w:val="center"/>
          </w:tcPr>
          <w:p w14:paraId="1A4E556F">
            <w:pPr>
              <w:spacing w:line="240" w:lineRule="auto"/>
              <w:ind w:left="0" w:leftChars="0" w:firstLine="0" w:firstLineChars="0"/>
              <w:jc w:val="center"/>
              <w:rPr>
                <w:rFonts w:ascii="Times New Roman" w:hAnsi="Times New Roman" w:eastAsia="宋体" w:cs="Times New Roman"/>
                <w:b/>
                <w:color w:val="auto"/>
                <w:sz w:val="21"/>
                <w:lang w:val="en-US" w:eastAsia="zh-CN"/>
              </w:rPr>
            </w:pPr>
            <w:r>
              <w:rPr>
                <w:rFonts w:ascii="Times New Roman" w:hAnsi="Times New Roman" w:eastAsia="宋体" w:cs="Times New Roman"/>
                <w:b/>
                <w:color w:val="auto"/>
                <w:sz w:val="21"/>
                <w:lang w:val="en-US" w:eastAsia="zh-CN"/>
              </w:rPr>
              <w:t>以新带老削减量（新建项目不填）</w:t>
            </w:r>
            <w:r>
              <w:rPr>
                <w:rFonts w:ascii="Times New Roman" w:hAnsi="Times New Roman" w:eastAsia="宋体" w:cs="Times New Roman"/>
                <w:b/>
                <w:color w:val="auto"/>
                <w:sz w:val="21"/>
                <w:lang w:val="en-US" w:eastAsia="zh-CN"/>
              </w:rPr>
              <w:fldChar w:fldCharType="begin"/>
            </w:r>
            <w:r>
              <w:rPr>
                <w:rFonts w:ascii="Times New Roman" w:hAnsi="Times New Roman" w:eastAsia="宋体" w:cs="Times New Roman"/>
                <w:b/>
                <w:color w:val="auto"/>
                <w:sz w:val="21"/>
                <w:lang w:val="en-US" w:eastAsia="zh-CN"/>
              </w:rPr>
              <w:instrText xml:space="preserve"> = 5 \* GB3 \* MERGEFORMAT </w:instrText>
            </w:r>
            <w:r>
              <w:rPr>
                <w:rFonts w:ascii="Times New Roman" w:hAnsi="Times New Roman" w:eastAsia="宋体" w:cs="Times New Roman"/>
                <w:b/>
                <w:color w:val="auto"/>
                <w:sz w:val="21"/>
                <w:lang w:val="en-US" w:eastAsia="zh-CN"/>
              </w:rPr>
              <w:fldChar w:fldCharType="separate"/>
            </w:r>
            <w:r>
              <w:rPr>
                <w:rFonts w:hint="eastAsia" w:ascii="Times New Roman" w:hAnsi="Times New Roman" w:eastAsia="宋体" w:cs="Times New Roman"/>
                <w:b/>
                <w:color w:val="auto"/>
                <w:sz w:val="21"/>
                <w:lang w:val="en-US" w:eastAsia="zh-CN"/>
              </w:rPr>
              <w:t>⑤</w:t>
            </w:r>
            <w:r>
              <w:rPr>
                <w:rFonts w:ascii="Times New Roman" w:hAnsi="Times New Roman" w:eastAsia="宋体" w:cs="Times New Roman"/>
                <w:b/>
                <w:color w:val="auto"/>
                <w:sz w:val="21"/>
                <w:lang w:val="en-US" w:eastAsia="zh-CN"/>
              </w:rPr>
              <w:fldChar w:fldCharType="end"/>
            </w:r>
          </w:p>
        </w:tc>
        <w:tc>
          <w:tcPr>
            <w:tcW w:w="1825" w:type="dxa"/>
            <w:noWrap w:val="0"/>
            <w:tcMar>
              <w:left w:w="28" w:type="dxa"/>
              <w:right w:w="28" w:type="dxa"/>
            </w:tcMar>
            <w:vAlign w:val="center"/>
          </w:tcPr>
          <w:p w14:paraId="6D9D0B34">
            <w:pPr>
              <w:spacing w:line="240" w:lineRule="auto"/>
              <w:ind w:left="0" w:leftChars="0" w:firstLine="0" w:firstLineChars="0"/>
              <w:jc w:val="center"/>
              <w:rPr>
                <w:rFonts w:ascii="Times New Roman" w:hAnsi="Times New Roman" w:eastAsia="宋体" w:cs="Times New Roman"/>
                <w:b/>
                <w:color w:val="auto"/>
                <w:sz w:val="21"/>
                <w:lang w:val="en-US" w:eastAsia="zh-CN"/>
              </w:rPr>
            </w:pPr>
            <w:r>
              <w:rPr>
                <w:rFonts w:ascii="Times New Roman" w:hAnsi="Times New Roman" w:eastAsia="宋体" w:cs="Times New Roman"/>
                <w:b/>
                <w:color w:val="auto"/>
                <w:sz w:val="21"/>
                <w:lang w:val="en-US" w:eastAsia="zh-CN"/>
              </w:rPr>
              <w:t>本项目建成后</w:t>
            </w:r>
            <w:r>
              <w:rPr>
                <w:rFonts w:hint="eastAsia" w:ascii="Times New Roman" w:hAnsi="Times New Roman" w:eastAsia="宋体" w:cs="Times New Roman"/>
                <w:b/>
                <w:color w:val="auto"/>
                <w:sz w:val="21"/>
                <w:lang w:val="en-US" w:eastAsia="zh-CN"/>
              </w:rPr>
              <w:t>全厂</w:t>
            </w:r>
            <w:r>
              <w:rPr>
                <w:rFonts w:ascii="Times New Roman" w:hAnsi="Times New Roman" w:eastAsia="宋体" w:cs="Times New Roman"/>
                <w:b/>
                <w:color w:val="auto"/>
                <w:sz w:val="21"/>
                <w:lang w:val="en-US" w:eastAsia="zh-CN"/>
              </w:rPr>
              <w:t>排放量（固</w:t>
            </w:r>
            <w:r>
              <w:rPr>
                <w:rFonts w:hint="eastAsia" w:ascii="Times New Roman" w:hAnsi="Times New Roman" w:eastAsia="宋体" w:cs="Times New Roman"/>
                <w:b/>
                <w:color w:val="auto"/>
                <w:sz w:val="21"/>
                <w:lang w:val="en-US" w:eastAsia="zh-CN"/>
              </w:rPr>
              <w:t>体</w:t>
            </w:r>
            <w:r>
              <w:rPr>
                <w:rFonts w:ascii="Times New Roman" w:hAnsi="Times New Roman" w:eastAsia="宋体" w:cs="Times New Roman"/>
                <w:b/>
                <w:color w:val="auto"/>
                <w:sz w:val="21"/>
                <w:lang w:val="en-US" w:eastAsia="zh-CN"/>
              </w:rPr>
              <w:t>废</w:t>
            </w:r>
            <w:r>
              <w:rPr>
                <w:rFonts w:hint="eastAsia" w:ascii="Times New Roman" w:hAnsi="Times New Roman" w:eastAsia="宋体" w:cs="Times New Roman"/>
                <w:b/>
                <w:color w:val="auto"/>
                <w:sz w:val="21"/>
                <w:lang w:val="en-US" w:eastAsia="zh-CN"/>
              </w:rPr>
              <w:t>物</w:t>
            </w:r>
            <w:r>
              <w:rPr>
                <w:rFonts w:ascii="Times New Roman" w:hAnsi="Times New Roman" w:eastAsia="宋体" w:cs="Times New Roman"/>
                <w:b/>
                <w:color w:val="auto"/>
                <w:sz w:val="21"/>
                <w:lang w:val="en-US" w:eastAsia="zh-CN"/>
              </w:rPr>
              <w:t>产生量）</w:t>
            </w:r>
            <w:r>
              <w:rPr>
                <w:rFonts w:ascii="Times New Roman" w:hAnsi="Times New Roman" w:eastAsia="宋体" w:cs="Times New Roman"/>
                <w:b/>
                <w:color w:val="auto"/>
                <w:sz w:val="21"/>
                <w:lang w:val="en-US" w:eastAsia="zh-CN"/>
              </w:rPr>
              <w:fldChar w:fldCharType="begin"/>
            </w:r>
            <w:r>
              <w:rPr>
                <w:rFonts w:ascii="Times New Roman" w:hAnsi="Times New Roman" w:eastAsia="宋体" w:cs="Times New Roman"/>
                <w:b/>
                <w:color w:val="auto"/>
                <w:sz w:val="21"/>
                <w:lang w:val="en-US" w:eastAsia="zh-CN"/>
              </w:rPr>
              <w:instrText xml:space="preserve"> = 6 \* GB3 \* MERGEFORMAT </w:instrText>
            </w:r>
            <w:r>
              <w:rPr>
                <w:rFonts w:ascii="Times New Roman" w:hAnsi="Times New Roman" w:eastAsia="宋体" w:cs="Times New Roman"/>
                <w:b/>
                <w:color w:val="auto"/>
                <w:sz w:val="21"/>
                <w:lang w:val="en-US" w:eastAsia="zh-CN"/>
              </w:rPr>
              <w:fldChar w:fldCharType="separate"/>
            </w:r>
            <w:r>
              <w:rPr>
                <w:rFonts w:hint="eastAsia" w:ascii="Times New Roman" w:hAnsi="Times New Roman" w:eastAsia="宋体" w:cs="Times New Roman"/>
                <w:b/>
                <w:color w:val="auto"/>
                <w:sz w:val="21"/>
                <w:lang w:val="en-US" w:eastAsia="zh-CN"/>
              </w:rPr>
              <w:t>⑥</w:t>
            </w:r>
            <w:r>
              <w:rPr>
                <w:rFonts w:ascii="Times New Roman" w:hAnsi="Times New Roman" w:eastAsia="宋体" w:cs="Times New Roman"/>
                <w:b/>
                <w:color w:val="auto"/>
                <w:sz w:val="21"/>
                <w:lang w:val="en-US" w:eastAsia="zh-CN"/>
              </w:rPr>
              <w:fldChar w:fldCharType="end"/>
            </w:r>
          </w:p>
        </w:tc>
        <w:tc>
          <w:tcPr>
            <w:tcW w:w="1490" w:type="dxa"/>
            <w:noWrap w:val="0"/>
            <w:tcMar>
              <w:left w:w="28" w:type="dxa"/>
              <w:right w:w="28" w:type="dxa"/>
            </w:tcMar>
            <w:vAlign w:val="center"/>
          </w:tcPr>
          <w:p w14:paraId="0DB5FF02">
            <w:pPr>
              <w:spacing w:line="240" w:lineRule="auto"/>
              <w:ind w:left="0" w:leftChars="0" w:firstLine="0" w:firstLineChars="0"/>
              <w:jc w:val="center"/>
              <w:rPr>
                <w:rFonts w:ascii="Times New Roman" w:hAnsi="Times New Roman" w:eastAsia="宋体" w:cs="Times New Roman"/>
                <w:b/>
                <w:color w:val="auto"/>
                <w:sz w:val="21"/>
                <w:lang w:val="en-US" w:eastAsia="zh-CN"/>
              </w:rPr>
            </w:pPr>
            <w:r>
              <w:rPr>
                <w:rFonts w:ascii="Times New Roman" w:hAnsi="Times New Roman" w:eastAsia="宋体" w:cs="Times New Roman"/>
                <w:b/>
                <w:color w:val="auto"/>
                <w:sz w:val="21"/>
                <w:lang w:val="en-US" w:eastAsia="zh-CN"/>
              </w:rPr>
              <w:t>变化量</w:t>
            </w:r>
            <w:r>
              <w:rPr>
                <w:rFonts w:ascii="Times New Roman" w:hAnsi="Times New Roman" w:eastAsia="宋体" w:cs="Times New Roman"/>
                <w:b/>
                <w:color w:val="auto"/>
                <w:sz w:val="21"/>
                <w:lang w:val="en-US" w:eastAsia="zh-CN"/>
              </w:rPr>
              <w:fldChar w:fldCharType="begin"/>
            </w:r>
            <w:r>
              <w:rPr>
                <w:rFonts w:ascii="Times New Roman" w:hAnsi="Times New Roman" w:eastAsia="宋体" w:cs="Times New Roman"/>
                <w:b/>
                <w:color w:val="auto"/>
                <w:sz w:val="21"/>
                <w:lang w:val="en-US" w:eastAsia="zh-CN"/>
              </w:rPr>
              <w:instrText xml:space="preserve"> = 7 \* GB3 \* MERGEFORMAT </w:instrText>
            </w:r>
            <w:r>
              <w:rPr>
                <w:rFonts w:ascii="Times New Roman" w:hAnsi="Times New Roman" w:eastAsia="宋体" w:cs="Times New Roman"/>
                <w:b/>
                <w:color w:val="auto"/>
                <w:sz w:val="21"/>
                <w:lang w:val="en-US" w:eastAsia="zh-CN"/>
              </w:rPr>
              <w:fldChar w:fldCharType="separate"/>
            </w:r>
            <w:r>
              <w:rPr>
                <w:rFonts w:hint="eastAsia" w:ascii="Times New Roman" w:hAnsi="Times New Roman" w:eastAsia="宋体" w:cs="Times New Roman"/>
                <w:b/>
                <w:color w:val="auto"/>
                <w:sz w:val="21"/>
                <w:lang w:val="en-US" w:eastAsia="zh-CN"/>
              </w:rPr>
              <w:t>⑦</w:t>
            </w:r>
            <w:r>
              <w:rPr>
                <w:rFonts w:ascii="Times New Roman" w:hAnsi="Times New Roman" w:eastAsia="宋体" w:cs="Times New Roman"/>
                <w:b/>
                <w:color w:val="auto"/>
                <w:sz w:val="21"/>
                <w:lang w:val="en-US" w:eastAsia="zh-CN"/>
              </w:rPr>
              <w:fldChar w:fldCharType="end"/>
            </w:r>
          </w:p>
        </w:tc>
      </w:tr>
      <w:tr w14:paraId="52365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35" w:type="dxa"/>
            <w:vMerge w:val="restart"/>
            <w:noWrap w:val="0"/>
            <w:vAlign w:val="center"/>
          </w:tcPr>
          <w:p w14:paraId="3F19F612">
            <w:pPr>
              <w:spacing w:line="240" w:lineRule="auto"/>
              <w:ind w:left="0" w:leftChars="0" w:firstLine="0" w:firstLineChars="0"/>
              <w:jc w:val="center"/>
              <w:rPr>
                <w:rFonts w:hint="eastAsia" w:ascii="Times New Roman" w:hAnsi="Times New Roman" w:eastAsia="宋体" w:cs="Times New Roman"/>
                <w:b w:val="0"/>
                <w:bCs/>
                <w:color w:val="auto"/>
                <w:sz w:val="21"/>
                <w:lang w:val="en-US" w:eastAsia="zh-CN"/>
              </w:rPr>
            </w:pPr>
            <w:r>
              <w:rPr>
                <w:rFonts w:hint="eastAsia" w:ascii="Times New Roman" w:hAnsi="Times New Roman" w:eastAsia="宋体" w:cs="Times New Roman"/>
                <w:b w:val="0"/>
                <w:bCs/>
                <w:color w:val="auto"/>
                <w:sz w:val="21"/>
                <w:lang w:val="en-US" w:eastAsia="zh-CN"/>
              </w:rPr>
              <w:t>废气</w:t>
            </w:r>
          </w:p>
        </w:tc>
        <w:tc>
          <w:tcPr>
            <w:tcW w:w="2879" w:type="dxa"/>
            <w:noWrap w:val="0"/>
            <w:vAlign w:val="center"/>
          </w:tcPr>
          <w:p w14:paraId="2E067437">
            <w:pPr>
              <w:spacing w:line="240" w:lineRule="auto"/>
              <w:ind w:left="0" w:leftChars="0" w:firstLine="0" w:firstLineChars="0"/>
              <w:jc w:val="center"/>
              <w:rPr>
                <w:rFonts w:ascii="Times New Roman" w:hAnsi="Times New Roman" w:eastAsia="宋体" w:cs="Times New Roman"/>
                <w:b w:val="0"/>
                <w:bCs/>
                <w:color w:val="auto"/>
                <w:sz w:val="21"/>
                <w:lang w:val="en-US" w:eastAsia="zh-CN"/>
              </w:rPr>
            </w:pPr>
            <w:r>
              <w:rPr>
                <w:rFonts w:hint="eastAsia"/>
                <w:color w:val="auto"/>
                <w:sz w:val="21"/>
                <w:szCs w:val="21"/>
                <w:lang w:val="en-US" w:eastAsia="zh-CN"/>
              </w:rPr>
              <w:t>NH</w:t>
            </w:r>
            <w:r>
              <w:rPr>
                <w:rFonts w:hint="eastAsia"/>
                <w:color w:val="auto"/>
                <w:sz w:val="21"/>
                <w:szCs w:val="21"/>
                <w:vertAlign w:val="subscript"/>
                <w:lang w:val="en-US" w:eastAsia="zh-CN"/>
              </w:rPr>
              <w:t>3</w:t>
            </w:r>
          </w:p>
        </w:tc>
        <w:tc>
          <w:tcPr>
            <w:tcW w:w="1714" w:type="dxa"/>
            <w:noWrap w:val="0"/>
            <w:vAlign w:val="center"/>
          </w:tcPr>
          <w:p w14:paraId="67829B92">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308" w:type="dxa"/>
            <w:noWrap w:val="0"/>
            <w:vAlign w:val="center"/>
          </w:tcPr>
          <w:p w14:paraId="437AB847">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46" w:type="dxa"/>
            <w:noWrap w:val="0"/>
            <w:vAlign w:val="center"/>
          </w:tcPr>
          <w:p w14:paraId="71349EB0">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511" w:type="dxa"/>
            <w:noWrap w:val="0"/>
            <w:vAlign w:val="center"/>
          </w:tcPr>
          <w:p w14:paraId="436EE312">
            <w:pPr>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68" w:type="dxa"/>
            <w:noWrap w:val="0"/>
            <w:vAlign w:val="center"/>
          </w:tcPr>
          <w:p w14:paraId="2BD2574D">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825" w:type="dxa"/>
            <w:noWrap w:val="0"/>
            <w:vAlign w:val="center"/>
          </w:tcPr>
          <w:p w14:paraId="54C9A6A3">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90" w:type="dxa"/>
            <w:noWrap w:val="0"/>
            <w:vAlign w:val="center"/>
          </w:tcPr>
          <w:p w14:paraId="10560955">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r>
      <w:tr w14:paraId="1E3D46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35" w:type="dxa"/>
            <w:vMerge w:val="continue"/>
            <w:noWrap w:val="0"/>
            <w:vAlign w:val="center"/>
          </w:tcPr>
          <w:p w14:paraId="2BBA6E0A">
            <w:pPr>
              <w:spacing w:line="240" w:lineRule="auto"/>
              <w:jc w:val="center"/>
              <w:rPr>
                <w:rFonts w:hint="eastAsia" w:ascii="Times New Roman" w:hAnsi="Times New Roman" w:eastAsia="宋体" w:cs="Times New Roman"/>
                <w:b w:val="0"/>
                <w:bCs/>
                <w:color w:val="auto"/>
                <w:sz w:val="21"/>
                <w:lang w:val="en-US" w:eastAsia="zh-CN"/>
              </w:rPr>
            </w:pPr>
          </w:p>
        </w:tc>
        <w:tc>
          <w:tcPr>
            <w:tcW w:w="2879" w:type="dxa"/>
            <w:noWrap w:val="0"/>
            <w:vAlign w:val="center"/>
          </w:tcPr>
          <w:p w14:paraId="38B7BAC1">
            <w:pPr>
              <w:spacing w:line="240" w:lineRule="auto"/>
              <w:ind w:left="0" w:leftChars="0" w:firstLine="0" w:firstLineChars="0"/>
              <w:jc w:val="center"/>
              <w:rPr>
                <w:rFonts w:hint="default" w:ascii="Times New Roman" w:hAnsi="Times New Roman" w:eastAsia="宋体" w:cs="Times New Roman"/>
                <w:b w:val="0"/>
                <w:bCs/>
                <w:color w:val="auto"/>
                <w:sz w:val="21"/>
                <w:lang w:val="en-US" w:eastAsia="zh-CN"/>
              </w:rPr>
            </w:pPr>
            <w:r>
              <w:rPr>
                <w:rFonts w:hint="eastAsia"/>
                <w:color w:val="auto"/>
                <w:sz w:val="21"/>
                <w:szCs w:val="21"/>
                <w:lang w:val="en-US" w:eastAsia="zh-CN"/>
              </w:rPr>
              <w:t>H</w:t>
            </w:r>
            <w:r>
              <w:rPr>
                <w:rFonts w:hint="eastAsia"/>
                <w:color w:val="auto"/>
                <w:sz w:val="21"/>
                <w:szCs w:val="21"/>
                <w:vertAlign w:val="subscript"/>
                <w:lang w:val="en-US" w:eastAsia="zh-CN"/>
              </w:rPr>
              <w:t>2</w:t>
            </w:r>
            <w:r>
              <w:rPr>
                <w:rFonts w:hint="eastAsia"/>
                <w:color w:val="auto"/>
                <w:sz w:val="21"/>
                <w:szCs w:val="21"/>
                <w:lang w:val="en-US" w:eastAsia="zh-CN"/>
              </w:rPr>
              <w:t>S</w:t>
            </w:r>
          </w:p>
        </w:tc>
        <w:tc>
          <w:tcPr>
            <w:tcW w:w="1714" w:type="dxa"/>
            <w:noWrap w:val="0"/>
            <w:vAlign w:val="center"/>
          </w:tcPr>
          <w:p w14:paraId="4086E606">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308" w:type="dxa"/>
            <w:noWrap w:val="0"/>
            <w:vAlign w:val="center"/>
          </w:tcPr>
          <w:p w14:paraId="00E5AB67">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46" w:type="dxa"/>
            <w:noWrap w:val="0"/>
            <w:vAlign w:val="center"/>
          </w:tcPr>
          <w:p w14:paraId="6B5D7A5E">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511" w:type="dxa"/>
            <w:noWrap w:val="0"/>
            <w:vAlign w:val="center"/>
          </w:tcPr>
          <w:p w14:paraId="570CADF1">
            <w:pPr>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68" w:type="dxa"/>
            <w:noWrap w:val="0"/>
            <w:vAlign w:val="center"/>
          </w:tcPr>
          <w:p w14:paraId="1014C560">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825" w:type="dxa"/>
            <w:noWrap w:val="0"/>
            <w:vAlign w:val="center"/>
          </w:tcPr>
          <w:p w14:paraId="00023CFD">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90" w:type="dxa"/>
            <w:noWrap w:val="0"/>
            <w:vAlign w:val="center"/>
          </w:tcPr>
          <w:p w14:paraId="7B3057AA">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r>
      <w:tr w14:paraId="3700B0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35" w:type="dxa"/>
            <w:vMerge w:val="restart"/>
            <w:noWrap w:val="0"/>
            <w:vAlign w:val="center"/>
          </w:tcPr>
          <w:p w14:paraId="556992A9">
            <w:pPr>
              <w:spacing w:line="240" w:lineRule="auto"/>
              <w:ind w:left="0" w:leftChars="0" w:firstLine="0" w:firstLineChars="0"/>
              <w:jc w:val="center"/>
              <w:rPr>
                <w:rFonts w:hint="eastAsia" w:ascii="Times New Roman" w:hAnsi="Times New Roman" w:eastAsia="宋体" w:cs="Times New Roman"/>
                <w:b w:val="0"/>
                <w:bCs/>
                <w:color w:val="auto"/>
                <w:sz w:val="21"/>
                <w:lang w:val="en-US" w:eastAsia="zh-CN"/>
              </w:rPr>
            </w:pPr>
            <w:r>
              <w:rPr>
                <w:rFonts w:hint="eastAsia" w:ascii="Times New Roman" w:hAnsi="Times New Roman" w:eastAsia="宋体" w:cs="Times New Roman"/>
                <w:b w:val="0"/>
                <w:bCs/>
                <w:color w:val="auto"/>
                <w:sz w:val="21"/>
                <w:lang w:val="en-US" w:eastAsia="zh-CN"/>
              </w:rPr>
              <w:t>废水</w:t>
            </w:r>
          </w:p>
        </w:tc>
        <w:tc>
          <w:tcPr>
            <w:tcW w:w="2879" w:type="dxa"/>
            <w:noWrap w:val="0"/>
            <w:vAlign w:val="center"/>
          </w:tcPr>
          <w:p w14:paraId="41E671CE">
            <w:pPr>
              <w:spacing w:line="240" w:lineRule="auto"/>
              <w:ind w:left="0" w:leftChars="0" w:firstLine="0" w:firstLineChars="0"/>
              <w:jc w:val="center"/>
              <w:rPr>
                <w:rFonts w:hint="default" w:ascii="Times New Roman" w:hAnsi="Times New Roman" w:eastAsia="宋体" w:cs="Times New Roman"/>
                <w:b w:val="0"/>
                <w:bCs/>
                <w:color w:val="auto"/>
                <w:sz w:val="21"/>
                <w:lang w:val="en-US" w:eastAsia="zh-CN"/>
              </w:rPr>
            </w:pPr>
            <w:r>
              <w:rPr>
                <w:rFonts w:ascii="Times New Roman" w:hAnsi="Times New Roman" w:eastAsia="宋体" w:cs="Times New Roman"/>
                <w:b w:val="0"/>
                <w:bCs/>
                <w:color w:val="auto"/>
                <w:sz w:val="21"/>
                <w:lang w:val="en-US" w:eastAsia="zh-CN"/>
              </w:rPr>
              <w:t>COD</w:t>
            </w:r>
          </w:p>
        </w:tc>
        <w:tc>
          <w:tcPr>
            <w:tcW w:w="1714" w:type="dxa"/>
            <w:noWrap w:val="0"/>
            <w:vAlign w:val="center"/>
          </w:tcPr>
          <w:p w14:paraId="41485023">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308" w:type="dxa"/>
            <w:noWrap w:val="0"/>
            <w:vAlign w:val="center"/>
          </w:tcPr>
          <w:p w14:paraId="68B7EFB4">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46" w:type="dxa"/>
            <w:noWrap w:val="0"/>
            <w:vAlign w:val="center"/>
          </w:tcPr>
          <w:p w14:paraId="67F0F8E3">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511" w:type="dxa"/>
            <w:noWrap w:val="0"/>
            <w:vAlign w:val="center"/>
          </w:tcPr>
          <w:p w14:paraId="2292E2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1.52</w:t>
            </w:r>
            <w:r>
              <w:rPr>
                <w:rFonts w:hint="eastAsia"/>
                <w:color w:val="auto"/>
                <w:sz w:val="21"/>
                <w:highlight w:val="none"/>
                <w:lang w:val="en-US" w:eastAsia="zh-CN"/>
              </w:rPr>
              <w:t>t/a</w:t>
            </w:r>
          </w:p>
        </w:tc>
        <w:tc>
          <w:tcPr>
            <w:tcW w:w="1468" w:type="dxa"/>
            <w:noWrap w:val="0"/>
            <w:vAlign w:val="center"/>
          </w:tcPr>
          <w:p w14:paraId="6B1342CE">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825" w:type="dxa"/>
            <w:noWrap w:val="0"/>
            <w:vAlign w:val="center"/>
          </w:tcPr>
          <w:p w14:paraId="5FEB61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1.52</w:t>
            </w:r>
            <w:r>
              <w:rPr>
                <w:rFonts w:hint="eastAsia"/>
                <w:color w:val="auto"/>
                <w:sz w:val="21"/>
                <w:highlight w:val="none"/>
                <w:lang w:val="en-US" w:eastAsia="zh-CN"/>
              </w:rPr>
              <w:t>t/a</w:t>
            </w:r>
          </w:p>
        </w:tc>
        <w:tc>
          <w:tcPr>
            <w:tcW w:w="1490" w:type="dxa"/>
            <w:noWrap w:val="0"/>
            <w:vAlign w:val="center"/>
          </w:tcPr>
          <w:p w14:paraId="2394E6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1.52</w:t>
            </w:r>
            <w:r>
              <w:rPr>
                <w:rFonts w:hint="eastAsia"/>
                <w:color w:val="auto"/>
                <w:sz w:val="21"/>
                <w:highlight w:val="none"/>
                <w:lang w:val="en-US" w:eastAsia="zh-CN"/>
              </w:rPr>
              <w:t>t/a</w:t>
            </w:r>
          </w:p>
        </w:tc>
      </w:tr>
      <w:tr w14:paraId="575C0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35" w:type="dxa"/>
            <w:vMerge w:val="continue"/>
            <w:noWrap w:val="0"/>
            <w:vAlign w:val="center"/>
          </w:tcPr>
          <w:p w14:paraId="0B38C99D">
            <w:pPr>
              <w:spacing w:line="240" w:lineRule="auto"/>
              <w:jc w:val="center"/>
              <w:rPr>
                <w:rFonts w:hint="eastAsia" w:ascii="Times New Roman" w:hAnsi="Times New Roman" w:eastAsia="宋体" w:cs="Times New Roman"/>
                <w:b w:val="0"/>
                <w:bCs/>
                <w:color w:val="auto"/>
                <w:sz w:val="21"/>
                <w:lang w:val="en-US" w:eastAsia="zh-CN"/>
              </w:rPr>
            </w:pPr>
          </w:p>
        </w:tc>
        <w:tc>
          <w:tcPr>
            <w:tcW w:w="2879" w:type="dxa"/>
            <w:noWrap w:val="0"/>
            <w:vAlign w:val="center"/>
          </w:tcPr>
          <w:p w14:paraId="7D5DFAF0">
            <w:pPr>
              <w:spacing w:line="240" w:lineRule="auto"/>
              <w:ind w:left="0" w:leftChars="0" w:firstLine="0" w:firstLineChars="0"/>
              <w:jc w:val="center"/>
              <w:rPr>
                <w:rFonts w:ascii="Times New Roman" w:hAnsi="Times New Roman" w:eastAsia="宋体" w:cs="Times New Roman"/>
                <w:b w:val="0"/>
                <w:bCs/>
                <w:color w:val="auto"/>
                <w:sz w:val="21"/>
                <w:lang w:val="en-US" w:eastAsia="zh-CN"/>
              </w:rPr>
            </w:pPr>
            <w:r>
              <w:rPr>
                <w:rFonts w:ascii="Times New Roman" w:hAnsi="Times New Roman" w:eastAsia="宋体" w:cs="Times New Roman"/>
                <w:b w:val="0"/>
                <w:bCs/>
                <w:color w:val="auto"/>
                <w:sz w:val="21"/>
                <w:lang w:val="en-US" w:eastAsia="zh-CN"/>
              </w:rPr>
              <w:t>BOD</w:t>
            </w:r>
            <w:r>
              <w:rPr>
                <w:rFonts w:ascii="Times New Roman" w:hAnsi="Times New Roman" w:eastAsia="宋体" w:cs="Times New Roman"/>
                <w:b w:val="0"/>
                <w:bCs/>
                <w:color w:val="auto"/>
                <w:sz w:val="21"/>
                <w:vertAlign w:val="subscript"/>
                <w:lang w:val="en-US" w:eastAsia="zh-CN"/>
              </w:rPr>
              <w:t>5</w:t>
            </w:r>
          </w:p>
        </w:tc>
        <w:tc>
          <w:tcPr>
            <w:tcW w:w="1714" w:type="dxa"/>
            <w:noWrap w:val="0"/>
            <w:vAlign w:val="center"/>
          </w:tcPr>
          <w:p w14:paraId="7E73F997">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308" w:type="dxa"/>
            <w:noWrap w:val="0"/>
            <w:vAlign w:val="center"/>
          </w:tcPr>
          <w:p w14:paraId="006C2D34">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46" w:type="dxa"/>
            <w:noWrap w:val="0"/>
            <w:vAlign w:val="center"/>
          </w:tcPr>
          <w:p w14:paraId="132994DB">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511" w:type="dxa"/>
            <w:noWrap w:val="0"/>
            <w:vAlign w:val="bottom"/>
          </w:tcPr>
          <w:p w14:paraId="75DCD9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0.85</w:t>
            </w:r>
            <w:r>
              <w:rPr>
                <w:rFonts w:hint="eastAsia"/>
                <w:color w:val="auto"/>
                <w:sz w:val="21"/>
                <w:highlight w:val="none"/>
                <w:lang w:val="en-US" w:eastAsia="zh-CN"/>
              </w:rPr>
              <w:t>t/a</w:t>
            </w:r>
          </w:p>
        </w:tc>
        <w:tc>
          <w:tcPr>
            <w:tcW w:w="1468" w:type="dxa"/>
            <w:noWrap w:val="0"/>
            <w:vAlign w:val="center"/>
          </w:tcPr>
          <w:p w14:paraId="281E819D">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825" w:type="dxa"/>
            <w:noWrap w:val="0"/>
            <w:vAlign w:val="bottom"/>
          </w:tcPr>
          <w:p w14:paraId="6A1DA4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0.85</w:t>
            </w:r>
            <w:r>
              <w:rPr>
                <w:rFonts w:hint="eastAsia"/>
                <w:color w:val="auto"/>
                <w:sz w:val="21"/>
                <w:highlight w:val="none"/>
                <w:lang w:val="en-US" w:eastAsia="zh-CN"/>
              </w:rPr>
              <w:t>t/a</w:t>
            </w:r>
          </w:p>
        </w:tc>
        <w:tc>
          <w:tcPr>
            <w:tcW w:w="1490" w:type="dxa"/>
            <w:noWrap w:val="0"/>
            <w:vAlign w:val="bottom"/>
          </w:tcPr>
          <w:p w14:paraId="076DDD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+0.85</w:t>
            </w:r>
            <w:r>
              <w:rPr>
                <w:rFonts w:hint="eastAsia"/>
                <w:color w:val="auto"/>
                <w:sz w:val="21"/>
                <w:highlight w:val="none"/>
                <w:lang w:val="en-US" w:eastAsia="zh-CN"/>
              </w:rPr>
              <w:t>t/a</w:t>
            </w:r>
          </w:p>
        </w:tc>
      </w:tr>
      <w:tr w14:paraId="001C98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35" w:type="dxa"/>
            <w:vMerge w:val="continue"/>
            <w:noWrap w:val="0"/>
            <w:vAlign w:val="center"/>
          </w:tcPr>
          <w:p w14:paraId="68E71CFC">
            <w:pPr>
              <w:spacing w:line="240" w:lineRule="auto"/>
              <w:jc w:val="center"/>
              <w:rPr>
                <w:rFonts w:hint="eastAsia" w:ascii="Times New Roman" w:hAnsi="Times New Roman" w:eastAsia="宋体" w:cs="Times New Roman"/>
                <w:b w:val="0"/>
                <w:bCs/>
                <w:color w:val="auto"/>
                <w:sz w:val="21"/>
                <w:lang w:val="en-US" w:eastAsia="zh-CN"/>
              </w:rPr>
            </w:pPr>
          </w:p>
        </w:tc>
        <w:tc>
          <w:tcPr>
            <w:tcW w:w="2879" w:type="dxa"/>
            <w:noWrap w:val="0"/>
            <w:vAlign w:val="center"/>
          </w:tcPr>
          <w:p w14:paraId="4EA9FC1D">
            <w:pPr>
              <w:spacing w:line="240" w:lineRule="auto"/>
              <w:ind w:left="0" w:leftChars="0" w:firstLine="0" w:firstLineChars="0"/>
              <w:jc w:val="center"/>
              <w:rPr>
                <w:rFonts w:ascii="Times New Roman" w:hAnsi="Times New Roman" w:eastAsia="宋体" w:cs="Times New Roman"/>
                <w:b w:val="0"/>
                <w:bCs/>
                <w:color w:val="auto"/>
                <w:sz w:val="21"/>
                <w:lang w:val="en-US" w:eastAsia="zh-CN"/>
              </w:rPr>
            </w:pPr>
            <w:r>
              <w:rPr>
                <w:rFonts w:ascii="Times New Roman" w:hAnsi="Times New Roman" w:eastAsia="宋体" w:cs="Times New Roman"/>
                <w:b w:val="0"/>
                <w:bCs/>
                <w:color w:val="auto"/>
                <w:sz w:val="21"/>
                <w:lang w:val="en-US" w:eastAsia="zh-CN"/>
              </w:rPr>
              <w:t>SS</w:t>
            </w:r>
          </w:p>
        </w:tc>
        <w:tc>
          <w:tcPr>
            <w:tcW w:w="1714" w:type="dxa"/>
            <w:noWrap w:val="0"/>
            <w:vAlign w:val="center"/>
          </w:tcPr>
          <w:p w14:paraId="2B5195D1">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308" w:type="dxa"/>
            <w:noWrap w:val="0"/>
            <w:vAlign w:val="center"/>
          </w:tcPr>
          <w:p w14:paraId="54031F6A">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46" w:type="dxa"/>
            <w:noWrap w:val="0"/>
            <w:vAlign w:val="center"/>
          </w:tcPr>
          <w:p w14:paraId="6906422D">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511" w:type="dxa"/>
            <w:noWrap w:val="0"/>
            <w:vAlign w:val="center"/>
          </w:tcPr>
          <w:p w14:paraId="54F63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106</w:t>
            </w:r>
            <w:r>
              <w:rPr>
                <w:rFonts w:hint="eastAsia"/>
                <w:color w:val="auto"/>
                <w:sz w:val="21"/>
                <w:highlight w:val="none"/>
                <w:lang w:val="en-US" w:eastAsia="zh-CN"/>
              </w:rPr>
              <w:t>t/a</w:t>
            </w:r>
          </w:p>
        </w:tc>
        <w:tc>
          <w:tcPr>
            <w:tcW w:w="1468" w:type="dxa"/>
            <w:noWrap w:val="0"/>
            <w:vAlign w:val="center"/>
          </w:tcPr>
          <w:p w14:paraId="2E95D2F9">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825" w:type="dxa"/>
            <w:noWrap w:val="0"/>
            <w:vAlign w:val="center"/>
          </w:tcPr>
          <w:p w14:paraId="5191FF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106</w:t>
            </w:r>
            <w:r>
              <w:rPr>
                <w:rFonts w:hint="eastAsia"/>
                <w:color w:val="auto"/>
                <w:sz w:val="21"/>
                <w:highlight w:val="none"/>
                <w:lang w:val="en-US" w:eastAsia="zh-CN"/>
              </w:rPr>
              <w:t>t/a</w:t>
            </w:r>
          </w:p>
        </w:tc>
        <w:tc>
          <w:tcPr>
            <w:tcW w:w="1490" w:type="dxa"/>
            <w:noWrap w:val="0"/>
            <w:vAlign w:val="center"/>
          </w:tcPr>
          <w:p w14:paraId="1F24C3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106</w:t>
            </w:r>
            <w:r>
              <w:rPr>
                <w:rFonts w:hint="eastAsia"/>
                <w:color w:val="auto"/>
                <w:sz w:val="21"/>
                <w:highlight w:val="none"/>
                <w:lang w:val="en-US" w:eastAsia="zh-CN"/>
              </w:rPr>
              <w:t>t/a</w:t>
            </w:r>
          </w:p>
        </w:tc>
      </w:tr>
      <w:tr w14:paraId="5DD78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35" w:type="dxa"/>
            <w:vMerge w:val="continue"/>
            <w:noWrap w:val="0"/>
            <w:vAlign w:val="center"/>
          </w:tcPr>
          <w:p w14:paraId="088204E6">
            <w:pPr>
              <w:spacing w:line="240" w:lineRule="auto"/>
              <w:jc w:val="center"/>
              <w:rPr>
                <w:rFonts w:hint="eastAsia" w:ascii="Times New Roman" w:hAnsi="Times New Roman" w:eastAsia="宋体" w:cs="Times New Roman"/>
                <w:b w:val="0"/>
                <w:bCs/>
                <w:color w:val="auto"/>
                <w:sz w:val="21"/>
                <w:lang w:val="en-US" w:eastAsia="zh-CN"/>
              </w:rPr>
            </w:pPr>
          </w:p>
        </w:tc>
        <w:tc>
          <w:tcPr>
            <w:tcW w:w="2879" w:type="dxa"/>
            <w:noWrap w:val="0"/>
            <w:vAlign w:val="center"/>
          </w:tcPr>
          <w:p w14:paraId="5CDF3752">
            <w:pPr>
              <w:spacing w:line="240" w:lineRule="auto"/>
              <w:ind w:left="0" w:leftChars="0" w:firstLine="0" w:firstLineChars="0"/>
              <w:jc w:val="center"/>
              <w:rPr>
                <w:rFonts w:ascii="Times New Roman" w:hAnsi="Times New Roman" w:eastAsia="宋体" w:cs="Times New Roman"/>
                <w:b w:val="0"/>
                <w:bCs/>
                <w:color w:val="auto"/>
                <w:sz w:val="21"/>
                <w:lang w:val="en-US" w:eastAsia="zh-CN"/>
              </w:rPr>
            </w:pPr>
            <w:r>
              <w:rPr>
                <w:rFonts w:ascii="Times New Roman" w:hAnsi="Times New Roman" w:eastAsia="宋体" w:cs="Times New Roman"/>
                <w:b w:val="0"/>
                <w:bCs/>
                <w:color w:val="auto"/>
                <w:sz w:val="21"/>
                <w:lang w:val="en-US" w:eastAsia="zh-CN"/>
              </w:rPr>
              <w:t>NH</w:t>
            </w:r>
            <w:r>
              <w:rPr>
                <w:rFonts w:ascii="Times New Roman" w:hAnsi="Times New Roman" w:eastAsia="宋体" w:cs="Times New Roman"/>
                <w:b w:val="0"/>
                <w:bCs/>
                <w:color w:val="auto"/>
                <w:sz w:val="21"/>
                <w:vertAlign w:val="subscript"/>
                <w:lang w:val="en-US" w:eastAsia="zh-CN"/>
              </w:rPr>
              <w:t>3</w:t>
            </w:r>
            <w:r>
              <w:rPr>
                <w:rFonts w:ascii="Times New Roman" w:hAnsi="Times New Roman" w:eastAsia="宋体" w:cs="Times New Roman"/>
                <w:b w:val="0"/>
                <w:bCs/>
                <w:color w:val="auto"/>
                <w:sz w:val="21"/>
                <w:lang w:val="en-US" w:eastAsia="zh-CN"/>
              </w:rPr>
              <w:t>-N</w:t>
            </w:r>
          </w:p>
        </w:tc>
        <w:tc>
          <w:tcPr>
            <w:tcW w:w="1714" w:type="dxa"/>
            <w:noWrap w:val="0"/>
            <w:vAlign w:val="center"/>
          </w:tcPr>
          <w:p w14:paraId="1E8A1825">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308" w:type="dxa"/>
            <w:noWrap w:val="0"/>
            <w:vAlign w:val="center"/>
          </w:tcPr>
          <w:p w14:paraId="0EF00D45">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46" w:type="dxa"/>
            <w:noWrap w:val="0"/>
            <w:vAlign w:val="center"/>
          </w:tcPr>
          <w:p w14:paraId="2F5AE109">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511" w:type="dxa"/>
            <w:noWrap w:val="0"/>
            <w:vAlign w:val="bottom"/>
          </w:tcPr>
          <w:p w14:paraId="2F476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0.405</w:t>
            </w:r>
            <w:r>
              <w:rPr>
                <w:rFonts w:hint="eastAsia"/>
                <w:color w:val="auto"/>
                <w:sz w:val="21"/>
                <w:highlight w:val="none"/>
                <w:lang w:val="en-US" w:eastAsia="zh-CN"/>
              </w:rPr>
              <w:t>t/a</w:t>
            </w:r>
          </w:p>
        </w:tc>
        <w:tc>
          <w:tcPr>
            <w:tcW w:w="1468" w:type="dxa"/>
            <w:noWrap w:val="0"/>
            <w:vAlign w:val="center"/>
          </w:tcPr>
          <w:p w14:paraId="7C967104">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825" w:type="dxa"/>
            <w:noWrap w:val="0"/>
            <w:vAlign w:val="bottom"/>
          </w:tcPr>
          <w:p w14:paraId="68A770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0.405</w:t>
            </w:r>
            <w:r>
              <w:rPr>
                <w:rFonts w:hint="eastAsia"/>
                <w:color w:val="auto"/>
                <w:sz w:val="21"/>
                <w:highlight w:val="none"/>
                <w:lang w:val="en-US" w:eastAsia="zh-CN"/>
              </w:rPr>
              <w:t>t/a</w:t>
            </w:r>
          </w:p>
        </w:tc>
        <w:tc>
          <w:tcPr>
            <w:tcW w:w="1490" w:type="dxa"/>
            <w:noWrap w:val="0"/>
            <w:vAlign w:val="bottom"/>
          </w:tcPr>
          <w:p w14:paraId="4B0A76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+0.405</w:t>
            </w:r>
            <w:r>
              <w:rPr>
                <w:rFonts w:hint="eastAsia"/>
                <w:color w:val="auto"/>
                <w:sz w:val="21"/>
                <w:highlight w:val="none"/>
                <w:lang w:val="en-US" w:eastAsia="zh-CN"/>
              </w:rPr>
              <w:t>t/a</w:t>
            </w:r>
          </w:p>
        </w:tc>
      </w:tr>
      <w:tr w14:paraId="6BE31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35" w:type="dxa"/>
            <w:vMerge w:val="continue"/>
            <w:noWrap w:val="0"/>
            <w:vAlign w:val="center"/>
          </w:tcPr>
          <w:p w14:paraId="08D9E4F7">
            <w:pPr>
              <w:spacing w:line="240" w:lineRule="auto"/>
              <w:jc w:val="center"/>
              <w:rPr>
                <w:rFonts w:hint="eastAsia" w:ascii="Times New Roman" w:hAnsi="Times New Roman" w:eastAsia="宋体" w:cs="Times New Roman"/>
                <w:b w:val="0"/>
                <w:bCs/>
                <w:color w:val="auto"/>
                <w:sz w:val="21"/>
                <w:lang w:val="en-US" w:eastAsia="zh-CN"/>
              </w:rPr>
            </w:pPr>
          </w:p>
        </w:tc>
        <w:tc>
          <w:tcPr>
            <w:tcW w:w="2879" w:type="dxa"/>
            <w:noWrap w:val="0"/>
            <w:vAlign w:val="center"/>
          </w:tcPr>
          <w:p w14:paraId="2875022F">
            <w:pPr>
              <w:spacing w:line="240" w:lineRule="auto"/>
              <w:ind w:left="0" w:leftChars="0" w:firstLine="0" w:firstLineChars="0"/>
              <w:jc w:val="center"/>
              <w:rPr>
                <w:rFonts w:ascii="Times New Roman" w:hAnsi="Times New Roman" w:eastAsia="宋体" w:cs="Times New Roman"/>
                <w:b w:val="0"/>
                <w:bCs/>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1714" w:type="dxa"/>
            <w:noWrap w:val="0"/>
            <w:vAlign w:val="center"/>
          </w:tcPr>
          <w:p w14:paraId="0F12FF77">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308" w:type="dxa"/>
            <w:noWrap w:val="0"/>
            <w:vAlign w:val="center"/>
          </w:tcPr>
          <w:p w14:paraId="689AFDBB">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46" w:type="dxa"/>
            <w:noWrap w:val="0"/>
            <w:vAlign w:val="center"/>
          </w:tcPr>
          <w:p w14:paraId="70509725">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511" w:type="dxa"/>
            <w:noWrap w:val="0"/>
            <w:vAlign w:val="center"/>
          </w:tcPr>
          <w:p w14:paraId="78276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139</w:t>
            </w:r>
            <w:r>
              <w:rPr>
                <w:rFonts w:hint="eastAsia"/>
                <w:color w:val="auto"/>
                <w:sz w:val="21"/>
                <w:highlight w:val="none"/>
                <w:lang w:val="en-US" w:eastAsia="zh-CN"/>
              </w:rPr>
              <w:t>t/a</w:t>
            </w:r>
          </w:p>
        </w:tc>
        <w:tc>
          <w:tcPr>
            <w:tcW w:w="1468" w:type="dxa"/>
            <w:noWrap w:val="0"/>
            <w:vAlign w:val="center"/>
          </w:tcPr>
          <w:p w14:paraId="13336BD1">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825" w:type="dxa"/>
            <w:noWrap w:val="0"/>
            <w:vAlign w:val="center"/>
          </w:tcPr>
          <w:p w14:paraId="0A88B3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139</w:t>
            </w:r>
            <w:r>
              <w:rPr>
                <w:rFonts w:hint="eastAsia"/>
                <w:color w:val="auto"/>
                <w:sz w:val="21"/>
                <w:highlight w:val="none"/>
                <w:lang w:val="en-US" w:eastAsia="zh-CN"/>
              </w:rPr>
              <w:t>t/a</w:t>
            </w:r>
          </w:p>
        </w:tc>
        <w:tc>
          <w:tcPr>
            <w:tcW w:w="1490" w:type="dxa"/>
            <w:noWrap w:val="0"/>
            <w:vAlign w:val="center"/>
          </w:tcPr>
          <w:p w14:paraId="1E74F4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highlight w:val="none"/>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139</w:t>
            </w:r>
            <w:r>
              <w:rPr>
                <w:rFonts w:hint="eastAsia"/>
                <w:color w:val="auto"/>
                <w:sz w:val="21"/>
                <w:highlight w:val="none"/>
                <w:lang w:val="en-US" w:eastAsia="zh-CN"/>
              </w:rPr>
              <w:t>t/a</w:t>
            </w:r>
          </w:p>
        </w:tc>
      </w:tr>
      <w:tr w14:paraId="4E904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35" w:type="dxa"/>
            <w:vMerge w:val="continue"/>
            <w:noWrap w:val="0"/>
            <w:vAlign w:val="center"/>
          </w:tcPr>
          <w:p w14:paraId="11E0531C">
            <w:pPr>
              <w:spacing w:line="240" w:lineRule="auto"/>
              <w:jc w:val="center"/>
              <w:rPr>
                <w:rFonts w:hint="eastAsia" w:ascii="Times New Roman" w:hAnsi="Times New Roman" w:eastAsia="宋体" w:cs="Times New Roman"/>
                <w:b w:val="0"/>
                <w:bCs/>
                <w:color w:val="auto"/>
                <w:sz w:val="21"/>
                <w:lang w:val="en-US" w:eastAsia="zh-CN"/>
              </w:rPr>
            </w:pPr>
          </w:p>
        </w:tc>
        <w:tc>
          <w:tcPr>
            <w:tcW w:w="2879" w:type="dxa"/>
            <w:noWrap w:val="0"/>
            <w:vAlign w:val="center"/>
          </w:tcPr>
          <w:p w14:paraId="6833CC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阴离子表面活性剂</w:t>
            </w:r>
          </w:p>
        </w:tc>
        <w:tc>
          <w:tcPr>
            <w:tcW w:w="1714" w:type="dxa"/>
            <w:noWrap w:val="0"/>
            <w:vAlign w:val="center"/>
          </w:tcPr>
          <w:p w14:paraId="20B176D4">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308" w:type="dxa"/>
            <w:noWrap w:val="0"/>
            <w:vAlign w:val="center"/>
          </w:tcPr>
          <w:p w14:paraId="4FB02DA5">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46" w:type="dxa"/>
            <w:noWrap w:val="0"/>
            <w:vAlign w:val="center"/>
          </w:tcPr>
          <w:p w14:paraId="5FF552F4">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511" w:type="dxa"/>
            <w:noWrap w:val="0"/>
            <w:vAlign w:val="center"/>
          </w:tcPr>
          <w:p w14:paraId="7261B6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01</w:t>
            </w:r>
            <w:r>
              <w:rPr>
                <w:rFonts w:hint="eastAsia"/>
                <w:color w:val="auto"/>
                <w:sz w:val="21"/>
                <w:highlight w:val="none"/>
                <w:lang w:val="en-US" w:eastAsia="zh-CN"/>
              </w:rPr>
              <w:t>t/a</w:t>
            </w:r>
          </w:p>
        </w:tc>
        <w:tc>
          <w:tcPr>
            <w:tcW w:w="1468" w:type="dxa"/>
            <w:noWrap w:val="0"/>
            <w:vAlign w:val="center"/>
          </w:tcPr>
          <w:p w14:paraId="461DBB23">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825" w:type="dxa"/>
            <w:noWrap w:val="0"/>
            <w:vAlign w:val="center"/>
          </w:tcPr>
          <w:p w14:paraId="0DD10E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01</w:t>
            </w:r>
            <w:r>
              <w:rPr>
                <w:rFonts w:hint="eastAsia"/>
                <w:color w:val="auto"/>
                <w:sz w:val="21"/>
                <w:highlight w:val="none"/>
                <w:lang w:val="en-US" w:eastAsia="zh-CN"/>
              </w:rPr>
              <w:t>t/a</w:t>
            </w:r>
          </w:p>
        </w:tc>
        <w:tc>
          <w:tcPr>
            <w:tcW w:w="1490" w:type="dxa"/>
            <w:noWrap w:val="0"/>
            <w:vAlign w:val="center"/>
          </w:tcPr>
          <w:p w14:paraId="3D24B0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highlight w:val="none"/>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01</w:t>
            </w:r>
            <w:r>
              <w:rPr>
                <w:rFonts w:hint="eastAsia"/>
                <w:color w:val="auto"/>
                <w:sz w:val="21"/>
                <w:highlight w:val="none"/>
                <w:lang w:val="en-US" w:eastAsia="zh-CN"/>
              </w:rPr>
              <w:t>t/a</w:t>
            </w:r>
          </w:p>
        </w:tc>
      </w:tr>
      <w:tr w14:paraId="4ECC3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35" w:type="dxa"/>
            <w:vMerge w:val="continue"/>
            <w:noWrap w:val="0"/>
            <w:vAlign w:val="center"/>
          </w:tcPr>
          <w:p w14:paraId="5A6D17D4">
            <w:pPr>
              <w:spacing w:line="240" w:lineRule="auto"/>
              <w:jc w:val="center"/>
              <w:rPr>
                <w:rFonts w:hint="eastAsia" w:ascii="Times New Roman" w:hAnsi="Times New Roman" w:eastAsia="宋体" w:cs="Times New Roman"/>
                <w:b w:val="0"/>
                <w:bCs/>
                <w:color w:val="auto"/>
                <w:sz w:val="21"/>
                <w:lang w:val="en-US" w:eastAsia="zh-CN"/>
              </w:rPr>
            </w:pPr>
          </w:p>
        </w:tc>
        <w:tc>
          <w:tcPr>
            <w:tcW w:w="2879" w:type="dxa"/>
            <w:noWrap w:val="0"/>
            <w:vAlign w:val="center"/>
          </w:tcPr>
          <w:p w14:paraId="2B74F3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b w:val="0"/>
                <w:bCs/>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总余氯</w:t>
            </w:r>
          </w:p>
        </w:tc>
        <w:tc>
          <w:tcPr>
            <w:tcW w:w="1714" w:type="dxa"/>
            <w:noWrap w:val="0"/>
            <w:vAlign w:val="center"/>
          </w:tcPr>
          <w:p w14:paraId="5B3268AB">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08" w:type="dxa"/>
            <w:noWrap w:val="0"/>
            <w:vAlign w:val="center"/>
          </w:tcPr>
          <w:p w14:paraId="751B2BDE">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446" w:type="dxa"/>
            <w:noWrap w:val="0"/>
            <w:vAlign w:val="center"/>
          </w:tcPr>
          <w:p w14:paraId="6B2679A5">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511" w:type="dxa"/>
            <w:noWrap w:val="0"/>
            <w:vAlign w:val="center"/>
          </w:tcPr>
          <w:p w14:paraId="0CA2AC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33</w:t>
            </w:r>
            <w:r>
              <w:rPr>
                <w:rFonts w:hint="eastAsia"/>
                <w:color w:val="auto"/>
                <w:sz w:val="21"/>
                <w:highlight w:val="none"/>
                <w:lang w:val="en-US" w:eastAsia="zh-CN"/>
              </w:rPr>
              <w:t>t/a</w:t>
            </w:r>
          </w:p>
        </w:tc>
        <w:tc>
          <w:tcPr>
            <w:tcW w:w="1468" w:type="dxa"/>
            <w:noWrap w:val="0"/>
            <w:vAlign w:val="center"/>
          </w:tcPr>
          <w:p w14:paraId="15145F77">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825" w:type="dxa"/>
            <w:noWrap w:val="0"/>
            <w:vAlign w:val="center"/>
          </w:tcPr>
          <w:p w14:paraId="12FF8D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33</w:t>
            </w:r>
            <w:r>
              <w:rPr>
                <w:rFonts w:hint="eastAsia"/>
                <w:color w:val="auto"/>
                <w:sz w:val="21"/>
                <w:highlight w:val="none"/>
                <w:lang w:val="en-US" w:eastAsia="zh-CN"/>
              </w:rPr>
              <w:t>t/a</w:t>
            </w:r>
          </w:p>
        </w:tc>
        <w:tc>
          <w:tcPr>
            <w:tcW w:w="1490" w:type="dxa"/>
            <w:noWrap w:val="0"/>
            <w:vAlign w:val="center"/>
          </w:tcPr>
          <w:p w14:paraId="592256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highlight w:val="none"/>
                <w:lang w:val="en-US" w:eastAsia="zh-CN"/>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33</w:t>
            </w:r>
            <w:r>
              <w:rPr>
                <w:rFonts w:hint="eastAsia"/>
                <w:color w:val="auto"/>
                <w:sz w:val="21"/>
                <w:highlight w:val="none"/>
                <w:lang w:val="en-US" w:eastAsia="zh-CN"/>
              </w:rPr>
              <w:t>t/a</w:t>
            </w:r>
          </w:p>
        </w:tc>
      </w:tr>
      <w:tr w14:paraId="457BA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35" w:type="dxa"/>
            <w:vMerge w:val="restart"/>
            <w:noWrap w:val="0"/>
            <w:vAlign w:val="center"/>
          </w:tcPr>
          <w:p w14:paraId="25280034">
            <w:pPr>
              <w:spacing w:line="240" w:lineRule="auto"/>
              <w:ind w:left="0" w:leftChars="0" w:firstLine="0" w:firstLineChars="0"/>
              <w:jc w:val="center"/>
              <w:rPr>
                <w:rFonts w:hint="eastAsia" w:ascii="Times New Roman" w:hAnsi="Times New Roman" w:eastAsia="宋体" w:cs="Times New Roman"/>
                <w:b w:val="0"/>
                <w:bCs/>
                <w:color w:val="auto"/>
                <w:sz w:val="21"/>
                <w:lang w:val="en-US" w:eastAsia="zh-CN"/>
              </w:rPr>
            </w:pPr>
            <w:r>
              <w:rPr>
                <w:rFonts w:hint="eastAsia" w:ascii="Times New Roman" w:hAnsi="Times New Roman" w:eastAsia="宋体" w:cs="Times New Roman"/>
                <w:b w:val="0"/>
                <w:bCs/>
                <w:color w:val="auto"/>
                <w:sz w:val="21"/>
                <w:lang w:val="en-US" w:eastAsia="zh-CN"/>
              </w:rPr>
              <w:t>一般工业固体废物</w:t>
            </w:r>
          </w:p>
        </w:tc>
        <w:tc>
          <w:tcPr>
            <w:tcW w:w="2879" w:type="dxa"/>
            <w:noWrap w:val="0"/>
            <w:vAlign w:val="center"/>
          </w:tcPr>
          <w:p w14:paraId="4D6FC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color w:val="auto"/>
                <w:sz w:val="21"/>
                <w:lang w:val="en-US" w:eastAsia="zh-CN"/>
              </w:rPr>
            </w:pPr>
            <w:r>
              <w:rPr>
                <w:rFonts w:hint="eastAsia" w:cs="Times New Roman"/>
                <w:color w:val="auto"/>
                <w:kern w:val="2"/>
                <w:sz w:val="21"/>
                <w:szCs w:val="21"/>
                <w:lang w:val="en-US" w:eastAsia="zh-CN" w:bidi="ar-SA"/>
              </w:rPr>
              <w:t>未污染的一次性输液袋（瓶）、一次性医用外包装物</w:t>
            </w:r>
          </w:p>
        </w:tc>
        <w:tc>
          <w:tcPr>
            <w:tcW w:w="1714" w:type="dxa"/>
            <w:noWrap w:val="0"/>
            <w:vAlign w:val="center"/>
          </w:tcPr>
          <w:p w14:paraId="501E81CE">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308" w:type="dxa"/>
            <w:noWrap w:val="0"/>
            <w:vAlign w:val="center"/>
          </w:tcPr>
          <w:p w14:paraId="4D4C62B2">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46" w:type="dxa"/>
            <w:noWrap w:val="0"/>
            <w:vAlign w:val="center"/>
          </w:tcPr>
          <w:p w14:paraId="78490F4B">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511" w:type="dxa"/>
            <w:noWrap w:val="0"/>
            <w:vAlign w:val="center"/>
          </w:tcPr>
          <w:p w14:paraId="35446988">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0.022</w:t>
            </w:r>
            <w:r>
              <w:rPr>
                <w:rFonts w:hint="eastAsia" w:ascii="Times New Roman" w:hAnsi="Times New Roman" w:cs="Times New Roman"/>
                <w:color w:val="auto"/>
                <w:sz w:val="21"/>
                <w:szCs w:val="21"/>
                <w:vertAlign w:val="baseline"/>
                <w:lang w:val="en-US" w:eastAsia="zh-CN"/>
              </w:rPr>
              <w:t>t/a</w:t>
            </w:r>
          </w:p>
        </w:tc>
        <w:tc>
          <w:tcPr>
            <w:tcW w:w="1468" w:type="dxa"/>
            <w:noWrap w:val="0"/>
            <w:vAlign w:val="center"/>
          </w:tcPr>
          <w:p w14:paraId="16F0BB63">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825" w:type="dxa"/>
            <w:noWrap w:val="0"/>
            <w:vAlign w:val="center"/>
          </w:tcPr>
          <w:p w14:paraId="219F88F6">
            <w:pPr>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0.022</w:t>
            </w:r>
            <w:r>
              <w:rPr>
                <w:rFonts w:hint="eastAsia" w:ascii="Times New Roman" w:hAnsi="Times New Roman" w:cs="Times New Roman"/>
                <w:color w:val="auto"/>
                <w:sz w:val="21"/>
                <w:szCs w:val="21"/>
                <w:vertAlign w:val="baseline"/>
                <w:lang w:val="en-US" w:eastAsia="zh-CN"/>
              </w:rPr>
              <w:t>t/a</w:t>
            </w:r>
          </w:p>
        </w:tc>
        <w:tc>
          <w:tcPr>
            <w:tcW w:w="1490" w:type="dxa"/>
            <w:noWrap w:val="0"/>
            <w:vAlign w:val="center"/>
          </w:tcPr>
          <w:p w14:paraId="212C9D43">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+0.022</w:t>
            </w:r>
            <w:r>
              <w:rPr>
                <w:rFonts w:hint="eastAsia" w:ascii="Times New Roman" w:hAnsi="Times New Roman" w:cs="Times New Roman"/>
                <w:color w:val="auto"/>
                <w:sz w:val="21"/>
                <w:szCs w:val="21"/>
                <w:vertAlign w:val="baseline"/>
                <w:lang w:val="en-US" w:eastAsia="zh-CN"/>
              </w:rPr>
              <w:t>t/a</w:t>
            </w:r>
          </w:p>
        </w:tc>
      </w:tr>
      <w:tr w14:paraId="5793D9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35" w:type="dxa"/>
            <w:vMerge w:val="continue"/>
            <w:noWrap w:val="0"/>
            <w:vAlign w:val="center"/>
          </w:tcPr>
          <w:p w14:paraId="35F1C90F">
            <w:pPr>
              <w:spacing w:line="240" w:lineRule="auto"/>
              <w:ind w:left="0" w:leftChars="0" w:firstLine="0" w:firstLineChars="0"/>
              <w:jc w:val="center"/>
              <w:rPr>
                <w:rFonts w:hint="eastAsia" w:ascii="Times New Roman" w:hAnsi="Times New Roman" w:eastAsia="宋体" w:cs="Times New Roman"/>
                <w:b w:val="0"/>
                <w:bCs/>
                <w:color w:val="auto"/>
                <w:sz w:val="21"/>
                <w:lang w:val="en-US" w:eastAsia="zh-CN"/>
              </w:rPr>
            </w:pPr>
          </w:p>
        </w:tc>
        <w:tc>
          <w:tcPr>
            <w:tcW w:w="2879" w:type="dxa"/>
            <w:noWrap w:val="0"/>
            <w:vAlign w:val="center"/>
          </w:tcPr>
          <w:p w14:paraId="35992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sz w:val="21"/>
                <w:szCs w:val="21"/>
                <w:lang w:eastAsia="zh-CN"/>
              </w:rPr>
            </w:pPr>
            <w:r>
              <w:rPr>
                <w:rFonts w:hint="eastAsia" w:cs="Times New Roman"/>
                <w:color w:val="auto"/>
                <w:kern w:val="0"/>
                <w:sz w:val="21"/>
                <w:szCs w:val="21"/>
                <w:lang w:eastAsia="zh-CN"/>
              </w:rPr>
              <w:t>制片边角料</w:t>
            </w:r>
          </w:p>
        </w:tc>
        <w:tc>
          <w:tcPr>
            <w:tcW w:w="1714" w:type="dxa"/>
            <w:noWrap w:val="0"/>
            <w:vAlign w:val="center"/>
          </w:tcPr>
          <w:p w14:paraId="445A1B53">
            <w:pPr>
              <w:numPr>
                <w:ilvl w:val="0"/>
                <w:numId w:val="0"/>
              </w:num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08" w:type="dxa"/>
            <w:noWrap w:val="0"/>
            <w:vAlign w:val="center"/>
          </w:tcPr>
          <w:p w14:paraId="3DDB901F">
            <w:pPr>
              <w:numPr>
                <w:ilvl w:val="0"/>
                <w:numId w:val="0"/>
              </w:numPr>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446" w:type="dxa"/>
            <w:noWrap w:val="0"/>
            <w:vAlign w:val="center"/>
          </w:tcPr>
          <w:p w14:paraId="1275541B">
            <w:pPr>
              <w:numPr>
                <w:ilvl w:val="0"/>
                <w:numId w:val="0"/>
              </w:numPr>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511" w:type="dxa"/>
            <w:noWrap w:val="0"/>
            <w:vAlign w:val="center"/>
          </w:tcPr>
          <w:p w14:paraId="42C89780">
            <w:pPr>
              <w:numPr>
                <w:ilvl w:val="0"/>
                <w:numId w:val="0"/>
              </w:numPr>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0.0011t/a</w:t>
            </w:r>
          </w:p>
        </w:tc>
        <w:tc>
          <w:tcPr>
            <w:tcW w:w="1468" w:type="dxa"/>
            <w:noWrap w:val="0"/>
            <w:vAlign w:val="center"/>
          </w:tcPr>
          <w:p w14:paraId="45A49026">
            <w:pPr>
              <w:numPr>
                <w:ilvl w:val="0"/>
                <w:numId w:val="0"/>
              </w:numPr>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825" w:type="dxa"/>
            <w:noWrap w:val="0"/>
            <w:vAlign w:val="center"/>
          </w:tcPr>
          <w:p w14:paraId="038667F6">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0.001t/a</w:t>
            </w:r>
          </w:p>
        </w:tc>
        <w:tc>
          <w:tcPr>
            <w:tcW w:w="1490" w:type="dxa"/>
            <w:noWrap w:val="0"/>
            <w:vAlign w:val="center"/>
          </w:tcPr>
          <w:p w14:paraId="35A5D9FF">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 xml:space="preserve">+0.001t/a </w:t>
            </w:r>
          </w:p>
        </w:tc>
      </w:tr>
      <w:tr w14:paraId="41777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35" w:type="dxa"/>
            <w:vMerge w:val="continue"/>
            <w:noWrap w:val="0"/>
            <w:vAlign w:val="center"/>
          </w:tcPr>
          <w:p w14:paraId="737E5EEA">
            <w:pPr>
              <w:spacing w:line="240" w:lineRule="auto"/>
              <w:jc w:val="center"/>
              <w:rPr>
                <w:rFonts w:hint="eastAsia" w:ascii="Times New Roman" w:hAnsi="Times New Roman" w:eastAsia="宋体" w:cs="Times New Roman"/>
                <w:b w:val="0"/>
                <w:bCs/>
                <w:color w:val="auto"/>
                <w:sz w:val="21"/>
                <w:lang w:val="en-US" w:eastAsia="zh-CN"/>
              </w:rPr>
            </w:pPr>
          </w:p>
        </w:tc>
        <w:tc>
          <w:tcPr>
            <w:tcW w:w="2879" w:type="dxa"/>
            <w:noWrap w:val="0"/>
            <w:vAlign w:val="center"/>
          </w:tcPr>
          <w:p w14:paraId="028C16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z w:val="21"/>
                <w:lang w:val="en-US" w:eastAsia="zh-CN"/>
              </w:rPr>
            </w:pPr>
            <w:r>
              <w:rPr>
                <w:rFonts w:hint="default" w:ascii="Times New Roman" w:hAnsi="Times New Roman" w:eastAsia="宋体" w:cs="Times New Roman"/>
                <w:b w:val="0"/>
                <w:bCs w:val="0"/>
                <w:color w:val="auto"/>
                <w:sz w:val="21"/>
                <w:szCs w:val="21"/>
              </w:rPr>
              <w:t>生活垃圾</w:t>
            </w:r>
          </w:p>
        </w:tc>
        <w:tc>
          <w:tcPr>
            <w:tcW w:w="1714" w:type="dxa"/>
            <w:noWrap w:val="0"/>
            <w:vAlign w:val="center"/>
          </w:tcPr>
          <w:p w14:paraId="25D81FF2">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308" w:type="dxa"/>
            <w:noWrap w:val="0"/>
            <w:vAlign w:val="center"/>
          </w:tcPr>
          <w:p w14:paraId="394915FC">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446" w:type="dxa"/>
            <w:noWrap w:val="0"/>
            <w:vAlign w:val="center"/>
          </w:tcPr>
          <w:p w14:paraId="35130096">
            <w:pPr>
              <w:numPr>
                <w:ilvl w:val="0"/>
                <w:numId w:val="0"/>
              </w:num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511" w:type="dxa"/>
            <w:noWrap w:val="0"/>
            <w:vAlign w:val="center"/>
          </w:tcPr>
          <w:p w14:paraId="0968C0D0">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42.5225</w:t>
            </w:r>
            <w:r>
              <w:rPr>
                <w:rFonts w:hint="eastAsia" w:ascii="Times New Roman" w:hAnsi="Times New Roman" w:cs="Times New Roman"/>
                <w:color w:val="auto"/>
                <w:sz w:val="21"/>
                <w:szCs w:val="21"/>
                <w:vertAlign w:val="baseline"/>
                <w:lang w:val="en-US" w:eastAsia="zh-CN"/>
              </w:rPr>
              <w:t>t/a</w:t>
            </w:r>
          </w:p>
        </w:tc>
        <w:tc>
          <w:tcPr>
            <w:tcW w:w="1468" w:type="dxa"/>
            <w:noWrap w:val="0"/>
            <w:vAlign w:val="center"/>
          </w:tcPr>
          <w:p w14:paraId="693494ED">
            <w:pPr>
              <w:numPr>
                <w:ilvl w:val="0"/>
                <w:numId w:val="0"/>
              </w:num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825" w:type="dxa"/>
            <w:noWrap w:val="0"/>
            <w:vAlign w:val="center"/>
          </w:tcPr>
          <w:p w14:paraId="3BBB3D88">
            <w:pPr>
              <w:numPr>
                <w:ilvl w:val="0"/>
                <w:numId w:val="0"/>
              </w:numPr>
              <w:spacing w:line="240" w:lineRule="auto"/>
              <w:ind w:left="0" w:leftChars="0" w:firstLine="0" w:firstLineChars="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42.5225</w:t>
            </w:r>
            <w:r>
              <w:rPr>
                <w:rFonts w:hint="eastAsia" w:ascii="Times New Roman" w:hAnsi="Times New Roman" w:cs="Times New Roman"/>
                <w:color w:val="auto"/>
                <w:sz w:val="21"/>
                <w:szCs w:val="21"/>
                <w:vertAlign w:val="baseline"/>
                <w:lang w:val="en-US" w:eastAsia="zh-CN"/>
              </w:rPr>
              <w:t>t/a</w:t>
            </w:r>
          </w:p>
        </w:tc>
        <w:tc>
          <w:tcPr>
            <w:tcW w:w="1490" w:type="dxa"/>
            <w:noWrap w:val="0"/>
            <w:vAlign w:val="center"/>
          </w:tcPr>
          <w:p w14:paraId="141B2C35">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+42.5225</w:t>
            </w:r>
            <w:r>
              <w:rPr>
                <w:rFonts w:hint="eastAsia" w:ascii="Times New Roman" w:hAnsi="Times New Roman" w:cs="Times New Roman"/>
                <w:color w:val="auto"/>
                <w:sz w:val="21"/>
                <w:szCs w:val="21"/>
                <w:vertAlign w:val="baseline"/>
                <w:lang w:val="en-US" w:eastAsia="zh-CN"/>
              </w:rPr>
              <w:t>t/a</w:t>
            </w:r>
          </w:p>
        </w:tc>
      </w:tr>
      <w:tr w14:paraId="726BC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35" w:type="dxa"/>
            <w:vMerge w:val="restart"/>
            <w:noWrap w:val="0"/>
            <w:vAlign w:val="center"/>
          </w:tcPr>
          <w:p w14:paraId="6F4E7BA0">
            <w:pPr>
              <w:spacing w:line="240" w:lineRule="auto"/>
              <w:ind w:left="0" w:leftChars="0" w:firstLine="0" w:firstLineChars="0"/>
              <w:jc w:val="both"/>
              <w:rPr>
                <w:rFonts w:hint="default" w:ascii="Times New Roman" w:hAnsi="Times New Roman" w:eastAsia="宋体" w:cs="Times New Roman"/>
                <w:b w:val="0"/>
                <w:bCs/>
                <w:color w:val="auto"/>
                <w:sz w:val="21"/>
                <w:lang w:val="en-US" w:eastAsia="zh-CN"/>
              </w:rPr>
            </w:pPr>
            <w:r>
              <w:rPr>
                <w:rFonts w:hint="eastAsia" w:ascii="Times New Roman" w:hAnsi="Times New Roman" w:eastAsia="宋体" w:cs="Times New Roman"/>
                <w:b w:val="0"/>
                <w:bCs/>
                <w:color w:val="auto"/>
                <w:sz w:val="21"/>
                <w:lang w:val="en-US" w:eastAsia="zh-CN"/>
              </w:rPr>
              <w:t>危险废物</w:t>
            </w:r>
          </w:p>
        </w:tc>
        <w:tc>
          <w:tcPr>
            <w:tcW w:w="2879" w:type="dxa"/>
            <w:noWrap w:val="0"/>
            <w:vAlign w:val="center"/>
          </w:tcPr>
          <w:p w14:paraId="3AA30D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医疗废物</w:t>
            </w:r>
          </w:p>
        </w:tc>
        <w:tc>
          <w:tcPr>
            <w:tcW w:w="1714" w:type="dxa"/>
            <w:noWrap w:val="0"/>
            <w:vAlign w:val="center"/>
          </w:tcPr>
          <w:p w14:paraId="63CE825C">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08" w:type="dxa"/>
            <w:noWrap w:val="0"/>
            <w:vAlign w:val="center"/>
          </w:tcPr>
          <w:p w14:paraId="33ABE4A3">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446" w:type="dxa"/>
            <w:noWrap w:val="0"/>
            <w:vAlign w:val="center"/>
          </w:tcPr>
          <w:p w14:paraId="0498089A">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511" w:type="dxa"/>
            <w:noWrap w:val="0"/>
            <w:vAlign w:val="center"/>
          </w:tcPr>
          <w:p w14:paraId="5CC77F6D">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14.105</w:t>
            </w:r>
            <w:r>
              <w:rPr>
                <w:rFonts w:hint="eastAsia" w:ascii="Times New Roman" w:hAnsi="Times New Roman" w:cs="Times New Roman"/>
                <w:color w:val="auto"/>
                <w:sz w:val="21"/>
                <w:szCs w:val="21"/>
                <w:vertAlign w:val="baseline"/>
                <w:lang w:val="en-US" w:eastAsia="zh-CN"/>
              </w:rPr>
              <w:t>t/a</w:t>
            </w:r>
          </w:p>
        </w:tc>
        <w:tc>
          <w:tcPr>
            <w:tcW w:w="1468" w:type="dxa"/>
            <w:noWrap w:val="0"/>
            <w:vAlign w:val="center"/>
          </w:tcPr>
          <w:p w14:paraId="3EC83141">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825" w:type="dxa"/>
            <w:noWrap w:val="0"/>
            <w:vAlign w:val="center"/>
          </w:tcPr>
          <w:p w14:paraId="6AF3EDA7">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14.105</w:t>
            </w:r>
            <w:r>
              <w:rPr>
                <w:rFonts w:hint="eastAsia" w:ascii="Times New Roman" w:hAnsi="Times New Roman" w:cs="Times New Roman"/>
                <w:color w:val="auto"/>
                <w:sz w:val="21"/>
                <w:szCs w:val="21"/>
                <w:vertAlign w:val="baseline"/>
                <w:lang w:val="en-US" w:eastAsia="zh-CN"/>
              </w:rPr>
              <w:t>t/a</w:t>
            </w:r>
          </w:p>
        </w:tc>
        <w:tc>
          <w:tcPr>
            <w:tcW w:w="1490" w:type="dxa"/>
            <w:noWrap w:val="0"/>
            <w:vAlign w:val="center"/>
          </w:tcPr>
          <w:p w14:paraId="58BF0EE5">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+14.105</w:t>
            </w:r>
            <w:r>
              <w:rPr>
                <w:rFonts w:hint="eastAsia" w:ascii="Times New Roman" w:hAnsi="Times New Roman" w:cs="Times New Roman"/>
                <w:color w:val="auto"/>
                <w:sz w:val="21"/>
                <w:szCs w:val="21"/>
                <w:vertAlign w:val="baseline"/>
                <w:lang w:val="en-US" w:eastAsia="zh-CN"/>
              </w:rPr>
              <w:t>t/a</w:t>
            </w:r>
          </w:p>
        </w:tc>
      </w:tr>
      <w:tr w14:paraId="62780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35" w:type="dxa"/>
            <w:vMerge w:val="continue"/>
            <w:noWrap w:val="0"/>
            <w:vAlign w:val="center"/>
          </w:tcPr>
          <w:p w14:paraId="1938E38B">
            <w:pPr>
              <w:spacing w:line="240" w:lineRule="auto"/>
              <w:jc w:val="center"/>
              <w:rPr>
                <w:rFonts w:hint="eastAsia" w:ascii="Times New Roman" w:hAnsi="Times New Roman" w:eastAsia="宋体" w:cs="Times New Roman"/>
                <w:b w:val="0"/>
                <w:bCs/>
                <w:color w:val="auto"/>
                <w:sz w:val="21"/>
                <w:lang w:val="en-US" w:eastAsia="zh-CN"/>
              </w:rPr>
            </w:pPr>
          </w:p>
        </w:tc>
        <w:tc>
          <w:tcPr>
            <w:tcW w:w="2879" w:type="dxa"/>
            <w:noWrap w:val="0"/>
            <w:vAlign w:val="center"/>
          </w:tcPr>
          <w:p w14:paraId="033A02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rPr>
            </w:pPr>
            <w:r>
              <w:rPr>
                <w:rFonts w:hint="eastAsia"/>
                <w:color w:val="auto"/>
                <w:sz w:val="21"/>
                <w:szCs w:val="21"/>
                <w:lang w:eastAsia="zh-CN"/>
              </w:rPr>
              <w:t>污水站污泥与栅渣</w:t>
            </w:r>
          </w:p>
        </w:tc>
        <w:tc>
          <w:tcPr>
            <w:tcW w:w="1714" w:type="dxa"/>
            <w:noWrap w:val="0"/>
            <w:vAlign w:val="center"/>
          </w:tcPr>
          <w:p w14:paraId="4349FA10">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08" w:type="dxa"/>
            <w:noWrap w:val="0"/>
            <w:vAlign w:val="center"/>
          </w:tcPr>
          <w:p w14:paraId="6C7E9DC2">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446" w:type="dxa"/>
            <w:noWrap w:val="0"/>
            <w:vAlign w:val="center"/>
          </w:tcPr>
          <w:p w14:paraId="7FA23D63">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511" w:type="dxa"/>
            <w:noWrap w:val="0"/>
            <w:vAlign w:val="center"/>
          </w:tcPr>
          <w:p w14:paraId="407C5F99">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51.2156</w:t>
            </w:r>
            <w:r>
              <w:rPr>
                <w:rFonts w:hint="eastAsia" w:ascii="Times New Roman" w:hAnsi="Times New Roman" w:cs="Times New Roman"/>
                <w:color w:val="auto"/>
                <w:sz w:val="21"/>
                <w:szCs w:val="21"/>
                <w:vertAlign w:val="baseline"/>
                <w:lang w:val="en-US" w:eastAsia="zh-CN"/>
              </w:rPr>
              <w:t>t/a</w:t>
            </w:r>
          </w:p>
        </w:tc>
        <w:tc>
          <w:tcPr>
            <w:tcW w:w="1468" w:type="dxa"/>
            <w:noWrap w:val="0"/>
            <w:vAlign w:val="center"/>
          </w:tcPr>
          <w:p w14:paraId="5852416D">
            <w:pPr>
              <w:numPr>
                <w:ilvl w:val="0"/>
                <w:numId w:val="0"/>
              </w:numPr>
              <w:spacing w:line="240" w:lineRule="auto"/>
              <w:ind w:left="0" w:leftChars="0" w:firstLine="0" w:firstLineChars="0"/>
              <w:jc w:val="center"/>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825" w:type="dxa"/>
            <w:noWrap w:val="0"/>
            <w:vAlign w:val="center"/>
          </w:tcPr>
          <w:p w14:paraId="786A2D7E">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kern w:val="2"/>
                <w:sz w:val="21"/>
                <w:szCs w:val="21"/>
                <w:highlight w:val="none"/>
                <w:lang w:val="en-US" w:eastAsia="zh-CN" w:bidi="ar-SA"/>
              </w:rPr>
              <w:t>51.2156</w:t>
            </w:r>
            <w:r>
              <w:rPr>
                <w:rFonts w:hint="eastAsia" w:ascii="Times New Roman" w:hAnsi="Times New Roman" w:cs="Times New Roman"/>
                <w:color w:val="auto"/>
                <w:sz w:val="21"/>
                <w:szCs w:val="21"/>
                <w:vertAlign w:val="baseline"/>
                <w:lang w:val="en-US" w:eastAsia="zh-CN"/>
              </w:rPr>
              <w:t>t/a</w:t>
            </w:r>
          </w:p>
        </w:tc>
        <w:tc>
          <w:tcPr>
            <w:tcW w:w="1490" w:type="dxa"/>
            <w:noWrap w:val="0"/>
            <w:vAlign w:val="center"/>
          </w:tcPr>
          <w:p w14:paraId="6EDF5031">
            <w:pPr>
              <w:numPr>
                <w:ilvl w:val="0"/>
                <w:numId w:val="0"/>
              </w:numPr>
              <w:spacing w:line="240" w:lineRule="auto"/>
              <w:ind w:left="0" w:leftChars="0" w:firstLine="0" w:firstLineChars="0"/>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w:t>
            </w:r>
            <w:r>
              <w:rPr>
                <w:rFonts w:hint="eastAsia" w:cs="Times New Roman"/>
                <w:color w:val="auto"/>
                <w:kern w:val="2"/>
                <w:sz w:val="21"/>
                <w:szCs w:val="21"/>
                <w:highlight w:val="none"/>
                <w:lang w:val="en-US" w:eastAsia="zh-CN" w:bidi="ar-SA"/>
              </w:rPr>
              <w:t>51.2156</w:t>
            </w:r>
            <w:r>
              <w:rPr>
                <w:rFonts w:hint="eastAsia" w:ascii="Times New Roman" w:hAnsi="Times New Roman" w:cs="Times New Roman"/>
                <w:color w:val="auto"/>
                <w:sz w:val="21"/>
                <w:szCs w:val="21"/>
                <w:vertAlign w:val="baseline"/>
                <w:lang w:val="en-US" w:eastAsia="zh-CN"/>
              </w:rPr>
              <w:t>t/a</w:t>
            </w:r>
          </w:p>
        </w:tc>
      </w:tr>
    </w:tbl>
    <w:p w14:paraId="0A076E2B">
      <w:pPr>
        <w:pStyle w:val="123"/>
        <w:spacing w:before="192" w:beforeLines="80" w:after="24"/>
        <w:ind w:left="0" w:leftChars="0" w:firstLine="0" w:firstLineChars="0"/>
        <w:jc w:val="left"/>
        <w:rPr>
          <w:color w:val="auto"/>
        </w:r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rFonts w:hint="eastAsia"/>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rFonts w:hint="eastAsia"/>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rFonts w:hint="eastAsia"/>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rFonts w:hint="eastAsia"/>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color w:val="auto"/>
          <w:szCs w:val="21"/>
        </w:rPr>
        <w:t>①</w:t>
      </w:r>
      <w:r>
        <w:rPr>
          <w:snapToGrid w:val="0"/>
          <w:color w:val="auto"/>
          <w:spacing w:val="-6"/>
          <w:kern w:val="21"/>
          <w:szCs w:val="21"/>
        </w:rPr>
        <w:fldChar w:fldCharType="end"/>
      </w:r>
    </w:p>
    <w:sectPr>
      <w:headerReference r:id="rId9" w:type="first"/>
      <w:footerReference r:id="rId12" w:type="first"/>
      <w:headerReference r:id="rId7" w:type="default"/>
      <w:footerReference r:id="rId10" w:type="default"/>
      <w:headerReference r:id="rId8" w:type="even"/>
      <w:footerReference r:id="rId11" w:type="even"/>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1803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D2B1B">
    <w:pPr>
      <w:pStyle w:val="18"/>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177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917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320EF">
                          <w:pPr>
                            <w:pStyle w:val="18"/>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5.1pt;mso-position-horizontal:center;mso-position-horizontal-relative:margin;z-index:251659264;mso-width-relative:page;mso-height-relative:page;" filled="f" stroked="f" coordsize="21600,21600" o:gfxdata="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3V+y0wAAAAQBAAAPAAAAAAAAAAEAIAAAACIAAABkcnMvZG93bnJldi54bWxQ&#10;SwECFAAUAAAACACHTuJAvqDazDUCAABiBAAADgAAAAAAAAABACAAAAAiAQAAZHJzL2Uyb0RvYy54&#10;bWxQSwUGAAAAAAYABgBZAQAAyQUAAAAA&#10;">
              <v:fill on="f" focussize="0,0"/>
              <v:stroke on="f" weight="0.5pt"/>
              <v:imagedata o:title=""/>
              <o:lock v:ext="edit" aspectratio="f"/>
              <v:textbox inset="0mm,0mm,0mm,0mm" style="mso-fit-shape-to-text:t;">
                <w:txbxContent>
                  <w:p w14:paraId="3D5320EF">
                    <w:pPr>
                      <w:pStyle w:val="18"/>
                      <w:keepNext w:val="0"/>
                      <w:keepLines w:val="0"/>
                      <w:pageBreakBefore w:val="0"/>
                      <w:widowControl w:val="0"/>
                      <w:kinsoku/>
                      <w:wordWrap/>
                      <w:overflowPunct/>
                      <w:topLinePunct w:val="0"/>
                      <w:bidi w:val="0"/>
                      <w:adjustRightInd/>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76B1A">
    <w:pPr>
      <w:pStyle w:val="1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86062">
                          <w:pPr>
                            <w:pStyle w:val="18"/>
                            <w:keepNext w:val="0"/>
                            <w:keepLines w:val="0"/>
                            <w:pageBreakBefore w:val="0"/>
                            <w:widowControl w:val="0"/>
                            <w:kinsoku/>
                            <w:wordWrap/>
                            <w:overflowPunct/>
                            <w:topLinePunct w:val="0"/>
                            <w:bidi w:val="0"/>
                            <w:adjustRightInd/>
                            <w:snapToGrid w:val="0"/>
                            <w:ind w:firstLine="0" w:firstLineChars="0"/>
                            <w:textAlignment w:val="auto"/>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8986062">
                    <w:pPr>
                      <w:pStyle w:val="18"/>
                      <w:keepNext w:val="0"/>
                      <w:keepLines w:val="0"/>
                      <w:pageBreakBefore w:val="0"/>
                      <w:widowControl w:val="0"/>
                      <w:kinsoku/>
                      <w:wordWrap/>
                      <w:overflowPunct/>
                      <w:topLinePunct w:val="0"/>
                      <w:bidi w:val="0"/>
                      <w:adjustRightInd/>
                      <w:snapToGrid w:val="0"/>
                      <w:ind w:firstLine="0" w:firstLineChars="0"/>
                      <w:textAlignment w:val="auto"/>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DA004">
    <w:pPr>
      <w:pStyle w:val="18"/>
      <w:framePr w:wrap="around" w:vAnchor="text" w:hAnchor="margin" w:xAlign="center" w:y="1"/>
      <w:rPr>
        <w:rStyle w:val="33"/>
      </w:rPr>
    </w:pPr>
    <w:r>
      <w:fldChar w:fldCharType="begin"/>
    </w:r>
    <w:r>
      <w:rPr>
        <w:rStyle w:val="33"/>
      </w:rPr>
      <w:instrText xml:space="preserve">PAGE  </w:instrText>
    </w:r>
    <w:r>
      <w:fldChar w:fldCharType="end"/>
    </w:r>
  </w:p>
  <w:p w14:paraId="2DEE2C1D">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EE73E">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B65B0">
    <w:pPr>
      <w:pStyle w:val="1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757CE">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35C71">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67ECB">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F2CD12"/>
    <w:multiLevelType w:val="singleLevel"/>
    <w:tmpl w:val="F9F2CD12"/>
    <w:lvl w:ilvl="0" w:tentative="0">
      <w:start w:val="2"/>
      <w:numFmt w:val="decimal"/>
      <w:suff w:val="nothing"/>
      <w:lvlText w:val="%1、"/>
      <w:lvlJc w:val="left"/>
    </w:lvl>
  </w:abstractNum>
  <w:abstractNum w:abstractNumId="1">
    <w:nsid w:val="12074BFF"/>
    <w:multiLevelType w:val="multilevel"/>
    <w:tmpl w:val="12074BFF"/>
    <w:lvl w:ilvl="0" w:tentative="0">
      <w:start w:val="1"/>
      <w:numFmt w:val="decimal"/>
      <w:lvlText w:val="%1"/>
      <w:lvlJc w:val="left"/>
      <w:pPr>
        <w:ind w:left="0" w:firstLine="0"/>
      </w:pPr>
      <w:rPr>
        <w:rFonts w:hint="default" w:ascii="Times New Roman" w:hAnsi="Times New Roman" w:eastAsia="宋体"/>
        <w:b/>
        <w:i w:val="0"/>
        <w:sz w:val="44"/>
      </w:rPr>
    </w:lvl>
    <w:lvl w:ilvl="1" w:tentative="0">
      <w:start w:val="1"/>
      <w:numFmt w:val="decimal"/>
      <w:lvlText w:val="%1.%2"/>
      <w:lvlJc w:val="left"/>
      <w:pPr>
        <w:tabs>
          <w:tab w:val="left" w:pos="57"/>
        </w:tabs>
        <w:ind w:left="0" w:firstLine="57"/>
      </w:pPr>
      <w:rPr>
        <w:rFonts w:hint="default" w:ascii="Times New Roman" w:hAnsi="Times New Roman" w:eastAsia="宋体"/>
        <w:b/>
        <w:i w:val="0"/>
        <w:sz w:val="32"/>
      </w:rPr>
    </w:lvl>
    <w:lvl w:ilvl="2" w:tentative="0">
      <w:start w:val="1"/>
      <w:numFmt w:val="decimal"/>
      <w:pStyle w:val="149"/>
      <w:lvlText w:val="%1.%2.%3"/>
      <w:lvlJc w:val="left"/>
      <w:pPr>
        <w:tabs>
          <w:tab w:val="left" w:pos="170"/>
        </w:tabs>
        <w:ind w:left="1320" w:firstLine="113"/>
      </w:pPr>
      <w:rPr>
        <w:rFonts w:hint="default" w:ascii="Times New Roman" w:hAnsi="Times New Roman" w:eastAsia="宋体"/>
        <w:b/>
        <w:bCs w:val="0"/>
        <w:i w:val="0"/>
        <w:iCs w:val="0"/>
        <w:caps w:val="0"/>
        <w:smallCaps w:val="0"/>
        <w:strike w:val="0"/>
        <w:dstrike w:val="0"/>
        <w:vanish w:val="0"/>
        <w:spacing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lvlText w:val="%1.%2.%3.%4"/>
      <w:lvlJc w:val="left"/>
      <w:pPr>
        <w:tabs>
          <w:tab w:val="left" w:pos="1276"/>
        </w:tabs>
        <w:ind w:left="1879" w:firstLine="57"/>
      </w:pPr>
      <w:rPr>
        <w:rFonts w:hint="default"/>
        <w:b/>
        <w:bCs/>
        <w:i w:val="0"/>
        <w:iCs w:val="0"/>
        <w:caps w:val="0"/>
        <w:smallCaps w:val="0"/>
        <w:strike w:val="0"/>
        <w:dstrike w:val="0"/>
        <w:vanish w:val="0"/>
        <w:spacing w:val="0"/>
        <w:position w:val="0"/>
        <w:sz w:val="24"/>
        <w:szCs w:val="24"/>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lvlRestart w:val="2"/>
      <w:lvlText w:val="表%1.%2-%5."/>
      <w:lvlJc w:val="center"/>
      <w:pPr>
        <w:ind w:left="2200" w:firstLine="288"/>
      </w:pPr>
      <w:rPr>
        <w:rFonts w:hint="default" w:ascii="Times New Roman" w:hAnsi="Times New Roman" w:eastAsia="宋体"/>
        <w:b/>
        <w:i w:val="0"/>
        <w:sz w:val="21"/>
        <w:lang w:val="en-US"/>
      </w:rPr>
    </w:lvl>
    <w:lvl w:ilvl="5" w:tentative="0">
      <w:start w:val="1"/>
      <w:numFmt w:val="decimal"/>
      <w:lvlRestart w:val="2"/>
      <w:lvlText w:val="图%1.%2-%6."/>
      <w:lvlJc w:val="center"/>
      <w:pPr>
        <w:ind w:left="0" w:firstLine="288"/>
      </w:pPr>
      <w:rPr>
        <w:rFonts w:hint="default" w:ascii="Times New Roman" w:hAnsi="Times New Roman" w:eastAsia="宋体"/>
        <w:b/>
        <w:i w:val="0"/>
        <w:sz w:val="21"/>
      </w:rPr>
    </w:lvl>
    <w:lvl w:ilvl="6" w:tentative="0">
      <w:start w:val="1"/>
      <w:numFmt w:val="decimal"/>
      <w:lvlRestart w:val="2"/>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6"/>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4D306431"/>
    <w:multiLevelType w:val="multilevel"/>
    <w:tmpl w:val="4D306431"/>
    <w:lvl w:ilvl="0" w:tentative="0">
      <w:start w:val="1"/>
      <w:numFmt w:val="decimal"/>
      <w:pStyle w:val="109"/>
      <w:lvlText w:val="表3.2-%1"/>
      <w:lvlJc w:val="left"/>
      <w:pPr>
        <w:ind w:left="988" w:hanging="420"/>
      </w:pPr>
      <w:rPr>
        <w:rFonts w:hint="default"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yZTY3Y2MyOGVjZDNkNTg1NmZjOWY1YWYxNjk3NzMifQ=="/>
    <w:docVar w:name="KSO_WPS_MARK_KEY" w:val="d5b5c0f6-d732-4466-88ee-661a8939d644"/>
  </w:docVars>
  <w:rsids>
    <w:rsidRoot w:val="00172A27"/>
    <w:rsid w:val="00002E31"/>
    <w:rsid w:val="000069DA"/>
    <w:rsid w:val="00006A7E"/>
    <w:rsid w:val="00007A9E"/>
    <w:rsid w:val="000101C4"/>
    <w:rsid w:val="00011394"/>
    <w:rsid w:val="00011548"/>
    <w:rsid w:val="00011CD3"/>
    <w:rsid w:val="00013915"/>
    <w:rsid w:val="00013A28"/>
    <w:rsid w:val="00013EB8"/>
    <w:rsid w:val="0001440A"/>
    <w:rsid w:val="00014F39"/>
    <w:rsid w:val="00015652"/>
    <w:rsid w:val="00016A51"/>
    <w:rsid w:val="00017330"/>
    <w:rsid w:val="00017A2B"/>
    <w:rsid w:val="0002183F"/>
    <w:rsid w:val="00022BBC"/>
    <w:rsid w:val="00023889"/>
    <w:rsid w:val="00024289"/>
    <w:rsid w:val="00024C90"/>
    <w:rsid w:val="0002647C"/>
    <w:rsid w:val="00027A12"/>
    <w:rsid w:val="00027A5F"/>
    <w:rsid w:val="000300EF"/>
    <w:rsid w:val="00030AC0"/>
    <w:rsid w:val="00032F50"/>
    <w:rsid w:val="00035462"/>
    <w:rsid w:val="00037843"/>
    <w:rsid w:val="00037E00"/>
    <w:rsid w:val="00040D49"/>
    <w:rsid w:val="000422DC"/>
    <w:rsid w:val="0004373A"/>
    <w:rsid w:val="00043802"/>
    <w:rsid w:val="00044A3D"/>
    <w:rsid w:val="00044CD6"/>
    <w:rsid w:val="0004568C"/>
    <w:rsid w:val="0004592C"/>
    <w:rsid w:val="000461F3"/>
    <w:rsid w:val="00046639"/>
    <w:rsid w:val="00047EC7"/>
    <w:rsid w:val="0005100D"/>
    <w:rsid w:val="00051F17"/>
    <w:rsid w:val="000545C3"/>
    <w:rsid w:val="000568CE"/>
    <w:rsid w:val="00056FC7"/>
    <w:rsid w:val="0006046A"/>
    <w:rsid w:val="0006143B"/>
    <w:rsid w:val="000614F0"/>
    <w:rsid w:val="000615FF"/>
    <w:rsid w:val="00061922"/>
    <w:rsid w:val="00062F00"/>
    <w:rsid w:val="00065D19"/>
    <w:rsid w:val="00066821"/>
    <w:rsid w:val="000668C0"/>
    <w:rsid w:val="00066BEC"/>
    <w:rsid w:val="000670B0"/>
    <w:rsid w:val="00067347"/>
    <w:rsid w:val="00070453"/>
    <w:rsid w:val="000708A7"/>
    <w:rsid w:val="00071233"/>
    <w:rsid w:val="00071541"/>
    <w:rsid w:val="00071B70"/>
    <w:rsid w:val="000727B6"/>
    <w:rsid w:val="000733FB"/>
    <w:rsid w:val="00074461"/>
    <w:rsid w:val="00074CA7"/>
    <w:rsid w:val="000753EE"/>
    <w:rsid w:val="000754DD"/>
    <w:rsid w:val="00077391"/>
    <w:rsid w:val="00077EAC"/>
    <w:rsid w:val="00080360"/>
    <w:rsid w:val="00080ABE"/>
    <w:rsid w:val="00080FCA"/>
    <w:rsid w:val="0008235D"/>
    <w:rsid w:val="00082DA4"/>
    <w:rsid w:val="00083B35"/>
    <w:rsid w:val="00084315"/>
    <w:rsid w:val="0008515C"/>
    <w:rsid w:val="00090C27"/>
    <w:rsid w:val="000924C2"/>
    <w:rsid w:val="00093422"/>
    <w:rsid w:val="000934A5"/>
    <w:rsid w:val="00095052"/>
    <w:rsid w:val="0009545E"/>
    <w:rsid w:val="000954DF"/>
    <w:rsid w:val="00097C04"/>
    <w:rsid w:val="000A3A6C"/>
    <w:rsid w:val="000A4CF6"/>
    <w:rsid w:val="000A4F51"/>
    <w:rsid w:val="000A5794"/>
    <w:rsid w:val="000A7EC0"/>
    <w:rsid w:val="000A7F25"/>
    <w:rsid w:val="000B0038"/>
    <w:rsid w:val="000B07CD"/>
    <w:rsid w:val="000B339D"/>
    <w:rsid w:val="000B4A0C"/>
    <w:rsid w:val="000B4BCC"/>
    <w:rsid w:val="000B5F41"/>
    <w:rsid w:val="000B638B"/>
    <w:rsid w:val="000B6F4F"/>
    <w:rsid w:val="000B73CF"/>
    <w:rsid w:val="000C0329"/>
    <w:rsid w:val="000C0BCE"/>
    <w:rsid w:val="000C10A2"/>
    <w:rsid w:val="000C1164"/>
    <w:rsid w:val="000C23E2"/>
    <w:rsid w:val="000C3A00"/>
    <w:rsid w:val="000C44D2"/>
    <w:rsid w:val="000C47A6"/>
    <w:rsid w:val="000C4C3B"/>
    <w:rsid w:val="000C4DB3"/>
    <w:rsid w:val="000C51FB"/>
    <w:rsid w:val="000C6F58"/>
    <w:rsid w:val="000C734F"/>
    <w:rsid w:val="000C7DDD"/>
    <w:rsid w:val="000D047C"/>
    <w:rsid w:val="000D1207"/>
    <w:rsid w:val="000D154D"/>
    <w:rsid w:val="000D2093"/>
    <w:rsid w:val="000D30EB"/>
    <w:rsid w:val="000D3517"/>
    <w:rsid w:val="000D3B31"/>
    <w:rsid w:val="000D4548"/>
    <w:rsid w:val="000D6EF5"/>
    <w:rsid w:val="000D72C0"/>
    <w:rsid w:val="000E090C"/>
    <w:rsid w:val="000E14E8"/>
    <w:rsid w:val="000E222C"/>
    <w:rsid w:val="000E25F8"/>
    <w:rsid w:val="000E2DD1"/>
    <w:rsid w:val="000E2E87"/>
    <w:rsid w:val="000E47A0"/>
    <w:rsid w:val="000E55C4"/>
    <w:rsid w:val="000E5AFA"/>
    <w:rsid w:val="000E6773"/>
    <w:rsid w:val="000E6B4E"/>
    <w:rsid w:val="000E7BF7"/>
    <w:rsid w:val="000E7E55"/>
    <w:rsid w:val="000F176F"/>
    <w:rsid w:val="000F19D1"/>
    <w:rsid w:val="000F252B"/>
    <w:rsid w:val="000F2731"/>
    <w:rsid w:val="000F2B8C"/>
    <w:rsid w:val="000F4B81"/>
    <w:rsid w:val="000F51FD"/>
    <w:rsid w:val="000F58B4"/>
    <w:rsid w:val="000F61A2"/>
    <w:rsid w:val="001004C2"/>
    <w:rsid w:val="00100AA7"/>
    <w:rsid w:val="0010127F"/>
    <w:rsid w:val="00102642"/>
    <w:rsid w:val="00102B03"/>
    <w:rsid w:val="0010307B"/>
    <w:rsid w:val="001068AD"/>
    <w:rsid w:val="00107EA0"/>
    <w:rsid w:val="00110556"/>
    <w:rsid w:val="00111ED1"/>
    <w:rsid w:val="00112699"/>
    <w:rsid w:val="00112846"/>
    <w:rsid w:val="00112978"/>
    <w:rsid w:val="001130CF"/>
    <w:rsid w:val="00113AE7"/>
    <w:rsid w:val="00114101"/>
    <w:rsid w:val="00115A56"/>
    <w:rsid w:val="00117161"/>
    <w:rsid w:val="00117D29"/>
    <w:rsid w:val="001200CD"/>
    <w:rsid w:val="001203FB"/>
    <w:rsid w:val="00120726"/>
    <w:rsid w:val="00120AF0"/>
    <w:rsid w:val="00120E8B"/>
    <w:rsid w:val="00123BC6"/>
    <w:rsid w:val="00124336"/>
    <w:rsid w:val="00125AD8"/>
    <w:rsid w:val="00127274"/>
    <w:rsid w:val="00127FA6"/>
    <w:rsid w:val="00131374"/>
    <w:rsid w:val="00132A14"/>
    <w:rsid w:val="00133D78"/>
    <w:rsid w:val="0013537F"/>
    <w:rsid w:val="001357AB"/>
    <w:rsid w:val="001357ED"/>
    <w:rsid w:val="0013647C"/>
    <w:rsid w:val="00136726"/>
    <w:rsid w:val="00136A85"/>
    <w:rsid w:val="00136D1C"/>
    <w:rsid w:val="001406C1"/>
    <w:rsid w:val="001408B9"/>
    <w:rsid w:val="001435C0"/>
    <w:rsid w:val="001437B4"/>
    <w:rsid w:val="00143970"/>
    <w:rsid w:val="00143CDA"/>
    <w:rsid w:val="0014459E"/>
    <w:rsid w:val="001461D3"/>
    <w:rsid w:val="00146400"/>
    <w:rsid w:val="0015038A"/>
    <w:rsid w:val="0015048D"/>
    <w:rsid w:val="00150BDC"/>
    <w:rsid w:val="0015140A"/>
    <w:rsid w:val="00151998"/>
    <w:rsid w:val="00152945"/>
    <w:rsid w:val="00152AB0"/>
    <w:rsid w:val="00153D27"/>
    <w:rsid w:val="001556E7"/>
    <w:rsid w:val="00155809"/>
    <w:rsid w:val="0015589A"/>
    <w:rsid w:val="001559F2"/>
    <w:rsid w:val="00155BA3"/>
    <w:rsid w:val="00156509"/>
    <w:rsid w:val="00157D06"/>
    <w:rsid w:val="00160085"/>
    <w:rsid w:val="0016070C"/>
    <w:rsid w:val="001607F9"/>
    <w:rsid w:val="00160A66"/>
    <w:rsid w:val="00162CB4"/>
    <w:rsid w:val="001634E6"/>
    <w:rsid w:val="00163EE9"/>
    <w:rsid w:val="001710DF"/>
    <w:rsid w:val="001728CC"/>
    <w:rsid w:val="00172A0C"/>
    <w:rsid w:val="00172A27"/>
    <w:rsid w:val="001732F2"/>
    <w:rsid w:val="0017361E"/>
    <w:rsid w:val="00173648"/>
    <w:rsid w:val="00173846"/>
    <w:rsid w:val="0017439E"/>
    <w:rsid w:val="00174482"/>
    <w:rsid w:val="0017450E"/>
    <w:rsid w:val="00175AD6"/>
    <w:rsid w:val="00175BF1"/>
    <w:rsid w:val="00177061"/>
    <w:rsid w:val="001772F2"/>
    <w:rsid w:val="00177916"/>
    <w:rsid w:val="001807E3"/>
    <w:rsid w:val="0018263E"/>
    <w:rsid w:val="001839E5"/>
    <w:rsid w:val="0018481D"/>
    <w:rsid w:val="00184B7E"/>
    <w:rsid w:val="00185BB2"/>
    <w:rsid w:val="001870E1"/>
    <w:rsid w:val="001872C9"/>
    <w:rsid w:val="0019032F"/>
    <w:rsid w:val="001913A5"/>
    <w:rsid w:val="001919A8"/>
    <w:rsid w:val="00192316"/>
    <w:rsid w:val="0019257A"/>
    <w:rsid w:val="001927D1"/>
    <w:rsid w:val="0019281F"/>
    <w:rsid w:val="00192962"/>
    <w:rsid w:val="00192A65"/>
    <w:rsid w:val="001933A4"/>
    <w:rsid w:val="00193BAF"/>
    <w:rsid w:val="00194351"/>
    <w:rsid w:val="00197AD2"/>
    <w:rsid w:val="001A036B"/>
    <w:rsid w:val="001A1640"/>
    <w:rsid w:val="001A192B"/>
    <w:rsid w:val="001A3BDF"/>
    <w:rsid w:val="001A3E77"/>
    <w:rsid w:val="001A4CDB"/>
    <w:rsid w:val="001A542C"/>
    <w:rsid w:val="001A601A"/>
    <w:rsid w:val="001A6976"/>
    <w:rsid w:val="001A6DDB"/>
    <w:rsid w:val="001A7812"/>
    <w:rsid w:val="001A7FED"/>
    <w:rsid w:val="001B01BE"/>
    <w:rsid w:val="001B02C4"/>
    <w:rsid w:val="001B134E"/>
    <w:rsid w:val="001B1507"/>
    <w:rsid w:val="001B1A63"/>
    <w:rsid w:val="001B208E"/>
    <w:rsid w:val="001B3323"/>
    <w:rsid w:val="001B33DC"/>
    <w:rsid w:val="001B348F"/>
    <w:rsid w:val="001B5376"/>
    <w:rsid w:val="001B7C5C"/>
    <w:rsid w:val="001C0020"/>
    <w:rsid w:val="001C03EB"/>
    <w:rsid w:val="001C0A80"/>
    <w:rsid w:val="001C0C38"/>
    <w:rsid w:val="001C0D5D"/>
    <w:rsid w:val="001C16A4"/>
    <w:rsid w:val="001C188F"/>
    <w:rsid w:val="001C23B2"/>
    <w:rsid w:val="001C2A6C"/>
    <w:rsid w:val="001C3DB5"/>
    <w:rsid w:val="001C4AD6"/>
    <w:rsid w:val="001C4F5C"/>
    <w:rsid w:val="001D00CA"/>
    <w:rsid w:val="001D0712"/>
    <w:rsid w:val="001D0D76"/>
    <w:rsid w:val="001D1854"/>
    <w:rsid w:val="001D1B9D"/>
    <w:rsid w:val="001D1FF5"/>
    <w:rsid w:val="001D3553"/>
    <w:rsid w:val="001D4E45"/>
    <w:rsid w:val="001D514B"/>
    <w:rsid w:val="001D531E"/>
    <w:rsid w:val="001D5B97"/>
    <w:rsid w:val="001D67F4"/>
    <w:rsid w:val="001D6B1F"/>
    <w:rsid w:val="001E066A"/>
    <w:rsid w:val="001E2736"/>
    <w:rsid w:val="001E320C"/>
    <w:rsid w:val="001E33FF"/>
    <w:rsid w:val="001E3585"/>
    <w:rsid w:val="001E3B47"/>
    <w:rsid w:val="001E74DC"/>
    <w:rsid w:val="001F057D"/>
    <w:rsid w:val="001F0B94"/>
    <w:rsid w:val="001F105D"/>
    <w:rsid w:val="001F3129"/>
    <w:rsid w:val="001F3983"/>
    <w:rsid w:val="001F3A24"/>
    <w:rsid w:val="001F3D63"/>
    <w:rsid w:val="001F4F8B"/>
    <w:rsid w:val="001F62ED"/>
    <w:rsid w:val="001F6919"/>
    <w:rsid w:val="001F711D"/>
    <w:rsid w:val="001F71A3"/>
    <w:rsid w:val="00200FBE"/>
    <w:rsid w:val="002010FF"/>
    <w:rsid w:val="002023BB"/>
    <w:rsid w:val="002032AE"/>
    <w:rsid w:val="0020338E"/>
    <w:rsid w:val="00203F09"/>
    <w:rsid w:val="002055D1"/>
    <w:rsid w:val="00205B0A"/>
    <w:rsid w:val="0020642E"/>
    <w:rsid w:val="00207819"/>
    <w:rsid w:val="002104CE"/>
    <w:rsid w:val="0021057B"/>
    <w:rsid w:val="00210DC3"/>
    <w:rsid w:val="00211AF2"/>
    <w:rsid w:val="0021428B"/>
    <w:rsid w:val="002144CA"/>
    <w:rsid w:val="00214DD7"/>
    <w:rsid w:val="00216075"/>
    <w:rsid w:val="0021637D"/>
    <w:rsid w:val="002163D9"/>
    <w:rsid w:val="002165A2"/>
    <w:rsid w:val="002168A9"/>
    <w:rsid w:val="00217AD2"/>
    <w:rsid w:val="00220621"/>
    <w:rsid w:val="00222773"/>
    <w:rsid w:val="002238AE"/>
    <w:rsid w:val="0022520B"/>
    <w:rsid w:val="0022563C"/>
    <w:rsid w:val="00225D79"/>
    <w:rsid w:val="00226512"/>
    <w:rsid w:val="00227DA7"/>
    <w:rsid w:val="00231592"/>
    <w:rsid w:val="00232ACA"/>
    <w:rsid w:val="00233783"/>
    <w:rsid w:val="00233FEC"/>
    <w:rsid w:val="00234039"/>
    <w:rsid w:val="002346DE"/>
    <w:rsid w:val="002347B4"/>
    <w:rsid w:val="00237045"/>
    <w:rsid w:val="00240817"/>
    <w:rsid w:val="0024338C"/>
    <w:rsid w:val="00243D10"/>
    <w:rsid w:val="002450C8"/>
    <w:rsid w:val="002454AC"/>
    <w:rsid w:val="00245898"/>
    <w:rsid w:val="00246478"/>
    <w:rsid w:val="002479E6"/>
    <w:rsid w:val="002500DD"/>
    <w:rsid w:val="00251DF8"/>
    <w:rsid w:val="00253642"/>
    <w:rsid w:val="002539BB"/>
    <w:rsid w:val="00253C5F"/>
    <w:rsid w:val="002550BC"/>
    <w:rsid w:val="00256590"/>
    <w:rsid w:val="00257CF1"/>
    <w:rsid w:val="002614E3"/>
    <w:rsid w:val="00261D7A"/>
    <w:rsid w:val="00262AAB"/>
    <w:rsid w:val="0026353C"/>
    <w:rsid w:val="00263C78"/>
    <w:rsid w:val="002648C3"/>
    <w:rsid w:val="00264A46"/>
    <w:rsid w:val="00266CE4"/>
    <w:rsid w:val="002673BB"/>
    <w:rsid w:val="0027063E"/>
    <w:rsid w:val="00270C71"/>
    <w:rsid w:val="00271059"/>
    <w:rsid w:val="00271C4B"/>
    <w:rsid w:val="00271FB5"/>
    <w:rsid w:val="002725F1"/>
    <w:rsid w:val="00273C12"/>
    <w:rsid w:val="0027472B"/>
    <w:rsid w:val="00274F37"/>
    <w:rsid w:val="002765AA"/>
    <w:rsid w:val="002800D0"/>
    <w:rsid w:val="0028205B"/>
    <w:rsid w:val="00282AA8"/>
    <w:rsid w:val="00283CD4"/>
    <w:rsid w:val="002844B3"/>
    <w:rsid w:val="00285480"/>
    <w:rsid w:val="0028555A"/>
    <w:rsid w:val="002872F2"/>
    <w:rsid w:val="00291241"/>
    <w:rsid w:val="0029354D"/>
    <w:rsid w:val="00293885"/>
    <w:rsid w:val="0029407A"/>
    <w:rsid w:val="0029603C"/>
    <w:rsid w:val="002967FF"/>
    <w:rsid w:val="002A05F7"/>
    <w:rsid w:val="002A211F"/>
    <w:rsid w:val="002A3130"/>
    <w:rsid w:val="002A4113"/>
    <w:rsid w:val="002A48C8"/>
    <w:rsid w:val="002A57CC"/>
    <w:rsid w:val="002A6CD9"/>
    <w:rsid w:val="002A7E82"/>
    <w:rsid w:val="002B1B2C"/>
    <w:rsid w:val="002B3A99"/>
    <w:rsid w:val="002B3C5B"/>
    <w:rsid w:val="002B3F97"/>
    <w:rsid w:val="002B4797"/>
    <w:rsid w:val="002B4D2E"/>
    <w:rsid w:val="002B5ED0"/>
    <w:rsid w:val="002B5ED8"/>
    <w:rsid w:val="002B5FAE"/>
    <w:rsid w:val="002B5FF1"/>
    <w:rsid w:val="002B6532"/>
    <w:rsid w:val="002B7757"/>
    <w:rsid w:val="002B780E"/>
    <w:rsid w:val="002C0446"/>
    <w:rsid w:val="002C0A81"/>
    <w:rsid w:val="002C2BFC"/>
    <w:rsid w:val="002C3530"/>
    <w:rsid w:val="002C3A8B"/>
    <w:rsid w:val="002C42A3"/>
    <w:rsid w:val="002C521E"/>
    <w:rsid w:val="002C68DB"/>
    <w:rsid w:val="002C7885"/>
    <w:rsid w:val="002C7CBD"/>
    <w:rsid w:val="002D03CA"/>
    <w:rsid w:val="002D0691"/>
    <w:rsid w:val="002D12EA"/>
    <w:rsid w:val="002D17CE"/>
    <w:rsid w:val="002D1C79"/>
    <w:rsid w:val="002D20D5"/>
    <w:rsid w:val="002D246B"/>
    <w:rsid w:val="002D2E19"/>
    <w:rsid w:val="002D36F0"/>
    <w:rsid w:val="002D4464"/>
    <w:rsid w:val="002D4D85"/>
    <w:rsid w:val="002D521D"/>
    <w:rsid w:val="002D560D"/>
    <w:rsid w:val="002D6D69"/>
    <w:rsid w:val="002D7663"/>
    <w:rsid w:val="002E0168"/>
    <w:rsid w:val="002E0A4C"/>
    <w:rsid w:val="002E1402"/>
    <w:rsid w:val="002E1B63"/>
    <w:rsid w:val="002E23BD"/>
    <w:rsid w:val="002E2401"/>
    <w:rsid w:val="002E2F99"/>
    <w:rsid w:val="002E36B6"/>
    <w:rsid w:val="002E4365"/>
    <w:rsid w:val="002E4C5F"/>
    <w:rsid w:val="002E5290"/>
    <w:rsid w:val="002E5F2A"/>
    <w:rsid w:val="002E65B7"/>
    <w:rsid w:val="002E69E0"/>
    <w:rsid w:val="002E714A"/>
    <w:rsid w:val="002E73D9"/>
    <w:rsid w:val="002F17E3"/>
    <w:rsid w:val="002F2CA1"/>
    <w:rsid w:val="002F3081"/>
    <w:rsid w:val="002F38DF"/>
    <w:rsid w:val="002F4057"/>
    <w:rsid w:val="002F416D"/>
    <w:rsid w:val="002F4AB1"/>
    <w:rsid w:val="002F52D1"/>
    <w:rsid w:val="0030036E"/>
    <w:rsid w:val="00300D18"/>
    <w:rsid w:val="00302C24"/>
    <w:rsid w:val="003035E6"/>
    <w:rsid w:val="0030360B"/>
    <w:rsid w:val="00303762"/>
    <w:rsid w:val="00303884"/>
    <w:rsid w:val="00303B77"/>
    <w:rsid w:val="003050DB"/>
    <w:rsid w:val="00305194"/>
    <w:rsid w:val="00305473"/>
    <w:rsid w:val="00306551"/>
    <w:rsid w:val="003068C3"/>
    <w:rsid w:val="00306FCB"/>
    <w:rsid w:val="00307ADF"/>
    <w:rsid w:val="00311BC1"/>
    <w:rsid w:val="00312DA7"/>
    <w:rsid w:val="003134E8"/>
    <w:rsid w:val="00313983"/>
    <w:rsid w:val="003146C9"/>
    <w:rsid w:val="00315CE1"/>
    <w:rsid w:val="00316115"/>
    <w:rsid w:val="00317177"/>
    <w:rsid w:val="0032076E"/>
    <w:rsid w:val="00320972"/>
    <w:rsid w:val="00323DA6"/>
    <w:rsid w:val="00324567"/>
    <w:rsid w:val="00324D27"/>
    <w:rsid w:val="00325606"/>
    <w:rsid w:val="0032716D"/>
    <w:rsid w:val="00330F5B"/>
    <w:rsid w:val="003314CB"/>
    <w:rsid w:val="003317FC"/>
    <w:rsid w:val="00331C5E"/>
    <w:rsid w:val="00334A39"/>
    <w:rsid w:val="00335809"/>
    <w:rsid w:val="0033605E"/>
    <w:rsid w:val="00337572"/>
    <w:rsid w:val="00337B5D"/>
    <w:rsid w:val="0034001A"/>
    <w:rsid w:val="00342265"/>
    <w:rsid w:val="003426F5"/>
    <w:rsid w:val="00342AD4"/>
    <w:rsid w:val="00342C5C"/>
    <w:rsid w:val="00344494"/>
    <w:rsid w:val="00344649"/>
    <w:rsid w:val="00344FF2"/>
    <w:rsid w:val="003465B8"/>
    <w:rsid w:val="0034758D"/>
    <w:rsid w:val="00347ACD"/>
    <w:rsid w:val="00347ACF"/>
    <w:rsid w:val="00347AE2"/>
    <w:rsid w:val="00350021"/>
    <w:rsid w:val="00350F7C"/>
    <w:rsid w:val="0035154B"/>
    <w:rsid w:val="0035175F"/>
    <w:rsid w:val="00351BA7"/>
    <w:rsid w:val="00351DCF"/>
    <w:rsid w:val="00352554"/>
    <w:rsid w:val="00352C2D"/>
    <w:rsid w:val="00354223"/>
    <w:rsid w:val="00354674"/>
    <w:rsid w:val="00354A7D"/>
    <w:rsid w:val="00356248"/>
    <w:rsid w:val="00356781"/>
    <w:rsid w:val="003567B2"/>
    <w:rsid w:val="0036008A"/>
    <w:rsid w:val="003611DF"/>
    <w:rsid w:val="003613FD"/>
    <w:rsid w:val="003620D5"/>
    <w:rsid w:val="003625D1"/>
    <w:rsid w:val="00363B2B"/>
    <w:rsid w:val="00364177"/>
    <w:rsid w:val="00364A53"/>
    <w:rsid w:val="003666ED"/>
    <w:rsid w:val="00366F37"/>
    <w:rsid w:val="0036726A"/>
    <w:rsid w:val="00367618"/>
    <w:rsid w:val="00370607"/>
    <w:rsid w:val="00371FD2"/>
    <w:rsid w:val="0037205A"/>
    <w:rsid w:val="003726B1"/>
    <w:rsid w:val="00373B81"/>
    <w:rsid w:val="00377EEA"/>
    <w:rsid w:val="00377F82"/>
    <w:rsid w:val="00380991"/>
    <w:rsid w:val="003827A1"/>
    <w:rsid w:val="00383B77"/>
    <w:rsid w:val="00385652"/>
    <w:rsid w:val="00386B57"/>
    <w:rsid w:val="00387531"/>
    <w:rsid w:val="0039361C"/>
    <w:rsid w:val="00393F62"/>
    <w:rsid w:val="003943C6"/>
    <w:rsid w:val="003A06B5"/>
    <w:rsid w:val="003A1ECB"/>
    <w:rsid w:val="003A239E"/>
    <w:rsid w:val="003A26CF"/>
    <w:rsid w:val="003A300E"/>
    <w:rsid w:val="003A4819"/>
    <w:rsid w:val="003A6A34"/>
    <w:rsid w:val="003A72EA"/>
    <w:rsid w:val="003B046E"/>
    <w:rsid w:val="003B0B41"/>
    <w:rsid w:val="003B0DDF"/>
    <w:rsid w:val="003B2003"/>
    <w:rsid w:val="003B596E"/>
    <w:rsid w:val="003B66F6"/>
    <w:rsid w:val="003B71B1"/>
    <w:rsid w:val="003B7519"/>
    <w:rsid w:val="003B79A7"/>
    <w:rsid w:val="003C0CFD"/>
    <w:rsid w:val="003C11BB"/>
    <w:rsid w:val="003C151C"/>
    <w:rsid w:val="003C164F"/>
    <w:rsid w:val="003C2040"/>
    <w:rsid w:val="003C3398"/>
    <w:rsid w:val="003C3E1A"/>
    <w:rsid w:val="003C4E40"/>
    <w:rsid w:val="003C5976"/>
    <w:rsid w:val="003C5C2E"/>
    <w:rsid w:val="003D07A3"/>
    <w:rsid w:val="003D0B0A"/>
    <w:rsid w:val="003D2B65"/>
    <w:rsid w:val="003D2E12"/>
    <w:rsid w:val="003D50B2"/>
    <w:rsid w:val="003D5837"/>
    <w:rsid w:val="003D5CBF"/>
    <w:rsid w:val="003D79DE"/>
    <w:rsid w:val="003E2628"/>
    <w:rsid w:val="003E27BF"/>
    <w:rsid w:val="003E3571"/>
    <w:rsid w:val="003E39F8"/>
    <w:rsid w:val="003E4173"/>
    <w:rsid w:val="003E426D"/>
    <w:rsid w:val="003E6A90"/>
    <w:rsid w:val="003E7DDE"/>
    <w:rsid w:val="003F2314"/>
    <w:rsid w:val="003F2926"/>
    <w:rsid w:val="003F29E7"/>
    <w:rsid w:val="003F3DE3"/>
    <w:rsid w:val="003F533D"/>
    <w:rsid w:val="003F6149"/>
    <w:rsid w:val="003F6D76"/>
    <w:rsid w:val="0040047D"/>
    <w:rsid w:val="00400526"/>
    <w:rsid w:val="00402C8F"/>
    <w:rsid w:val="00404420"/>
    <w:rsid w:val="00405168"/>
    <w:rsid w:val="004057EF"/>
    <w:rsid w:val="00405942"/>
    <w:rsid w:val="00411DF7"/>
    <w:rsid w:val="00411E35"/>
    <w:rsid w:val="004121DE"/>
    <w:rsid w:val="00413CD8"/>
    <w:rsid w:val="00414AC2"/>
    <w:rsid w:val="00415EDD"/>
    <w:rsid w:val="0041611D"/>
    <w:rsid w:val="00417F2D"/>
    <w:rsid w:val="00420401"/>
    <w:rsid w:val="00420A97"/>
    <w:rsid w:val="00422072"/>
    <w:rsid w:val="00422417"/>
    <w:rsid w:val="0042427F"/>
    <w:rsid w:val="00425997"/>
    <w:rsid w:val="0042695C"/>
    <w:rsid w:val="00426E8E"/>
    <w:rsid w:val="0042748F"/>
    <w:rsid w:val="004313C1"/>
    <w:rsid w:val="0043252D"/>
    <w:rsid w:val="004340A2"/>
    <w:rsid w:val="00434CA3"/>
    <w:rsid w:val="00435522"/>
    <w:rsid w:val="00436CF2"/>
    <w:rsid w:val="00437206"/>
    <w:rsid w:val="00437F8D"/>
    <w:rsid w:val="004402E6"/>
    <w:rsid w:val="004408D5"/>
    <w:rsid w:val="0044138F"/>
    <w:rsid w:val="004415B5"/>
    <w:rsid w:val="00441B52"/>
    <w:rsid w:val="004433AF"/>
    <w:rsid w:val="00444B75"/>
    <w:rsid w:val="00444CF5"/>
    <w:rsid w:val="004453A0"/>
    <w:rsid w:val="00445CF4"/>
    <w:rsid w:val="00445F6B"/>
    <w:rsid w:val="00447E17"/>
    <w:rsid w:val="004502E4"/>
    <w:rsid w:val="00450C63"/>
    <w:rsid w:val="00451AD9"/>
    <w:rsid w:val="00452D68"/>
    <w:rsid w:val="00453D76"/>
    <w:rsid w:val="004553B7"/>
    <w:rsid w:val="00455447"/>
    <w:rsid w:val="004579D2"/>
    <w:rsid w:val="00463F7B"/>
    <w:rsid w:val="0046529C"/>
    <w:rsid w:val="0046558E"/>
    <w:rsid w:val="00465615"/>
    <w:rsid w:val="0046576E"/>
    <w:rsid w:val="004707DD"/>
    <w:rsid w:val="004707E4"/>
    <w:rsid w:val="00471324"/>
    <w:rsid w:val="00472C9D"/>
    <w:rsid w:val="004732DB"/>
    <w:rsid w:val="00474140"/>
    <w:rsid w:val="00475146"/>
    <w:rsid w:val="004755F6"/>
    <w:rsid w:val="00475D4B"/>
    <w:rsid w:val="0047786A"/>
    <w:rsid w:val="00477D81"/>
    <w:rsid w:val="00480D86"/>
    <w:rsid w:val="0048159A"/>
    <w:rsid w:val="00481909"/>
    <w:rsid w:val="0048344B"/>
    <w:rsid w:val="00483A8B"/>
    <w:rsid w:val="00484EBD"/>
    <w:rsid w:val="00485158"/>
    <w:rsid w:val="004878CC"/>
    <w:rsid w:val="00487F92"/>
    <w:rsid w:val="00487F96"/>
    <w:rsid w:val="00490C7C"/>
    <w:rsid w:val="00491450"/>
    <w:rsid w:val="0049280D"/>
    <w:rsid w:val="00494058"/>
    <w:rsid w:val="0049484C"/>
    <w:rsid w:val="00494CEC"/>
    <w:rsid w:val="004951BA"/>
    <w:rsid w:val="0049552E"/>
    <w:rsid w:val="00495ECA"/>
    <w:rsid w:val="004964C4"/>
    <w:rsid w:val="00496F41"/>
    <w:rsid w:val="0049704E"/>
    <w:rsid w:val="00497399"/>
    <w:rsid w:val="004A003E"/>
    <w:rsid w:val="004A0F59"/>
    <w:rsid w:val="004A15FA"/>
    <w:rsid w:val="004A328E"/>
    <w:rsid w:val="004A3565"/>
    <w:rsid w:val="004A457A"/>
    <w:rsid w:val="004A49B1"/>
    <w:rsid w:val="004A4E3D"/>
    <w:rsid w:val="004A6878"/>
    <w:rsid w:val="004A6EE0"/>
    <w:rsid w:val="004A71F8"/>
    <w:rsid w:val="004B00F0"/>
    <w:rsid w:val="004B018E"/>
    <w:rsid w:val="004B3BBD"/>
    <w:rsid w:val="004B4F6E"/>
    <w:rsid w:val="004B522E"/>
    <w:rsid w:val="004B5243"/>
    <w:rsid w:val="004B69CD"/>
    <w:rsid w:val="004B6A61"/>
    <w:rsid w:val="004B7FB8"/>
    <w:rsid w:val="004C102E"/>
    <w:rsid w:val="004C154C"/>
    <w:rsid w:val="004C1C07"/>
    <w:rsid w:val="004C2F44"/>
    <w:rsid w:val="004C3EE2"/>
    <w:rsid w:val="004C4481"/>
    <w:rsid w:val="004C4520"/>
    <w:rsid w:val="004C4586"/>
    <w:rsid w:val="004C4631"/>
    <w:rsid w:val="004C548A"/>
    <w:rsid w:val="004C54E3"/>
    <w:rsid w:val="004C6363"/>
    <w:rsid w:val="004D02A9"/>
    <w:rsid w:val="004D0374"/>
    <w:rsid w:val="004D09BB"/>
    <w:rsid w:val="004D0E18"/>
    <w:rsid w:val="004D29E0"/>
    <w:rsid w:val="004D3160"/>
    <w:rsid w:val="004D52E7"/>
    <w:rsid w:val="004D54FA"/>
    <w:rsid w:val="004D79BB"/>
    <w:rsid w:val="004D7A90"/>
    <w:rsid w:val="004D7F06"/>
    <w:rsid w:val="004E0165"/>
    <w:rsid w:val="004E06D6"/>
    <w:rsid w:val="004E114D"/>
    <w:rsid w:val="004E12B5"/>
    <w:rsid w:val="004E1ED4"/>
    <w:rsid w:val="004E3E72"/>
    <w:rsid w:val="004E3E8E"/>
    <w:rsid w:val="004E556E"/>
    <w:rsid w:val="004E6643"/>
    <w:rsid w:val="004E7013"/>
    <w:rsid w:val="004F1524"/>
    <w:rsid w:val="004F3276"/>
    <w:rsid w:val="004F6EA7"/>
    <w:rsid w:val="004F720B"/>
    <w:rsid w:val="005005B0"/>
    <w:rsid w:val="00500C97"/>
    <w:rsid w:val="00501AA5"/>
    <w:rsid w:val="0050282C"/>
    <w:rsid w:val="00503CBE"/>
    <w:rsid w:val="00504264"/>
    <w:rsid w:val="00505D4F"/>
    <w:rsid w:val="00506F02"/>
    <w:rsid w:val="005076FE"/>
    <w:rsid w:val="00507C45"/>
    <w:rsid w:val="00507CA0"/>
    <w:rsid w:val="0051069D"/>
    <w:rsid w:val="005107B9"/>
    <w:rsid w:val="0051226E"/>
    <w:rsid w:val="00512E25"/>
    <w:rsid w:val="00513DDC"/>
    <w:rsid w:val="00514020"/>
    <w:rsid w:val="005154DC"/>
    <w:rsid w:val="00515737"/>
    <w:rsid w:val="00517B03"/>
    <w:rsid w:val="00517BFA"/>
    <w:rsid w:val="00517E82"/>
    <w:rsid w:val="00520524"/>
    <w:rsid w:val="00520A2B"/>
    <w:rsid w:val="0052331E"/>
    <w:rsid w:val="005239AB"/>
    <w:rsid w:val="00523B8B"/>
    <w:rsid w:val="00527E0A"/>
    <w:rsid w:val="00530786"/>
    <w:rsid w:val="00531491"/>
    <w:rsid w:val="00531B43"/>
    <w:rsid w:val="00532850"/>
    <w:rsid w:val="00534CBF"/>
    <w:rsid w:val="00536601"/>
    <w:rsid w:val="00537323"/>
    <w:rsid w:val="00537E90"/>
    <w:rsid w:val="00541093"/>
    <w:rsid w:val="0054200F"/>
    <w:rsid w:val="005425AC"/>
    <w:rsid w:val="00543D56"/>
    <w:rsid w:val="00543D99"/>
    <w:rsid w:val="00543E79"/>
    <w:rsid w:val="00544058"/>
    <w:rsid w:val="005443B8"/>
    <w:rsid w:val="005444D5"/>
    <w:rsid w:val="00544D8A"/>
    <w:rsid w:val="0054507E"/>
    <w:rsid w:val="0054571C"/>
    <w:rsid w:val="005461D7"/>
    <w:rsid w:val="00551276"/>
    <w:rsid w:val="00551E85"/>
    <w:rsid w:val="005520DD"/>
    <w:rsid w:val="0055252C"/>
    <w:rsid w:val="0055276B"/>
    <w:rsid w:val="00552C6E"/>
    <w:rsid w:val="005535E8"/>
    <w:rsid w:val="00553DE4"/>
    <w:rsid w:val="00556476"/>
    <w:rsid w:val="0055655B"/>
    <w:rsid w:val="0055749B"/>
    <w:rsid w:val="005601F9"/>
    <w:rsid w:val="005603A7"/>
    <w:rsid w:val="0056198F"/>
    <w:rsid w:val="00561F9C"/>
    <w:rsid w:val="00562C65"/>
    <w:rsid w:val="00566454"/>
    <w:rsid w:val="00567E17"/>
    <w:rsid w:val="00567FAE"/>
    <w:rsid w:val="00570169"/>
    <w:rsid w:val="00571F74"/>
    <w:rsid w:val="005720BC"/>
    <w:rsid w:val="0057231D"/>
    <w:rsid w:val="00575A23"/>
    <w:rsid w:val="00575FAF"/>
    <w:rsid w:val="0058071C"/>
    <w:rsid w:val="00581D62"/>
    <w:rsid w:val="005821E7"/>
    <w:rsid w:val="00582715"/>
    <w:rsid w:val="005828A1"/>
    <w:rsid w:val="00582B14"/>
    <w:rsid w:val="00582B3A"/>
    <w:rsid w:val="00585BEC"/>
    <w:rsid w:val="00586196"/>
    <w:rsid w:val="0058785D"/>
    <w:rsid w:val="00592B0D"/>
    <w:rsid w:val="00592B3C"/>
    <w:rsid w:val="00592D84"/>
    <w:rsid w:val="005931B1"/>
    <w:rsid w:val="0059460E"/>
    <w:rsid w:val="0059548B"/>
    <w:rsid w:val="00597074"/>
    <w:rsid w:val="005A08B4"/>
    <w:rsid w:val="005A207B"/>
    <w:rsid w:val="005A4213"/>
    <w:rsid w:val="005A4A21"/>
    <w:rsid w:val="005A4D9C"/>
    <w:rsid w:val="005A5546"/>
    <w:rsid w:val="005A57CA"/>
    <w:rsid w:val="005A6697"/>
    <w:rsid w:val="005A6C21"/>
    <w:rsid w:val="005A6F56"/>
    <w:rsid w:val="005A76AD"/>
    <w:rsid w:val="005A7DA4"/>
    <w:rsid w:val="005B11B2"/>
    <w:rsid w:val="005B1675"/>
    <w:rsid w:val="005B281B"/>
    <w:rsid w:val="005B379F"/>
    <w:rsid w:val="005B4D8D"/>
    <w:rsid w:val="005B579D"/>
    <w:rsid w:val="005B62FA"/>
    <w:rsid w:val="005B6391"/>
    <w:rsid w:val="005B6ED1"/>
    <w:rsid w:val="005B71D0"/>
    <w:rsid w:val="005B75A4"/>
    <w:rsid w:val="005B7992"/>
    <w:rsid w:val="005B7CED"/>
    <w:rsid w:val="005C01AD"/>
    <w:rsid w:val="005C066A"/>
    <w:rsid w:val="005C11E2"/>
    <w:rsid w:val="005C199B"/>
    <w:rsid w:val="005C252E"/>
    <w:rsid w:val="005C307E"/>
    <w:rsid w:val="005C41FA"/>
    <w:rsid w:val="005C4C33"/>
    <w:rsid w:val="005C4D70"/>
    <w:rsid w:val="005C5369"/>
    <w:rsid w:val="005C6015"/>
    <w:rsid w:val="005C653C"/>
    <w:rsid w:val="005C73DA"/>
    <w:rsid w:val="005D101F"/>
    <w:rsid w:val="005D124D"/>
    <w:rsid w:val="005D1749"/>
    <w:rsid w:val="005D1B53"/>
    <w:rsid w:val="005D1E86"/>
    <w:rsid w:val="005D25A4"/>
    <w:rsid w:val="005D2F03"/>
    <w:rsid w:val="005D3C11"/>
    <w:rsid w:val="005D3D71"/>
    <w:rsid w:val="005D4004"/>
    <w:rsid w:val="005D5293"/>
    <w:rsid w:val="005D628D"/>
    <w:rsid w:val="005D672D"/>
    <w:rsid w:val="005D6A25"/>
    <w:rsid w:val="005E0505"/>
    <w:rsid w:val="005E1FAD"/>
    <w:rsid w:val="005E22C7"/>
    <w:rsid w:val="005E463D"/>
    <w:rsid w:val="005E544C"/>
    <w:rsid w:val="005E64A4"/>
    <w:rsid w:val="005E672A"/>
    <w:rsid w:val="005E74DA"/>
    <w:rsid w:val="005E7B9B"/>
    <w:rsid w:val="005F1864"/>
    <w:rsid w:val="005F256C"/>
    <w:rsid w:val="005F3B61"/>
    <w:rsid w:val="005F43D4"/>
    <w:rsid w:val="005F6D26"/>
    <w:rsid w:val="005F766D"/>
    <w:rsid w:val="00600AFA"/>
    <w:rsid w:val="006022F4"/>
    <w:rsid w:val="00602A25"/>
    <w:rsid w:val="00603625"/>
    <w:rsid w:val="00604013"/>
    <w:rsid w:val="00604901"/>
    <w:rsid w:val="00605328"/>
    <w:rsid w:val="00605522"/>
    <w:rsid w:val="00606470"/>
    <w:rsid w:val="00606E3A"/>
    <w:rsid w:val="0061248D"/>
    <w:rsid w:val="0061537E"/>
    <w:rsid w:val="006160F6"/>
    <w:rsid w:val="00622793"/>
    <w:rsid w:val="0062698C"/>
    <w:rsid w:val="00627137"/>
    <w:rsid w:val="00627B33"/>
    <w:rsid w:val="006304B7"/>
    <w:rsid w:val="00630F29"/>
    <w:rsid w:val="0063139B"/>
    <w:rsid w:val="00631BA4"/>
    <w:rsid w:val="00632AF9"/>
    <w:rsid w:val="00633C24"/>
    <w:rsid w:val="00634030"/>
    <w:rsid w:val="0063688A"/>
    <w:rsid w:val="00637549"/>
    <w:rsid w:val="00641292"/>
    <w:rsid w:val="0064398C"/>
    <w:rsid w:val="006467C5"/>
    <w:rsid w:val="006475F1"/>
    <w:rsid w:val="00650552"/>
    <w:rsid w:val="00650AF3"/>
    <w:rsid w:val="00650D3D"/>
    <w:rsid w:val="006531A2"/>
    <w:rsid w:val="006532C2"/>
    <w:rsid w:val="006538CA"/>
    <w:rsid w:val="006538E7"/>
    <w:rsid w:val="006546A2"/>
    <w:rsid w:val="00654F7E"/>
    <w:rsid w:val="006557B6"/>
    <w:rsid w:val="00655E93"/>
    <w:rsid w:val="00656358"/>
    <w:rsid w:val="0066035D"/>
    <w:rsid w:val="0066135B"/>
    <w:rsid w:val="0066196E"/>
    <w:rsid w:val="00661E25"/>
    <w:rsid w:val="00664045"/>
    <w:rsid w:val="00665055"/>
    <w:rsid w:val="006654DB"/>
    <w:rsid w:val="00665D7B"/>
    <w:rsid w:val="00667F42"/>
    <w:rsid w:val="00670507"/>
    <w:rsid w:val="00671A78"/>
    <w:rsid w:val="006746EF"/>
    <w:rsid w:val="0067486D"/>
    <w:rsid w:val="00674DDA"/>
    <w:rsid w:val="00675ABE"/>
    <w:rsid w:val="0067733C"/>
    <w:rsid w:val="00677A24"/>
    <w:rsid w:val="00677B27"/>
    <w:rsid w:val="00681427"/>
    <w:rsid w:val="00681D56"/>
    <w:rsid w:val="00682A9E"/>
    <w:rsid w:val="00683DD5"/>
    <w:rsid w:val="006873BE"/>
    <w:rsid w:val="006902F7"/>
    <w:rsid w:val="00690A2B"/>
    <w:rsid w:val="00691EDA"/>
    <w:rsid w:val="00691F6D"/>
    <w:rsid w:val="00692418"/>
    <w:rsid w:val="006924B2"/>
    <w:rsid w:val="0069257C"/>
    <w:rsid w:val="00694EC7"/>
    <w:rsid w:val="00695E44"/>
    <w:rsid w:val="006A06D5"/>
    <w:rsid w:val="006A42D0"/>
    <w:rsid w:val="006A4EF2"/>
    <w:rsid w:val="006A5011"/>
    <w:rsid w:val="006A5459"/>
    <w:rsid w:val="006A5516"/>
    <w:rsid w:val="006A5BEA"/>
    <w:rsid w:val="006A6380"/>
    <w:rsid w:val="006A73FE"/>
    <w:rsid w:val="006A74DE"/>
    <w:rsid w:val="006B2980"/>
    <w:rsid w:val="006B3319"/>
    <w:rsid w:val="006B436C"/>
    <w:rsid w:val="006B4659"/>
    <w:rsid w:val="006B5770"/>
    <w:rsid w:val="006B5B3C"/>
    <w:rsid w:val="006B609A"/>
    <w:rsid w:val="006B6598"/>
    <w:rsid w:val="006C046E"/>
    <w:rsid w:val="006C0E45"/>
    <w:rsid w:val="006C117E"/>
    <w:rsid w:val="006C1F53"/>
    <w:rsid w:val="006C26AD"/>
    <w:rsid w:val="006C3152"/>
    <w:rsid w:val="006C45F1"/>
    <w:rsid w:val="006C45FC"/>
    <w:rsid w:val="006C4A50"/>
    <w:rsid w:val="006C5E47"/>
    <w:rsid w:val="006C7136"/>
    <w:rsid w:val="006D01DB"/>
    <w:rsid w:val="006D088F"/>
    <w:rsid w:val="006D3EC1"/>
    <w:rsid w:val="006D4A23"/>
    <w:rsid w:val="006D6C61"/>
    <w:rsid w:val="006D746C"/>
    <w:rsid w:val="006D7766"/>
    <w:rsid w:val="006D7BB7"/>
    <w:rsid w:val="006E0E82"/>
    <w:rsid w:val="006E345B"/>
    <w:rsid w:val="006E3988"/>
    <w:rsid w:val="006E589C"/>
    <w:rsid w:val="006E6A6B"/>
    <w:rsid w:val="006E770E"/>
    <w:rsid w:val="006E792B"/>
    <w:rsid w:val="006E7C47"/>
    <w:rsid w:val="006E7F67"/>
    <w:rsid w:val="006E7F75"/>
    <w:rsid w:val="006F078E"/>
    <w:rsid w:val="006F14B6"/>
    <w:rsid w:val="006F17D5"/>
    <w:rsid w:val="006F314E"/>
    <w:rsid w:val="006F6070"/>
    <w:rsid w:val="006F6356"/>
    <w:rsid w:val="00701337"/>
    <w:rsid w:val="007013BD"/>
    <w:rsid w:val="00701FE0"/>
    <w:rsid w:val="0070212A"/>
    <w:rsid w:val="0070256E"/>
    <w:rsid w:val="007040C1"/>
    <w:rsid w:val="007060F4"/>
    <w:rsid w:val="007066A1"/>
    <w:rsid w:val="007066E5"/>
    <w:rsid w:val="00706830"/>
    <w:rsid w:val="00707656"/>
    <w:rsid w:val="007101D8"/>
    <w:rsid w:val="007103C3"/>
    <w:rsid w:val="007103E4"/>
    <w:rsid w:val="007106F4"/>
    <w:rsid w:val="0071581A"/>
    <w:rsid w:val="007158D1"/>
    <w:rsid w:val="00715993"/>
    <w:rsid w:val="007167D5"/>
    <w:rsid w:val="00716A22"/>
    <w:rsid w:val="00717171"/>
    <w:rsid w:val="007179CC"/>
    <w:rsid w:val="00720AEB"/>
    <w:rsid w:val="00720D0D"/>
    <w:rsid w:val="00721AFE"/>
    <w:rsid w:val="007244C6"/>
    <w:rsid w:val="00724A93"/>
    <w:rsid w:val="00725748"/>
    <w:rsid w:val="00725D06"/>
    <w:rsid w:val="00726381"/>
    <w:rsid w:val="007264C1"/>
    <w:rsid w:val="00727AC4"/>
    <w:rsid w:val="00727DC0"/>
    <w:rsid w:val="00731485"/>
    <w:rsid w:val="007315E0"/>
    <w:rsid w:val="00731815"/>
    <w:rsid w:val="00732489"/>
    <w:rsid w:val="00732612"/>
    <w:rsid w:val="00733C44"/>
    <w:rsid w:val="00737137"/>
    <w:rsid w:val="007379C7"/>
    <w:rsid w:val="00737B55"/>
    <w:rsid w:val="00740384"/>
    <w:rsid w:val="007419BD"/>
    <w:rsid w:val="00742E84"/>
    <w:rsid w:val="00745927"/>
    <w:rsid w:val="00747A4F"/>
    <w:rsid w:val="007509BE"/>
    <w:rsid w:val="00751794"/>
    <w:rsid w:val="00753150"/>
    <w:rsid w:val="00753B63"/>
    <w:rsid w:val="00754558"/>
    <w:rsid w:val="00754923"/>
    <w:rsid w:val="0075595D"/>
    <w:rsid w:val="0075797E"/>
    <w:rsid w:val="00757C29"/>
    <w:rsid w:val="00760F2E"/>
    <w:rsid w:val="0076198F"/>
    <w:rsid w:val="007621A4"/>
    <w:rsid w:val="007642DD"/>
    <w:rsid w:val="00764422"/>
    <w:rsid w:val="00764EA7"/>
    <w:rsid w:val="0076645C"/>
    <w:rsid w:val="00766A59"/>
    <w:rsid w:val="00770273"/>
    <w:rsid w:val="00771F8D"/>
    <w:rsid w:val="0077233D"/>
    <w:rsid w:val="007754AA"/>
    <w:rsid w:val="00775981"/>
    <w:rsid w:val="00775B2A"/>
    <w:rsid w:val="0077624F"/>
    <w:rsid w:val="00777200"/>
    <w:rsid w:val="007779BE"/>
    <w:rsid w:val="00780A16"/>
    <w:rsid w:val="00780B3F"/>
    <w:rsid w:val="00781096"/>
    <w:rsid w:val="00782E5D"/>
    <w:rsid w:val="00783EDD"/>
    <w:rsid w:val="007844B9"/>
    <w:rsid w:val="00784E2D"/>
    <w:rsid w:val="00785D9A"/>
    <w:rsid w:val="00786546"/>
    <w:rsid w:val="00786B2E"/>
    <w:rsid w:val="00786D9F"/>
    <w:rsid w:val="0078731E"/>
    <w:rsid w:val="0078749E"/>
    <w:rsid w:val="00787B9C"/>
    <w:rsid w:val="00792347"/>
    <w:rsid w:val="00793A8C"/>
    <w:rsid w:val="00795C4D"/>
    <w:rsid w:val="00796F48"/>
    <w:rsid w:val="0079722D"/>
    <w:rsid w:val="00797A50"/>
    <w:rsid w:val="00797C0F"/>
    <w:rsid w:val="007A101D"/>
    <w:rsid w:val="007A1814"/>
    <w:rsid w:val="007A1C00"/>
    <w:rsid w:val="007A2603"/>
    <w:rsid w:val="007A3D33"/>
    <w:rsid w:val="007A44EA"/>
    <w:rsid w:val="007A66D2"/>
    <w:rsid w:val="007B052F"/>
    <w:rsid w:val="007B16DD"/>
    <w:rsid w:val="007B2FA4"/>
    <w:rsid w:val="007B3638"/>
    <w:rsid w:val="007B367F"/>
    <w:rsid w:val="007B53FB"/>
    <w:rsid w:val="007B5CEF"/>
    <w:rsid w:val="007B729E"/>
    <w:rsid w:val="007C0459"/>
    <w:rsid w:val="007C0595"/>
    <w:rsid w:val="007C2D5E"/>
    <w:rsid w:val="007C310D"/>
    <w:rsid w:val="007C4AFB"/>
    <w:rsid w:val="007C58FC"/>
    <w:rsid w:val="007C61B2"/>
    <w:rsid w:val="007C795A"/>
    <w:rsid w:val="007C7BF2"/>
    <w:rsid w:val="007D1AE1"/>
    <w:rsid w:val="007D1DBF"/>
    <w:rsid w:val="007D2D0E"/>
    <w:rsid w:val="007D5A6E"/>
    <w:rsid w:val="007D6243"/>
    <w:rsid w:val="007D67E6"/>
    <w:rsid w:val="007D6A28"/>
    <w:rsid w:val="007D7DD1"/>
    <w:rsid w:val="007E04D9"/>
    <w:rsid w:val="007E1EEE"/>
    <w:rsid w:val="007E4166"/>
    <w:rsid w:val="007E43BB"/>
    <w:rsid w:val="007E49D7"/>
    <w:rsid w:val="007F07FA"/>
    <w:rsid w:val="007F2B9D"/>
    <w:rsid w:val="007F34FF"/>
    <w:rsid w:val="007F35A7"/>
    <w:rsid w:val="007F53C1"/>
    <w:rsid w:val="007F5441"/>
    <w:rsid w:val="007F5D3E"/>
    <w:rsid w:val="007F66CA"/>
    <w:rsid w:val="007F78F7"/>
    <w:rsid w:val="007F79DB"/>
    <w:rsid w:val="0080011D"/>
    <w:rsid w:val="00800F17"/>
    <w:rsid w:val="00801C0D"/>
    <w:rsid w:val="00802138"/>
    <w:rsid w:val="00802BD0"/>
    <w:rsid w:val="0080437A"/>
    <w:rsid w:val="00804D93"/>
    <w:rsid w:val="00805571"/>
    <w:rsid w:val="00807673"/>
    <w:rsid w:val="00807AE2"/>
    <w:rsid w:val="00811B19"/>
    <w:rsid w:val="00812CE7"/>
    <w:rsid w:val="00815159"/>
    <w:rsid w:val="0081538F"/>
    <w:rsid w:val="00815877"/>
    <w:rsid w:val="00815FBA"/>
    <w:rsid w:val="0081779D"/>
    <w:rsid w:val="00817D5E"/>
    <w:rsid w:val="00821B08"/>
    <w:rsid w:val="00822DFF"/>
    <w:rsid w:val="00823105"/>
    <w:rsid w:val="008233F7"/>
    <w:rsid w:val="00826008"/>
    <w:rsid w:val="008264C0"/>
    <w:rsid w:val="0082738F"/>
    <w:rsid w:val="00830A5D"/>
    <w:rsid w:val="0083117F"/>
    <w:rsid w:val="00831340"/>
    <w:rsid w:val="00831969"/>
    <w:rsid w:val="00833E98"/>
    <w:rsid w:val="008344AA"/>
    <w:rsid w:val="0083527D"/>
    <w:rsid w:val="00836B88"/>
    <w:rsid w:val="00836F7A"/>
    <w:rsid w:val="00840228"/>
    <w:rsid w:val="00840B1E"/>
    <w:rsid w:val="0084176F"/>
    <w:rsid w:val="00841F2E"/>
    <w:rsid w:val="008426A1"/>
    <w:rsid w:val="00842D81"/>
    <w:rsid w:val="008430ED"/>
    <w:rsid w:val="00843FBF"/>
    <w:rsid w:val="00843FC4"/>
    <w:rsid w:val="008465C1"/>
    <w:rsid w:val="008466DC"/>
    <w:rsid w:val="00846B51"/>
    <w:rsid w:val="00847546"/>
    <w:rsid w:val="00850CF9"/>
    <w:rsid w:val="00852365"/>
    <w:rsid w:val="008524FA"/>
    <w:rsid w:val="00852FCB"/>
    <w:rsid w:val="00853D99"/>
    <w:rsid w:val="00853F99"/>
    <w:rsid w:val="008542ED"/>
    <w:rsid w:val="0085588B"/>
    <w:rsid w:val="0085619F"/>
    <w:rsid w:val="00860A8B"/>
    <w:rsid w:val="00860C2A"/>
    <w:rsid w:val="00861D6D"/>
    <w:rsid w:val="00861EA0"/>
    <w:rsid w:val="00862019"/>
    <w:rsid w:val="00862510"/>
    <w:rsid w:val="00864AA3"/>
    <w:rsid w:val="0086549E"/>
    <w:rsid w:val="0086581A"/>
    <w:rsid w:val="008703AF"/>
    <w:rsid w:val="00870AF2"/>
    <w:rsid w:val="00871794"/>
    <w:rsid w:val="00873623"/>
    <w:rsid w:val="00874236"/>
    <w:rsid w:val="00874E41"/>
    <w:rsid w:val="0087580F"/>
    <w:rsid w:val="00875F73"/>
    <w:rsid w:val="00877B9A"/>
    <w:rsid w:val="00877D95"/>
    <w:rsid w:val="008806EF"/>
    <w:rsid w:val="00882BC7"/>
    <w:rsid w:val="008832CE"/>
    <w:rsid w:val="00883673"/>
    <w:rsid w:val="00883AA9"/>
    <w:rsid w:val="008841F6"/>
    <w:rsid w:val="008849C5"/>
    <w:rsid w:val="008853D0"/>
    <w:rsid w:val="00885BE4"/>
    <w:rsid w:val="00886552"/>
    <w:rsid w:val="008868EA"/>
    <w:rsid w:val="00887424"/>
    <w:rsid w:val="00887E26"/>
    <w:rsid w:val="00890137"/>
    <w:rsid w:val="00891F91"/>
    <w:rsid w:val="008924D2"/>
    <w:rsid w:val="008931B0"/>
    <w:rsid w:val="00896D48"/>
    <w:rsid w:val="008979F5"/>
    <w:rsid w:val="00897BEC"/>
    <w:rsid w:val="008A197C"/>
    <w:rsid w:val="008A233F"/>
    <w:rsid w:val="008A2BE5"/>
    <w:rsid w:val="008A3704"/>
    <w:rsid w:val="008A3955"/>
    <w:rsid w:val="008A397E"/>
    <w:rsid w:val="008A3E44"/>
    <w:rsid w:val="008A4BF1"/>
    <w:rsid w:val="008A53D7"/>
    <w:rsid w:val="008A5B5B"/>
    <w:rsid w:val="008A6E95"/>
    <w:rsid w:val="008A7899"/>
    <w:rsid w:val="008A7AC4"/>
    <w:rsid w:val="008B0336"/>
    <w:rsid w:val="008B16BA"/>
    <w:rsid w:val="008B183E"/>
    <w:rsid w:val="008B3947"/>
    <w:rsid w:val="008B42F3"/>
    <w:rsid w:val="008B5AE4"/>
    <w:rsid w:val="008B5BDD"/>
    <w:rsid w:val="008B64A3"/>
    <w:rsid w:val="008C4CF8"/>
    <w:rsid w:val="008C5F5A"/>
    <w:rsid w:val="008C6E91"/>
    <w:rsid w:val="008C70DF"/>
    <w:rsid w:val="008C7763"/>
    <w:rsid w:val="008D08EF"/>
    <w:rsid w:val="008D11B0"/>
    <w:rsid w:val="008D2FFB"/>
    <w:rsid w:val="008D3089"/>
    <w:rsid w:val="008D3F6F"/>
    <w:rsid w:val="008D5B31"/>
    <w:rsid w:val="008D5DB7"/>
    <w:rsid w:val="008D6EA5"/>
    <w:rsid w:val="008D75B0"/>
    <w:rsid w:val="008D7DBA"/>
    <w:rsid w:val="008E08EC"/>
    <w:rsid w:val="008E2D14"/>
    <w:rsid w:val="008E4A3F"/>
    <w:rsid w:val="008E6006"/>
    <w:rsid w:val="008E6A22"/>
    <w:rsid w:val="008E7BD9"/>
    <w:rsid w:val="008F1421"/>
    <w:rsid w:val="008F200D"/>
    <w:rsid w:val="008F210C"/>
    <w:rsid w:val="008F26E1"/>
    <w:rsid w:val="008F351B"/>
    <w:rsid w:val="008F35EF"/>
    <w:rsid w:val="008F3E7C"/>
    <w:rsid w:val="008F428F"/>
    <w:rsid w:val="008F52F1"/>
    <w:rsid w:val="008F556A"/>
    <w:rsid w:val="008F55AD"/>
    <w:rsid w:val="008F6A9B"/>
    <w:rsid w:val="008F7DE6"/>
    <w:rsid w:val="0090040E"/>
    <w:rsid w:val="009008CF"/>
    <w:rsid w:val="009011EB"/>
    <w:rsid w:val="0090153B"/>
    <w:rsid w:val="009020C8"/>
    <w:rsid w:val="00904967"/>
    <w:rsid w:val="00904F31"/>
    <w:rsid w:val="00904FAC"/>
    <w:rsid w:val="0090549E"/>
    <w:rsid w:val="009056BE"/>
    <w:rsid w:val="009062F9"/>
    <w:rsid w:val="00907E56"/>
    <w:rsid w:val="009105E7"/>
    <w:rsid w:val="00910989"/>
    <w:rsid w:val="0091483C"/>
    <w:rsid w:val="00917643"/>
    <w:rsid w:val="00917AD0"/>
    <w:rsid w:val="00920720"/>
    <w:rsid w:val="009212DB"/>
    <w:rsid w:val="00922D58"/>
    <w:rsid w:val="0092310D"/>
    <w:rsid w:val="00923282"/>
    <w:rsid w:val="0092370A"/>
    <w:rsid w:val="009241A3"/>
    <w:rsid w:val="00924EC1"/>
    <w:rsid w:val="00926235"/>
    <w:rsid w:val="00926C52"/>
    <w:rsid w:val="009270B8"/>
    <w:rsid w:val="00927172"/>
    <w:rsid w:val="00930744"/>
    <w:rsid w:val="00930EE6"/>
    <w:rsid w:val="00931001"/>
    <w:rsid w:val="00931D99"/>
    <w:rsid w:val="0093245A"/>
    <w:rsid w:val="00933F87"/>
    <w:rsid w:val="0093415D"/>
    <w:rsid w:val="0093632B"/>
    <w:rsid w:val="00937780"/>
    <w:rsid w:val="00937F12"/>
    <w:rsid w:val="009414FE"/>
    <w:rsid w:val="00942169"/>
    <w:rsid w:val="009423C7"/>
    <w:rsid w:val="009436DE"/>
    <w:rsid w:val="00943D80"/>
    <w:rsid w:val="0094533C"/>
    <w:rsid w:val="0094539E"/>
    <w:rsid w:val="0094603F"/>
    <w:rsid w:val="009463E3"/>
    <w:rsid w:val="00946A46"/>
    <w:rsid w:val="00947CD8"/>
    <w:rsid w:val="00950885"/>
    <w:rsid w:val="00951457"/>
    <w:rsid w:val="009519AE"/>
    <w:rsid w:val="0095250F"/>
    <w:rsid w:val="00952AFC"/>
    <w:rsid w:val="009554DB"/>
    <w:rsid w:val="00960E99"/>
    <w:rsid w:val="0096188E"/>
    <w:rsid w:val="0096232E"/>
    <w:rsid w:val="0096256C"/>
    <w:rsid w:val="00962DA0"/>
    <w:rsid w:val="009641DC"/>
    <w:rsid w:val="009656B4"/>
    <w:rsid w:val="0096711A"/>
    <w:rsid w:val="00967D5C"/>
    <w:rsid w:val="00971797"/>
    <w:rsid w:val="00971F8E"/>
    <w:rsid w:val="00973270"/>
    <w:rsid w:val="009738A9"/>
    <w:rsid w:val="00973F87"/>
    <w:rsid w:val="009754C3"/>
    <w:rsid w:val="00975C47"/>
    <w:rsid w:val="00977091"/>
    <w:rsid w:val="009804AD"/>
    <w:rsid w:val="0098219C"/>
    <w:rsid w:val="009827CD"/>
    <w:rsid w:val="00982C0B"/>
    <w:rsid w:val="00982F79"/>
    <w:rsid w:val="009836E4"/>
    <w:rsid w:val="00983A40"/>
    <w:rsid w:val="00984054"/>
    <w:rsid w:val="0098478C"/>
    <w:rsid w:val="00985490"/>
    <w:rsid w:val="0098572A"/>
    <w:rsid w:val="00986066"/>
    <w:rsid w:val="00986F76"/>
    <w:rsid w:val="00986FA0"/>
    <w:rsid w:val="00987554"/>
    <w:rsid w:val="00992342"/>
    <w:rsid w:val="009926AC"/>
    <w:rsid w:val="00992998"/>
    <w:rsid w:val="00993704"/>
    <w:rsid w:val="009937AC"/>
    <w:rsid w:val="00993C95"/>
    <w:rsid w:val="00993CE7"/>
    <w:rsid w:val="00993FEA"/>
    <w:rsid w:val="009947B3"/>
    <w:rsid w:val="00996784"/>
    <w:rsid w:val="0099679B"/>
    <w:rsid w:val="00996C16"/>
    <w:rsid w:val="009A1857"/>
    <w:rsid w:val="009A290B"/>
    <w:rsid w:val="009A43A2"/>
    <w:rsid w:val="009A5FDD"/>
    <w:rsid w:val="009A6E7F"/>
    <w:rsid w:val="009A6F41"/>
    <w:rsid w:val="009B3337"/>
    <w:rsid w:val="009B3ACA"/>
    <w:rsid w:val="009B4790"/>
    <w:rsid w:val="009B47E9"/>
    <w:rsid w:val="009C31FF"/>
    <w:rsid w:val="009C3A18"/>
    <w:rsid w:val="009C3CC3"/>
    <w:rsid w:val="009C3ECF"/>
    <w:rsid w:val="009C50BC"/>
    <w:rsid w:val="009C5B5E"/>
    <w:rsid w:val="009C7054"/>
    <w:rsid w:val="009C7982"/>
    <w:rsid w:val="009D0421"/>
    <w:rsid w:val="009D0A5F"/>
    <w:rsid w:val="009D11B4"/>
    <w:rsid w:val="009D17B4"/>
    <w:rsid w:val="009D1849"/>
    <w:rsid w:val="009D1C7D"/>
    <w:rsid w:val="009D1D50"/>
    <w:rsid w:val="009D45F8"/>
    <w:rsid w:val="009D59F6"/>
    <w:rsid w:val="009D6990"/>
    <w:rsid w:val="009D6FE9"/>
    <w:rsid w:val="009D7B85"/>
    <w:rsid w:val="009E0AB3"/>
    <w:rsid w:val="009E1261"/>
    <w:rsid w:val="009E1324"/>
    <w:rsid w:val="009E228A"/>
    <w:rsid w:val="009E5B44"/>
    <w:rsid w:val="009E79DD"/>
    <w:rsid w:val="009F129A"/>
    <w:rsid w:val="009F12C1"/>
    <w:rsid w:val="009F1FCD"/>
    <w:rsid w:val="009F2915"/>
    <w:rsid w:val="009F3B75"/>
    <w:rsid w:val="009F556D"/>
    <w:rsid w:val="009F63B8"/>
    <w:rsid w:val="009F734B"/>
    <w:rsid w:val="00A007FE"/>
    <w:rsid w:val="00A0113D"/>
    <w:rsid w:val="00A012BB"/>
    <w:rsid w:val="00A01556"/>
    <w:rsid w:val="00A01A0F"/>
    <w:rsid w:val="00A026AB"/>
    <w:rsid w:val="00A03073"/>
    <w:rsid w:val="00A03C2D"/>
    <w:rsid w:val="00A043BB"/>
    <w:rsid w:val="00A04B5E"/>
    <w:rsid w:val="00A04C09"/>
    <w:rsid w:val="00A04FC9"/>
    <w:rsid w:val="00A05279"/>
    <w:rsid w:val="00A05371"/>
    <w:rsid w:val="00A057D4"/>
    <w:rsid w:val="00A05DBB"/>
    <w:rsid w:val="00A066EF"/>
    <w:rsid w:val="00A07144"/>
    <w:rsid w:val="00A07C6F"/>
    <w:rsid w:val="00A101F8"/>
    <w:rsid w:val="00A10253"/>
    <w:rsid w:val="00A10C80"/>
    <w:rsid w:val="00A11F2F"/>
    <w:rsid w:val="00A12347"/>
    <w:rsid w:val="00A12413"/>
    <w:rsid w:val="00A12DA4"/>
    <w:rsid w:val="00A15817"/>
    <w:rsid w:val="00A17336"/>
    <w:rsid w:val="00A17A0D"/>
    <w:rsid w:val="00A17A87"/>
    <w:rsid w:val="00A17B1E"/>
    <w:rsid w:val="00A212A9"/>
    <w:rsid w:val="00A21300"/>
    <w:rsid w:val="00A23BCD"/>
    <w:rsid w:val="00A246EA"/>
    <w:rsid w:val="00A319F1"/>
    <w:rsid w:val="00A33ADA"/>
    <w:rsid w:val="00A33C56"/>
    <w:rsid w:val="00A3430A"/>
    <w:rsid w:val="00A34DDE"/>
    <w:rsid w:val="00A351A6"/>
    <w:rsid w:val="00A35289"/>
    <w:rsid w:val="00A3553A"/>
    <w:rsid w:val="00A35661"/>
    <w:rsid w:val="00A35B96"/>
    <w:rsid w:val="00A376AD"/>
    <w:rsid w:val="00A37ABD"/>
    <w:rsid w:val="00A4017A"/>
    <w:rsid w:val="00A4018F"/>
    <w:rsid w:val="00A410CC"/>
    <w:rsid w:val="00A4181E"/>
    <w:rsid w:val="00A43666"/>
    <w:rsid w:val="00A441D3"/>
    <w:rsid w:val="00A44491"/>
    <w:rsid w:val="00A44C4F"/>
    <w:rsid w:val="00A44CC0"/>
    <w:rsid w:val="00A467C1"/>
    <w:rsid w:val="00A4722C"/>
    <w:rsid w:val="00A50194"/>
    <w:rsid w:val="00A53202"/>
    <w:rsid w:val="00A54E13"/>
    <w:rsid w:val="00A55880"/>
    <w:rsid w:val="00A55DEC"/>
    <w:rsid w:val="00A56A9E"/>
    <w:rsid w:val="00A57170"/>
    <w:rsid w:val="00A577EA"/>
    <w:rsid w:val="00A605A7"/>
    <w:rsid w:val="00A6130D"/>
    <w:rsid w:val="00A6274A"/>
    <w:rsid w:val="00A634A7"/>
    <w:rsid w:val="00A63A20"/>
    <w:rsid w:val="00A64672"/>
    <w:rsid w:val="00A64694"/>
    <w:rsid w:val="00A64E0E"/>
    <w:rsid w:val="00A65A1F"/>
    <w:rsid w:val="00A66346"/>
    <w:rsid w:val="00A671CE"/>
    <w:rsid w:val="00A6798E"/>
    <w:rsid w:val="00A67BF5"/>
    <w:rsid w:val="00A705D6"/>
    <w:rsid w:val="00A7121E"/>
    <w:rsid w:val="00A72DC9"/>
    <w:rsid w:val="00A74723"/>
    <w:rsid w:val="00A74F20"/>
    <w:rsid w:val="00A75975"/>
    <w:rsid w:val="00A75F72"/>
    <w:rsid w:val="00A76613"/>
    <w:rsid w:val="00A77513"/>
    <w:rsid w:val="00A800BA"/>
    <w:rsid w:val="00A80314"/>
    <w:rsid w:val="00A80460"/>
    <w:rsid w:val="00A817B1"/>
    <w:rsid w:val="00A819F8"/>
    <w:rsid w:val="00A82061"/>
    <w:rsid w:val="00A840E5"/>
    <w:rsid w:val="00A8488F"/>
    <w:rsid w:val="00A850EE"/>
    <w:rsid w:val="00A85FB6"/>
    <w:rsid w:val="00A86675"/>
    <w:rsid w:val="00A90594"/>
    <w:rsid w:val="00A91462"/>
    <w:rsid w:val="00A91617"/>
    <w:rsid w:val="00A92760"/>
    <w:rsid w:val="00A932EB"/>
    <w:rsid w:val="00A94CB0"/>
    <w:rsid w:val="00A94CFC"/>
    <w:rsid w:val="00A956D6"/>
    <w:rsid w:val="00A96102"/>
    <w:rsid w:val="00A969E0"/>
    <w:rsid w:val="00A97D06"/>
    <w:rsid w:val="00AA02C0"/>
    <w:rsid w:val="00AA1879"/>
    <w:rsid w:val="00AA1E37"/>
    <w:rsid w:val="00AA2070"/>
    <w:rsid w:val="00AA26BD"/>
    <w:rsid w:val="00AA2B56"/>
    <w:rsid w:val="00AA2FF2"/>
    <w:rsid w:val="00AA46AE"/>
    <w:rsid w:val="00AA4C17"/>
    <w:rsid w:val="00AA566F"/>
    <w:rsid w:val="00AA63EF"/>
    <w:rsid w:val="00AA6F5A"/>
    <w:rsid w:val="00AA7FD2"/>
    <w:rsid w:val="00AB0610"/>
    <w:rsid w:val="00AB0A1C"/>
    <w:rsid w:val="00AB113E"/>
    <w:rsid w:val="00AB2889"/>
    <w:rsid w:val="00AB2E4E"/>
    <w:rsid w:val="00AB32B2"/>
    <w:rsid w:val="00AB358E"/>
    <w:rsid w:val="00AB51AC"/>
    <w:rsid w:val="00AB5224"/>
    <w:rsid w:val="00AB789B"/>
    <w:rsid w:val="00AC0874"/>
    <w:rsid w:val="00AC08CE"/>
    <w:rsid w:val="00AC0DD1"/>
    <w:rsid w:val="00AC10B2"/>
    <w:rsid w:val="00AC3FF7"/>
    <w:rsid w:val="00AC4606"/>
    <w:rsid w:val="00AC4639"/>
    <w:rsid w:val="00AC57F5"/>
    <w:rsid w:val="00AC604E"/>
    <w:rsid w:val="00AC615F"/>
    <w:rsid w:val="00AC6A0E"/>
    <w:rsid w:val="00AC6AF4"/>
    <w:rsid w:val="00AD1302"/>
    <w:rsid w:val="00AD41F5"/>
    <w:rsid w:val="00AD44C7"/>
    <w:rsid w:val="00AD57E4"/>
    <w:rsid w:val="00AD5FD9"/>
    <w:rsid w:val="00AD64AD"/>
    <w:rsid w:val="00AD6D6C"/>
    <w:rsid w:val="00AD6F4A"/>
    <w:rsid w:val="00AD7884"/>
    <w:rsid w:val="00AD7D2F"/>
    <w:rsid w:val="00AE04D8"/>
    <w:rsid w:val="00AE1131"/>
    <w:rsid w:val="00AE1209"/>
    <w:rsid w:val="00AE2358"/>
    <w:rsid w:val="00AE279B"/>
    <w:rsid w:val="00AE3DD9"/>
    <w:rsid w:val="00AE50A7"/>
    <w:rsid w:val="00AE517B"/>
    <w:rsid w:val="00AE521C"/>
    <w:rsid w:val="00AE5C52"/>
    <w:rsid w:val="00AE6844"/>
    <w:rsid w:val="00AF0718"/>
    <w:rsid w:val="00AF1E5B"/>
    <w:rsid w:val="00AF4FFF"/>
    <w:rsid w:val="00AF603A"/>
    <w:rsid w:val="00AF701D"/>
    <w:rsid w:val="00B0031A"/>
    <w:rsid w:val="00B01C7F"/>
    <w:rsid w:val="00B0247C"/>
    <w:rsid w:val="00B02796"/>
    <w:rsid w:val="00B02DA5"/>
    <w:rsid w:val="00B060EA"/>
    <w:rsid w:val="00B06A66"/>
    <w:rsid w:val="00B06D10"/>
    <w:rsid w:val="00B075C6"/>
    <w:rsid w:val="00B07629"/>
    <w:rsid w:val="00B07B0F"/>
    <w:rsid w:val="00B07E31"/>
    <w:rsid w:val="00B10ED0"/>
    <w:rsid w:val="00B11AEE"/>
    <w:rsid w:val="00B12E5A"/>
    <w:rsid w:val="00B1323C"/>
    <w:rsid w:val="00B15B82"/>
    <w:rsid w:val="00B17271"/>
    <w:rsid w:val="00B17731"/>
    <w:rsid w:val="00B228FA"/>
    <w:rsid w:val="00B2291D"/>
    <w:rsid w:val="00B24936"/>
    <w:rsid w:val="00B2519F"/>
    <w:rsid w:val="00B259BC"/>
    <w:rsid w:val="00B266F9"/>
    <w:rsid w:val="00B26F8E"/>
    <w:rsid w:val="00B274C9"/>
    <w:rsid w:val="00B27DDB"/>
    <w:rsid w:val="00B3095F"/>
    <w:rsid w:val="00B30F3F"/>
    <w:rsid w:val="00B31098"/>
    <w:rsid w:val="00B318CE"/>
    <w:rsid w:val="00B3234C"/>
    <w:rsid w:val="00B32CE3"/>
    <w:rsid w:val="00B32F54"/>
    <w:rsid w:val="00B33A94"/>
    <w:rsid w:val="00B33F30"/>
    <w:rsid w:val="00B3504B"/>
    <w:rsid w:val="00B37701"/>
    <w:rsid w:val="00B424BE"/>
    <w:rsid w:val="00B43556"/>
    <w:rsid w:val="00B439EA"/>
    <w:rsid w:val="00B44FC7"/>
    <w:rsid w:val="00B450F7"/>
    <w:rsid w:val="00B454F5"/>
    <w:rsid w:val="00B4636B"/>
    <w:rsid w:val="00B465EC"/>
    <w:rsid w:val="00B472E0"/>
    <w:rsid w:val="00B473AF"/>
    <w:rsid w:val="00B47622"/>
    <w:rsid w:val="00B476E6"/>
    <w:rsid w:val="00B51BCB"/>
    <w:rsid w:val="00B5248B"/>
    <w:rsid w:val="00B54472"/>
    <w:rsid w:val="00B556FF"/>
    <w:rsid w:val="00B560DA"/>
    <w:rsid w:val="00B566C9"/>
    <w:rsid w:val="00B6048E"/>
    <w:rsid w:val="00B62260"/>
    <w:rsid w:val="00B62DAD"/>
    <w:rsid w:val="00B6463D"/>
    <w:rsid w:val="00B6488F"/>
    <w:rsid w:val="00B6591E"/>
    <w:rsid w:val="00B6633D"/>
    <w:rsid w:val="00B67EFB"/>
    <w:rsid w:val="00B7211A"/>
    <w:rsid w:val="00B7214B"/>
    <w:rsid w:val="00B7228A"/>
    <w:rsid w:val="00B72B81"/>
    <w:rsid w:val="00B7343E"/>
    <w:rsid w:val="00B7671B"/>
    <w:rsid w:val="00B76F9A"/>
    <w:rsid w:val="00B80681"/>
    <w:rsid w:val="00B80CEF"/>
    <w:rsid w:val="00B80E1E"/>
    <w:rsid w:val="00B814DE"/>
    <w:rsid w:val="00B817FE"/>
    <w:rsid w:val="00B82971"/>
    <w:rsid w:val="00B83B1A"/>
    <w:rsid w:val="00B83B4E"/>
    <w:rsid w:val="00B866D7"/>
    <w:rsid w:val="00B873E1"/>
    <w:rsid w:val="00B87BDB"/>
    <w:rsid w:val="00B9046A"/>
    <w:rsid w:val="00B9120A"/>
    <w:rsid w:val="00B91DA4"/>
    <w:rsid w:val="00B91F10"/>
    <w:rsid w:val="00B92735"/>
    <w:rsid w:val="00B92C93"/>
    <w:rsid w:val="00B9572A"/>
    <w:rsid w:val="00B9610B"/>
    <w:rsid w:val="00B9706E"/>
    <w:rsid w:val="00BA09A2"/>
    <w:rsid w:val="00BA0E2B"/>
    <w:rsid w:val="00BA2142"/>
    <w:rsid w:val="00BA75E2"/>
    <w:rsid w:val="00BB0BD9"/>
    <w:rsid w:val="00BB106F"/>
    <w:rsid w:val="00BB1D21"/>
    <w:rsid w:val="00BB2929"/>
    <w:rsid w:val="00BB2D32"/>
    <w:rsid w:val="00BB4366"/>
    <w:rsid w:val="00BB5C04"/>
    <w:rsid w:val="00BB6B70"/>
    <w:rsid w:val="00BB6EA2"/>
    <w:rsid w:val="00BC01EB"/>
    <w:rsid w:val="00BC0A15"/>
    <w:rsid w:val="00BC2524"/>
    <w:rsid w:val="00BC3917"/>
    <w:rsid w:val="00BC5718"/>
    <w:rsid w:val="00BC5845"/>
    <w:rsid w:val="00BC59D4"/>
    <w:rsid w:val="00BC6BC9"/>
    <w:rsid w:val="00BC71C5"/>
    <w:rsid w:val="00BC782F"/>
    <w:rsid w:val="00BC7999"/>
    <w:rsid w:val="00BC7B21"/>
    <w:rsid w:val="00BD3272"/>
    <w:rsid w:val="00BD3E87"/>
    <w:rsid w:val="00BD4026"/>
    <w:rsid w:val="00BD5EE0"/>
    <w:rsid w:val="00BD7874"/>
    <w:rsid w:val="00BD78F4"/>
    <w:rsid w:val="00BD7A63"/>
    <w:rsid w:val="00BE08BB"/>
    <w:rsid w:val="00BE0D14"/>
    <w:rsid w:val="00BE1BF3"/>
    <w:rsid w:val="00BE2029"/>
    <w:rsid w:val="00BE4830"/>
    <w:rsid w:val="00BE5621"/>
    <w:rsid w:val="00BE5A55"/>
    <w:rsid w:val="00BE7058"/>
    <w:rsid w:val="00BE7C32"/>
    <w:rsid w:val="00BF0033"/>
    <w:rsid w:val="00BF2223"/>
    <w:rsid w:val="00BF415C"/>
    <w:rsid w:val="00BF4517"/>
    <w:rsid w:val="00BF49F7"/>
    <w:rsid w:val="00BF4A1B"/>
    <w:rsid w:val="00BF502A"/>
    <w:rsid w:val="00BF7537"/>
    <w:rsid w:val="00C00A20"/>
    <w:rsid w:val="00C00FFD"/>
    <w:rsid w:val="00C019D6"/>
    <w:rsid w:val="00C01EC5"/>
    <w:rsid w:val="00C027A8"/>
    <w:rsid w:val="00C02C3A"/>
    <w:rsid w:val="00C02CFA"/>
    <w:rsid w:val="00C12B32"/>
    <w:rsid w:val="00C13689"/>
    <w:rsid w:val="00C1456E"/>
    <w:rsid w:val="00C17EC2"/>
    <w:rsid w:val="00C206C5"/>
    <w:rsid w:val="00C217F3"/>
    <w:rsid w:val="00C21C61"/>
    <w:rsid w:val="00C22ADE"/>
    <w:rsid w:val="00C25389"/>
    <w:rsid w:val="00C2557D"/>
    <w:rsid w:val="00C26110"/>
    <w:rsid w:val="00C27E7C"/>
    <w:rsid w:val="00C30040"/>
    <w:rsid w:val="00C305C3"/>
    <w:rsid w:val="00C309D6"/>
    <w:rsid w:val="00C33FE0"/>
    <w:rsid w:val="00C34275"/>
    <w:rsid w:val="00C353E0"/>
    <w:rsid w:val="00C3567A"/>
    <w:rsid w:val="00C366D3"/>
    <w:rsid w:val="00C3698D"/>
    <w:rsid w:val="00C3718D"/>
    <w:rsid w:val="00C40319"/>
    <w:rsid w:val="00C41779"/>
    <w:rsid w:val="00C417D0"/>
    <w:rsid w:val="00C41A2E"/>
    <w:rsid w:val="00C4241E"/>
    <w:rsid w:val="00C44FD6"/>
    <w:rsid w:val="00C458CD"/>
    <w:rsid w:val="00C463CC"/>
    <w:rsid w:val="00C47943"/>
    <w:rsid w:val="00C47C9A"/>
    <w:rsid w:val="00C47E4E"/>
    <w:rsid w:val="00C505F4"/>
    <w:rsid w:val="00C50806"/>
    <w:rsid w:val="00C5417F"/>
    <w:rsid w:val="00C54A76"/>
    <w:rsid w:val="00C54ABC"/>
    <w:rsid w:val="00C54E8D"/>
    <w:rsid w:val="00C55B65"/>
    <w:rsid w:val="00C56B38"/>
    <w:rsid w:val="00C56C89"/>
    <w:rsid w:val="00C57318"/>
    <w:rsid w:val="00C5765C"/>
    <w:rsid w:val="00C57DF1"/>
    <w:rsid w:val="00C61453"/>
    <w:rsid w:val="00C6172A"/>
    <w:rsid w:val="00C6420B"/>
    <w:rsid w:val="00C648D2"/>
    <w:rsid w:val="00C64C0A"/>
    <w:rsid w:val="00C64E99"/>
    <w:rsid w:val="00C65EB4"/>
    <w:rsid w:val="00C66B72"/>
    <w:rsid w:val="00C66B8A"/>
    <w:rsid w:val="00C66BD3"/>
    <w:rsid w:val="00C671BF"/>
    <w:rsid w:val="00C6760A"/>
    <w:rsid w:val="00C70191"/>
    <w:rsid w:val="00C70807"/>
    <w:rsid w:val="00C70FF9"/>
    <w:rsid w:val="00C729B4"/>
    <w:rsid w:val="00C74EE2"/>
    <w:rsid w:val="00C7670C"/>
    <w:rsid w:val="00C767B4"/>
    <w:rsid w:val="00C76C68"/>
    <w:rsid w:val="00C77432"/>
    <w:rsid w:val="00C818F2"/>
    <w:rsid w:val="00C820FE"/>
    <w:rsid w:val="00C830BF"/>
    <w:rsid w:val="00C85430"/>
    <w:rsid w:val="00C8675D"/>
    <w:rsid w:val="00C879B4"/>
    <w:rsid w:val="00C902CA"/>
    <w:rsid w:val="00C908F2"/>
    <w:rsid w:val="00C9254A"/>
    <w:rsid w:val="00C939E6"/>
    <w:rsid w:val="00C93CBD"/>
    <w:rsid w:val="00C95459"/>
    <w:rsid w:val="00C969E2"/>
    <w:rsid w:val="00C96D56"/>
    <w:rsid w:val="00C9763F"/>
    <w:rsid w:val="00CA10F4"/>
    <w:rsid w:val="00CA1DD9"/>
    <w:rsid w:val="00CA21F5"/>
    <w:rsid w:val="00CA22E6"/>
    <w:rsid w:val="00CA2906"/>
    <w:rsid w:val="00CA3B2D"/>
    <w:rsid w:val="00CA47D0"/>
    <w:rsid w:val="00CA4CC5"/>
    <w:rsid w:val="00CA4EC2"/>
    <w:rsid w:val="00CA5475"/>
    <w:rsid w:val="00CA6311"/>
    <w:rsid w:val="00CB04D9"/>
    <w:rsid w:val="00CB075C"/>
    <w:rsid w:val="00CB0DF0"/>
    <w:rsid w:val="00CB106D"/>
    <w:rsid w:val="00CB16D4"/>
    <w:rsid w:val="00CB1902"/>
    <w:rsid w:val="00CB2A87"/>
    <w:rsid w:val="00CB3162"/>
    <w:rsid w:val="00CB3496"/>
    <w:rsid w:val="00CB49B7"/>
    <w:rsid w:val="00CB4DF0"/>
    <w:rsid w:val="00CB7B3F"/>
    <w:rsid w:val="00CC0FA6"/>
    <w:rsid w:val="00CC162B"/>
    <w:rsid w:val="00CC1AB0"/>
    <w:rsid w:val="00CC1AB1"/>
    <w:rsid w:val="00CC27FA"/>
    <w:rsid w:val="00CC27FC"/>
    <w:rsid w:val="00CC410C"/>
    <w:rsid w:val="00CC4660"/>
    <w:rsid w:val="00CC59C8"/>
    <w:rsid w:val="00CC7399"/>
    <w:rsid w:val="00CD08FA"/>
    <w:rsid w:val="00CD1530"/>
    <w:rsid w:val="00CD154D"/>
    <w:rsid w:val="00CD1742"/>
    <w:rsid w:val="00CD18F3"/>
    <w:rsid w:val="00CD2BFB"/>
    <w:rsid w:val="00CD3041"/>
    <w:rsid w:val="00CD4970"/>
    <w:rsid w:val="00CD5EBE"/>
    <w:rsid w:val="00CD6BE2"/>
    <w:rsid w:val="00CD73D3"/>
    <w:rsid w:val="00CE08F0"/>
    <w:rsid w:val="00CE1D05"/>
    <w:rsid w:val="00CE2D55"/>
    <w:rsid w:val="00CE2E29"/>
    <w:rsid w:val="00CE3764"/>
    <w:rsid w:val="00CE42CB"/>
    <w:rsid w:val="00CE43E1"/>
    <w:rsid w:val="00CE6276"/>
    <w:rsid w:val="00CE6F90"/>
    <w:rsid w:val="00CE744C"/>
    <w:rsid w:val="00CE7A33"/>
    <w:rsid w:val="00CF04A3"/>
    <w:rsid w:val="00CF0EE5"/>
    <w:rsid w:val="00CF29ED"/>
    <w:rsid w:val="00CF2DA7"/>
    <w:rsid w:val="00CF5458"/>
    <w:rsid w:val="00CF5D2C"/>
    <w:rsid w:val="00D03C54"/>
    <w:rsid w:val="00D05DC4"/>
    <w:rsid w:val="00D05F5F"/>
    <w:rsid w:val="00D07455"/>
    <w:rsid w:val="00D104B1"/>
    <w:rsid w:val="00D10E70"/>
    <w:rsid w:val="00D1114A"/>
    <w:rsid w:val="00D117C1"/>
    <w:rsid w:val="00D127D0"/>
    <w:rsid w:val="00D13510"/>
    <w:rsid w:val="00D13EB5"/>
    <w:rsid w:val="00D144A4"/>
    <w:rsid w:val="00D1640F"/>
    <w:rsid w:val="00D17B1B"/>
    <w:rsid w:val="00D21083"/>
    <w:rsid w:val="00D22D1A"/>
    <w:rsid w:val="00D235D3"/>
    <w:rsid w:val="00D23A4D"/>
    <w:rsid w:val="00D23EC1"/>
    <w:rsid w:val="00D24DEB"/>
    <w:rsid w:val="00D24F36"/>
    <w:rsid w:val="00D27ADB"/>
    <w:rsid w:val="00D30299"/>
    <w:rsid w:val="00D317BA"/>
    <w:rsid w:val="00D32254"/>
    <w:rsid w:val="00D32D58"/>
    <w:rsid w:val="00D33567"/>
    <w:rsid w:val="00D33D93"/>
    <w:rsid w:val="00D3534D"/>
    <w:rsid w:val="00D35B67"/>
    <w:rsid w:val="00D37F26"/>
    <w:rsid w:val="00D40B12"/>
    <w:rsid w:val="00D41E3C"/>
    <w:rsid w:val="00D43F71"/>
    <w:rsid w:val="00D4549B"/>
    <w:rsid w:val="00D454CC"/>
    <w:rsid w:val="00D45BE7"/>
    <w:rsid w:val="00D4635F"/>
    <w:rsid w:val="00D47B0A"/>
    <w:rsid w:val="00D47DF4"/>
    <w:rsid w:val="00D5002A"/>
    <w:rsid w:val="00D5097F"/>
    <w:rsid w:val="00D5152E"/>
    <w:rsid w:val="00D52AB1"/>
    <w:rsid w:val="00D53616"/>
    <w:rsid w:val="00D542D8"/>
    <w:rsid w:val="00D56276"/>
    <w:rsid w:val="00D56CFE"/>
    <w:rsid w:val="00D56D96"/>
    <w:rsid w:val="00D573A1"/>
    <w:rsid w:val="00D620FE"/>
    <w:rsid w:val="00D62248"/>
    <w:rsid w:val="00D62899"/>
    <w:rsid w:val="00D62905"/>
    <w:rsid w:val="00D62FE5"/>
    <w:rsid w:val="00D649D7"/>
    <w:rsid w:val="00D6525D"/>
    <w:rsid w:val="00D65ACC"/>
    <w:rsid w:val="00D65B12"/>
    <w:rsid w:val="00D6687C"/>
    <w:rsid w:val="00D66E62"/>
    <w:rsid w:val="00D67EBA"/>
    <w:rsid w:val="00D71C18"/>
    <w:rsid w:val="00D71E9F"/>
    <w:rsid w:val="00D7227E"/>
    <w:rsid w:val="00D723B1"/>
    <w:rsid w:val="00D731C9"/>
    <w:rsid w:val="00D731EF"/>
    <w:rsid w:val="00D734D3"/>
    <w:rsid w:val="00D73C70"/>
    <w:rsid w:val="00D74F15"/>
    <w:rsid w:val="00D752DA"/>
    <w:rsid w:val="00D77AA2"/>
    <w:rsid w:val="00D803DD"/>
    <w:rsid w:val="00D8089B"/>
    <w:rsid w:val="00D80A0D"/>
    <w:rsid w:val="00D81820"/>
    <w:rsid w:val="00D81D27"/>
    <w:rsid w:val="00D820D7"/>
    <w:rsid w:val="00D8367E"/>
    <w:rsid w:val="00D877BF"/>
    <w:rsid w:val="00D90411"/>
    <w:rsid w:val="00D9327F"/>
    <w:rsid w:val="00D94725"/>
    <w:rsid w:val="00D95EA6"/>
    <w:rsid w:val="00D9620E"/>
    <w:rsid w:val="00D968BC"/>
    <w:rsid w:val="00D96DF5"/>
    <w:rsid w:val="00D96F9A"/>
    <w:rsid w:val="00D9745A"/>
    <w:rsid w:val="00DA0E66"/>
    <w:rsid w:val="00DA1467"/>
    <w:rsid w:val="00DA2020"/>
    <w:rsid w:val="00DA2152"/>
    <w:rsid w:val="00DA2578"/>
    <w:rsid w:val="00DA3628"/>
    <w:rsid w:val="00DA3771"/>
    <w:rsid w:val="00DA3BE4"/>
    <w:rsid w:val="00DA4160"/>
    <w:rsid w:val="00DA5290"/>
    <w:rsid w:val="00DA589C"/>
    <w:rsid w:val="00DA6BD2"/>
    <w:rsid w:val="00DB01C4"/>
    <w:rsid w:val="00DB078D"/>
    <w:rsid w:val="00DB3403"/>
    <w:rsid w:val="00DB3AFD"/>
    <w:rsid w:val="00DB3CF5"/>
    <w:rsid w:val="00DB414D"/>
    <w:rsid w:val="00DB4850"/>
    <w:rsid w:val="00DB6221"/>
    <w:rsid w:val="00DB7725"/>
    <w:rsid w:val="00DB79C0"/>
    <w:rsid w:val="00DB7AE9"/>
    <w:rsid w:val="00DC0FD1"/>
    <w:rsid w:val="00DC193D"/>
    <w:rsid w:val="00DC1F36"/>
    <w:rsid w:val="00DC2054"/>
    <w:rsid w:val="00DC3063"/>
    <w:rsid w:val="00DC3787"/>
    <w:rsid w:val="00DC3D5E"/>
    <w:rsid w:val="00DC3F9B"/>
    <w:rsid w:val="00DC4FA0"/>
    <w:rsid w:val="00DD113C"/>
    <w:rsid w:val="00DD11E8"/>
    <w:rsid w:val="00DD1C1F"/>
    <w:rsid w:val="00DD2813"/>
    <w:rsid w:val="00DD3374"/>
    <w:rsid w:val="00DD3D44"/>
    <w:rsid w:val="00DD4C1D"/>
    <w:rsid w:val="00DD4E01"/>
    <w:rsid w:val="00DD4F7C"/>
    <w:rsid w:val="00DD62F0"/>
    <w:rsid w:val="00DD6D53"/>
    <w:rsid w:val="00DD76E7"/>
    <w:rsid w:val="00DE18D9"/>
    <w:rsid w:val="00DE1F9E"/>
    <w:rsid w:val="00DE1FD1"/>
    <w:rsid w:val="00DE2584"/>
    <w:rsid w:val="00DE2D03"/>
    <w:rsid w:val="00DE317E"/>
    <w:rsid w:val="00DE36E0"/>
    <w:rsid w:val="00DE4328"/>
    <w:rsid w:val="00DE6123"/>
    <w:rsid w:val="00DE69C6"/>
    <w:rsid w:val="00DE6FA8"/>
    <w:rsid w:val="00DE7532"/>
    <w:rsid w:val="00DE7F68"/>
    <w:rsid w:val="00DF0AF4"/>
    <w:rsid w:val="00DF11AA"/>
    <w:rsid w:val="00DF1704"/>
    <w:rsid w:val="00DF1748"/>
    <w:rsid w:val="00DF27A0"/>
    <w:rsid w:val="00DF29BF"/>
    <w:rsid w:val="00DF317D"/>
    <w:rsid w:val="00DF38F9"/>
    <w:rsid w:val="00DF426E"/>
    <w:rsid w:val="00DF5FF0"/>
    <w:rsid w:val="00DF688D"/>
    <w:rsid w:val="00DF79C0"/>
    <w:rsid w:val="00E00F4A"/>
    <w:rsid w:val="00E01D30"/>
    <w:rsid w:val="00E03814"/>
    <w:rsid w:val="00E04620"/>
    <w:rsid w:val="00E0602F"/>
    <w:rsid w:val="00E079FC"/>
    <w:rsid w:val="00E10AA1"/>
    <w:rsid w:val="00E10B04"/>
    <w:rsid w:val="00E12AE5"/>
    <w:rsid w:val="00E13076"/>
    <w:rsid w:val="00E133F2"/>
    <w:rsid w:val="00E140C2"/>
    <w:rsid w:val="00E146CB"/>
    <w:rsid w:val="00E15381"/>
    <w:rsid w:val="00E172C3"/>
    <w:rsid w:val="00E17DB8"/>
    <w:rsid w:val="00E207A0"/>
    <w:rsid w:val="00E23122"/>
    <w:rsid w:val="00E2315D"/>
    <w:rsid w:val="00E244C1"/>
    <w:rsid w:val="00E2498C"/>
    <w:rsid w:val="00E24FDB"/>
    <w:rsid w:val="00E25DA3"/>
    <w:rsid w:val="00E27396"/>
    <w:rsid w:val="00E27CE1"/>
    <w:rsid w:val="00E30C00"/>
    <w:rsid w:val="00E3206F"/>
    <w:rsid w:val="00E330F6"/>
    <w:rsid w:val="00E341B8"/>
    <w:rsid w:val="00E34B3B"/>
    <w:rsid w:val="00E36CAC"/>
    <w:rsid w:val="00E404B7"/>
    <w:rsid w:val="00E4104B"/>
    <w:rsid w:val="00E43C2D"/>
    <w:rsid w:val="00E4706B"/>
    <w:rsid w:val="00E47CA3"/>
    <w:rsid w:val="00E52EC3"/>
    <w:rsid w:val="00E53398"/>
    <w:rsid w:val="00E5368A"/>
    <w:rsid w:val="00E53858"/>
    <w:rsid w:val="00E55AAA"/>
    <w:rsid w:val="00E56574"/>
    <w:rsid w:val="00E57444"/>
    <w:rsid w:val="00E5753B"/>
    <w:rsid w:val="00E607A6"/>
    <w:rsid w:val="00E6093B"/>
    <w:rsid w:val="00E61A1F"/>
    <w:rsid w:val="00E61FC9"/>
    <w:rsid w:val="00E634CE"/>
    <w:rsid w:val="00E646C5"/>
    <w:rsid w:val="00E65EA3"/>
    <w:rsid w:val="00E66080"/>
    <w:rsid w:val="00E66386"/>
    <w:rsid w:val="00E663F1"/>
    <w:rsid w:val="00E676BD"/>
    <w:rsid w:val="00E67C8F"/>
    <w:rsid w:val="00E67D6E"/>
    <w:rsid w:val="00E725F3"/>
    <w:rsid w:val="00E748DF"/>
    <w:rsid w:val="00E75302"/>
    <w:rsid w:val="00E77281"/>
    <w:rsid w:val="00E77AC0"/>
    <w:rsid w:val="00E803E1"/>
    <w:rsid w:val="00E80A56"/>
    <w:rsid w:val="00E80C62"/>
    <w:rsid w:val="00E829FB"/>
    <w:rsid w:val="00E83360"/>
    <w:rsid w:val="00E8415F"/>
    <w:rsid w:val="00E84886"/>
    <w:rsid w:val="00E85E08"/>
    <w:rsid w:val="00E86119"/>
    <w:rsid w:val="00E864A4"/>
    <w:rsid w:val="00E90EFE"/>
    <w:rsid w:val="00E91100"/>
    <w:rsid w:val="00E913B0"/>
    <w:rsid w:val="00E91650"/>
    <w:rsid w:val="00E919C5"/>
    <w:rsid w:val="00E920E6"/>
    <w:rsid w:val="00E9331C"/>
    <w:rsid w:val="00E93B53"/>
    <w:rsid w:val="00E95326"/>
    <w:rsid w:val="00E95B19"/>
    <w:rsid w:val="00E96037"/>
    <w:rsid w:val="00E97395"/>
    <w:rsid w:val="00EA1B87"/>
    <w:rsid w:val="00EA27AD"/>
    <w:rsid w:val="00EA3CBA"/>
    <w:rsid w:val="00EA43B2"/>
    <w:rsid w:val="00EA5220"/>
    <w:rsid w:val="00EA56ED"/>
    <w:rsid w:val="00EA589F"/>
    <w:rsid w:val="00EA7363"/>
    <w:rsid w:val="00EA7527"/>
    <w:rsid w:val="00EA7A27"/>
    <w:rsid w:val="00EB0730"/>
    <w:rsid w:val="00EB0D05"/>
    <w:rsid w:val="00EB0E3D"/>
    <w:rsid w:val="00EB1559"/>
    <w:rsid w:val="00EB1B91"/>
    <w:rsid w:val="00EB3B5D"/>
    <w:rsid w:val="00EB3FCE"/>
    <w:rsid w:val="00EB4097"/>
    <w:rsid w:val="00EB48E7"/>
    <w:rsid w:val="00EB4A56"/>
    <w:rsid w:val="00EB4DD1"/>
    <w:rsid w:val="00EB5472"/>
    <w:rsid w:val="00EB57E0"/>
    <w:rsid w:val="00EB5D05"/>
    <w:rsid w:val="00EB7BD8"/>
    <w:rsid w:val="00EC15B1"/>
    <w:rsid w:val="00EC272B"/>
    <w:rsid w:val="00EC2BF5"/>
    <w:rsid w:val="00EC43BC"/>
    <w:rsid w:val="00EC4463"/>
    <w:rsid w:val="00EC5465"/>
    <w:rsid w:val="00EC628F"/>
    <w:rsid w:val="00EC7AEE"/>
    <w:rsid w:val="00EC7BF7"/>
    <w:rsid w:val="00ED0D20"/>
    <w:rsid w:val="00ED279D"/>
    <w:rsid w:val="00ED2D74"/>
    <w:rsid w:val="00ED2FDE"/>
    <w:rsid w:val="00ED3994"/>
    <w:rsid w:val="00ED420A"/>
    <w:rsid w:val="00ED5E0D"/>
    <w:rsid w:val="00ED6093"/>
    <w:rsid w:val="00ED6845"/>
    <w:rsid w:val="00ED7368"/>
    <w:rsid w:val="00EE163C"/>
    <w:rsid w:val="00EE1AAA"/>
    <w:rsid w:val="00EE27DB"/>
    <w:rsid w:val="00EE31A7"/>
    <w:rsid w:val="00EE33AE"/>
    <w:rsid w:val="00EE47F0"/>
    <w:rsid w:val="00EE48A1"/>
    <w:rsid w:val="00EE57EC"/>
    <w:rsid w:val="00EE5B45"/>
    <w:rsid w:val="00EE5C44"/>
    <w:rsid w:val="00EE5E03"/>
    <w:rsid w:val="00EE5E65"/>
    <w:rsid w:val="00EE6253"/>
    <w:rsid w:val="00EE70EC"/>
    <w:rsid w:val="00EE728D"/>
    <w:rsid w:val="00EE73A0"/>
    <w:rsid w:val="00EF3DE1"/>
    <w:rsid w:val="00EF40AD"/>
    <w:rsid w:val="00EF4FD5"/>
    <w:rsid w:val="00EF5168"/>
    <w:rsid w:val="00EF61CF"/>
    <w:rsid w:val="00EF72BD"/>
    <w:rsid w:val="00F0013B"/>
    <w:rsid w:val="00F00350"/>
    <w:rsid w:val="00F00400"/>
    <w:rsid w:val="00F00E62"/>
    <w:rsid w:val="00F01EED"/>
    <w:rsid w:val="00F020EB"/>
    <w:rsid w:val="00F021E1"/>
    <w:rsid w:val="00F0250A"/>
    <w:rsid w:val="00F02BD6"/>
    <w:rsid w:val="00F03BD2"/>
    <w:rsid w:val="00F043E3"/>
    <w:rsid w:val="00F04640"/>
    <w:rsid w:val="00F04B3B"/>
    <w:rsid w:val="00F067E3"/>
    <w:rsid w:val="00F06ECD"/>
    <w:rsid w:val="00F06FD3"/>
    <w:rsid w:val="00F078BC"/>
    <w:rsid w:val="00F07935"/>
    <w:rsid w:val="00F12713"/>
    <w:rsid w:val="00F129FA"/>
    <w:rsid w:val="00F139E2"/>
    <w:rsid w:val="00F13C1F"/>
    <w:rsid w:val="00F14106"/>
    <w:rsid w:val="00F14676"/>
    <w:rsid w:val="00F15056"/>
    <w:rsid w:val="00F15144"/>
    <w:rsid w:val="00F15FB6"/>
    <w:rsid w:val="00F16849"/>
    <w:rsid w:val="00F16D90"/>
    <w:rsid w:val="00F17D60"/>
    <w:rsid w:val="00F200FB"/>
    <w:rsid w:val="00F20A22"/>
    <w:rsid w:val="00F20E4E"/>
    <w:rsid w:val="00F21483"/>
    <w:rsid w:val="00F21817"/>
    <w:rsid w:val="00F21826"/>
    <w:rsid w:val="00F21AFB"/>
    <w:rsid w:val="00F23AA5"/>
    <w:rsid w:val="00F25E7C"/>
    <w:rsid w:val="00F2669A"/>
    <w:rsid w:val="00F2765C"/>
    <w:rsid w:val="00F279EB"/>
    <w:rsid w:val="00F30F43"/>
    <w:rsid w:val="00F319B0"/>
    <w:rsid w:val="00F32579"/>
    <w:rsid w:val="00F36058"/>
    <w:rsid w:val="00F3706F"/>
    <w:rsid w:val="00F37C30"/>
    <w:rsid w:val="00F40E5A"/>
    <w:rsid w:val="00F41573"/>
    <w:rsid w:val="00F4230E"/>
    <w:rsid w:val="00F42D4F"/>
    <w:rsid w:val="00F438BE"/>
    <w:rsid w:val="00F45221"/>
    <w:rsid w:val="00F46BE1"/>
    <w:rsid w:val="00F50393"/>
    <w:rsid w:val="00F50B23"/>
    <w:rsid w:val="00F511BD"/>
    <w:rsid w:val="00F5253F"/>
    <w:rsid w:val="00F5262D"/>
    <w:rsid w:val="00F535F5"/>
    <w:rsid w:val="00F54627"/>
    <w:rsid w:val="00F5464D"/>
    <w:rsid w:val="00F55116"/>
    <w:rsid w:val="00F564DA"/>
    <w:rsid w:val="00F5678A"/>
    <w:rsid w:val="00F56910"/>
    <w:rsid w:val="00F5748F"/>
    <w:rsid w:val="00F60034"/>
    <w:rsid w:val="00F6062E"/>
    <w:rsid w:val="00F6236B"/>
    <w:rsid w:val="00F646AC"/>
    <w:rsid w:val="00F65101"/>
    <w:rsid w:val="00F65589"/>
    <w:rsid w:val="00F660FF"/>
    <w:rsid w:val="00F66D28"/>
    <w:rsid w:val="00F67A29"/>
    <w:rsid w:val="00F7215E"/>
    <w:rsid w:val="00F72E46"/>
    <w:rsid w:val="00F733AE"/>
    <w:rsid w:val="00F73B10"/>
    <w:rsid w:val="00F73B15"/>
    <w:rsid w:val="00F777B7"/>
    <w:rsid w:val="00F77871"/>
    <w:rsid w:val="00F77D85"/>
    <w:rsid w:val="00F77EB0"/>
    <w:rsid w:val="00F80163"/>
    <w:rsid w:val="00F80D78"/>
    <w:rsid w:val="00F80EA6"/>
    <w:rsid w:val="00F8239D"/>
    <w:rsid w:val="00F83816"/>
    <w:rsid w:val="00F83946"/>
    <w:rsid w:val="00F843D7"/>
    <w:rsid w:val="00F843D8"/>
    <w:rsid w:val="00F8467E"/>
    <w:rsid w:val="00F84DFD"/>
    <w:rsid w:val="00F854C1"/>
    <w:rsid w:val="00F866A8"/>
    <w:rsid w:val="00F87592"/>
    <w:rsid w:val="00F87637"/>
    <w:rsid w:val="00F87A20"/>
    <w:rsid w:val="00F87CEB"/>
    <w:rsid w:val="00F90E84"/>
    <w:rsid w:val="00F945D0"/>
    <w:rsid w:val="00F95CA9"/>
    <w:rsid w:val="00F96443"/>
    <w:rsid w:val="00F96609"/>
    <w:rsid w:val="00F96AF2"/>
    <w:rsid w:val="00F97552"/>
    <w:rsid w:val="00F97A33"/>
    <w:rsid w:val="00FA0531"/>
    <w:rsid w:val="00FA062A"/>
    <w:rsid w:val="00FA0B20"/>
    <w:rsid w:val="00FA1EA1"/>
    <w:rsid w:val="00FA2308"/>
    <w:rsid w:val="00FA2C3D"/>
    <w:rsid w:val="00FA47EA"/>
    <w:rsid w:val="00FA5E0F"/>
    <w:rsid w:val="00FB0682"/>
    <w:rsid w:val="00FB0DFD"/>
    <w:rsid w:val="00FB0F7C"/>
    <w:rsid w:val="00FB10FF"/>
    <w:rsid w:val="00FB15E8"/>
    <w:rsid w:val="00FB1F0C"/>
    <w:rsid w:val="00FB384D"/>
    <w:rsid w:val="00FB3CB7"/>
    <w:rsid w:val="00FB5A70"/>
    <w:rsid w:val="00FB6D8B"/>
    <w:rsid w:val="00FB6FB7"/>
    <w:rsid w:val="00FB6FBB"/>
    <w:rsid w:val="00FB7CCD"/>
    <w:rsid w:val="00FC05B3"/>
    <w:rsid w:val="00FC1C9F"/>
    <w:rsid w:val="00FC22CF"/>
    <w:rsid w:val="00FC26FA"/>
    <w:rsid w:val="00FC33B7"/>
    <w:rsid w:val="00FC53F5"/>
    <w:rsid w:val="00FD0770"/>
    <w:rsid w:val="00FD090C"/>
    <w:rsid w:val="00FD2592"/>
    <w:rsid w:val="00FD26AA"/>
    <w:rsid w:val="00FD2FA4"/>
    <w:rsid w:val="00FD389F"/>
    <w:rsid w:val="00FD4CD2"/>
    <w:rsid w:val="00FD5A3D"/>
    <w:rsid w:val="00FD6421"/>
    <w:rsid w:val="00FE1A19"/>
    <w:rsid w:val="00FE34C9"/>
    <w:rsid w:val="00FE3542"/>
    <w:rsid w:val="00FE372A"/>
    <w:rsid w:val="00FE3CC8"/>
    <w:rsid w:val="00FE494D"/>
    <w:rsid w:val="00FE4CE4"/>
    <w:rsid w:val="00FE4CFA"/>
    <w:rsid w:val="00FE53FB"/>
    <w:rsid w:val="00FE6AF8"/>
    <w:rsid w:val="00FE6FD7"/>
    <w:rsid w:val="00FE778F"/>
    <w:rsid w:val="00FF0F71"/>
    <w:rsid w:val="00FF2D5F"/>
    <w:rsid w:val="00FF377D"/>
    <w:rsid w:val="00FF3B73"/>
    <w:rsid w:val="00FF600E"/>
    <w:rsid w:val="00FF6D1F"/>
    <w:rsid w:val="00FF7715"/>
    <w:rsid w:val="00FF77FD"/>
    <w:rsid w:val="00FF7C5C"/>
    <w:rsid w:val="01080A12"/>
    <w:rsid w:val="010A2FEF"/>
    <w:rsid w:val="014D1D12"/>
    <w:rsid w:val="01705BA7"/>
    <w:rsid w:val="01726C99"/>
    <w:rsid w:val="017A716C"/>
    <w:rsid w:val="018E701C"/>
    <w:rsid w:val="01927CB8"/>
    <w:rsid w:val="01E77E55"/>
    <w:rsid w:val="01FE26B3"/>
    <w:rsid w:val="024C0C1C"/>
    <w:rsid w:val="025F725B"/>
    <w:rsid w:val="026773F7"/>
    <w:rsid w:val="026B2F60"/>
    <w:rsid w:val="0277649D"/>
    <w:rsid w:val="02B4308A"/>
    <w:rsid w:val="02BE1F13"/>
    <w:rsid w:val="02BF3CB3"/>
    <w:rsid w:val="02CA6EAE"/>
    <w:rsid w:val="02D94BDC"/>
    <w:rsid w:val="02E05980"/>
    <w:rsid w:val="02E10158"/>
    <w:rsid w:val="02E33B11"/>
    <w:rsid w:val="02E82CFF"/>
    <w:rsid w:val="02E90CED"/>
    <w:rsid w:val="031200E5"/>
    <w:rsid w:val="03147647"/>
    <w:rsid w:val="031B44D3"/>
    <w:rsid w:val="032F25B7"/>
    <w:rsid w:val="034355F6"/>
    <w:rsid w:val="03626918"/>
    <w:rsid w:val="03693B71"/>
    <w:rsid w:val="03790224"/>
    <w:rsid w:val="04017E0F"/>
    <w:rsid w:val="040629FE"/>
    <w:rsid w:val="0424487D"/>
    <w:rsid w:val="042F07BA"/>
    <w:rsid w:val="0454051D"/>
    <w:rsid w:val="04625B87"/>
    <w:rsid w:val="04641C3D"/>
    <w:rsid w:val="046D74CC"/>
    <w:rsid w:val="04AA43B1"/>
    <w:rsid w:val="04B917D5"/>
    <w:rsid w:val="04C03310"/>
    <w:rsid w:val="04C27C6B"/>
    <w:rsid w:val="04C5725A"/>
    <w:rsid w:val="04E61A3C"/>
    <w:rsid w:val="04F965FD"/>
    <w:rsid w:val="05030EBC"/>
    <w:rsid w:val="050538AA"/>
    <w:rsid w:val="05131C44"/>
    <w:rsid w:val="05151E15"/>
    <w:rsid w:val="05173208"/>
    <w:rsid w:val="052E40A0"/>
    <w:rsid w:val="054D1F0A"/>
    <w:rsid w:val="05525A97"/>
    <w:rsid w:val="058F4C45"/>
    <w:rsid w:val="05982A2A"/>
    <w:rsid w:val="059E6A53"/>
    <w:rsid w:val="05AE51B5"/>
    <w:rsid w:val="05C9773C"/>
    <w:rsid w:val="05D1588D"/>
    <w:rsid w:val="05E03C9E"/>
    <w:rsid w:val="05E438F2"/>
    <w:rsid w:val="05F36630"/>
    <w:rsid w:val="05F5326C"/>
    <w:rsid w:val="06054992"/>
    <w:rsid w:val="061B3CEF"/>
    <w:rsid w:val="06287BE0"/>
    <w:rsid w:val="06473D8B"/>
    <w:rsid w:val="06835717"/>
    <w:rsid w:val="06835E10"/>
    <w:rsid w:val="068573EE"/>
    <w:rsid w:val="068C7AAD"/>
    <w:rsid w:val="068F5C58"/>
    <w:rsid w:val="06B659C8"/>
    <w:rsid w:val="06C85100"/>
    <w:rsid w:val="06E2427F"/>
    <w:rsid w:val="06F80AEE"/>
    <w:rsid w:val="06FD4286"/>
    <w:rsid w:val="070614A8"/>
    <w:rsid w:val="07177C67"/>
    <w:rsid w:val="071D4122"/>
    <w:rsid w:val="07207745"/>
    <w:rsid w:val="07287718"/>
    <w:rsid w:val="073C0D88"/>
    <w:rsid w:val="0751216E"/>
    <w:rsid w:val="075528FF"/>
    <w:rsid w:val="0789573B"/>
    <w:rsid w:val="07B04EE1"/>
    <w:rsid w:val="07B14D9D"/>
    <w:rsid w:val="07B2792A"/>
    <w:rsid w:val="07D35003"/>
    <w:rsid w:val="07F663FC"/>
    <w:rsid w:val="08194EF9"/>
    <w:rsid w:val="083418BD"/>
    <w:rsid w:val="08912130"/>
    <w:rsid w:val="089E1A0A"/>
    <w:rsid w:val="089F0C0A"/>
    <w:rsid w:val="08A1265A"/>
    <w:rsid w:val="08B913BC"/>
    <w:rsid w:val="08CD2B89"/>
    <w:rsid w:val="08D85547"/>
    <w:rsid w:val="08E007C9"/>
    <w:rsid w:val="08E72D92"/>
    <w:rsid w:val="091245C6"/>
    <w:rsid w:val="09164C4A"/>
    <w:rsid w:val="0952145A"/>
    <w:rsid w:val="09691C08"/>
    <w:rsid w:val="096D03BE"/>
    <w:rsid w:val="0973722F"/>
    <w:rsid w:val="09812741"/>
    <w:rsid w:val="0988070A"/>
    <w:rsid w:val="09BE64C4"/>
    <w:rsid w:val="09C5637B"/>
    <w:rsid w:val="09C92BA8"/>
    <w:rsid w:val="09D50EA4"/>
    <w:rsid w:val="09E55964"/>
    <w:rsid w:val="09ED0D1D"/>
    <w:rsid w:val="0A0A16AF"/>
    <w:rsid w:val="0A151B33"/>
    <w:rsid w:val="0A3563A4"/>
    <w:rsid w:val="0A3979D6"/>
    <w:rsid w:val="0A791C35"/>
    <w:rsid w:val="0A7C4068"/>
    <w:rsid w:val="0A934BA1"/>
    <w:rsid w:val="0ACE533A"/>
    <w:rsid w:val="0B074084"/>
    <w:rsid w:val="0B674CDB"/>
    <w:rsid w:val="0B740C9C"/>
    <w:rsid w:val="0BA07F74"/>
    <w:rsid w:val="0BA96CFF"/>
    <w:rsid w:val="0BD1195E"/>
    <w:rsid w:val="0C0078D3"/>
    <w:rsid w:val="0C123C63"/>
    <w:rsid w:val="0C3B7A34"/>
    <w:rsid w:val="0C7B5F2D"/>
    <w:rsid w:val="0C7F54FE"/>
    <w:rsid w:val="0C84056D"/>
    <w:rsid w:val="0C93493F"/>
    <w:rsid w:val="0CCE08D6"/>
    <w:rsid w:val="0CE506AC"/>
    <w:rsid w:val="0CEC2F96"/>
    <w:rsid w:val="0D03428C"/>
    <w:rsid w:val="0D0C62A1"/>
    <w:rsid w:val="0D0E13B7"/>
    <w:rsid w:val="0D173BE7"/>
    <w:rsid w:val="0D213465"/>
    <w:rsid w:val="0D694CC1"/>
    <w:rsid w:val="0D6C5AE1"/>
    <w:rsid w:val="0D735FEE"/>
    <w:rsid w:val="0D752E99"/>
    <w:rsid w:val="0D8408F5"/>
    <w:rsid w:val="0D846158"/>
    <w:rsid w:val="0D944E97"/>
    <w:rsid w:val="0D994639"/>
    <w:rsid w:val="0DEB3C90"/>
    <w:rsid w:val="0DF84ABB"/>
    <w:rsid w:val="0E041A04"/>
    <w:rsid w:val="0E1868F3"/>
    <w:rsid w:val="0E435125"/>
    <w:rsid w:val="0E4522A7"/>
    <w:rsid w:val="0E4F57CD"/>
    <w:rsid w:val="0E517564"/>
    <w:rsid w:val="0E5957C8"/>
    <w:rsid w:val="0E634B8E"/>
    <w:rsid w:val="0E65630C"/>
    <w:rsid w:val="0E6B68A7"/>
    <w:rsid w:val="0E792F73"/>
    <w:rsid w:val="0E7F0710"/>
    <w:rsid w:val="0E8F3B67"/>
    <w:rsid w:val="0E9476AA"/>
    <w:rsid w:val="0EA709DE"/>
    <w:rsid w:val="0EB372B5"/>
    <w:rsid w:val="0ECC15A3"/>
    <w:rsid w:val="0EEE2CF1"/>
    <w:rsid w:val="0EF93A61"/>
    <w:rsid w:val="0F1C7046"/>
    <w:rsid w:val="0F1D6ACA"/>
    <w:rsid w:val="0F211204"/>
    <w:rsid w:val="0F2D011C"/>
    <w:rsid w:val="0F7E3EF4"/>
    <w:rsid w:val="0FA70F62"/>
    <w:rsid w:val="0FA86C95"/>
    <w:rsid w:val="0FB019A6"/>
    <w:rsid w:val="0FB14527"/>
    <w:rsid w:val="0FB72085"/>
    <w:rsid w:val="0FB97EEB"/>
    <w:rsid w:val="0FC02D3A"/>
    <w:rsid w:val="0FD26C91"/>
    <w:rsid w:val="100867D6"/>
    <w:rsid w:val="10191BD6"/>
    <w:rsid w:val="101B7472"/>
    <w:rsid w:val="10372324"/>
    <w:rsid w:val="10407E22"/>
    <w:rsid w:val="10465AF9"/>
    <w:rsid w:val="104B6726"/>
    <w:rsid w:val="10621533"/>
    <w:rsid w:val="107444AE"/>
    <w:rsid w:val="10763440"/>
    <w:rsid w:val="107E07D5"/>
    <w:rsid w:val="107F536F"/>
    <w:rsid w:val="109628B6"/>
    <w:rsid w:val="10AC5FED"/>
    <w:rsid w:val="10C21920"/>
    <w:rsid w:val="10D84E44"/>
    <w:rsid w:val="10EF4E57"/>
    <w:rsid w:val="10FE1A8B"/>
    <w:rsid w:val="111C1411"/>
    <w:rsid w:val="111C6228"/>
    <w:rsid w:val="114A1456"/>
    <w:rsid w:val="115E356C"/>
    <w:rsid w:val="116C04DB"/>
    <w:rsid w:val="118122FA"/>
    <w:rsid w:val="1185512F"/>
    <w:rsid w:val="119903C7"/>
    <w:rsid w:val="11A31740"/>
    <w:rsid w:val="11DE6DFA"/>
    <w:rsid w:val="11E174E6"/>
    <w:rsid w:val="11EB1D92"/>
    <w:rsid w:val="121644DB"/>
    <w:rsid w:val="121E60C8"/>
    <w:rsid w:val="124E1DE3"/>
    <w:rsid w:val="12554D36"/>
    <w:rsid w:val="12867CD3"/>
    <w:rsid w:val="128B7392"/>
    <w:rsid w:val="128F3F92"/>
    <w:rsid w:val="1299538A"/>
    <w:rsid w:val="12BE3B3C"/>
    <w:rsid w:val="12BE5715"/>
    <w:rsid w:val="12FC48FE"/>
    <w:rsid w:val="13077AC7"/>
    <w:rsid w:val="130B3CE1"/>
    <w:rsid w:val="13301B1C"/>
    <w:rsid w:val="1334564A"/>
    <w:rsid w:val="136B2F62"/>
    <w:rsid w:val="136E0BA9"/>
    <w:rsid w:val="13840CD1"/>
    <w:rsid w:val="13B710FA"/>
    <w:rsid w:val="13D77BA1"/>
    <w:rsid w:val="13DD186B"/>
    <w:rsid w:val="13DF5635"/>
    <w:rsid w:val="13EC4F4C"/>
    <w:rsid w:val="13F14FFF"/>
    <w:rsid w:val="13F35AFE"/>
    <w:rsid w:val="14190F6A"/>
    <w:rsid w:val="141F7479"/>
    <w:rsid w:val="142B7F2C"/>
    <w:rsid w:val="144E3359"/>
    <w:rsid w:val="14657C81"/>
    <w:rsid w:val="147F0230"/>
    <w:rsid w:val="14953182"/>
    <w:rsid w:val="14D31857"/>
    <w:rsid w:val="14F346E2"/>
    <w:rsid w:val="14F876B9"/>
    <w:rsid w:val="15004878"/>
    <w:rsid w:val="150C73B6"/>
    <w:rsid w:val="151A0AEB"/>
    <w:rsid w:val="152461AC"/>
    <w:rsid w:val="152F2B30"/>
    <w:rsid w:val="153556E8"/>
    <w:rsid w:val="15355A80"/>
    <w:rsid w:val="154920D7"/>
    <w:rsid w:val="1577265B"/>
    <w:rsid w:val="15897252"/>
    <w:rsid w:val="15956298"/>
    <w:rsid w:val="15AD15B6"/>
    <w:rsid w:val="15D30B7E"/>
    <w:rsid w:val="15D62A35"/>
    <w:rsid w:val="15EB684A"/>
    <w:rsid w:val="161C6D36"/>
    <w:rsid w:val="16246FDE"/>
    <w:rsid w:val="165B184F"/>
    <w:rsid w:val="1669274B"/>
    <w:rsid w:val="167B566B"/>
    <w:rsid w:val="167E1871"/>
    <w:rsid w:val="169848E9"/>
    <w:rsid w:val="16AA7430"/>
    <w:rsid w:val="16DD0CDB"/>
    <w:rsid w:val="16EA2FDC"/>
    <w:rsid w:val="17063449"/>
    <w:rsid w:val="17107107"/>
    <w:rsid w:val="171E590A"/>
    <w:rsid w:val="17246E52"/>
    <w:rsid w:val="172F230F"/>
    <w:rsid w:val="177253D3"/>
    <w:rsid w:val="17806D60"/>
    <w:rsid w:val="17881E6C"/>
    <w:rsid w:val="17A71141"/>
    <w:rsid w:val="17B236B5"/>
    <w:rsid w:val="17B9260F"/>
    <w:rsid w:val="18046306"/>
    <w:rsid w:val="180E0EC8"/>
    <w:rsid w:val="181304B1"/>
    <w:rsid w:val="181E2C19"/>
    <w:rsid w:val="181E685E"/>
    <w:rsid w:val="183773AF"/>
    <w:rsid w:val="185F401D"/>
    <w:rsid w:val="18633A4B"/>
    <w:rsid w:val="18685440"/>
    <w:rsid w:val="186F2311"/>
    <w:rsid w:val="18A55E4A"/>
    <w:rsid w:val="18A830AD"/>
    <w:rsid w:val="18C26371"/>
    <w:rsid w:val="18D53797"/>
    <w:rsid w:val="19271C70"/>
    <w:rsid w:val="19285DF4"/>
    <w:rsid w:val="19581D0E"/>
    <w:rsid w:val="197F6F27"/>
    <w:rsid w:val="199C7F6E"/>
    <w:rsid w:val="19D82F37"/>
    <w:rsid w:val="1A0010FD"/>
    <w:rsid w:val="1A035C59"/>
    <w:rsid w:val="1A0B515B"/>
    <w:rsid w:val="1A193DA8"/>
    <w:rsid w:val="1A242396"/>
    <w:rsid w:val="1A254FB4"/>
    <w:rsid w:val="1A276E32"/>
    <w:rsid w:val="1A3B6A10"/>
    <w:rsid w:val="1A625F46"/>
    <w:rsid w:val="1A9F5490"/>
    <w:rsid w:val="1AA95BD9"/>
    <w:rsid w:val="1AAD51D0"/>
    <w:rsid w:val="1ACB1E03"/>
    <w:rsid w:val="1AE14082"/>
    <w:rsid w:val="1AE15AD0"/>
    <w:rsid w:val="1B0048AC"/>
    <w:rsid w:val="1B0458F0"/>
    <w:rsid w:val="1B1C3FDE"/>
    <w:rsid w:val="1B1D6BE9"/>
    <w:rsid w:val="1B470047"/>
    <w:rsid w:val="1B532048"/>
    <w:rsid w:val="1B7C7EE4"/>
    <w:rsid w:val="1B7D6308"/>
    <w:rsid w:val="1B836DFE"/>
    <w:rsid w:val="1B8C7CEE"/>
    <w:rsid w:val="1BAB4E16"/>
    <w:rsid w:val="1BB26186"/>
    <w:rsid w:val="1BB53BDC"/>
    <w:rsid w:val="1BBA23FE"/>
    <w:rsid w:val="1BBF1ECA"/>
    <w:rsid w:val="1BD27C1A"/>
    <w:rsid w:val="1BD44279"/>
    <w:rsid w:val="1BDE07FE"/>
    <w:rsid w:val="1BDE24B0"/>
    <w:rsid w:val="1BE40CBC"/>
    <w:rsid w:val="1BED6203"/>
    <w:rsid w:val="1BFD436D"/>
    <w:rsid w:val="1C030CB5"/>
    <w:rsid w:val="1C24592E"/>
    <w:rsid w:val="1C310F6F"/>
    <w:rsid w:val="1C5D784B"/>
    <w:rsid w:val="1C8247FD"/>
    <w:rsid w:val="1C914B11"/>
    <w:rsid w:val="1C921ADF"/>
    <w:rsid w:val="1CA06411"/>
    <w:rsid w:val="1CA67242"/>
    <w:rsid w:val="1CB8192D"/>
    <w:rsid w:val="1CF242DF"/>
    <w:rsid w:val="1D223145"/>
    <w:rsid w:val="1D53441A"/>
    <w:rsid w:val="1D716283"/>
    <w:rsid w:val="1DA13704"/>
    <w:rsid w:val="1DA85F85"/>
    <w:rsid w:val="1DC2652B"/>
    <w:rsid w:val="1DEF7F3D"/>
    <w:rsid w:val="1E042043"/>
    <w:rsid w:val="1E412175"/>
    <w:rsid w:val="1E50111D"/>
    <w:rsid w:val="1E6122A1"/>
    <w:rsid w:val="1E664CB8"/>
    <w:rsid w:val="1E7B1B3B"/>
    <w:rsid w:val="1E7F7D70"/>
    <w:rsid w:val="1E825AED"/>
    <w:rsid w:val="1E93323C"/>
    <w:rsid w:val="1E9F39E5"/>
    <w:rsid w:val="1EA11E30"/>
    <w:rsid w:val="1ECE67C5"/>
    <w:rsid w:val="1EDF7FEB"/>
    <w:rsid w:val="1EE06428"/>
    <w:rsid w:val="1EEA3FFB"/>
    <w:rsid w:val="1F1B770B"/>
    <w:rsid w:val="1F400353"/>
    <w:rsid w:val="1F546A64"/>
    <w:rsid w:val="1F8E3152"/>
    <w:rsid w:val="1F953480"/>
    <w:rsid w:val="1F9976C1"/>
    <w:rsid w:val="1FC40D46"/>
    <w:rsid w:val="1FC82B6F"/>
    <w:rsid w:val="1FCA5B9A"/>
    <w:rsid w:val="1FDF3A0E"/>
    <w:rsid w:val="2019069B"/>
    <w:rsid w:val="201C3D2B"/>
    <w:rsid w:val="202A699D"/>
    <w:rsid w:val="202E1591"/>
    <w:rsid w:val="202F6D94"/>
    <w:rsid w:val="204C13D7"/>
    <w:rsid w:val="205B3B1C"/>
    <w:rsid w:val="20646E41"/>
    <w:rsid w:val="20734975"/>
    <w:rsid w:val="20796AF4"/>
    <w:rsid w:val="20A46ED6"/>
    <w:rsid w:val="20C935A5"/>
    <w:rsid w:val="20DC6F73"/>
    <w:rsid w:val="20DF7E26"/>
    <w:rsid w:val="20E03073"/>
    <w:rsid w:val="21155B71"/>
    <w:rsid w:val="2117596D"/>
    <w:rsid w:val="21194F67"/>
    <w:rsid w:val="212B4CD1"/>
    <w:rsid w:val="21566265"/>
    <w:rsid w:val="2159748B"/>
    <w:rsid w:val="215E1C5B"/>
    <w:rsid w:val="21630CD5"/>
    <w:rsid w:val="218B19D5"/>
    <w:rsid w:val="21936EC4"/>
    <w:rsid w:val="219B1AE5"/>
    <w:rsid w:val="21D25D41"/>
    <w:rsid w:val="21EA38E6"/>
    <w:rsid w:val="21EB385C"/>
    <w:rsid w:val="21EB4C83"/>
    <w:rsid w:val="22091F11"/>
    <w:rsid w:val="220D1DB7"/>
    <w:rsid w:val="221649C2"/>
    <w:rsid w:val="22243D75"/>
    <w:rsid w:val="22450F11"/>
    <w:rsid w:val="22455F55"/>
    <w:rsid w:val="22463EE2"/>
    <w:rsid w:val="224C7674"/>
    <w:rsid w:val="22521649"/>
    <w:rsid w:val="22682187"/>
    <w:rsid w:val="227B7CF4"/>
    <w:rsid w:val="22867836"/>
    <w:rsid w:val="229B5DD9"/>
    <w:rsid w:val="22DF3107"/>
    <w:rsid w:val="22F261EF"/>
    <w:rsid w:val="23655234"/>
    <w:rsid w:val="238B5388"/>
    <w:rsid w:val="239F4B23"/>
    <w:rsid w:val="23A25418"/>
    <w:rsid w:val="23A70A99"/>
    <w:rsid w:val="23FB0972"/>
    <w:rsid w:val="24077B63"/>
    <w:rsid w:val="24393CCB"/>
    <w:rsid w:val="24617A32"/>
    <w:rsid w:val="24715930"/>
    <w:rsid w:val="248A5083"/>
    <w:rsid w:val="249E3FA1"/>
    <w:rsid w:val="24C45B67"/>
    <w:rsid w:val="24D51090"/>
    <w:rsid w:val="24E80B31"/>
    <w:rsid w:val="24F7481F"/>
    <w:rsid w:val="24FC10C0"/>
    <w:rsid w:val="251F4612"/>
    <w:rsid w:val="25264295"/>
    <w:rsid w:val="253D0353"/>
    <w:rsid w:val="25411DF7"/>
    <w:rsid w:val="254E47E0"/>
    <w:rsid w:val="255F119C"/>
    <w:rsid w:val="256226AE"/>
    <w:rsid w:val="256D3A84"/>
    <w:rsid w:val="259750E6"/>
    <w:rsid w:val="25A16D81"/>
    <w:rsid w:val="25C063ED"/>
    <w:rsid w:val="25C222B7"/>
    <w:rsid w:val="25D70626"/>
    <w:rsid w:val="25EB0CCD"/>
    <w:rsid w:val="25EE7C35"/>
    <w:rsid w:val="26035B4B"/>
    <w:rsid w:val="260B5FB3"/>
    <w:rsid w:val="260E3EFC"/>
    <w:rsid w:val="261906FB"/>
    <w:rsid w:val="26262DF1"/>
    <w:rsid w:val="26310477"/>
    <w:rsid w:val="263D2762"/>
    <w:rsid w:val="26501462"/>
    <w:rsid w:val="265E7E4A"/>
    <w:rsid w:val="267D3321"/>
    <w:rsid w:val="26BA1789"/>
    <w:rsid w:val="26E52F4A"/>
    <w:rsid w:val="26EC2D18"/>
    <w:rsid w:val="26F6393B"/>
    <w:rsid w:val="26F663A5"/>
    <w:rsid w:val="26FD7255"/>
    <w:rsid w:val="271A330B"/>
    <w:rsid w:val="272D1A36"/>
    <w:rsid w:val="27432E2C"/>
    <w:rsid w:val="27441883"/>
    <w:rsid w:val="27745F0A"/>
    <w:rsid w:val="277928A1"/>
    <w:rsid w:val="27872954"/>
    <w:rsid w:val="27B207DF"/>
    <w:rsid w:val="27B36FE8"/>
    <w:rsid w:val="27D37F2A"/>
    <w:rsid w:val="2811594A"/>
    <w:rsid w:val="281E7C90"/>
    <w:rsid w:val="2839734E"/>
    <w:rsid w:val="28444955"/>
    <w:rsid w:val="2858761E"/>
    <w:rsid w:val="285B580A"/>
    <w:rsid w:val="28886CCF"/>
    <w:rsid w:val="288A69DC"/>
    <w:rsid w:val="28900411"/>
    <w:rsid w:val="289F676F"/>
    <w:rsid w:val="28E00E19"/>
    <w:rsid w:val="292148E0"/>
    <w:rsid w:val="292D48E1"/>
    <w:rsid w:val="293A5EAD"/>
    <w:rsid w:val="2942068D"/>
    <w:rsid w:val="294B3401"/>
    <w:rsid w:val="29501D76"/>
    <w:rsid w:val="29BC13EC"/>
    <w:rsid w:val="29C613F1"/>
    <w:rsid w:val="29C7492B"/>
    <w:rsid w:val="29CF4F42"/>
    <w:rsid w:val="29EB325A"/>
    <w:rsid w:val="29EF4C68"/>
    <w:rsid w:val="2A070CD0"/>
    <w:rsid w:val="2A28518E"/>
    <w:rsid w:val="2A2A1FF2"/>
    <w:rsid w:val="2A3428A6"/>
    <w:rsid w:val="2A457DE6"/>
    <w:rsid w:val="2A5074A7"/>
    <w:rsid w:val="2A5741BB"/>
    <w:rsid w:val="2A82394C"/>
    <w:rsid w:val="2A92586B"/>
    <w:rsid w:val="2AB24713"/>
    <w:rsid w:val="2AB257F0"/>
    <w:rsid w:val="2ABA7960"/>
    <w:rsid w:val="2ABB462F"/>
    <w:rsid w:val="2AD66330"/>
    <w:rsid w:val="2AD9739F"/>
    <w:rsid w:val="2AE207DD"/>
    <w:rsid w:val="2AE81EBB"/>
    <w:rsid w:val="2AF83048"/>
    <w:rsid w:val="2B28432E"/>
    <w:rsid w:val="2B334157"/>
    <w:rsid w:val="2B3D3D8A"/>
    <w:rsid w:val="2B4176EA"/>
    <w:rsid w:val="2B511DC9"/>
    <w:rsid w:val="2B53711C"/>
    <w:rsid w:val="2B7526C8"/>
    <w:rsid w:val="2B82332B"/>
    <w:rsid w:val="2BC216D4"/>
    <w:rsid w:val="2BC36FC5"/>
    <w:rsid w:val="2BDA1145"/>
    <w:rsid w:val="2C0E6B61"/>
    <w:rsid w:val="2C1440F5"/>
    <w:rsid w:val="2C164D3E"/>
    <w:rsid w:val="2C33078A"/>
    <w:rsid w:val="2C3F7E49"/>
    <w:rsid w:val="2C58214E"/>
    <w:rsid w:val="2C5F4609"/>
    <w:rsid w:val="2C621DC4"/>
    <w:rsid w:val="2C714805"/>
    <w:rsid w:val="2C7A3207"/>
    <w:rsid w:val="2C836EED"/>
    <w:rsid w:val="2C8535B1"/>
    <w:rsid w:val="2CA3527E"/>
    <w:rsid w:val="2CE1321F"/>
    <w:rsid w:val="2CEA67A1"/>
    <w:rsid w:val="2D0263E5"/>
    <w:rsid w:val="2D1E1189"/>
    <w:rsid w:val="2D223DB9"/>
    <w:rsid w:val="2D232CD4"/>
    <w:rsid w:val="2D2C5236"/>
    <w:rsid w:val="2D4A1FFF"/>
    <w:rsid w:val="2D6505E1"/>
    <w:rsid w:val="2D7042AF"/>
    <w:rsid w:val="2D7050C6"/>
    <w:rsid w:val="2D7E0B4D"/>
    <w:rsid w:val="2DC8120A"/>
    <w:rsid w:val="2DD04474"/>
    <w:rsid w:val="2DD764F6"/>
    <w:rsid w:val="2DE3095E"/>
    <w:rsid w:val="2E613B22"/>
    <w:rsid w:val="2E8B762B"/>
    <w:rsid w:val="2EA748D4"/>
    <w:rsid w:val="2EAC037F"/>
    <w:rsid w:val="2EB94543"/>
    <w:rsid w:val="2ECA7EA6"/>
    <w:rsid w:val="2ED40D31"/>
    <w:rsid w:val="2ED5277E"/>
    <w:rsid w:val="2ED94C9B"/>
    <w:rsid w:val="2EE02321"/>
    <w:rsid w:val="2EE10FAF"/>
    <w:rsid w:val="2EF106DD"/>
    <w:rsid w:val="2EF45F95"/>
    <w:rsid w:val="2EFE4A55"/>
    <w:rsid w:val="2F06465A"/>
    <w:rsid w:val="2F15723F"/>
    <w:rsid w:val="2F2B1B51"/>
    <w:rsid w:val="2F6B46F6"/>
    <w:rsid w:val="2F7775F3"/>
    <w:rsid w:val="2F8D56DC"/>
    <w:rsid w:val="2FA7473E"/>
    <w:rsid w:val="2FAE5BC7"/>
    <w:rsid w:val="2FB46134"/>
    <w:rsid w:val="300278EC"/>
    <w:rsid w:val="302734B6"/>
    <w:rsid w:val="30373432"/>
    <w:rsid w:val="303B19BB"/>
    <w:rsid w:val="304732FA"/>
    <w:rsid w:val="30505040"/>
    <w:rsid w:val="30550F51"/>
    <w:rsid w:val="307D642B"/>
    <w:rsid w:val="309F40C7"/>
    <w:rsid w:val="30A66662"/>
    <w:rsid w:val="30C41B9E"/>
    <w:rsid w:val="30F10F49"/>
    <w:rsid w:val="30F53E09"/>
    <w:rsid w:val="311D7D93"/>
    <w:rsid w:val="3143335C"/>
    <w:rsid w:val="318241E8"/>
    <w:rsid w:val="318C6694"/>
    <w:rsid w:val="318E3D40"/>
    <w:rsid w:val="319B6819"/>
    <w:rsid w:val="31B8238D"/>
    <w:rsid w:val="31BA5F3E"/>
    <w:rsid w:val="31CC7538"/>
    <w:rsid w:val="31E72DD1"/>
    <w:rsid w:val="31EE0715"/>
    <w:rsid w:val="32194E3A"/>
    <w:rsid w:val="324870FD"/>
    <w:rsid w:val="324C4E2B"/>
    <w:rsid w:val="325309FC"/>
    <w:rsid w:val="326D0B59"/>
    <w:rsid w:val="32812F19"/>
    <w:rsid w:val="328D30F8"/>
    <w:rsid w:val="3292316E"/>
    <w:rsid w:val="32B220AC"/>
    <w:rsid w:val="32BA5020"/>
    <w:rsid w:val="32E52AE4"/>
    <w:rsid w:val="32FE34A1"/>
    <w:rsid w:val="331065D7"/>
    <w:rsid w:val="331B032F"/>
    <w:rsid w:val="3343163F"/>
    <w:rsid w:val="335222DF"/>
    <w:rsid w:val="335D1995"/>
    <w:rsid w:val="33803483"/>
    <w:rsid w:val="3387262B"/>
    <w:rsid w:val="339305F5"/>
    <w:rsid w:val="33A04EA1"/>
    <w:rsid w:val="33A647EE"/>
    <w:rsid w:val="33A85FB9"/>
    <w:rsid w:val="33AF3E18"/>
    <w:rsid w:val="33C62382"/>
    <w:rsid w:val="33D770C1"/>
    <w:rsid w:val="33F1507D"/>
    <w:rsid w:val="34072C17"/>
    <w:rsid w:val="340C39BA"/>
    <w:rsid w:val="343B3845"/>
    <w:rsid w:val="34456F98"/>
    <w:rsid w:val="34512AC2"/>
    <w:rsid w:val="345E48BF"/>
    <w:rsid w:val="346B46B8"/>
    <w:rsid w:val="349B7004"/>
    <w:rsid w:val="34B74DF8"/>
    <w:rsid w:val="34BC1EA5"/>
    <w:rsid w:val="34CB5812"/>
    <w:rsid w:val="34E75E7F"/>
    <w:rsid w:val="34F52C48"/>
    <w:rsid w:val="34FB0D4E"/>
    <w:rsid w:val="350C2048"/>
    <w:rsid w:val="351A24E7"/>
    <w:rsid w:val="353941D9"/>
    <w:rsid w:val="353E5826"/>
    <w:rsid w:val="35581A08"/>
    <w:rsid w:val="355E7D31"/>
    <w:rsid w:val="3575771D"/>
    <w:rsid w:val="357F1C79"/>
    <w:rsid w:val="35A60286"/>
    <w:rsid w:val="35A713CC"/>
    <w:rsid w:val="35B00934"/>
    <w:rsid w:val="35CA43D7"/>
    <w:rsid w:val="35CA4885"/>
    <w:rsid w:val="35D526C8"/>
    <w:rsid w:val="35E320C6"/>
    <w:rsid w:val="360A4F67"/>
    <w:rsid w:val="360F22D8"/>
    <w:rsid w:val="361B56A7"/>
    <w:rsid w:val="36227506"/>
    <w:rsid w:val="363B0CA5"/>
    <w:rsid w:val="364A22F5"/>
    <w:rsid w:val="3651559C"/>
    <w:rsid w:val="36905963"/>
    <w:rsid w:val="36A6151F"/>
    <w:rsid w:val="36B1398D"/>
    <w:rsid w:val="36DB75C2"/>
    <w:rsid w:val="36ED5F87"/>
    <w:rsid w:val="36F22CB5"/>
    <w:rsid w:val="370B4277"/>
    <w:rsid w:val="370C3F45"/>
    <w:rsid w:val="37111AA6"/>
    <w:rsid w:val="37113D06"/>
    <w:rsid w:val="3715437C"/>
    <w:rsid w:val="372B6CED"/>
    <w:rsid w:val="37472438"/>
    <w:rsid w:val="37620335"/>
    <w:rsid w:val="376D5ACE"/>
    <w:rsid w:val="381276B3"/>
    <w:rsid w:val="38602911"/>
    <w:rsid w:val="38936EAA"/>
    <w:rsid w:val="389D11D5"/>
    <w:rsid w:val="38A02CB1"/>
    <w:rsid w:val="38C2183D"/>
    <w:rsid w:val="38C62455"/>
    <w:rsid w:val="38D23B23"/>
    <w:rsid w:val="38D83841"/>
    <w:rsid w:val="38F65F5D"/>
    <w:rsid w:val="391921C1"/>
    <w:rsid w:val="392F38B8"/>
    <w:rsid w:val="39304BFD"/>
    <w:rsid w:val="393A22E6"/>
    <w:rsid w:val="395138E3"/>
    <w:rsid w:val="39636ACC"/>
    <w:rsid w:val="39677DE1"/>
    <w:rsid w:val="397074B2"/>
    <w:rsid w:val="39750984"/>
    <w:rsid w:val="39827520"/>
    <w:rsid w:val="39872778"/>
    <w:rsid w:val="39AF0FA6"/>
    <w:rsid w:val="39E83D80"/>
    <w:rsid w:val="39FC0411"/>
    <w:rsid w:val="3A047098"/>
    <w:rsid w:val="3A0B3362"/>
    <w:rsid w:val="3A316CBF"/>
    <w:rsid w:val="3A380917"/>
    <w:rsid w:val="3A3B1BB8"/>
    <w:rsid w:val="3A8A13BB"/>
    <w:rsid w:val="3ACC6DBE"/>
    <w:rsid w:val="3AD416D0"/>
    <w:rsid w:val="3ADB1A23"/>
    <w:rsid w:val="3ADC1AD0"/>
    <w:rsid w:val="3AEA0DEB"/>
    <w:rsid w:val="3B251B47"/>
    <w:rsid w:val="3B2E7CD6"/>
    <w:rsid w:val="3B5740B9"/>
    <w:rsid w:val="3B6647A0"/>
    <w:rsid w:val="3B92483B"/>
    <w:rsid w:val="3BA62E05"/>
    <w:rsid w:val="3BAD27FE"/>
    <w:rsid w:val="3BD762A9"/>
    <w:rsid w:val="3C200CD6"/>
    <w:rsid w:val="3C3A2A89"/>
    <w:rsid w:val="3C5C68FC"/>
    <w:rsid w:val="3C922955"/>
    <w:rsid w:val="3CB93556"/>
    <w:rsid w:val="3CBC240D"/>
    <w:rsid w:val="3CD63D5A"/>
    <w:rsid w:val="3CDD7510"/>
    <w:rsid w:val="3CDE7BB8"/>
    <w:rsid w:val="3D1F4A23"/>
    <w:rsid w:val="3D297EFF"/>
    <w:rsid w:val="3D2E3638"/>
    <w:rsid w:val="3D3E022D"/>
    <w:rsid w:val="3D4273AB"/>
    <w:rsid w:val="3D562148"/>
    <w:rsid w:val="3D6F3DF7"/>
    <w:rsid w:val="3DA507C9"/>
    <w:rsid w:val="3DAC097E"/>
    <w:rsid w:val="3DDF7BC3"/>
    <w:rsid w:val="3DF10550"/>
    <w:rsid w:val="3DF5376E"/>
    <w:rsid w:val="3DF979E5"/>
    <w:rsid w:val="3E0C0F5E"/>
    <w:rsid w:val="3E1C7671"/>
    <w:rsid w:val="3E286A6D"/>
    <w:rsid w:val="3E3A41D2"/>
    <w:rsid w:val="3E4443DC"/>
    <w:rsid w:val="3E6C709A"/>
    <w:rsid w:val="3E7265F8"/>
    <w:rsid w:val="3E806B79"/>
    <w:rsid w:val="3E9451C2"/>
    <w:rsid w:val="3E967C46"/>
    <w:rsid w:val="3E977D54"/>
    <w:rsid w:val="3E9A2101"/>
    <w:rsid w:val="3E9B6380"/>
    <w:rsid w:val="3EC2339D"/>
    <w:rsid w:val="3EC711C7"/>
    <w:rsid w:val="3EC84B25"/>
    <w:rsid w:val="3ED02272"/>
    <w:rsid w:val="3EF54350"/>
    <w:rsid w:val="3EFC2417"/>
    <w:rsid w:val="3F08668F"/>
    <w:rsid w:val="3F0E378D"/>
    <w:rsid w:val="3F197FC7"/>
    <w:rsid w:val="3F3032DC"/>
    <w:rsid w:val="3F4A6C32"/>
    <w:rsid w:val="3F4B7CBB"/>
    <w:rsid w:val="3F5F00BD"/>
    <w:rsid w:val="3F604604"/>
    <w:rsid w:val="3F650C5E"/>
    <w:rsid w:val="3F673237"/>
    <w:rsid w:val="3F6B5943"/>
    <w:rsid w:val="3F775368"/>
    <w:rsid w:val="3F7D0346"/>
    <w:rsid w:val="3FA21386"/>
    <w:rsid w:val="3FAD65F2"/>
    <w:rsid w:val="3FAE3C04"/>
    <w:rsid w:val="3FBD17C8"/>
    <w:rsid w:val="3FD23641"/>
    <w:rsid w:val="3FDF7CCB"/>
    <w:rsid w:val="3FF4770F"/>
    <w:rsid w:val="400E245B"/>
    <w:rsid w:val="40156631"/>
    <w:rsid w:val="403F4829"/>
    <w:rsid w:val="404A56AB"/>
    <w:rsid w:val="40640B2E"/>
    <w:rsid w:val="40737B03"/>
    <w:rsid w:val="408565DF"/>
    <w:rsid w:val="40D52974"/>
    <w:rsid w:val="40DE4F05"/>
    <w:rsid w:val="40EA7211"/>
    <w:rsid w:val="41017D38"/>
    <w:rsid w:val="41052F15"/>
    <w:rsid w:val="412716C0"/>
    <w:rsid w:val="41296936"/>
    <w:rsid w:val="412D73AF"/>
    <w:rsid w:val="41394620"/>
    <w:rsid w:val="414A04D7"/>
    <w:rsid w:val="41532E93"/>
    <w:rsid w:val="415D64DE"/>
    <w:rsid w:val="417B582A"/>
    <w:rsid w:val="417B5C65"/>
    <w:rsid w:val="418109C5"/>
    <w:rsid w:val="41861158"/>
    <w:rsid w:val="41AE46E3"/>
    <w:rsid w:val="41C10458"/>
    <w:rsid w:val="41D13D4D"/>
    <w:rsid w:val="41F161F5"/>
    <w:rsid w:val="42077704"/>
    <w:rsid w:val="420D55C0"/>
    <w:rsid w:val="422618CD"/>
    <w:rsid w:val="42333A14"/>
    <w:rsid w:val="423B5B60"/>
    <w:rsid w:val="425B4F53"/>
    <w:rsid w:val="4288177A"/>
    <w:rsid w:val="428D21DA"/>
    <w:rsid w:val="429339EE"/>
    <w:rsid w:val="42E66E8B"/>
    <w:rsid w:val="42E7405D"/>
    <w:rsid w:val="42FB68A1"/>
    <w:rsid w:val="430D1E4F"/>
    <w:rsid w:val="430D2998"/>
    <w:rsid w:val="430F6DC9"/>
    <w:rsid w:val="4330344B"/>
    <w:rsid w:val="433E6644"/>
    <w:rsid w:val="43512CB3"/>
    <w:rsid w:val="43562DC3"/>
    <w:rsid w:val="435A1B44"/>
    <w:rsid w:val="436D19B1"/>
    <w:rsid w:val="439829C4"/>
    <w:rsid w:val="43A147C3"/>
    <w:rsid w:val="43A81949"/>
    <w:rsid w:val="43BC36FB"/>
    <w:rsid w:val="43DF7138"/>
    <w:rsid w:val="43F235BF"/>
    <w:rsid w:val="4407278A"/>
    <w:rsid w:val="44077B8C"/>
    <w:rsid w:val="44375AAB"/>
    <w:rsid w:val="443B26E2"/>
    <w:rsid w:val="443B7384"/>
    <w:rsid w:val="444A7F72"/>
    <w:rsid w:val="44555484"/>
    <w:rsid w:val="44580936"/>
    <w:rsid w:val="44626529"/>
    <w:rsid w:val="446F33FA"/>
    <w:rsid w:val="44847E27"/>
    <w:rsid w:val="448A42DF"/>
    <w:rsid w:val="448C733E"/>
    <w:rsid w:val="44A13B07"/>
    <w:rsid w:val="44A604BE"/>
    <w:rsid w:val="44AD6158"/>
    <w:rsid w:val="44B05695"/>
    <w:rsid w:val="45187E2F"/>
    <w:rsid w:val="454F2282"/>
    <w:rsid w:val="455307FA"/>
    <w:rsid w:val="456301CB"/>
    <w:rsid w:val="45732C54"/>
    <w:rsid w:val="458B6D53"/>
    <w:rsid w:val="458F476F"/>
    <w:rsid w:val="459271BB"/>
    <w:rsid w:val="4597587F"/>
    <w:rsid w:val="45A178F6"/>
    <w:rsid w:val="45DE7238"/>
    <w:rsid w:val="460B5E22"/>
    <w:rsid w:val="462C1D22"/>
    <w:rsid w:val="4631359B"/>
    <w:rsid w:val="463C35B8"/>
    <w:rsid w:val="463E2A74"/>
    <w:rsid w:val="46627EB8"/>
    <w:rsid w:val="46776C06"/>
    <w:rsid w:val="46927C0B"/>
    <w:rsid w:val="46987E28"/>
    <w:rsid w:val="46A92D0D"/>
    <w:rsid w:val="46ED024E"/>
    <w:rsid w:val="46FA742D"/>
    <w:rsid w:val="470C4A32"/>
    <w:rsid w:val="47276FB2"/>
    <w:rsid w:val="47505B9C"/>
    <w:rsid w:val="47507355"/>
    <w:rsid w:val="476A326E"/>
    <w:rsid w:val="476F5BD3"/>
    <w:rsid w:val="477D2019"/>
    <w:rsid w:val="478D3EBD"/>
    <w:rsid w:val="47902AE8"/>
    <w:rsid w:val="479162DE"/>
    <w:rsid w:val="47AB3CBC"/>
    <w:rsid w:val="47CA6E65"/>
    <w:rsid w:val="47CC2C93"/>
    <w:rsid w:val="47DE1A4E"/>
    <w:rsid w:val="47FF1628"/>
    <w:rsid w:val="48000505"/>
    <w:rsid w:val="480F7137"/>
    <w:rsid w:val="481952B5"/>
    <w:rsid w:val="486A10B0"/>
    <w:rsid w:val="486D749A"/>
    <w:rsid w:val="486F1D0F"/>
    <w:rsid w:val="48802C01"/>
    <w:rsid w:val="48826229"/>
    <w:rsid w:val="48864939"/>
    <w:rsid w:val="489068E9"/>
    <w:rsid w:val="489733D4"/>
    <w:rsid w:val="489D325F"/>
    <w:rsid w:val="489E49A7"/>
    <w:rsid w:val="48A241E7"/>
    <w:rsid w:val="48B301AB"/>
    <w:rsid w:val="48C20621"/>
    <w:rsid w:val="48C40179"/>
    <w:rsid w:val="48C47A30"/>
    <w:rsid w:val="48CA6296"/>
    <w:rsid w:val="48E0744C"/>
    <w:rsid w:val="48F82DE8"/>
    <w:rsid w:val="48FB47D4"/>
    <w:rsid w:val="49032AC5"/>
    <w:rsid w:val="49226598"/>
    <w:rsid w:val="493265F8"/>
    <w:rsid w:val="494E4363"/>
    <w:rsid w:val="49615D42"/>
    <w:rsid w:val="496623AD"/>
    <w:rsid w:val="49761EC9"/>
    <w:rsid w:val="49771AF9"/>
    <w:rsid w:val="49A047B8"/>
    <w:rsid w:val="49AF22EA"/>
    <w:rsid w:val="49D62C9D"/>
    <w:rsid w:val="49E10F14"/>
    <w:rsid w:val="49F421E0"/>
    <w:rsid w:val="49FE3165"/>
    <w:rsid w:val="4A007C4A"/>
    <w:rsid w:val="4A1B7422"/>
    <w:rsid w:val="4A2160D4"/>
    <w:rsid w:val="4A220012"/>
    <w:rsid w:val="4A352D71"/>
    <w:rsid w:val="4A5B6FCD"/>
    <w:rsid w:val="4A817D56"/>
    <w:rsid w:val="4A8B785B"/>
    <w:rsid w:val="4A9C3C2A"/>
    <w:rsid w:val="4AA15CDF"/>
    <w:rsid w:val="4AAC7872"/>
    <w:rsid w:val="4AD435BE"/>
    <w:rsid w:val="4AE10180"/>
    <w:rsid w:val="4AE7460C"/>
    <w:rsid w:val="4B161097"/>
    <w:rsid w:val="4B4007A0"/>
    <w:rsid w:val="4B6039CA"/>
    <w:rsid w:val="4B6F757C"/>
    <w:rsid w:val="4B7579F5"/>
    <w:rsid w:val="4B915592"/>
    <w:rsid w:val="4B927ADB"/>
    <w:rsid w:val="4BE1137A"/>
    <w:rsid w:val="4BE470E3"/>
    <w:rsid w:val="4BE8236B"/>
    <w:rsid w:val="4C1E5B7B"/>
    <w:rsid w:val="4C5B72A6"/>
    <w:rsid w:val="4C5C44A8"/>
    <w:rsid w:val="4C647F8B"/>
    <w:rsid w:val="4CB66E06"/>
    <w:rsid w:val="4CD9658D"/>
    <w:rsid w:val="4CF30DFC"/>
    <w:rsid w:val="4D04624B"/>
    <w:rsid w:val="4D111FE3"/>
    <w:rsid w:val="4D1F33AF"/>
    <w:rsid w:val="4D255833"/>
    <w:rsid w:val="4D3A1520"/>
    <w:rsid w:val="4D512157"/>
    <w:rsid w:val="4D647A1E"/>
    <w:rsid w:val="4D7022CF"/>
    <w:rsid w:val="4D7E765F"/>
    <w:rsid w:val="4D810EFD"/>
    <w:rsid w:val="4D836E6B"/>
    <w:rsid w:val="4DAA7220"/>
    <w:rsid w:val="4DB43B53"/>
    <w:rsid w:val="4DBD60A1"/>
    <w:rsid w:val="4DC73CEB"/>
    <w:rsid w:val="4DCD11E2"/>
    <w:rsid w:val="4DEA2DBD"/>
    <w:rsid w:val="4DF15ABE"/>
    <w:rsid w:val="4E0956EA"/>
    <w:rsid w:val="4E2918B5"/>
    <w:rsid w:val="4E4576D0"/>
    <w:rsid w:val="4E4647AF"/>
    <w:rsid w:val="4E6B29FE"/>
    <w:rsid w:val="4E7C03B8"/>
    <w:rsid w:val="4E7D20D1"/>
    <w:rsid w:val="4E9071DC"/>
    <w:rsid w:val="4E9D56E7"/>
    <w:rsid w:val="4EA273A7"/>
    <w:rsid w:val="4EBB1D33"/>
    <w:rsid w:val="4EBD7738"/>
    <w:rsid w:val="4EC53DC3"/>
    <w:rsid w:val="4ED15F4A"/>
    <w:rsid w:val="4ED35788"/>
    <w:rsid w:val="4ED80E18"/>
    <w:rsid w:val="4EE1681B"/>
    <w:rsid w:val="4EE566FA"/>
    <w:rsid w:val="4EF31987"/>
    <w:rsid w:val="4EF3605B"/>
    <w:rsid w:val="4F1B66EA"/>
    <w:rsid w:val="4F1D1FFB"/>
    <w:rsid w:val="4F4078A1"/>
    <w:rsid w:val="4F4169B1"/>
    <w:rsid w:val="4F49434E"/>
    <w:rsid w:val="4F524790"/>
    <w:rsid w:val="4F59011D"/>
    <w:rsid w:val="4F710BA2"/>
    <w:rsid w:val="4FC123A3"/>
    <w:rsid w:val="4FD615BA"/>
    <w:rsid w:val="4FE6467C"/>
    <w:rsid w:val="4FE6647D"/>
    <w:rsid w:val="4FE722BC"/>
    <w:rsid w:val="50291026"/>
    <w:rsid w:val="503C25D7"/>
    <w:rsid w:val="50516642"/>
    <w:rsid w:val="505B0F00"/>
    <w:rsid w:val="505F3C76"/>
    <w:rsid w:val="50A63B01"/>
    <w:rsid w:val="50A95C1F"/>
    <w:rsid w:val="50C07DA6"/>
    <w:rsid w:val="50DB08C7"/>
    <w:rsid w:val="50E708D0"/>
    <w:rsid w:val="50F57AE4"/>
    <w:rsid w:val="50FC0C08"/>
    <w:rsid w:val="5101521E"/>
    <w:rsid w:val="51063A9B"/>
    <w:rsid w:val="5106568F"/>
    <w:rsid w:val="5118746F"/>
    <w:rsid w:val="513A6742"/>
    <w:rsid w:val="513B0E77"/>
    <w:rsid w:val="51613259"/>
    <w:rsid w:val="516967C4"/>
    <w:rsid w:val="51792461"/>
    <w:rsid w:val="517C5E04"/>
    <w:rsid w:val="518E0501"/>
    <w:rsid w:val="51AF7B00"/>
    <w:rsid w:val="51B015D8"/>
    <w:rsid w:val="51DF4586"/>
    <w:rsid w:val="51E6689E"/>
    <w:rsid w:val="520366C7"/>
    <w:rsid w:val="520C673C"/>
    <w:rsid w:val="5210793F"/>
    <w:rsid w:val="521F208E"/>
    <w:rsid w:val="524E1B19"/>
    <w:rsid w:val="525F396D"/>
    <w:rsid w:val="526B2321"/>
    <w:rsid w:val="526C4169"/>
    <w:rsid w:val="528F074A"/>
    <w:rsid w:val="528F1686"/>
    <w:rsid w:val="52AE49EE"/>
    <w:rsid w:val="52C214F6"/>
    <w:rsid w:val="52C55DF8"/>
    <w:rsid w:val="52CD015B"/>
    <w:rsid w:val="52E86E34"/>
    <w:rsid w:val="532C753B"/>
    <w:rsid w:val="53392927"/>
    <w:rsid w:val="53434A77"/>
    <w:rsid w:val="5359147A"/>
    <w:rsid w:val="53777766"/>
    <w:rsid w:val="53807DFC"/>
    <w:rsid w:val="540E566C"/>
    <w:rsid w:val="5460247A"/>
    <w:rsid w:val="546219CD"/>
    <w:rsid w:val="54776AA0"/>
    <w:rsid w:val="54977793"/>
    <w:rsid w:val="54C44BDE"/>
    <w:rsid w:val="54D11704"/>
    <w:rsid w:val="54D2203E"/>
    <w:rsid w:val="55034282"/>
    <w:rsid w:val="55063CA9"/>
    <w:rsid w:val="55344B3D"/>
    <w:rsid w:val="5568004D"/>
    <w:rsid w:val="55695402"/>
    <w:rsid w:val="55906AA8"/>
    <w:rsid w:val="559D66D5"/>
    <w:rsid w:val="55A54385"/>
    <w:rsid w:val="55A91E9E"/>
    <w:rsid w:val="55C82FEE"/>
    <w:rsid w:val="55CB4E15"/>
    <w:rsid w:val="55CF78BA"/>
    <w:rsid w:val="55FA184D"/>
    <w:rsid w:val="56147803"/>
    <w:rsid w:val="561F5FBF"/>
    <w:rsid w:val="56551CBC"/>
    <w:rsid w:val="565948FE"/>
    <w:rsid w:val="565B0BFE"/>
    <w:rsid w:val="56726DE3"/>
    <w:rsid w:val="5679285B"/>
    <w:rsid w:val="569A6DBF"/>
    <w:rsid w:val="56C3779F"/>
    <w:rsid w:val="56C47BCE"/>
    <w:rsid w:val="56FD671D"/>
    <w:rsid w:val="572B1BB7"/>
    <w:rsid w:val="572E4178"/>
    <w:rsid w:val="57311600"/>
    <w:rsid w:val="574B0427"/>
    <w:rsid w:val="57802582"/>
    <w:rsid w:val="57A1513A"/>
    <w:rsid w:val="57A2433B"/>
    <w:rsid w:val="57E6062E"/>
    <w:rsid w:val="57E718ED"/>
    <w:rsid w:val="57FE0694"/>
    <w:rsid w:val="58022D77"/>
    <w:rsid w:val="58056FCA"/>
    <w:rsid w:val="582E7C78"/>
    <w:rsid w:val="58341CBF"/>
    <w:rsid w:val="58423FB0"/>
    <w:rsid w:val="58620987"/>
    <w:rsid w:val="587A0060"/>
    <w:rsid w:val="588A0052"/>
    <w:rsid w:val="58CC62EF"/>
    <w:rsid w:val="58DD1C2A"/>
    <w:rsid w:val="58DF795E"/>
    <w:rsid w:val="58E12FD2"/>
    <w:rsid w:val="59062F98"/>
    <w:rsid w:val="590C1835"/>
    <w:rsid w:val="592733D1"/>
    <w:rsid w:val="595772AA"/>
    <w:rsid w:val="59606B56"/>
    <w:rsid w:val="598B5EF6"/>
    <w:rsid w:val="59A84427"/>
    <w:rsid w:val="59CC5B1E"/>
    <w:rsid w:val="59CF30D9"/>
    <w:rsid w:val="59D547F8"/>
    <w:rsid w:val="59F8471F"/>
    <w:rsid w:val="5A09059E"/>
    <w:rsid w:val="5A107D10"/>
    <w:rsid w:val="5A1C320C"/>
    <w:rsid w:val="5A333471"/>
    <w:rsid w:val="5A450BD8"/>
    <w:rsid w:val="5A6E293F"/>
    <w:rsid w:val="5A9A1E11"/>
    <w:rsid w:val="5AAB0477"/>
    <w:rsid w:val="5ADE0739"/>
    <w:rsid w:val="5AF44415"/>
    <w:rsid w:val="5B145EC9"/>
    <w:rsid w:val="5B1E2ADE"/>
    <w:rsid w:val="5B287FCC"/>
    <w:rsid w:val="5B343DDA"/>
    <w:rsid w:val="5B494DB1"/>
    <w:rsid w:val="5B783474"/>
    <w:rsid w:val="5B7B3430"/>
    <w:rsid w:val="5B904974"/>
    <w:rsid w:val="5B9A24B0"/>
    <w:rsid w:val="5B9A60B4"/>
    <w:rsid w:val="5B9F27AC"/>
    <w:rsid w:val="5BB573A6"/>
    <w:rsid w:val="5BBC5A3F"/>
    <w:rsid w:val="5BCC6EA0"/>
    <w:rsid w:val="5BCD26B9"/>
    <w:rsid w:val="5BCD3329"/>
    <w:rsid w:val="5BD23E86"/>
    <w:rsid w:val="5BFA27AF"/>
    <w:rsid w:val="5BFB6679"/>
    <w:rsid w:val="5C1251FE"/>
    <w:rsid w:val="5C1D1C76"/>
    <w:rsid w:val="5C2A5D46"/>
    <w:rsid w:val="5C371191"/>
    <w:rsid w:val="5C6F7CA5"/>
    <w:rsid w:val="5C8F54C2"/>
    <w:rsid w:val="5C9A499D"/>
    <w:rsid w:val="5CBA4308"/>
    <w:rsid w:val="5CD22D09"/>
    <w:rsid w:val="5CE24888"/>
    <w:rsid w:val="5CEF513C"/>
    <w:rsid w:val="5CF31684"/>
    <w:rsid w:val="5D165EC3"/>
    <w:rsid w:val="5D172672"/>
    <w:rsid w:val="5D1D206F"/>
    <w:rsid w:val="5D2343FC"/>
    <w:rsid w:val="5D2F578B"/>
    <w:rsid w:val="5D5970AF"/>
    <w:rsid w:val="5D5C2A54"/>
    <w:rsid w:val="5D5D06DD"/>
    <w:rsid w:val="5D614AB8"/>
    <w:rsid w:val="5D7853B2"/>
    <w:rsid w:val="5D7E063F"/>
    <w:rsid w:val="5D8031A1"/>
    <w:rsid w:val="5D8161DE"/>
    <w:rsid w:val="5DA13230"/>
    <w:rsid w:val="5DA7079C"/>
    <w:rsid w:val="5DCA0508"/>
    <w:rsid w:val="5DCD60E6"/>
    <w:rsid w:val="5DED6DCE"/>
    <w:rsid w:val="5DF77B69"/>
    <w:rsid w:val="5DFE01C6"/>
    <w:rsid w:val="5E34444A"/>
    <w:rsid w:val="5E542629"/>
    <w:rsid w:val="5E5566D3"/>
    <w:rsid w:val="5E6F573C"/>
    <w:rsid w:val="5E816F6E"/>
    <w:rsid w:val="5E9A3C9E"/>
    <w:rsid w:val="5EA06FE9"/>
    <w:rsid w:val="5EAA191B"/>
    <w:rsid w:val="5EB45CD9"/>
    <w:rsid w:val="5EC2169E"/>
    <w:rsid w:val="5F492559"/>
    <w:rsid w:val="5F522D59"/>
    <w:rsid w:val="5F525AB3"/>
    <w:rsid w:val="5F610B8F"/>
    <w:rsid w:val="5F8D2F9F"/>
    <w:rsid w:val="5F921251"/>
    <w:rsid w:val="5FA402FE"/>
    <w:rsid w:val="5FA82790"/>
    <w:rsid w:val="5FBF5463"/>
    <w:rsid w:val="5FED6312"/>
    <w:rsid w:val="5FF4084B"/>
    <w:rsid w:val="5FF60176"/>
    <w:rsid w:val="60000ACE"/>
    <w:rsid w:val="600B3C7F"/>
    <w:rsid w:val="600E6652"/>
    <w:rsid w:val="60181FFC"/>
    <w:rsid w:val="601D0F10"/>
    <w:rsid w:val="603C4F45"/>
    <w:rsid w:val="605827C8"/>
    <w:rsid w:val="60606348"/>
    <w:rsid w:val="60620E36"/>
    <w:rsid w:val="606561F6"/>
    <w:rsid w:val="60735001"/>
    <w:rsid w:val="6074623A"/>
    <w:rsid w:val="60787B35"/>
    <w:rsid w:val="6079499F"/>
    <w:rsid w:val="60803E85"/>
    <w:rsid w:val="60850176"/>
    <w:rsid w:val="60883444"/>
    <w:rsid w:val="608D7E06"/>
    <w:rsid w:val="60950F7E"/>
    <w:rsid w:val="60A122FD"/>
    <w:rsid w:val="60B620E5"/>
    <w:rsid w:val="60B85BEE"/>
    <w:rsid w:val="60C7131C"/>
    <w:rsid w:val="60CC6DA9"/>
    <w:rsid w:val="60D14CD0"/>
    <w:rsid w:val="61300ED6"/>
    <w:rsid w:val="61395C4A"/>
    <w:rsid w:val="61420686"/>
    <w:rsid w:val="614B6011"/>
    <w:rsid w:val="615745A0"/>
    <w:rsid w:val="61796E59"/>
    <w:rsid w:val="61797930"/>
    <w:rsid w:val="619008D3"/>
    <w:rsid w:val="61A740EA"/>
    <w:rsid w:val="61AD3B10"/>
    <w:rsid w:val="61BF4EF5"/>
    <w:rsid w:val="61E46FAC"/>
    <w:rsid w:val="62216F59"/>
    <w:rsid w:val="622A3D98"/>
    <w:rsid w:val="623138CC"/>
    <w:rsid w:val="62327A2D"/>
    <w:rsid w:val="624D5629"/>
    <w:rsid w:val="625016FC"/>
    <w:rsid w:val="625D3244"/>
    <w:rsid w:val="62781058"/>
    <w:rsid w:val="62AF65BD"/>
    <w:rsid w:val="62C0791B"/>
    <w:rsid w:val="62CF77C4"/>
    <w:rsid w:val="62D26E41"/>
    <w:rsid w:val="62DB6800"/>
    <w:rsid w:val="62F47CB4"/>
    <w:rsid w:val="62F61337"/>
    <w:rsid w:val="63013359"/>
    <w:rsid w:val="63047090"/>
    <w:rsid w:val="632F5D03"/>
    <w:rsid w:val="63392767"/>
    <w:rsid w:val="634A5110"/>
    <w:rsid w:val="63743881"/>
    <w:rsid w:val="637A3EE3"/>
    <w:rsid w:val="63892193"/>
    <w:rsid w:val="638F0530"/>
    <w:rsid w:val="63B70024"/>
    <w:rsid w:val="63CB2868"/>
    <w:rsid w:val="63CD433E"/>
    <w:rsid w:val="63DC6B7F"/>
    <w:rsid w:val="63DD27EB"/>
    <w:rsid w:val="63E32A9B"/>
    <w:rsid w:val="641E3E62"/>
    <w:rsid w:val="643A5C4C"/>
    <w:rsid w:val="6449399F"/>
    <w:rsid w:val="64516165"/>
    <w:rsid w:val="64927107"/>
    <w:rsid w:val="649732A7"/>
    <w:rsid w:val="64A332F4"/>
    <w:rsid w:val="64A928D5"/>
    <w:rsid w:val="64A940DF"/>
    <w:rsid w:val="64B34B87"/>
    <w:rsid w:val="64B673DB"/>
    <w:rsid w:val="64C722AA"/>
    <w:rsid w:val="64C819BC"/>
    <w:rsid w:val="64D26807"/>
    <w:rsid w:val="64E72545"/>
    <w:rsid w:val="6520105E"/>
    <w:rsid w:val="65281815"/>
    <w:rsid w:val="65577E37"/>
    <w:rsid w:val="656F13A8"/>
    <w:rsid w:val="65AA3B2F"/>
    <w:rsid w:val="65BE3CBE"/>
    <w:rsid w:val="65CC7B39"/>
    <w:rsid w:val="65CF20CA"/>
    <w:rsid w:val="65D348F1"/>
    <w:rsid w:val="65D700DA"/>
    <w:rsid w:val="65F52C9E"/>
    <w:rsid w:val="6611070F"/>
    <w:rsid w:val="664D7BFF"/>
    <w:rsid w:val="66805D9E"/>
    <w:rsid w:val="66891654"/>
    <w:rsid w:val="668A76B3"/>
    <w:rsid w:val="66A840DC"/>
    <w:rsid w:val="66A91E93"/>
    <w:rsid w:val="66B53500"/>
    <w:rsid w:val="66B53CFC"/>
    <w:rsid w:val="66BF5B1D"/>
    <w:rsid w:val="674C7A2E"/>
    <w:rsid w:val="67671BD5"/>
    <w:rsid w:val="67687328"/>
    <w:rsid w:val="677713C4"/>
    <w:rsid w:val="677E46A7"/>
    <w:rsid w:val="678330E3"/>
    <w:rsid w:val="679145A9"/>
    <w:rsid w:val="67974E21"/>
    <w:rsid w:val="67A13655"/>
    <w:rsid w:val="67AC1404"/>
    <w:rsid w:val="67C151DC"/>
    <w:rsid w:val="67E91CAE"/>
    <w:rsid w:val="67F775A7"/>
    <w:rsid w:val="68081D73"/>
    <w:rsid w:val="681D05D9"/>
    <w:rsid w:val="68201541"/>
    <w:rsid w:val="68234CFE"/>
    <w:rsid w:val="682A04A6"/>
    <w:rsid w:val="6830006A"/>
    <w:rsid w:val="685409F3"/>
    <w:rsid w:val="685C6D93"/>
    <w:rsid w:val="686F69B9"/>
    <w:rsid w:val="68D7196A"/>
    <w:rsid w:val="68E1766A"/>
    <w:rsid w:val="68FE3574"/>
    <w:rsid w:val="69097162"/>
    <w:rsid w:val="691111A8"/>
    <w:rsid w:val="69146A70"/>
    <w:rsid w:val="6916476C"/>
    <w:rsid w:val="691651C1"/>
    <w:rsid w:val="6931202A"/>
    <w:rsid w:val="695A7804"/>
    <w:rsid w:val="69601B67"/>
    <w:rsid w:val="6965288D"/>
    <w:rsid w:val="696C6A3A"/>
    <w:rsid w:val="698D54E0"/>
    <w:rsid w:val="69A408DE"/>
    <w:rsid w:val="69B97ACD"/>
    <w:rsid w:val="69FA14D3"/>
    <w:rsid w:val="6A1C16A7"/>
    <w:rsid w:val="6A1F4B15"/>
    <w:rsid w:val="6A33462B"/>
    <w:rsid w:val="6A3B2632"/>
    <w:rsid w:val="6A4E03B1"/>
    <w:rsid w:val="6A554CDF"/>
    <w:rsid w:val="6A674FEC"/>
    <w:rsid w:val="6A8D11A8"/>
    <w:rsid w:val="6A9A309D"/>
    <w:rsid w:val="6AAF047B"/>
    <w:rsid w:val="6AC45595"/>
    <w:rsid w:val="6ADC10B1"/>
    <w:rsid w:val="6B240C6F"/>
    <w:rsid w:val="6B2A5A31"/>
    <w:rsid w:val="6B4A64E2"/>
    <w:rsid w:val="6B5039E9"/>
    <w:rsid w:val="6B805FCF"/>
    <w:rsid w:val="6BA211AC"/>
    <w:rsid w:val="6BB72327"/>
    <w:rsid w:val="6BCD082C"/>
    <w:rsid w:val="6BD054C3"/>
    <w:rsid w:val="6C0511C8"/>
    <w:rsid w:val="6C164D0F"/>
    <w:rsid w:val="6C187D43"/>
    <w:rsid w:val="6C3D05F2"/>
    <w:rsid w:val="6C3E2E54"/>
    <w:rsid w:val="6C3E7B5D"/>
    <w:rsid w:val="6C594EB0"/>
    <w:rsid w:val="6C907AF0"/>
    <w:rsid w:val="6CB24904"/>
    <w:rsid w:val="6CC258F9"/>
    <w:rsid w:val="6CC87F7F"/>
    <w:rsid w:val="6CC9583C"/>
    <w:rsid w:val="6CCA7253"/>
    <w:rsid w:val="6CDF3CC7"/>
    <w:rsid w:val="6CEA3B0A"/>
    <w:rsid w:val="6CFE3957"/>
    <w:rsid w:val="6D045811"/>
    <w:rsid w:val="6D0A3999"/>
    <w:rsid w:val="6D145B52"/>
    <w:rsid w:val="6D1534FA"/>
    <w:rsid w:val="6D3965D5"/>
    <w:rsid w:val="6D420251"/>
    <w:rsid w:val="6D5034EE"/>
    <w:rsid w:val="6D6C46CA"/>
    <w:rsid w:val="6D7D3CE2"/>
    <w:rsid w:val="6D7F48FC"/>
    <w:rsid w:val="6D892132"/>
    <w:rsid w:val="6DA52C21"/>
    <w:rsid w:val="6DAF7528"/>
    <w:rsid w:val="6DB75882"/>
    <w:rsid w:val="6DC11FDE"/>
    <w:rsid w:val="6DC766DC"/>
    <w:rsid w:val="6DE63408"/>
    <w:rsid w:val="6E336A33"/>
    <w:rsid w:val="6E387FCC"/>
    <w:rsid w:val="6E5B02EA"/>
    <w:rsid w:val="6E6545B7"/>
    <w:rsid w:val="6E726417"/>
    <w:rsid w:val="6E945FD6"/>
    <w:rsid w:val="6EAB4DDD"/>
    <w:rsid w:val="6EBB692D"/>
    <w:rsid w:val="6EE01A7E"/>
    <w:rsid w:val="6EE737F4"/>
    <w:rsid w:val="6EEB4AD9"/>
    <w:rsid w:val="6EF409EC"/>
    <w:rsid w:val="6F053549"/>
    <w:rsid w:val="6F057F92"/>
    <w:rsid w:val="6F4C5515"/>
    <w:rsid w:val="6F537EF9"/>
    <w:rsid w:val="6F591BF5"/>
    <w:rsid w:val="6F7658C4"/>
    <w:rsid w:val="6F787F25"/>
    <w:rsid w:val="6F8C4889"/>
    <w:rsid w:val="6F9B2765"/>
    <w:rsid w:val="6FC8420E"/>
    <w:rsid w:val="6FD0152A"/>
    <w:rsid w:val="6FE96CA5"/>
    <w:rsid w:val="70047E10"/>
    <w:rsid w:val="702B13DC"/>
    <w:rsid w:val="70515232"/>
    <w:rsid w:val="706B7746"/>
    <w:rsid w:val="70746BE0"/>
    <w:rsid w:val="708779A8"/>
    <w:rsid w:val="70C85D3E"/>
    <w:rsid w:val="70E350C5"/>
    <w:rsid w:val="7107048E"/>
    <w:rsid w:val="713A33C9"/>
    <w:rsid w:val="716904BE"/>
    <w:rsid w:val="7199726F"/>
    <w:rsid w:val="71A036D8"/>
    <w:rsid w:val="71A57384"/>
    <w:rsid w:val="71A779C5"/>
    <w:rsid w:val="71B03B86"/>
    <w:rsid w:val="71B765EA"/>
    <w:rsid w:val="71E518AA"/>
    <w:rsid w:val="72250A67"/>
    <w:rsid w:val="72560746"/>
    <w:rsid w:val="72AB407C"/>
    <w:rsid w:val="72AF7656"/>
    <w:rsid w:val="72BC3A65"/>
    <w:rsid w:val="72F429B5"/>
    <w:rsid w:val="73107C6E"/>
    <w:rsid w:val="73140457"/>
    <w:rsid w:val="731863FE"/>
    <w:rsid w:val="73192BD4"/>
    <w:rsid w:val="73222DF8"/>
    <w:rsid w:val="733C1C94"/>
    <w:rsid w:val="73513899"/>
    <w:rsid w:val="73614FE8"/>
    <w:rsid w:val="736F601A"/>
    <w:rsid w:val="73752EEA"/>
    <w:rsid w:val="7385546E"/>
    <w:rsid w:val="73932B7E"/>
    <w:rsid w:val="739A3CF2"/>
    <w:rsid w:val="73B7296C"/>
    <w:rsid w:val="73C619D4"/>
    <w:rsid w:val="73D92058"/>
    <w:rsid w:val="73D96AEE"/>
    <w:rsid w:val="73DA2FF7"/>
    <w:rsid w:val="73E865B5"/>
    <w:rsid w:val="73FC20CF"/>
    <w:rsid w:val="741F0B61"/>
    <w:rsid w:val="7436183E"/>
    <w:rsid w:val="7444535A"/>
    <w:rsid w:val="7455605D"/>
    <w:rsid w:val="74567426"/>
    <w:rsid w:val="74615EF1"/>
    <w:rsid w:val="74F26A6B"/>
    <w:rsid w:val="751037B1"/>
    <w:rsid w:val="751701B2"/>
    <w:rsid w:val="751B5F8E"/>
    <w:rsid w:val="753072F9"/>
    <w:rsid w:val="75482E52"/>
    <w:rsid w:val="75525480"/>
    <w:rsid w:val="755F282A"/>
    <w:rsid w:val="75681E42"/>
    <w:rsid w:val="756B3188"/>
    <w:rsid w:val="758A48D8"/>
    <w:rsid w:val="758B61E4"/>
    <w:rsid w:val="75946553"/>
    <w:rsid w:val="75D0529F"/>
    <w:rsid w:val="75E06B6D"/>
    <w:rsid w:val="75E07C85"/>
    <w:rsid w:val="760019A6"/>
    <w:rsid w:val="762360A2"/>
    <w:rsid w:val="764826C0"/>
    <w:rsid w:val="766B280B"/>
    <w:rsid w:val="766F195A"/>
    <w:rsid w:val="767A3C2C"/>
    <w:rsid w:val="76840B78"/>
    <w:rsid w:val="76B735B1"/>
    <w:rsid w:val="76B80C3C"/>
    <w:rsid w:val="76EB253D"/>
    <w:rsid w:val="77013AE8"/>
    <w:rsid w:val="77055407"/>
    <w:rsid w:val="770B1496"/>
    <w:rsid w:val="772A45DB"/>
    <w:rsid w:val="772E7150"/>
    <w:rsid w:val="77334EF4"/>
    <w:rsid w:val="77565556"/>
    <w:rsid w:val="778F7231"/>
    <w:rsid w:val="77A730D4"/>
    <w:rsid w:val="77AF2665"/>
    <w:rsid w:val="77B201E1"/>
    <w:rsid w:val="77B37656"/>
    <w:rsid w:val="77B558F3"/>
    <w:rsid w:val="780C04A0"/>
    <w:rsid w:val="7821297D"/>
    <w:rsid w:val="7825729B"/>
    <w:rsid w:val="78300478"/>
    <w:rsid w:val="785539FA"/>
    <w:rsid w:val="78940BCA"/>
    <w:rsid w:val="789A5089"/>
    <w:rsid w:val="78A520EE"/>
    <w:rsid w:val="78A5233F"/>
    <w:rsid w:val="78AE3571"/>
    <w:rsid w:val="78B62B41"/>
    <w:rsid w:val="78BB62A9"/>
    <w:rsid w:val="78C26EF8"/>
    <w:rsid w:val="78C46BA9"/>
    <w:rsid w:val="78D64ADD"/>
    <w:rsid w:val="78D76F87"/>
    <w:rsid w:val="78E201F2"/>
    <w:rsid w:val="78E2280D"/>
    <w:rsid w:val="790F548F"/>
    <w:rsid w:val="79216AE0"/>
    <w:rsid w:val="79256331"/>
    <w:rsid w:val="7933454C"/>
    <w:rsid w:val="795243C3"/>
    <w:rsid w:val="7967120D"/>
    <w:rsid w:val="797E032C"/>
    <w:rsid w:val="797F5A9C"/>
    <w:rsid w:val="79860794"/>
    <w:rsid w:val="79895ACD"/>
    <w:rsid w:val="799A1165"/>
    <w:rsid w:val="79AB70C1"/>
    <w:rsid w:val="79E53793"/>
    <w:rsid w:val="79EE1281"/>
    <w:rsid w:val="79FD0D9B"/>
    <w:rsid w:val="79FE467B"/>
    <w:rsid w:val="7A0D04B6"/>
    <w:rsid w:val="7A0D0EB6"/>
    <w:rsid w:val="7A0D5219"/>
    <w:rsid w:val="7A3F1126"/>
    <w:rsid w:val="7A6E1428"/>
    <w:rsid w:val="7A791FF5"/>
    <w:rsid w:val="7A832770"/>
    <w:rsid w:val="7A8C39CB"/>
    <w:rsid w:val="7A8F1328"/>
    <w:rsid w:val="7A930092"/>
    <w:rsid w:val="7A9A1B97"/>
    <w:rsid w:val="7AAC5C8A"/>
    <w:rsid w:val="7AC23BEC"/>
    <w:rsid w:val="7AC64AAB"/>
    <w:rsid w:val="7ACF4F3D"/>
    <w:rsid w:val="7AE4031C"/>
    <w:rsid w:val="7AFD5BF0"/>
    <w:rsid w:val="7B021315"/>
    <w:rsid w:val="7B3210CE"/>
    <w:rsid w:val="7B85274D"/>
    <w:rsid w:val="7B8A5856"/>
    <w:rsid w:val="7B8E5C58"/>
    <w:rsid w:val="7B946387"/>
    <w:rsid w:val="7BA507E9"/>
    <w:rsid w:val="7BAB579E"/>
    <w:rsid w:val="7BC63E76"/>
    <w:rsid w:val="7BD0702B"/>
    <w:rsid w:val="7BDB74F4"/>
    <w:rsid w:val="7BF3687C"/>
    <w:rsid w:val="7BF64489"/>
    <w:rsid w:val="7C086CD3"/>
    <w:rsid w:val="7C3E43B6"/>
    <w:rsid w:val="7C4B3371"/>
    <w:rsid w:val="7C8E2E16"/>
    <w:rsid w:val="7C9C0C76"/>
    <w:rsid w:val="7CA60C83"/>
    <w:rsid w:val="7CAF634A"/>
    <w:rsid w:val="7CFE6D4A"/>
    <w:rsid w:val="7D065078"/>
    <w:rsid w:val="7D0D2838"/>
    <w:rsid w:val="7D1D1A49"/>
    <w:rsid w:val="7D200A3B"/>
    <w:rsid w:val="7D2166EE"/>
    <w:rsid w:val="7D2C1618"/>
    <w:rsid w:val="7D3A7DD3"/>
    <w:rsid w:val="7D413226"/>
    <w:rsid w:val="7D4437A8"/>
    <w:rsid w:val="7D694BF3"/>
    <w:rsid w:val="7D702B7F"/>
    <w:rsid w:val="7D7647F8"/>
    <w:rsid w:val="7D8D126E"/>
    <w:rsid w:val="7D9977F8"/>
    <w:rsid w:val="7DA138EB"/>
    <w:rsid w:val="7DB3128F"/>
    <w:rsid w:val="7DC1636D"/>
    <w:rsid w:val="7DC26903"/>
    <w:rsid w:val="7DED32BA"/>
    <w:rsid w:val="7DF53C2F"/>
    <w:rsid w:val="7E062A16"/>
    <w:rsid w:val="7E212035"/>
    <w:rsid w:val="7E32395E"/>
    <w:rsid w:val="7E324180"/>
    <w:rsid w:val="7E571A69"/>
    <w:rsid w:val="7E630C55"/>
    <w:rsid w:val="7E853EC5"/>
    <w:rsid w:val="7EAC5292"/>
    <w:rsid w:val="7EBE6AE9"/>
    <w:rsid w:val="7EDD16E6"/>
    <w:rsid w:val="7F03733F"/>
    <w:rsid w:val="7F0E6F07"/>
    <w:rsid w:val="7F23270D"/>
    <w:rsid w:val="7F2F3A1E"/>
    <w:rsid w:val="7F320F9E"/>
    <w:rsid w:val="7F3320BA"/>
    <w:rsid w:val="7F5644EE"/>
    <w:rsid w:val="7F593BCF"/>
    <w:rsid w:val="7F683953"/>
    <w:rsid w:val="7F9333A9"/>
    <w:rsid w:val="7FA73F44"/>
    <w:rsid w:val="7FE30069"/>
    <w:rsid w:val="7FFF1C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000001"/>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qFormat="1" w:unhideWhenUsed="0" w:uiPriority="0" w:semiHidden="0" w:name="toc 9"/>
    <w:lsdException w:qFormat="1" w:unhideWhenUsed="0" w:uiPriority="0" w:semiHidden="0" w:name="Normal Indent"/>
    <w:lsdException w:uiPriority="0" w:name="footnote text"/>
    <w:lsdException w:qFormat="1"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qFormat="1" w:unhideWhenUsed="0" w:uiPriority="0" w:semiHidden="0" w:name="Table Simple 1"/>
    <w:lsdException w:uiPriority="0" w:name="Table Simple 2"/>
    <w:lsdException w:uiPriority="0" w:name="Table Simple 3"/>
    <w:lsdException w:uiPriority="0" w:name="Table Classic 1"/>
    <w:lsdException w:qFormat="1" w:unhideWhenUsed="0" w:uiPriority="0" w:semiHidden="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43"/>
    <w:qFormat/>
    <w:uiPriority w:val="0"/>
    <w:pPr>
      <w:spacing w:before="50" w:beforeLines="50" w:after="50" w:afterLines="50"/>
      <w:ind w:firstLine="0" w:firstLineChars="0"/>
      <w:jc w:val="center"/>
      <w:outlineLvl w:val="0"/>
    </w:pPr>
    <w:rPr>
      <w:b/>
      <w:bCs/>
      <w:kern w:val="44"/>
      <w:sz w:val="32"/>
      <w:szCs w:val="36"/>
    </w:rPr>
  </w:style>
  <w:style w:type="paragraph" w:styleId="4">
    <w:name w:val="heading 2"/>
    <w:basedOn w:val="1"/>
    <w:next w:val="1"/>
    <w:link w:val="44"/>
    <w:qFormat/>
    <w:uiPriority w:val="0"/>
    <w:pPr>
      <w:tabs>
        <w:tab w:val="left" w:pos="5400"/>
      </w:tabs>
      <w:spacing w:before="50" w:beforeLines="50" w:after="50" w:afterLines="50"/>
      <w:ind w:firstLine="0" w:firstLineChars="0"/>
      <w:outlineLvl w:val="1"/>
    </w:pPr>
    <w:rPr>
      <w:b/>
      <w:bCs/>
      <w:kern w:val="0"/>
      <w:sz w:val="30"/>
      <w:szCs w:val="30"/>
    </w:rPr>
  </w:style>
  <w:style w:type="paragraph" w:styleId="5">
    <w:name w:val="heading 3"/>
    <w:basedOn w:val="1"/>
    <w:next w:val="1"/>
    <w:qFormat/>
    <w:uiPriority w:val="0"/>
    <w:pPr>
      <w:tabs>
        <w:tab w:val="left" w:pos="5400"/>
      </w:tabs>
      <w:spacing w:before="50" w:beforeLines="50" w:after="50" w:afterLines="50"/>
      <w:ind w:firstLine="0" w:firstLineChars="0"/>
      <w:outlineLvl w:val="2"/>
    </w:pPr>
    <w:rPr>
      <w:b/>
      <w:bCs/>
      <w:sz w:val="28"/>
    </w:rPr>
  </w:style>
  <w:style w:type="paragraph" w:styleId="6">
    <w:name w:val="heading 4"/>
    <w:basedOn w:val="1"/>
    <w:next w:val="1"/>
    <w:link w:val="45"/>
    <w:qFormat/>
    <w:uiPriority w:val="0"/>
    <w:pPr>
      <w:tabs>
        <w:tab w:val="left" w:pos="5400"/>
      </w:tabs>
      <w:ind w:firstLine="0" w:firstLineChars="0"/>
      <w:outlineLvl w:val="3"/>
    </w:pPr>
    <w:rPr>
      <w:b/>
      <w:bCs/>
    </w:rPr>
  </w:style>
  <w:style w:type="paragraph" w:styleId="7">
    <w:name w:val="heading 5"/>
    <w:basedOn w:val="1"/>
    <w:next w:val="1"/>
    <w:unhideWhenUsed/>
    <w:qFormat/>
    <w:uiPriority w:val="0"/>
    <w:pPr>
      <w:keepLines/>
      <w:adjustRightInd w:val="0"/>
      <w:snapToGrid w:val="0"/>
      <w:jc w:val="center"/>
      <w:outlineLvl w:val="4"/>
    </w:pPr>
    <w:rPr>
      <w:rFonts w:ascii="Times New Roman" w:hAnsi="Times New Roman" w:eastAsia="宋体" w:cs="Times New Roman"/>
      <w:b/>
      <w:bCs/>
      <w:kern w:val="2"/>
      <w:sz w:val="24"/>
      <w:szCs w:val="28"/>
      <w:lang w:val="en-US" w:eastAsia="zh-CN" w:bidi="ar-SA"/>
    </w:rPr>
  </w:style>
  <w:style w:type="character" w:default="1" w:styleId="32">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afterLines="0"/>
    </w:pPr>
  </w:style>
  <w:style w:type="paragraph" w:styleId="8">
    <w:name w:val="Normal Indent"/>
    <w:basedOn w:val="1"/>
    <w:next w:val="9"/>
    <w:qFormat/>
    <w:uiPriority w:val="0"/>
    <w:pPr>
      <w:ind w:firstLine="420" w:firstLineChars="200"/>
    </w:pPr>
  </w:style>
  <w:style w:type="paragraph" w:styleId="9">
    <w:name w:val="Body Text First Indent 2"/>
    <w:basedOn w:val="10"/>
    <w:next w:val="1"/>
    <w:unhideWhenUsed/>
    <w:qFormat/>
    <w:uiPriority w:val="99"/>
    <w:pPr>
      <w:adjustRightInd/>
      <w:snapToGrid/>
      <w:spacing w:after="120" w:afterLines="0" w:line="240" w:lineRule="auto"/>
      <w:ind w:left="420" w:leftChars="200" w:firstLine="420" w:firstLineChars="200"/>
    </w:pPr>
    <w:rPr>
      <w:kern w:val="2"/>
      <w:sz w:val="21"/>
      <w:szCs w:val="24"/>
    </w:rPr>
  </w:style>
  <w:style w:type="paragraph" w:styleId="10">
    <w:name w:val="Body Text Indent"/>
    <w:basedOn w:val="1"/>
    <w:next w:val="11"/>
    <w:qFormat/>
    <w:uiPriority w:val="0"/>
    <w:pPr>
      <w:spacing w:line="360" w:lineRule="auto"/>
      <w:ind w:firstLine="495"/>
    </w:pPr>
    <w:rPr>
      <w:rFonts w:ascii="宋体" w:hAnsi="宋体" w:eastAsia="宋体"/>
      <w:bCs/>
      <w:sz w:val="24"/>
      <w:szCs w:val="24"/>
    </w:rPr>
  </w:style>
  <w:style w:type="paragraph" w:styleId="11">
    <w:name w:val="envelope return"/>
    <w:basedOn w:val="1"/>
    <w:qFormat/>
    <w:uiPriority w:val="0"/>
    <w:pPr>
      <w:tabs>
        <w:tab w:val="left" w:pos="180"/>
        <w:tab w:val="left" w:pos="360"/>
        <w:tab w:val="left" w:pos="540"/>
      </w:tabs>
      <w:snapToGrid w:val="0"/>
    </w:pPr>
    <w:rPr>
      <w:rFonts w:ascii="Arial" w:hAnsi="Arial"/>
    </w:rPr>
  </w:style>
  <w:style w:type="paragraph" w:styleId="12">
    <w:name w:val="caption"/>
    <w:basedOn w:val="1"/>
    <w:next w:val="1"/>
    <w:qFormat/>
    <w:uiPriority w:val="0"/>
    <w:pPr>
      <w:jc w:val="center"/>
    </w:pPr>
    <w:rPr>
      <w:rFonts w:ascii="Cambria" w:hAnsi="Cambria"/>
      <w:b/>
      <w:szCs w:val="20"/>
    </w:rPr>
  </w:style>
  <w:style w:type="paragraph" w:styleId="13">
    <w:name w:val="annotation text"/>
    <w:basedOn w:val="1"/>
    <w:link w:val="46"/>
    <w:unhideWhenUsed/>
    <w:qFormat/>
    <w:uiPriority w:val="0"/>
    <w:pPr>
      <w:jc w:val="left"/>
    </w:pPr>
  </w:style>
  <w:style w:type="paragraph" w:styleId="14">
    <w:name w:val="Block Text"/>
    <w:basedOn w:val="1"/>
    <w:qFormat/>
    <w:uiPriority w:val="0"/>
    <w:pPr>
      <w:spacing w:line="0" w:lineRule="atLeast"/>
      <w:ind w:left="-98" w:leftChars="-35" w:right="-120" w:rightChars="-43" w:firstLine="13" w:firstLineChars="6"/>
      <w:jc w:val="center"/>
    </w:pPr>
  </w:style>
  <w:style w:type="paragraph" w:styleId="15">
    <w:name w:val="Plain Text"/>
    <w:basedOn w:val="1"/>
    <w:qFormat/>
    <w:uiPriority w:val="0"/>
    <w:rPr>
      <w:rFonts w:ascii="宋体" w:hAnsi="Courier New"/>
    </w:rPr>
  </w:style>
  <w:style w:type="paragraph" w:styleId="16">
    <w:name w:val="Body Text Indent 2"/>
    <w:basedOn w:val="1"/>
    <w:next w:val="1"/>
    <w:qFormat/>
    <w:uiPriority w:val="0"/>
    <w:pPr>
      <w:spacing w:before="120" w:beforeLines="0" w:line="360" w:lineRule="auto"/>
      <w:ind w:firstLine="527"/>
    </w:pPr>
    <w:rPr>
      <w:sz w:val="24"/>
      <w:szCs w:val="20"/>
    </w:rPr>
  </w:style>
  <w:style w:type="paragraph" w:styleId="17">
    <w:name w:val="Balloon Text"/>
    <w:basedOn w:val="1"/>
    <w:link w:val="47"/>
    <w:semiHidden/>
    <w:unhideWhenUsed/>
    <w:qFormat/>
    <w:uiPriority w:val="0"/>
    <w:pPr>
      <w:spacing w:line="240" w:lineRule="auto"/>
    </w:pPr>
    <w:rPr>
      <w:sz w:val="18"/>
      <w:szCs w:val="18"/>
    </w:rPr>
  </w:style>
  <w:style w:type="paragraph" w:styleId="18">
    <w:name w:val="footer"/>
    <w:basedOn w:val="1"/>
    <w:qFormat/>
    <w:uiPriority w:val="0"/>
    <w:pPr>
      <w:tabs>
        <w:tab w:val="center" w:pos="4153"/>
        <w:tab w:val="right" w:pos="8306"/>
      </w:tabs>
      <w:snapToGrid w:val="0"/>
      <w:jc w:val="left"/>
    </w:pPr>
    <w:rPr>
      <w:rFonts w:ascii="宋体" w:hAnsi="宋体"/>
      <w:sz w:val="18"/>
      <w:szCs w:val="18"/>
    </w:rPr>
  </w:style>
  <w:style w:type="paragraph" w:styleId="19">
    <w:name w:val="header"/>
    <w:basedOn w:val="1"/>
    <w:next w:val="2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customStyle="1" w:styleId="20">
    <w:name w:val="样式5"/>
    <w:qFormat/>
    <w:uiPriority w:val="0"/>
    <w:pPr>
      <w:snapToGrid w:val="0"/>
      <w:spacing w:before="62" w:beforeLines="20" w:after="62" w:afterLines="20" w:line="480" w:lineRule="exact"/>
      <w:ind w:firstLine="523" w:firstLineChars="218"/>
      <w:jc w:val="both"/>
    </w:pPr>
    <w:rPr>
      <w:rFonts w:ascii="Calibri" w:hAnsi="Calibri" w:eastAsia="宋体" w:cs="Times New Roman"/>
      <w:i/>
      <w:iCs/>
      <w:kern w:val="2"/>
      <w:sz w:val="24"/>
      <w:lang w:val="en-US" w:eastAsia="zh-CN" w:bidi="ar-SA"/>
    </w:rPr>
  </w:style>
  <w:style w:type="paragraph" w:styleId="21">
    <w:name w:val="toc 1"/>
    <w:basedOn w:val="1"/>
    <w:next w:val="1"/>
    <w:qFormat/>
    <w:uiPriority w:val="0"/>
    <w:pPr>
      <w:ind w:firstLine="0" w:firstLineChars="0"/>
    </w:pPr>
    <w:rPr>
      <w:b/>
      <w:sz w:val="28"/>
    </w:rPr>
  </w:style>
  <w:style w:type="paragraph" w:styleId="22">
    <w:name w:val="toc 2"/>
    <w:basedOn w:val="1"/>
    <w:next w:val="1"/>
    <w:qFormat/>
    <w:uiPriority w:val="0"/>
    <w:pPr>
      <w:ind w:firstLine="0" w:firstLineChars="0"/>
    </w:pPr>
  </w:style>
  <w:style w:type="paragraph" w:styleId="23">
    <w:name w:val="toc 9"/>
    <w:basedOn w:val="1"/>
    <w:next w:val="1"/>
    <w:qFormat/>
    <w:uiPriority w:val="0"/>
    <w:pPr>
      <w:widowControl/>
      <w:wordWrap w:val="0"/>
      <w:autoSpaceDE/>
      <w:autoSpaceDN/>
      <w:spacing w:before="0" w:after="0" w:line="240" w:lineRule="auto"/>
      <w:ind w:left="2975" w:firstLine="0"/>
      <w:jc w:val="both"/>
    </w:pPr>
    <w:rPr>
      <w:sz w:val="21"/>
      <w:szCs w:val="22"/>
    </w:rPr>
  </w:style>
  <w:style w:type="paragraph" w:styleId="24">
    <w:name w:val="Body Text 2"/>
    <w:basedOn w:val="1"/>
    <w:next w:val="1"/>
    <w:qFormat/>
    <w:uiPriority w:val="0"/>
    <w:pPr>
      <w:spacing w:after="120" w:line="480" w:lineRule="auto"/>
    </w:pPr>
  </w:style>
  <w:style w:type="paragraph" w:styleId="25">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26">
    <w:name w:val="Title"/>
    <w:basedOn w:val="1"/>
    <w:next w:val="1"/>
    <w:link w:val="48"/>
    <w:qFormat/>
    <w:uiPriority w:val="0"/>
    <w:pPr>
      <w:spacing w:before="10" w:after="10"/>
      <w:ind w:firstLine="0" w:firstLineChars="0"/>
      <w:jc w:val="center"/>
      <w:outlineLvl w:val="0"/>
    </w:pPr>
    <w:rPr>
      <w:rFonts w:ascii="Arial" w:hAnsi="Arial" w:cs="Arial"/>
      <w:b/>
      <w:bCs/>
      <w:sz w:val="32"/>
      <w:szCs w:val="32"/>
    </w:rPr>
  </w:style>
  <w:style w:type="paragraph" w:styleId="27">
    <w:name w:val="annotation subject"/>
    <w:basedOn w:val="13"/>
    <w:next w:val="13"/>
    <w:link w:val="49"/>
    <w:semiHidden/>
    <w:unhideWhenUsed/>
    <w:qFormat/>
    <w:uiPriority w:val="0"/>
    <w:rPr>
      <w:b/>
      <w:bCs/>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Classic 2"/>
    <w:basedOn w:val="28"/>
    <w:qFormat/>
    <w:uiPriority w:val="0"/>
    <w:pPr>
      <w:widowControl w:val="0"/>
      <w:jc w:val="both"/>
    </w:pPr>
    <w:tblPr>
      <w:tblBorders>
        <w:top w:val="single" w:color="000000" w:sz="12" w:space="0"/>
        <w:bottom w:val="single" w:color="000000" w:sz="12" w:space="0"/>
        <w:insideH w:val="single" w:color="auto" w:sz="4" w:space="0"/>
        <w:insideV w:val="single" w:color="auto" w:sz="4"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1">
    <w:name w:val="Table Simple 1"/>
    <w:basedOn w:val="28"/>
    <w:qFormat/>
    <w:uiPriority w:val="0"/>
    <w:pPr>
      <w:widowControl w:val="0"/>
      <w:spacing w:line="360" w:lineRule="auto"/>
      <w:ind w:firstLine="200" w:firstLineChars="20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character" w:styleId="33">
    <w:name w:val="page number"/>
    <w:qFormat/>
    <w:uiPriority w:val="0"/>
    <w:rPr>
      <w:rFonts w:ascii="Times New Roman" w:hAnsi="Times New Roman" w:eastAsia="宋体"/>
      <w:sz w:val="18"/>
    </w:rPr>
  </w:style>
  <w:style w:type="character" w:styleId="34">
    <w:name w:val="annotation reference"/>
    <w:basedOn w:val="32"/>
    <w:semiHidden/>
    <w:unhideWhenUsed/>
    <w:qFormat/>
    <w:uiPriority w:val="0"/>
    <w:rPr>
      <w:sz w:val="21"/>
      <w:szCs w:val="21"/>
    </w:rPr>
  </w:style>
  <w:style w:type="paragraph" w:customStyle="1" w:styleId="35">
    <w:name w:val="Default"/>
    <w:basedOn w:val="36"/>
    <w:next w:val="37"/>
    <w:qFormat/>
    <w:uiPriority w:val="0"/>
    <w:pPr>
      <w:tabs>
        <w:tab w:val="left" w:pos="5400"/>
      </w:tabs>
      <w:autoSpaceDE w:val="0"/>
      <w:autoSpaceDN w:val="0"/>
      <w:adjustRightInd w:val="0"/>
      <w:spacing w:line="360" w:lineRule="auto"/>
      <w:ind w:firstLine="200" w:firstLineChars="200"/>
      <w:jc w:val="left"/>
    </w:pPr>
    <w:rPr>
      <w:rFonts w:ascii="宋体" w:hAnsi="Times New Roman" w:eastAsia="宋体" w:cs="Times New Roman"/>
      <w:color w:val="000000"/>
      <w:kern w:val="0"/>
      <w:sz w:val="24"/>
      <w:szCs w:val="24"/>
    </w:rPr>
  </w:style>
  <w:style w:type="paragraph" w:customStyle="1" w:styleId="36">
    <w:name w:val="标题2"/>
    <w:basedOn w:val="4"/>
    <w:qFormat/>
    <w:uiPriority w:val="0"/>
    <w:pPr>
      <w:numPr>
        <w:ilvl w:val="1"/>
        <w:numId w:val="1"/>
      </w:numPr>
      <w:spacing w:before="0" w:after="0" w:line="440" w:lineRule="exact"/>
    </w:pPr>
    <w:rPr>
      <w:sz w:val="28"/>
    </w:rPr>
  </w:style>
  <w:style w:type="paragraph" w:customStyle="1" w:styleId="37">
    <w:name w:val="1正文段落"/>
    <w:basedOn w:val="1"/>
    <w:qFormat/>
    <w:uiPriority w:val="99"/>
    <w:pPr>
      <w:spacing w:line="360" w:lineRule="auto"/>
      <w:ind w:firstLine="480" w:firstLineChars="200"/>
      <w:jc w:val="left"/>
    </w:pPr>
    <w:rPr>
      <w:snapToGrid w:val="0"/>
      <w:kern w:val="0"/>
      <w:sz w:val="24"/>
      <w:szCs w:val="24"/>
    </w:rPr>
  </w:style>
  <w:style w:type="paragraph" w:customStyle="1" w:styleId="38">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39">
    <w:name w:val="xl27"/>
    <w:basedOn w:val="1"/>
    <w:next w:val="40"/>
    <w:qFormat/>
    <w:uiPriority w:val="99"/>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customStyle="1" w:styleId="40">
    <w:name w:val="A正文"/>
    <w:basedOn w:val="1"/>
    <w:qFormat/>
    <w:uiPriority w:val="0"/>
    <w:pPr>
      <w:widowControl/>
      <w:overflowPunct w:val="0"/>
      <w:autoSpaceDE w:val="0"/>
      <w:autoSpaceDN w:val="0"/>
      <w:jc w:val="left"/>
      <w:textAlignment w:val="baseline"/>
    </w:pPr>
  </w:style>
  <w:style w:type="paragraph" w:customStyle="1" w:styleId="41">
    <w:name w:val="标题3"/>
    <w:basedOn w:val="1"/>
    <w:qFormat/>
    <w:uiPriority w:val="0"/>
  </w:style>
  <w:style w:type="paragraph" w:customStyle="1" w:styleId="42">
    <w:name w:val="_Style 2"/>
    <w:basedOn w:val="1"/>
    <w:qFormat/>
    <w:uiPriority w:val="0"/>
    <w:pPr>
      <w:widowControl/>
      <w:adjustRightInd w:val="0"/>
      <w:snapToGrid w:val="0"/>
      <w:spacing w:before="100" w:beforeAutospacing="1" w:after="200" w:line="351" w:lineRule="atLeast"/>
      <w:ind w:firstLine="623"/>
      <w:jc w:val="left"/>
      <w:textAlignment w:val="baseline"/>
    </w:pPr>
    <w:rPr>
      <w:rFonts w:ascii="Times New Roman" w:hAnsi="Times New Roman" w:eastAsia="仿宋_GB2312"/>
      <w:kern w:val="0"/>
      <w:sz w:val="31"/>
      <w:szCs w:val="31"/>
    </w:rPr>
  </w:style>
  <w:style w:type="character" w:customStyle="1" w:styleId="43">
    <w:name w:val="标题 1 Char"/>
    <w:link w:val="3"/>
    <w:qFormat/>
    <w:uiPriority w:val="0"/>
    <w:rPr>
      <w:rFonts w:ascii="Times New Roman" w:hAnsi="Times New Roman" w:eastAsia="宋体"/>
      <w:b/>
      <w:kern w:val="44"/>
      <w:sz w:val="32"/>
      <w:szCs w:val="36"/>
      <w:lang w:bidi="ar-SA"/>
    </w:rPr>
  </w:style>
  <w:style w:type="character" w:customStyle="1" w:styleId="44">
    <w:name w:val="标题 2 Char"/>
    <w:link w:val="4"/>
    <w:qFormat/>
    <w:uiPriority w:val="0"/>
    <w:rPr>
      <w:rFonts w:ascii="Times New Roman" w:hAnsi="Times New Roman" w:eastAsia="宋体"/>
      <w:b/>
      <w:bCs/>
      <w:sz w:val="30"/>
      <w:szCs w:val="30"/>
      <w:lang w:bidi="ar-SA"/>
    </w:rPr>
  </w:style>
  <w:style w:type="character" w:customStyle="1" w:styleId="45">
    <w:name w:val="标题 4 Char"/>
    <w:link w:val="6"/>
    <w:qFormat/>
    <w:uiPriority w:val="0"/>
    <w:rPr>
      <w:rFonts w:ascii="Times New Roman" w:hAnsi="Times New Roman" w:eastAsia="宋体"/>
      <w:b/>
      <w:bCs/>
      <w:szCs w:val="24"/>
    </w:rPr>
  </w:style>
  <w:style w:type="character" w:customStyle="1" w:styleId="46">
    <w:name w:val="批注文字 Char"/>
    <w:basedOn w:val="32"/>
    <w:link w:val="13"/>
    <w:semiHidden/>
    <w:qFormat/>
    <w:uiPriority w:val="0"/>
    <w:rPr>
      <w:kern w:val="2"/>
      <w:sz w:val="24"/>
      <w:szCs w:val="24"/>
    </w:rPr>
  </w:style>
  <w:style w:type="character" w:customStyle="1" w:styleId="47">
    <w:name w:val="批注框文本 Char"/>
    <w:basedOn w:val="32"/>
    <w:link w:val="17"/>
    <w:semiHidden/>
    <w:qFormat/>
    <w:uiPriority w:val="0"/>
    <w:rPr>
      <w:kern w:val="2"/>
      <w:sz w:val="18"/>
      <w:szCs w:val="18"/>
    </w:rPr>
  </w:style>
  <w:style w:type="character" w:customStyle="1" w:styleId="48">
    <w:name w:val="标题 Char"/>
    <w:link w:val="26"/>
    <w:qFormat/>
    <w:uiPriority w:val="0"/>
    <w:rPr>
      <w:rFonts w:ascii="Arial" w:hAnsi="Arial" w:eastAsia="宋体" w:cs="Arial"/>
      <w:b/>
      <w:bCs/>
      <w:sz w:val="32"/>
      <w:szCs w:val="32"/>
    </w:rPr>
  </w:style>
  <w:style w:type="character" w:customStyle="1" w:styleId="49">
    <w:name w:val="批注主题 Char"/>
    <w:basedOn w:val="46"/>
    <w:link w:val="27"/>
    <w:semiHidden/>
    <w:qFormat/>
    <w:uiPriority w:val="0"/>
    <w:rPr>
      <w:b/>
      <w:bCs/>
      <w:kern w:val="2"/>
      <w:sz w:val="24"/>
      <w:szCs w:val="24"/>
    </w:rPr>
  </w:style>
  <w:style w:type="character" w:customStyle="1" w:styleId="50">
    <w:name w:val="表格标题QQ Char"/>
    <w:link w:val="51"/>
    <w:qFormat/>
    <w:uiPriority w:val="0"/>
    <w:rPr>
      <w:rFonts w:ascii="Times New Roman" w:hAnsi="Times New Roman" w:eastAsia="宋体"/>
      <w:b/>
      <w:sz w:val="24"/>
    </w:rPr>
  </w:style>
  <w:style w:type="paragraph" w:customStyle="1" w:styleId="51">
    <w:name w:val="表格标题QQ"/>
    <w:basedOn w:val="1"/>
    <w:link w:val="50"/>
    <w:qFormat/>
    <w:uiPriority w:val="0"/>
    <w:pPr>
      <w:ind w:firstLine="0" w:firstLineChars="0"/>
      <w:jc w:val="center"/>
      <w:outlineLvl w:val="4"/>
    </w:pPr>
    <w:rPr>
      <w:b/>
    </w:rPr>
  </w:style>
  <w:style w:type="character" w:customStyle="1" w:styleId="52">
    <w:name w:val="表格内容Q Char"/>
    <w:link w:val="53"/>
    <w:qFormat/>
    <w:uiPriority w:val="0"/>
    <w:rPr>
      <w:rFonts w:ascii="Times New Roman" w:hAnsi="Times New Roman" w:eastAsia="宋体"/>
      <w:w w:val="100"/>
      <w:sz w:val="21"/>
      <w:szCs w:val="21"/>
    </w:rPr>
  </w:style>
  <w:style w:type="paragraph" w:customStyle="1" w:styleId="53">
    <w:name w:val="表格内容Q"/>
    <w:basedOn w:val="1"/>
    <w:link w:val="52"/>
    <w:qFormat/>
    <w:uiPriority w:val="0"/>
    <w:pPr>
      <w:spacing w:line="240" w:lineRule="auto"/>
      <w:ind w:firstLine="0" w:firstLineChars="0"/>
      <w:jc w:val="center"/>
    </w:pPr>
    <w:rPr>
      <w:sz w:val="21"/>
      <w:szCs w:val="21"/>
    </w:rPr>
  </w:style>
  <w:style w:type="table" w:customStyle="1" w:styleId="54">
    <w:name w:val="网格型7"/>
    <w:basedOn w:val="28"/>
    <w:qFormat/>
    <w:uiPriority w:val="0"/>
    <w:pPr>
      <w:widowControl w:val="0"/>
      <w:jc w:val="both"/>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55">
    <w:name w:val="1.表格标题CM"/>
    <w:basedOn w:val="1"/>
    <w:link w:val="56"/>
    <w:qFormat/>
    <w:uiPriority w:val="0"/>
    <w:pPr>
      <w:adjustRightInd w:val="0"/>
      <w:snapToGrid w:val="0"/>
      <w:ind w:firstLine="0" w:firstLineChars="0"/>
      <w:jc w:val="center"/>
      <w:outlineLvl w:val="6"/>
    </w:pPr>
    <w:rPr>
      <w:b/>
      <w:lang w:val="zh-CN"/>
    </w:rPr>
  </w:style>
  <w:style w:type="character" w:customStyle="1" w:styleId="56">
    <w:name w:val="1.表格标题CM 字符"/>
    <w:link w:val="55"/>
    <w:qFormat/>
    <w:uiPriority w:val="0"/>
    <w:rPr>
      <w:b/>
      <w:kern w:val="2"/>
      <w:sz w:val="24"/>
      <w:szCs w:val="24"/>
      <w:lang w:val="zh-CN" w:eastAsia="zh-CN"/>
    </w:rPr>
  </w:style>
  <w:style w:type="character" w:customStyle="1" w:styleId="57">
    <w:name w:val="表格标题Q Char"/>
    <w:link w:val="58"/>
    <w:qFormat/>
    <w:uiPriority w:val="0"/>
    <w:rPr>
      <w:b/>
    </w:rPr>
  </w:style>
  <w:style w:type="paragraph" w:customStyle="1" w:styleId="58">
    <w:name w:val="表格标题Q"/>
    <w:basedOn w:val="1"/>
    <w:link w:val="57"/>
    <w:qFormat/>
    <w:uiPriority w:val="0"/>
    <w:pPr>
      <w:ind w:firstLine="0" w:firstLineChars="0"/>
      <w:jc w:val="center"/>
    </w:pPr>
    <w:rPr>
      <w:b/>
      <w:kern w:val="0"/>
      <w:sz w:val="20"/>
      <w:szCs w:val="20"/>
    </w:rPr>
  </w:style>
  <w:style w:type="character" w:customStyle="1" w:styleId="59">
    <w:name w:val="表格内容CCW Char"/>
    <w:link w:val="60"/>
    <w:qFormat/>
    <w:uiPriority w:val="0"/>
    <w:rPr>
      <w:sz w:val="21"/>
    </w:rPr>
  </w:style>
  <w:style w:type="paragraph" w:customStyle="1" w:styleId="60">
    <w:name w:val="表格内容CCW"/>
    <w:basedOn w:val="1"/>
    <w:link w:val="59"/>
    <w:qFormat/>
    <w:uiPriority w:val="0"/>
    <w:pPr>
      <w:spacing w:line="240" w:lineRule="auto"/>
      <w:ind w:firstLine="0" w:firstLineChars="0"/>
      <w:jc w:val="center"/>
    </w:pPr>
    <w:rPr>
      <w:kern w:val="0"/>
      <w:sz w:val="21"/>
      <w:szCs w:val="20"/>
    </w:rPr>
  </w:style>
  <w:style w:type="paragraph" w:customStyle="1" w:styleId="61">
    <w:name w:val="Char Char"/>
    <w:basedOn w:val="1"/>
    <w:qFormat/>
    <w:uiPriority w:val="0"/>
    <w:pPr>
      <w:spacing w:line="240" w:lineRule="auto"/>
      <w:ind w:firstLine="0" w:firstLineChars="0"/>
    </w:pPr>
    <w:rPr>
      <w:rFonts w:ascii="仿宋_GB2312" w:eastAsia="仿宋_GB2312"/>
      <w:b/>
      <w:sz w:val="32"/>
      <w:szCs w:val="32"/>
    </w:rPr>
  </w:style>
  <w:style w:type="character" w:customStyle="1" w:styleId="62">
    <w:name w:val="表格标题CCW Char"/>
    <w:link w:val="63"/>
    <w:qFormat/>
    <w:uiPriority w:val="0"/>
    <w:rPr>
      <w:b/>
      <w:sz w:val="24"/>
    </w:rPr>
  </w:style>
  <w:style w:type="paragraph" w:customStyle="1" w:styleId="63">
    <w:name w:val="表格标题CCW"/>
    <w:basedOn w:val="1"/>
    <w:next w:val="1"/>
    <w:link w:val="62"/>
    <w:qFormat/>
    <w:uiPriority w:val="0"/>
    <w:pPr>
      <w:ind w:firstLine="0" w:firstLineChars="0"/>
      <w:jc w:val="center"/>
      <w:outlineLvl w:val="4"/>
    </w:pPr>
    <w:rPr>
      <w:b/>
      <w:kern w:val="0"/>
      <w:szCs w:val="20"/>
    </w:rPr>
  </w:style>
  <w:style w:type="paragraph" w:customStyle="1" w:styleId="64">
    <w:name w:val="修订1"/>
    <w:hidden/>
    <w:unhideWhenUsed/>
    <w:qFormat/>
    <w:uiPriority w:val="99"/>
    <w:rPr>
      <w:rFonts w:ascii="Times New Roman" w:hAnsi="Times New Roman" w:eastAsia="宋体" w:cs="Times New Roman"/>
      <w:kern w:val="2"/>
      <w:sz w:val="24"/>
      <w:szCs w:val="24"/>
      <w:lang w:val="en-US" w:eastAsia="zh-CN" w:bidi="ar-SA"/>
    </w:rPr>
  </w:style>
  <w:style w:type="paragraph" w:customStyle="1" w:styleId="65">
    <w:name w:val="表内容"/>
    <w:qFormat/>
    <w:uiPriority w:val="0"/>
    <w:pPr>
      <w:adjustRightInd w:val="0"/>
      <w:jc w:val="center"/>
    </w:pPr>
    <w:rPr>
      <w:rFonts w:ascii="Times New Roman" w:hAnsi="Times New Roman" w:eastAsia="宋体" w:cs="Times New Roman"/>
      <w:kern w:val="2"/>
      <w:sz w:val="21"/>
      <w:szCs w:val="21"/>
      <w:lang w:val="en-US" w:eastAsia="zh-CN" w:bidi="ar-SA"/>
    </w:rPr>
  </w:style>
  <w:style w:type="paragraph" w:customStyle="1" w:styleId="66">
    <w:name w:val="Revision"/>
    <w:hidden/>
    <w:semiHidden/>
    <w:qFormat/>
    <w:uiPriority w:val="99"/>
    <w:rPr>
      <w:rFonts w:ascii="Times New Roman" w:hAnsi="Times New Roman" w:eastAsia="宋体" w:cs="Times New Roman"/>
      <w:kern w:val="2"/>
      <w:sz w:val="24"/>
      <w:szCs w:val="24"/>
      <w:lang w:val="en-US" w:eastAsia="zh-CN" w:bidi="ar-SA"/>
    </w:rPr>
  </w:style>
  <w:style w:type="paragraph" w:customStyle="1" w:styleId="67">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68">
    <w:name w:val="font6"/>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69">
    <w:name w:val="font7"/>
    <w:basedOn w:val="1"/>
    <w:qFormat/>
    <w:uiPriority w:val="0"/>
    <w:pPr>
      <w:widowControl/>
      <w:spacing w:before="100" w:beforeAutospacing="1" w:after="100" w:afterAutospacing="1" w:line="240" w:lineRule="auto"/>
      <w:ind w:firstLine="0" w:firstLineChars="0"/>
      <w:jc w:val="left"/>
    </w:pPr>
    <w:rPr>
      <w:color w:val="000000"/>
      <w:kern w:val="0"/>
      <w:sz w:val="22"/>
      <w:szCs w:val="22"/>
    </w:rPr>
  </w:style>
  <w:style w:type="paragraph" w:customStyle="1" w:styleId="70">
    <w:name w:val="font8"/>
    <w:basedOn w:val="1"/>
    <w:qFormat/>
    <w:uiPriority w:val="0"/>
    <w:pPr>
      <w:widowControl/>
      <w:spacing w:before="100" w:beforeAutospacing="1" w:after="100" w:afterAutospacing="1" w:line="240" w:lineRule="auto"/>
      <w:ind w:firstLine="0" w:firstLineChars="0"/>
      <w:jc w:val="left"/>
    </w:pPr>
    <w:rPr>
      <w:color w:val="000000"/>
      <w:kern w:val="0"/>
      <w:sz w:val="21"/>
      <w:szCs w:val="21"/>
    </w:rPr>
  </w:style>
  <w:style w:type="paragraph" w:customStyle="1" w:styleId="71">
    <w:name w:val="font9"/>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72">
    <w:name w:val="font10"/>
    <w:basedOn w:val="1"/>
    <w:qFormat/>
    <w:uiPriority w:val="0"/>
    <w:pPr>
      <w:widowControl/>
      <w:spacing w:before="100" w:beforeAutospacing="1" w:after="100" w:afterAutospacing="1" w:line="240" w:lineRule="auto"/>
      <w:ind w:firstLine="0" w:firstLineChars="0"/>
      <w:jc w:val="left"/>
    </w:pPr>
    <w:rPr>
      <w:color w:val="000000"/>
      <w:kern w:val="0"/>
      <w:sz w:val="21"/>
      <w:szCs w:val="21"/>
    </w:rPr>
  </w:style>
  <w:style w:type="paragraph" w:customStyle="1" w:styleId="73">
    <w:name w:val="font11"/>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2"/>
      <w:szCs w:val="22"/>
    </w:rPr>
  </w:style>
  <w:style w:type="paragraph" w:customStyle="1" w:styleId="74">
    <w:name w:val="font12"/>
    <w:basedOn w:val="1"/>
    <w:qFormat/>
    <w:uiPriority w:val="0"/>
    <w:pPr>
      <w:widowControl/>
      <w:spacing w:before="100" w:beforeAutospacing="1" w:after="100" w:afterAutospacing="1" w:line="240" w:lineRule="auto"/>
      <w:ind w:firstLine="0" w:firstLineChars="0"/>
      <w:jc w:val="left"/>
    </w:pPr>
    <w:rPr>
      <w:color w:val="000000"/>
      <w:kern w:val="0"/>
      <w:sz w:val="22"/>
      <w:szCs w:val="22"/>
    </w:rPr>
  </w:style>
  <w:style w:type="paragraph" w:customStyle="1" w:styleId="7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7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宋体" w:hAnsi="宋体" w:cs="宋体"/>
      <w:kern w:val="0"/>
    </w:rPr>
  </w:style>
  <w:style w:type="paragraph" w:customStyle="1" w:styleId="7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7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21"/>
      <w:szCs w:val="21"/>
    </w:rPr>
  </w:style>
  <w:style w:type="paragraph" w:customStyle="1" w:styleId="7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8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88">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89">
    <w:name w:val="xl7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90">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9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92">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rPr>
  </w:style>
  <w:style w:type="paragraph" w:customStyle="1" w:styleId="9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94">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95">
    <w:name w:val="xl8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96">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rPr>
  </w:style>
  <w:style w:type="paragraph" w:customStyle="1" w:styleId="97">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98">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99">
    <w:name w:val="报告表三级标题"/>
    <w:basedOn w:val="100"/>
    <w:next w:val="1"/>
    <w:qFormat/>
    <w:uiPriority w:val="0"/>
    <w:pPr>
      <w:spacing w:before="0" w:beforeLines="0" w:after="0" w:afterLines="0" w:line="360" w:lineRule="auto"/>
    </w:pPr>
    <w:rPr>
      <w:b/>
      <w:sz w:val="28"/>
    </w:rPr>
  </w:style>
  <w:style w:type="paragraph" w:customStyle="1" w:styleId="100">
    <w:name w:val="报告表二级标题"/>
    <w:basedOn w:val="101"/>
    <w:next w:val="102"/>
    <w:qFormat/>
    <w:uiPriority w:val="0"/>
    <w:pPr>
      <w:spacing w:before="156" w:beforeLines="50"/>
    </w:pPr>
    <w:rPr>
      <w:rFonts w:eastAsia="宋体"/>
      <w:kern w:val="0"/>
      <w:sz w:val="30"/>
    </w:rPr>
  </w:style>
  <w:style w:type="paragraph" w:customStyle="1" w:styleId="101">
    <w:name w:val="报告表一级标题"/>
    <w:basedOn w:val="1"/>
    <w:next w:val="102"/>
    <w:qFormat/>
    <w:uiPriority w:val="0"/>
    <w:pPr>
      <w:spacing w:after="156" w:afterLines="50" w:line="240" w:lineRule="auto"/>
      <w:jc w:val="left"/>
      <w:outlineLvl w:val="0"/>
    </w:pPr>
    <w:rPr>
      <w:rFonts w:eastAsia="黑体"/>
      <w:sz w:val="32"/>
    </w:rPr>
  </w:style>
  <w:style w:type="paragraph" w:customStyle="1" w:styleId="102">
    <w:name w:val="报告表正文"/>
    <w:basedOn w:val="1"/>
    <w:qFormat/>
    <w:uiPriority w:val="0"/>
    <w:pPr>
      <w:ind w:firstLine="640" w:firstLineChars="200"/>
    </w:pPr>
  </w:style>
  <w:style w:type="paragraph" w:customStyle="1" w:styleId="103">
    <w:name w:val="表格标题"/>
    <w:basedOn w:val="2"/>
    <w:next w:val="104"/>
    <w:qFormat/>
    <w:uiPriority w:val="0"/>
    <w:pPr>
      <w:spacing w:line="240" w:lineRule="auto"/>
      <w:ind w:firstLine="0" w:firstLineChars="0"/>
      <w:jc w:val="center"/>
    </w:pPr>
    <w:rPr>
      <w:b/>
      <w:sz w:val="21"/>
    </w:rPr>
  </w:style>
  <w:style w:type="paragraph" w:customStyle="1" w:styleId="104">
    <w:name w:val="表格内容"/>
    <w:basedOn w:val="105"/>
    <w:qFormat/>
    <w:uiPriority w:val="0"/>
    <w:pPr>
      <w:spacing w:line="240" w:lineRule="atLeast"/>
      <w:ind w:firstLine="0" w:firstLineChars="0"/>
      <w:jc w:val="center"/>
    </w:pPr>
    <w:rPr>
      <w:rFonts w:ascii="Times New Roman" w:hAnsi="Times New Roman" w:eastAsia="宋体"/>
    </w:rPr>
  </w:style>
  <w:style w:type="paragraph" w:customStyle="1" w:styleId="105">
    <w:name w:val="1-正文"/>
    <w:basedOn w:val="1"/>
    <w:qFormat/>
    <w:uiPriority w:val="0"/>
    <w:pPr>
      <w:adjustRightInd w:val="0"/>
      <w:snapToGrid w:val="0"/>
      <w:spacing w:line="360" w:lineRule="auto"/>
      <w:ind w:firstLine="200" w:firstLineChars="200"/>
      <w:outlineLvl w:val="0"/>
    </w:pPr>
    <w:rPr>
      <w:bCs/>
      <w:sz w:val="24"/>
      <w:szCs w:val="72"/>
    </w:rPr>
  </w:style>
  <w:style w:type="paragraph" w:customStyle="1" w:styleId="106">
    <w:name w:val="List Paragraph"/>
    <w:basedOn w:val="1"/>
    <w:unhideWhenUsed/>
    <w:qFormat/>
    <w:uiPriority w:val="34"/>
    <w:pPr>
      <w:ind w:firstLine="420" w:firstLineChars="200"/>
    </w:pPr>
  </w:style>
  <w:style w:type="paragraph" w:customStyle="1" w:styleId="107">
    <w:name w:val="0"/>
    <w:basedOn w:val="1"/>
    <w:qFormat/>
    <w:uiPriority w:val="0"/>
    <w:pPr>
      <w:widowControl/>
      <w:snapToGrid w:val="0"/>
      <w:spacing w:line="365" w:lineRule="atLeast"/>
      <w:ind w:left="1"/>
      <w:textAlignment w:val="bottom"/>
    </w:pPr>
    <w:rPr>
      <w:kern w:val="0"/>
      <w:sz w:val="20"/>
      <w:szCs w:val="20"/>
    </w:rPr>
  </w:style>
  <w:style w:type="paragraph" w:customStyle="1" w:styleId="108">
    <w:name w:val="4正文格式"/>
    <w:basedOn w:val="1"/>
    <w:qFormat/>
    <w:uiPriority w:val="0"/>
    <w:rPr>
      <w:szCs w:val="21"/>
    </w:rPr>
  </w:style>
  <w:style w:type="paragraph" w:customStyle="1" w:styleId="109">
    <w:name w:val="3.2表格表头"/>
    <w:basedOn w:val="108"/>
    <w:qFormat/>
    <w:uiPriority w:val="3"/>
    <w:pPr>
      <w:numPr>
        <w:ilvl w:val="0"/>
        <w:numId w:val="2"/>
      </w:numPr>
      <w:ind w:left="0" w:firstLine="0" w:firstLineChars="0"/>
      <w:jc w:val="center"/>
    </w:pPr>
    <w:rPr>
      <w:b/>
      <w:sz w:val="21"/>
    </w:rPr>
  </w:style>
  <w:style w:type="paragraph" w:customStyle="1" w:styleId="110">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111">
    <w:name w:val="标号正文"/>
    <w:basedOn w:val="1"/>
    <w:next w:val="1"/>
    <w:qFormat/>
    <w:uiPriority w:val="0"/>
    <w:pPr>
      <w:tabs>
        <w:tab w:val="left" w:pos="1540"/>
      </w:tabs>
      <w:overflowPunct w:val="0"/>
      <w:snapToGrid w:val="0"/>
      <w:spacing w:line="360" w:lineRule="auto"/>
      <w:ind w:left="0" w:firstLine="1040"/>
      <w:jc w:val="left"/>
    </w:pPr>
    <w:rPr>
      <w:rFonts w:ascii="Arial" w:hAnsi="Arial" w:eastAsia="宋体"/>
      <w:sz w:val="24"/>
      <w:szCs w:val="20"/>
    </w:rPr>
  </w:style>
  <w:style w:type="character" w:customStyle="1" w:styleId="112">
    <w:name w:val="font41"/>
    <w:basedOn w:val="32"/>
    <w:qFormat/>
    <w:uiPriority w:val="0"/>
    <w:rPr>
      <w:rFonts w:hint="default" w:ascii="Times New Roman" w:hAnsi="Times New Roman" w:cs="Times New Roman"/>
      <w:color w:val="000000"/>
      <w:sz w:val="24"/>
      <w:szCs w:val="24"/>
      <w:u w:val="none"/>
    </w:rPr>
  </w:style>
  <w:style w:type="paragraph" w:customStyle="1" w:styleId="113">
    <w:name w:val="1"/>
    <w:basedOn w:val="1"/>
    <w:qFormat/>
    <w:uiPriority w:val="0"/>
    <w:pPr>
      <w:snapToGrid w:val="0"/>
      <w:spacing w:line="360" w:lineRule="auto"/>
      <w:ind w:firstLine="200" w:firstLineChars="200"/>
    </w:pPr>
    <w:rPr>
      <w:rFonts w:eastAsia="仿宋_GB2312"/>
      <w:b/>
      <w:sz w:val="28"/>
      <w:szCs w:val="28"/>
    </w:rPr>
  </w:style>
  <w:style w:type="paragraph" w:customStyle="1" w:styleId="114">
    <w:name w:val="样式 小四"/>
    <w:basedOn w:val="1"/>
    <w:qFormat/>
    <w:uiPriority w:val="0"/>
    <w:pPr>
      <w:spacing w:line="360" w:lineRule="auto"/>
      <w:ind w:firstLine="480" w:firstLineChars="200"/>
    </w:pPr>
    <w:rPr>
      <w:rFonts w:hAnsi="宋体"/>
      <w:sz w:val="24"/>
    </w:rPr>
  </w:style>
  <w:style w:type="paragraph" w:customStyle="1" w:styleId="115">
    <w:name w:val="table caption"/>
    <w:basedOn w:val="1"/>
    <w:qFormat/>
    <w:uiPriority w:val="0"/>
    <w:pPr>
      <w:widowControl/>
      <w:spacing w:before="120" w:after="120"/>
      <w:jc w:val="center"/>
    </w:pPr>
    <w:rPr>
      <w:rFonts w:ascii="Times New Roman" w:hAnsi="Times New Roman" w:eastAsia="黑体" w:cs="Times New Roman"/>
      <w:b/>
      <w:bCs/>
      <w:sz w:val="24"/>
      <w:szCs w:val="24"/>
    </w:rPr>
  </w:style>
  <w:style w:type="paragraph" w:customStyle="1" w:styleId="116">
    <w:name w:val="tt"/>
    <w:basedOn w:val="1"/>
    <w:qFormat/>
    <w:uiPriority w:val="0"/>
    <w:pPr>
      <w:adjustRightInd w:val="0"/>
      <w:snapToGrid w:val="0"/>
      <w:jc w:val="center"/>
    </w:pPr>
    <w:rPr>
      <w:sz w:val="21"/>
      <w:szCs w:val="21"/>
    </w:rPr>
  </w:style>
  <w:style w:type="paragraph" w:customStyle="1" w:styleId="117">
    <w:name w:val="Body text|2"/>
    <w:basedOn w:val="1"/>
    <w:qFormat/>
    <w:uiPriority w:val="0"/>
    <w:pPr>
      <w:widowControl w:val="0"/>
      <w:shd w:val="clear" w:color="auto" w:fill="auto"/>
      <w:spacing w:line="451" w:lineRule="auto"/>
      <w:ind w:firstLine="400"/>
    </w:pPr>
    <w:rPr>
      <w:rFonts w:ascii="宋体" w:hAnsi="宋体" w:eastAsia="宋体" w:cs="宋体"/>
      <w:sz w:val="26"/>
      <w:szCs w:val="26"/>
      <w:u w:val="none"/>
      <w:shd w:val="clear" w:color="auto" w:fill="auto"/>
      <w:lang w:val="zh-TW" w:eastAsia="zh-TW" w:bidi="zh-TW"/>
    </w:rPr>
  </w:style>
  <w:style w:type="paragraph" w:customStyle="1" w:styleId="118">
    <w:name w:val="A标准格式"/>
    <w:basedOn w:val="1"/>
    <w:qFormat/>
    <w:uiPriority w:val="0"/>
    <w:pPr>
      <w:spacing w:line="440" w:lineRule="exact"/>
      <w:ind w:firstLine="480" w:firstLineChars="200"/>
    </w:pPr>
  </w:style>
  <w:style w:type="paragraph" w:customStyle="1" w:styleId="119">
    <w:name w:val="表头"/>
    <w:basedOn w:val="120"/>
    <w:next w:val="1"/>
    <w:qFormat/>
    <w:uiPriority w:val="0"/>
    <w:pPr>
      <w:spacing w:line="360" w:lineRule="auto"/>
      <w:jc w:val="center"/>
    </w:pPr>
    <w:rPr>
      <w:b/>
      <w:sz w:val="21"/>
    </w:rPr>
  </w:style>
  <w:style w:type="paragraph" w:customStyle="1" w:styleId="120">
    <w:name w:val="文本"/>
    <w:basedOn w:val="1"/>
    <w:qFormat/>
    <w:uiPriority w:val="0"/>
    <w:pPr>
      <w:spacing w:line="480" w:lineRule="exact"/>
      <w:ind w:firstLine="200" w:firstLineChars="200"/>
      <w:jc w:val="left"/>
    </w:pPr>
    <w:rPr>
      <w:color w:val="000000"/>
      <w:sz w:val="24"/>
      <w:szCs w:val="28"/>
    </w:rPr>
  </w:style>
  <w:style w:type="paragraph" w:customStyle="1" w:styleId="121">
    <w:name w:val="cauc-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122">
    <w:name w:val="重点标注"/>
    <w:basedOn w:val="1"/>
    <w:qFormat/>
    <w:uiPriority w:val="0"/>
    <w:rPr>
      <w:b/>
      <w:kern w:val="0"/>
      <w:sz w:val="20"/>
      <w:szCs w:val="20"/>
    </w:rPr>
  </w:style>
  <w:style w:type="paragraph" w:customStyle="1" w:styleId="123">
    <w:name w:val="表格"/>
    <w:basedOn w:val="1"/>
    <w:next w:val="1"/>
    <w:qFormat/>
    <w:uiPriority w:val="0"/>
    <w:pPr>
      <w:adjustRightInd w:val="0"/>
      <w:snapToGrid w:val="0"/>
      <w:spacing w:before="10" w:beforeLines="10" w:after="10" w:afterLines="10" w:line="259" w:lineRule="auto"/>
      <w:jc w:val="center"/>
    </w:pPr>
    <w:rPr>
      <w:rFonts w:ascii="宋体" w:hAnsi="宋体"/>
      <w:kern w:val="0"/>
      <w:sz w:val="21"/>
      <w:szCs w:val="20"/>
    </w:rPr>
  </w:style>
  <w:style w:type="paragraph" w:customStyle="1" w:styleId="124">
    <w:name w:val="正文 首行缩进:  2 字符"/>
    <w:basedOn w:val="1"/>
    <w:qFormat/>
    <w:uiPriority w:val="99"/>
    <w:pPr>
      <w:ind w:firstLine="579" w:firstLineChars="200"/>
    </w:pPr>
    <w:rPr>
      <w:rFonts w:ascii="Times New Roman" w:hAnsi="Times New Roman" w:cs="宋体"/>
      <w:szCs w:val="20"/>
    </w:rPr>
  </w:style>
  <w:style w:type="paragraph" w:customStyle="1" w:styleId="125">
    <w:name w:val="图表标题"/>
    <w:basedOn w:val="1"/>
    <w:next w:val="1"/>
    <w:qFormat/>
    <w:uiPriority w:val="0"/>
    <w:pPr>
      <w:spacing w:before="50" w:beforeLines="50" w:after="50" w:afterLines="50" w:line="240" w:lineRule="auto"/>
      <w:jc w:val="center"/>
    </w:pPr>
    <w:rPr>
      <w:b/>
    </w:rPr>
  </w:style>
  <w:style w:type="paragraph" w:customStyle="1" w:styleId="126">
    <w:name w:val="表格正文"/>
    <w:basedOn w:val="8"/>
    <w:qFormat/>
    <w:uiPriority w:val="0"/>
    <w:pPr>
      <w:spacing w:line="240" w:lineRule="auto"/>
    </w:pPr>
    <w:rPr>
      <w:sz w:val="21"/>
    </w:rPr>
  </w:style>
  <w:style w:type="paragraph" w:customStyle="1" w:styleId="127">
    <w:name w:val="表、图名"/>
    <w:basedOn w:val="1"/>
    <w:qFormat/>
    <w:uiPriority w:val="0"/>
    <w:pPr>
      <w:adjustRightInd w:val="0"/>
      <w:snapToGrid w:val="0"/>
      <w:spacing w:beforeLines="30" w:afterLines="30" w:line="312" w:lineRule="auto"/>
      <w:ind w:firstLine="0" w:firstLineChars="0"/>
      <w:jc w:val="center"/>
    </w:pPr>
    <w:rPr>
      <w:b/>
      <w:bCs/>
      <w:color w:val="000000"/>
      <w:kern w:val="0"/>
      <w:sz w:val="21"/>
      <w:szCs w:val="21"/>
    </w:rPr>
  </w:style>
  <w:style w:type="paragraph" w:customStyle="1" w:styleId="128">
    <w:name w:val="表头、图号"/>
    <w:basedOn w:val="1"/>
    <w:next w:val="1"/>
    <w:qFormat/>
    <w:uiPriority w:val="0"/>
    <w:pPr>
      <w:adjustRightInd w:val="0"/>
      <w:snapToGrid w:val="0"/>
      <w:spacing w:before="20" w:beforeLines="20" w:after="20" w:afterLines="20" w:line="312" w:lineRule="auto"/>
      <w:ind w:firstLine="0" w:firstLineChars="0"/>
      <w:jc w:val="center"/>
    </w:pPr>
    <w:rPr>
      <w:b/>
      <w:sz w:val="21"/>
      <w:szCs w:val="21"/>
    </w:rPr>
  </w:style>
  <w:style w:type="paragraph" w:customStyle="1" w:styleId="129">
    <w:name w:val="表头、图名"/>
    <w:basedOn w:val="123"/>
    <w:next w:val="1"/>
    <w:qFormat/>
    <w:uiPriority w:val="0"/>
    <w:rPr>
      <w:b/>
    </w:rPr>
  </w:style>
  <w:style w:type="paragraph" w:customStyle="1" w:styleId="130">
    <w:name w:val="样式 正文缩进正文缩进2正文缩进 Char Char正文缩进 Char Char Char Char正文缩进 Char ..."/>
    <w:basedOn w:val="8"/>
    <w:qFormat/>
    <w:uiPriority w:val="0"/>
    <w:pPr>
      <w:spacing w:line="360" w:lineRule="auto"/>
      <w:ind w:firstLine="200"/>
    </w:pPr>
    <w:rPr>
      <w:rFonts w:cs="宋体"/>
      <w:sz w:val="24"/>
    </w:rPr>
  </w:style>
  <w:style w:type="paragraph" w:customStyle="1" w:styleId="131">
    <w:name w:val="样式 (中文) 华文中宋 (符号) 华文中宋 行距: 1.5 倍行距 首行缩进:  2 字符"/>
    <w:basedOn w:val="1"/>
    <w:qFormat/>
    <w:uiPriority w:val="0"/>
    <w:pPr>
      <w:adjustRightInd w:val="0"/>
      <w:snapToGrid w:val="0"/>
      <w:spacing w:before="78" w:beforeLines="25" w:after="78" w:afterLines="25" w:line="360" w:lineRule="auto"/>
      <w:ind w:firstLine="200" w:firstLineChars="200"/>
    </w:pPr>
    <w:rPr>
      <w:rFonts w:ascii="Arial" w:hAnsi="Arial" w:eastAsia="仿宋_GB2312" w:cs="宋体"/>
      <w:sz w:val="28"/>
      <w:szCs w:val="28"/>
    </w:rPr>
  </w:style>
  <w:style w:type="paragraph" w:customStyle="1" w:styleId="132">
    <w:name w:val="p0"/>
    <w:basedOn w:val="1"/>
    <w:qFormat/>
    <w:uiPriority w:val="0"/>
    <w:pPr>
      <w:widowControl/>
    </w:pPr>
    <w:rPr>
      <w:kern w:val="0"/>
      <w:sz w:val="21"/>
      <w:szCs w:val="21"/>
    </w:rPr>
  </w:style>
  <w:style w:type="paragraph" w:customStyle="1" w:styleId="133">
    <w:name w:val="Body text|1"/>
    <w:basedOn w:val="1"/>
    <w:qFormat/>
    <w:uiPriority w:val="0"/>
    <w:pPr>
      <w:widowControl w:val="0"/>
      <w:shd w:val="clear" w:color="auto" w:fill="auto"/>
      <w:spacing w:line="585" w:lineRule="exact"/>
      <w:ind w:firstLine="300"/>
    </w:pPr>
    <w:rPr>
      <w:rFonts w:ascii="宋体" w:hAnsi="宋体" w:eastAsia="宋体" w:cs="宋体"/>
      <w:sz w:val="26"/>
      <w:szCs w:val="26"/>
      <w:u w:val="none"/>
      <w:shd w:val="clear" w:color="auto" w:fill="auto"/>
      <w:lang w:val="zh-TW" w:eastAsia="zh-TW" w:bidi="zh-TW"/>
    </w:rPr>
  </w:style>
  <w:style w:type="paragraph" w:customStyle="1" w:styleId="134">
    <w:name w:val="君邦正文"/>
    <w:basedOn w:val="1"/>
    <w:qFormat/>
    <w:uiPriority w:val="0"/>
    <w:rPr>
      <w:szCs w:val="20"/>
    </w:rPr>
  </w:style>
  <w:style w:type="paragraph" w:customStyle="1" w:styleId="135">
    <w:name w:val="Table Paragraph"/>
    <w:basedOn w:val="1"/>
    <w:semiHidden/>
    <w:qFormat/>
    <w:uiPriority w:val="0"/>
    <w:rPr>
      <w:rFonts w:ascii="Times New Roman" w:hAnsi="Times New Roman" w:cs="Times New Roman"/>
      <w:sz w:val="24"/>
      <w:szCs w:val="24"/>
    </w:rPr>
  </w:style>
  <w:style w:type="paragraph" w:customStyle="1" w:styleId="136">
    <w:name w:val="表头5"/>
    <w:basedOn w:val="2"/>
    <w:qFormat/>
    <w:uiPriority w:val="0"/>
    <w:pPr>
      <w:adjustRightInd/>
      <w:spacing w:after="0" w:afterLines="0"/>
      <w:jc w:val="center"/>
    </w:pPr>
    <w:rPr>
      <w:rFonts w:ascii="Times New Roman" w:hAnsi="Times New Roman"/>
      <w:b/>
      <w:sz w:val="21"/>
      <w:szCs w:val="24"/>
    </w:rPr>
  </w:style>
  <w:style w:type="paragraph" w:customStyle="1" w:styleId="137">
    <w:name w:val="wo表头"/>
    <w:basedOn w:val="138"/>
    <w:next w:val="1"/>
    <w:qFormat/>
    <w:uiPriority w:val="0"/>
    <w:pPr>
      <w:spacing w:line="240" w:lineRule="auto"/>
      <w:ind w:firstLine="0" w:firstLineChars="0"/>
      <w:jc w:val="center"/>
    </w:pPr>
    <w:rPr>
      <w:rFonts w:ascii="Times New Roman" w:hAnsi="Times New Roman" w:eastAsia="宋体"/>
      <w:b/>
    </w:rPr>
  </w:style>
  <w:style w:type="paragraph" w:customStyle="1" w:styleId="138">
    <w:name w:val="zp"/>
    <w:basedOn w:val="15"/>
    <w:qFormat/>
    <w:uiPriority w:val="0"/>
    <w:pPr>
      <w:spacing w:line="240" w:lineRule="auto"/>
    </w:pPr>
    <w:rPr>
      <w:rFonts w:hint="eastAsia" w:ascii="Times New Roman" w:hAnsi="Times New Roman" w:eastAsia="宋体" w:cs="宋体"/>
      <w:sz w:val="21"/>
      <w:szCs w:val="20"/>
    </w:rPr>
  </w:style>
  <w:style w:type="paragraph" w:customStyle="1" w:styleId="139">
    <w:name w:val="wo正文"/>
    <w:basedOn w:val="1"/>
    <w:qFormat/>
    <w:uiPriority w:val="0"/>
    <w:pPr>
      <w:spacing w:line="360" w:lineRule="auto"/>
      <w:ind w:firstLine="0" w:firstLineChars="0"/>
    </w:pPr>
    <w:rPr>
      <w:rFonts w:ascii="Times New Roman" w:hAnsi="Times New Roman"/>
      <w:sz w:val="24"/>
    </w:rPr>
  </w:style>
  <w:style w:type="paragraph" w:customStyle="1" w:styleId="140">
    <w:name w:val="报告正文文字"/>
    <w:basedOn w:val="1"/>
    <w:qFormat/>
    <w:uiPriority w:val="0"/>
    <w:pPr>
      <w:widowControl/>
      <w:autoSpaceDE w:val="0"/>
      <w:autoSpaceDN w:val="0"/>
      <w:spacing w:line="360" w:lineRule="auto"/>
      <w:ind w:firstLine="480" w:firstLineChars="200"/>
    </w:pPr>
    <w:rPr>
      <w:color w:val="000000"/>
      <w:spacing w:val="4"/>
      <w:kern w:val="0"/>
      <w:sz w:val="24"/>
    </w:rPr>
  </w:style>
  <w:style w:type="paragraph" w:customStyle="1" w:styleId="141">
    <w:name w:val="Table Text"/>
    <w:basedOn w:val="1"/>
    <w:semiHidden/>
    <w:qFormat/>
    <w:uiPriority w:val="0"/>
    <w:rPr>
      <w:rFonts w:ascii="宋体" w:hAnsi="宋体" w:eastAsia="宋体" w:cs="宋体"/>
      <w:sz w:val="24"/>
      <w:szCs w:val="24"/>
      <w:lang w:val="en-US" w:eastAsia="en-US" w:bidi="ar-SA"/>
    </w:rPr>
  </w:style>
  <w:style w:type="table" w:customStyle="1" w:styleId="142">
    <w:name w:val="Table Normal"/>
    <w:semiHidden/>
    <w:unhideWhenUsed/>
    <w:qFormat/>
    <w:uiPriority w:val="0"/>
    <w:tblPr>
      <w:tblCellMar>
        <w:top w:w="0" w:type="dxa"/>
        <w:left w:w="0" w:type="dxa"/>
        <w:bottom w:w="0" w:type="dxa"/>
        <w:right w:w="0" w:type="dxa"/>
      </w:tblCellMar>
    </w:tblPr>
  </w:style>
  <w:style w:type="character" w:customStyle="1" w:styleId="143">
    <w:name w:val="font21"/>
    <w:basedOn w:val="32"/>
    <w:qFormat/>
    <w:uiPriority w:val="0"/>
    <w:rPr>
      <w:rFonts w:hint="default" w:ascii="Times New Roman" w:hAnsi="Times New Roman" w:cs="Times New Roman"/>
      <w:color w:val="000000"/>
      <w:sz w:val="21"/>
      <w:szCs w:val="21"/>
      <w:u w:val="none"/>
    </w:rPr>
  </w:style>
  <w:style w:type="character" w:customStyle="1" w:styleId="144">
    <w:name w:val="font31"/>
    <w:basedOn w:val="32"/>
    <w:qFormat/>
    <w:uiPriority w:val="0"/>
    <w:rPr>
      <w:rFonts w:hint="default" w:ascii="Times New Roman" w:hAnsi="Times New Roman" w:cs="Times New Roman"/>
      <w:color w:val="000000"/>
      <w:sz w:val="18"/>
      <w:szCs w:val="18"/>
      <w:u w:val="none"/>
      <w:vertAlign w:val="superscript"/>
    </w:rPr>
  </w:style>
  <w:style w:type="character" w:customStyle="1" w:styleId="145">
    <w:name w:val="font51"/>
    <w:basedOn w:val="32"/>
    <w:qFormat/>
    <w:uiPriority w:val="0"/>
    <w:rPr>
      <w:rFonts w:hint="default" w:ascii="Times New Roman" w:hAnsi="Times New Roman" w:cs="Times New Roman"/>
      <w:color w:val="000000"/>
      <w:sz w:val="21"/>
      <w:szCs w:val="21"/>
      <w:u w:val="none"/>
      <w:vertAlign w:val="superscript"/>
    </w:rPr>
  </w:style>
  <w:style w:type="character" w:customStyle="1" w:styleId="146">
    <w:name w:val="font61"/>
    <w:basedOn w:val="32"/>
    <w:qFormat/>
    <w:uiPriority w:val="0"/>
    <w:rPr>
      <w:rFonts w:hint="default" w:ascii="Times New Roman" w:hAnsi="Times New Roman" w:cs="Times New Roman"/>
      <w:color w:val="000000"/>
      <w:sz w:val="21"/>
      <w:szCs w:val="21"/>
      <w:u w:val="none"/>
      <w:vertAlign w:val="subscript"/>
    </w:rPr>
  </w:style>
  <w:style w:type="character" w:customStyle="1" w:styleId="147">
    <w:name w:val="font71"/>
    <w:basedOn w:val="32"/>
    <w:qFormat/>
    <w:uiPriority w:val="0"/>
    <w:rPr>
      <w:rFonts w:hint="default" w:ascii="Times New Roman" w:hAnsi="Times New Roman" w:cs="Times New Roman"/>
      <w:color w:val="000000"/>
      <w:sz w:val="18"/>
      <w:szCs w:val="18"/>
      <w:u w:val="none"/>
    </w:rPr>
  </w:style>
  <w:style w:type="character" w:customStyle="1" w:styleId="148">
    <w:name w:val="font81"/>
    <w:basedOn w:val="32"/>
    <w:qFormat/>
    <w:uiPriority w:val="0"/>
    <w:rPr>
      <w:rFonts w:hint="default" w:ascii="Times New Roman" w:hAnsi="Times New Roman" w:cs="Times New Roman"/>
      <w:color w:val="000000"/>
      <w:sz w:val="18"/>
      <w:szCs w:val="18"/>
      <w:u w:val="none"/>
      <w:vertAlign w:val="superscript"/>
    </w:rPr>
  </w:style>
  <w:style w:type="paragraph" w:customStyle="1" w:styleId="149">
    <w:name w:val="3级标题"/>
    <w:basedOn w:val="106"/>
    <w:qFormat/>
    <w:uiPriority w:val="0"/>
    <w:pPr>
      <w:numPr>
        <w:ilvl w:val="2"/>
        <w:numId w:val="3"/>
      </w:numPr>
      <w:spacing w:after="0" w:line="360" w:lineRule="auto"/>
      <w:ind w:left="0" w:right="221" w:firstLine="0" w:firstLineChars="0"/>
      <w:outlineLvl w:val="2"/>
    </w:pPr>
    <w:rPr>
      <w:rFonts w:ascii="Times New Roman" w:hAnsi="Times New Roman" w:eastAsia="宋体" w:cs="Times New Roman"/>
      <w:b/>
      <w:sz w:val="28"/>
      <w:szCs w:val="28"/>
    </w:rPr>
  </w:style>
  <w:style w:type="paragraph" w:customStyle="1" w:styleId="150">
    <w:name w:val="表格1"/>
    <w:basedOn w:val="151"/>
    <w:qFormat/>
    <w:uiPriority w:val="0"/>
  </w:style>
  <w:style w:type="paragraph" w:customStyle="1" w:styleId="151">
    <w:name w:val="表格样式"/>
    <w:basedOn w:val="1"/>
    <w:qFormat/>
    <w:uiPriority w:val="0"/>
    <w:pPr>
      <w:spacing w:line="240" w:lineRule="auto"/>
      <w:jc w:val="center"/>
    </w:pPr>
    <w:rPr>
      <w:sz w:val="21"/>
      <w:szCs w:val="21"/>
    </w:rPr>
  </w:style>
  <w:style w:type="paragraph" w:customStyle="1" w:styleId="152">
    <w:name w:val="表头样式1"/>
    <w:basedOn w:val="1"/>
    <w:qFormat/>
    <w:uiPriority w:val="0"/>
    <w:pPr>
      <w:spacing w:after="80" w:line="480" w:lineRule="atLeast"/>
      <w:jc w:val="center"/>
    </w:pPr>
    <w:rPr>
      <w:rFonts w:eastAsia="黑体"/>
      <w:b/>
      <w:sz w:val="24"/>
    </w:rPr>
  </w:style>
  <w:style w:type="paragraph" w:customStyle="1" w:styleId="153">
    <w:name w:val="表内格式"/>
    <w:basedOn w:val="1"/>
    <w:qFormat/>
    <w:uiPriority w:val="0"/>
    <w:pPr>
      <w:spacing w:line="240" w:lineRule="exact"/>
      <w:jc w:val="center"/>
    </w:pPr>
    <w:rPr>
      <w:rFonts w:cs="Times New Roman"/>
      <w:kern w:val="2"/>
      <w:sz w:val="21"/>
      <w:szCs w:val="20"/>
    </w:rPr>
  </w:style>
  <w:style w:type="paragraph" w:customStyle="1" w:styleId="154">
    <w:name w:val="样式1"/>
    <w:basedOn w:val="1"/>
    <w:qFormat/>
    <w:uiPriority w:val="0"/>
    <w:pPr>
      <w:spacing w:after="40" w:line="300" w:lineRule="atLeast"/>
      <w:jc w:val="center"/>
      <w:outlineLvl w:val="2"/>
    </w:pPr>
    <w:rPr>
      <w:rFonts w:ascii="Times New Roman" w:hAnsi="Times New Roman" w:eastAsia="楷体_GB2312" w:cs="Times New Roman"/>
      <w:kern w:val="2"/>
      <w:sz w:val="21"/>
      <w:szCs w:val="20"/>
    </w:rPr>
  </w:style>
  <w:style w:type="paragraph" w:customStyle="1" w:styleId="155">
    <w:name w:val="表格普通"/>
    <w:basedOn w:val="1"/>
    <w:qFormat/>
    <w:uiPriority w:val="0"/>
    <w:pPr>
      <w:jc w:val="center"/>
    </w:pPr>
    <w:rPr>
      <w:rFonts w:eastAsia="仿宋_GB2312"/>
      <w:szCs w:val="21"/>
    </w:rPr>
  </w:style>
  <w:style w:type="paragraph" w:customStyle="1" w:styleId="156">
    <w:name w:val="表格内容自定"/>
    <w:basedOn w:val="1"/>
    <w:qFormat/>
    <w:uiPriority w:val="0"/>
    <w:pPr>
      <w:jc w:val="center"/>
    </w:pPr>
    <w:rPr>
      <w:kern w:val="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emf"/><Relationship Id="rId36" Type="http://schemas.openxmlformats.org/officeDocument/2006/relationships/image" Target="media/image23.emf"/><Relationship Id="rId35" Type="http://schemas.openxmlformats.org/officeDocument/2006/relationships/image" Target="media/image22.emf"/><Relationship Id="rId34" Type="http://schemas.openxmlformats.org/officeDocument/2006/relationships/image" Target="media/image21.emf"/><Relationship Id="rId33" Type="http://schemas.openxmlformats.org/officeDocument/2006/relationships/image" Target="media/image20.emf"/><Relationship Id="rId32" Type="http://schemas.openxmlformats.org/officeDocument/2006/relationships/image" Target="media/image19.emf"/><Relationship Id="rId31" Type="http://schemas.openxmlformats.org/officeDocument/2006/relationships/image" Target="media/image18.emf"/><Relationship Id="rId30" Type="http://schemas.openxmlformats.org/officeDocument/2006/relationships/image" Target="media/image17.emf"/><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"/>
    </extobj>
    <extobj name="F360BE8B-6686-4F3D-AEAF-501FE73E4058-2">
      <extobjdata type="F360BE8B-6686-4F3D-AEAF-501FE73E4058" data="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"/>
    </extobj>
    <extobj name="F360BE8B-6686-4F3D-AEAF-501FE73E4058-3">
      <extobjdata type="F360BE8B-6686-4F3D-AEAF-501FE73E4058" data="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"/>
    </extobj>
    <extobj name="F360BE8B-6686-4F3D-AEAF-501FE73E4058-4">
      <extobjdata type="F360BE8B-6686-4F3D-AEAF-501FE73E4058" data="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60BF21-3DEB-4F4A-A84F-FF746C9F84B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70</Pages>
  <Words>13551</Words>
  <Characters>15577</Characters>
  <Lines>345</Lines>
  <Paragraphs>97</Paragraphs>
  <TotalTime>7</TotalTime>
  <ScaleCrop>false</ScaleCrop>
  <LinksUpToDate>false</LinksUpToDate>
  <CharactersWithSpaces>15623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2021-03-13T10:27:00Z</dcterms:created>
  <dc:creator>曹昌炜</dc:creator>
  <cp:lastModifiedBy>Administrator</cp:lastModifiedBy>
  <dcterms:modified xsi:type="dcterms:W3CDTF">2025-09-04T08:22:36Z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9EFBB7AB1ADA4F0A86E252C6209281EF_13</vt:lpwstr>
  </property>
  <property fmtid="{D5CDD505-2E9C-101B-9397-08002B2CF9AE}" pid="4" name="KSOTemplateDocerSaveRecord">
    <vt:lpwstr>eyJoZGlkIjoiYzUzY2QyZThkNjk1ZTIwYjczNGU1ZjYxNTJiOTk3YzAifQ==</vt:lpwstr>
  </property>
</Properties>
</file>