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安徽省知识产权专员管理办法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sz w:val="36"/>
          <w:szCs w:val="36"/>
          <w:lang w:eastAsia="zh-CN"/>
        </w:rPr>
        <w:t>（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征求意见稿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为贯彻落实知识产权强省战略，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规范和加强知识产权专员管理，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充分发挥知识产权专员的创造力和凝聚力，不断提升知识产权专员队伍专业化水平，全面推动我省知识产权高质量发展，结合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本办法所称的知识产权专员，是指我省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范围内</w:t>
      </w:r>
      <w:r>
        <w:rPr>
          <w:rFonts w:hint="eastAsia" w:ascii="仿宋_GB2312" w:hAnsi="仿宋_GB2312" w:eastAsia="仿宋_GB2312" w:cs="仿宋_GB2312"/>
          <w:sz w:val="32"/>
          <w:szCs w:val="32"/>
        </w:rPr>
        <w:t>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业、高校、科研院所和市场监督管理所负责知识产权管理的工作人员。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知识产权专员由</w:t>
      </w:r>
      <w:r>
        <w:rPr>
          <w:rFonts w:hint="eastAsia" w:ascii="仿宋_GB2312" w:hAnsi="仿宋_GB2312" w:eastAsia="仿宋_GB2312" w:cs="仿宋_GB2312"/>
          <w:sz w:val="32"/>
          <w:szCs w:val="32"/>
        </w:rPr>
        <w:t>我省企业、高校、科研院所和市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场监督管理所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根据工作需要从单位内部自主确定，专员名单报至所在地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汇总辖区知识产权专员名单后报省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知识产权</w:t>
      </w:r>
      <w:r>
        <w:rPr>
          <w:rFonts w:hint="eastAsia" w:ascii="仿宋_GB2312" w:hAnsi="仿宋_GB2312" w:eastAsia="仿宋_GB2312" w:cs="仿宋_GB2312"/>
          <w:sz w:val="32"/>
          <w:szCs w:val="32"/>
        </w:rPr>
        <w:t>专员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企业知识产权专员职责。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实施企业知识产权战略；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创造；加强知识产权资产管理、维护和运营；主动开展知识产权风险评议和预警；积极开展知识产权维权和侵权纠纷应对；健全企业知识产权管理体系并保障有效运行；有效利用政府各项政策措施；负责与知识产权管理部门的沟通协调，协助开展知识产权调研考察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高校、科研院所知识产权专员职责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制定落实本单位知识产权管理制度；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知识产权创造能力和创造质量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；贯彻落实《科研组织知识产权管理规范》；组织本单位科研人员开展知识产权培训；结合本单位需要协助开展知识产权检索、分析与导航；协调处理涉及本单位知识产权侵权纠纷案件；探索多种形式的知识产权运用，推动本单位知识产权的转移转化；负责与各级知识产权管理部门的沟通协调，协助开展知识产权宣传交流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场监督管理所知识产权专员职责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知识产权法律法规及相关政策；负责调研了解辖区企业的创新需求，深化知识产权精准对接服务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根据县（市、区）市场监督管理局提出的量化工作要求，对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辖区企业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知识产权创造情况进行定期统计分析，推动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知识产权创造；帮助辖区企业协调解决涉及知识产权法律保护问题；强化知识产权布局，引导辖区企业加强知识产权运用；对辖区企业知识产权情况实行分类建档；承办上级交办的其他知识产权工作事项。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知识产权专员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认真学习专利、商标及地理标志等知识产权有关法律、法规和政策，熟悉知识产权创造、保护、运用、管理及服务等相关业务知识，切实提升知识产权业务能力和水平。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市、县（区）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监督管理局应加强对知识产权专员的业务培训，努力打造高水平知识产权专员队伍。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围绕知识产权事业发展的新形势、新任务、新要求，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每年对辖区内不少于10%比例的知识产权专员进行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轮训。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知识产权专员按照属地原则纳入各地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监管部门统一管理。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市、县（区）市场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局应建立知识产权专员库，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知识产权专员信息。省市场监督管理局建立知识产权专员信息管理平台，实现知识产权专员队伍管理的规范化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知识产权专员实行动态管理。知识产权专员岗位发生变动的，所在单位要及时报送至所在地县（市、区）市场监督管理局。各县（市、区）市场监督管理局每年要核实知识产权专员岗位变动情况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知识产权专员、联系方式等重要信息发生变更的，须及时报省市场监督管理局备案。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省、市、县（区）市场监管部门和有条件的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制度，对工作成效显著的知识产权专员给予奖励，并且提供必要的工作条件，每年按一定比例对知识产权专员进行表扬。</w:t>
      </w:r>
      <w:r>
        <w:rPr>
          <w:rFonts w:hint="eastAsia" w:ascii="仿宋_GB2312" w:hAnsi="仿宋_GB2312" w:eastAsia="仿宋_GB2312" w:cs="仿宋_GB2312"/>
          <w:sz w:val="32"/>
          <w:szCs w:val="32"/>
        </w:rPr>
        <w:t>可配套相应额度的资金支持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优先推荐申报国家、省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知识产权</w:t>
      </w:r>
      <w:r>
        <w:rPr>
          <w:rFonts w:hint="eastAsia" w:ascii="仿宋_GB2312" w:hAnsi="仿宋_GB2312" w:eastAsia="仿宋_GB2312" w:cs="仿宋_GB2312"/>
          <w:sz w:val="32"/>
          <w:szCs w:val="32"/>
        </w:rPr>
        <w:t>优势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示范企业及</w:t>
      </w:r>
      <w:r>
        <w:rPr>
          <w:rFonts w:hint="eastAsia" w:ascii="仿宋_GB2312" w:hAnsi="仿宋_GB2312" w:eastAsia="仿宋_GB2312" w:cs="仿宋_GB2312"/>
          <w:sz w:val="32"/>
          <w:szCs w:val="32"/>
        </w:rPr>
        <w:t>专利奖项目等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充分调动知识产权专员的工作热情和创新活力。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各级市场监管部门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应为知识产权专员提供坚实服务保障，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加强对企业、高校、科研院所的调研指导，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精准</w:t>
      </w:r>
      <w:r>
        <w:rPr>
          <w:rFonts w:hint="eastAsia" w:ascii="仿宋_GB2312" w:hAnsi="仿宋_GB2312" w:eastAsia="仿宋_GB2312" w:cs="仿宋_GB2312"/>
          <w:sz w:val="32"/>
          <w:szCs w:val="32"/>
        </w:rPr>
        <w:t>把握工作需求，帮助解决实际困难，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营造知识产权专员干事创业的良好氛围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各级市场监管部门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密切与知识产权专员之间的联系交流，搭建各类交流平台，传达最新政策措施，解答专员疑惑问题，畅通交流沟通渠道。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省市场监督管理局遴选一批懂法律、熟政策、肯奉献的知识产权专员组建志愿者服务队，无偿提供法律、政策、管理等方面的咨询和个性化解决方案。各地市场监管部门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积极发挥志愿者队伍作用，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引导</w:t>
      </w:r>
      <w:r>
        <w:rPr>
          <w:rFonts w:hint="eastAsia" w:ascii="仿宋_GB2312" w:hAnsi="仿宋_GB2312" w:eastAsia="仿宋_GB2312" w:cs="仿宋_GB2312"/>
          <w:sz w:val="32"/>
          <w:szCs w:val="32"/>
        </w:rPr>
        <w:t>志愿者采取线上线下结合的方式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结合实际组建地方志愿者服务队，为志愿者服务队提供支持。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本办法由省市场监督管理局负责解释。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本办法自公布之日起施行。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                                                                    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911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王晶晶</cp:lastModifiedBy>
  <dcterms:modified xsi:type="dcterms:W3CDTF">2020-06-05T00:54:47Z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