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center"/>
      </w:pP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asciiTheme="minorHAnsi" w:hAnsiTheme="minorHAnsi" w:eastAsiaTheme="minorEastAsia" w:cstheme="minorBidi"/>
          <w:kern w:val="0"/>
          <w:sz w:val="24"/>
          <w:szCs w:val="24"/>
          <w:lang w:val="en-US" w:eastAsia="zh-CN" w:bidi="ar"/>
        </w:rPr>
      </w:pPr>
    </w:p>
    <w:p>
      <w:pPr>
        <w:keepNext w:val="0"/>
        <w:keepLines w:val="0"/>
        <w:widowControl/>
        <w:suppressLineNumbers w:val="0"/>
        <w:spacing w:before="0" w:beforeAutospacing="1" w:after="0" w:afterAutospacing="1"/>
        <w:ind w:left="0" w:right="0" w:firstLine="0"/>
        <w:jc w:val="left"/>
        <w:rPr>
          <w:rFonts w:asciiTheme="minorHAnsi" w:hAnsiTheme="minorHAnsi" w:eastAsiaTheme="minorEastAsia" w:cstheme="minorBidi"/>
          <w:kern w:val="0"/>
          <w:sz w:val="24"/>
          <w:szCs w:val="24"/>
          <w:lang w:val="en-US" w:eastAsia="zh-CN" w:bidi="ar"/>
        </w:rPr>
      </w:pPr>
    </w:p>
    <w:p>
      <w:pPr>
        <w:keepNext w:val="0"/>
        <w:keepLines w:val="0"/>
        <w:widowControl/>
        <w:suppressLineNumbers w:val="0"/>
        <w:spacing w:before="0" w:beforeAutospacing="1" w:after="0" w:afterAutospacing="1"/>
        <w:ind w:left="0" w:right="0" w:firstLine="0"/>
        <w:jc w:val="center"/>
        <w:rPr>
          <w:rFonts w:hint="eastAsia" w:asciiTheme="minorEastAsia" w:hAnsiTheme="minorEastAsia" w:eastAsiaTheme="minorEastAsia" w:cstheme="minorEastAsia"/>
          <w:kern w:val="0"/>
          <w:sz w:val="44"/>
          <w:szCs w:val="44"/>
          <w:lang w:val="en-US" w:eastAsia="zh-CN" w:bidi="ar"/>
        </w:rPr>
      </w:pPr>
      <w:bookmarkStart w:id="0" w:name="_GoBack"/>
      <w:r>
        <w:rPr>
          <w:rFonts w:hint="eastAsia" w:asciiTheme="minorEastAsia" w:hAnsiTheme="minorEastAsia" w:eastAsiaTheme="minorEastAsia" w:cstheme="minorEastAsia"/>
          <w:kern w:val="0"/>
          <w:sz w:val="44"/>
          <w:szCs w:val="44"/>
          <w:lang w:val="en-US" w:eastAsia="zh-CN" w:bidi="ar"/>
        </w:rPr>
        <w:t>关于印发黑塔镇2020年城乡居民养老保险工作方案的通知</w:t>
      </w:r>
    </w:p>
    <w:bookmarkEnd w:id="0"/>
    <w:p>
      <w:pPr>
        <w:keepNext w:val="0"/>
        <w:keepLines w:val="0"/>
        <w:widowControl/>
        <w:suppressLineNumbers w:val="0"/>
        <w:spacing w:before="0" w:beforeAutospacing="1" w:after="0" w:afterAutospacing="1"/>
        <w:ind w:left="0" w:right="0" w:firstLine="0"/>
        <w:jc w:val="left"/>
        <w:rPr>
          <w:rFonts w:asciiTheme="minorHAnsi" w:hAnsiTheme="minorHAnsi" w:eastAsiaTheme="minorEastAsia" w:cstheme="minorBidi"/>
          <w:kern w:val="0"/>
          <w:sz w:val="24"/>
          <w:szCs w:val="24"/>
          <w:lang w:val="en-US" w:eastAsia="zh-CN" w:bidi="ar"/>
        </w:rPr>
      </w:pPr>
    </w:p>
    <w:p>
      <w:pPr>
        <w:keepNext w:val="0"/>
        <w:keepLines w:val="0"/>
        <w:widowControl/>
        <w:suppressLineNumbers w:val="0"/>
        <w:spacing w:before="0" w:beforeAutospacing="1" w:after="0" w:afterAutospacing="1"/>
        <w:ind w:left="0" w:right="0" w:firstLine="0"/>
        <w:jc w:val="left"/>
      </w:pPr>
      <w:r>
        <w:rPr>
          <w:rFonts w:asciiTheme="minorHAnsi" w:hAnsiTheme="minorHAnsi" w:eastAsiaTheme="minorEastAsia" w:cstheme="minorBidi"/>
          <w:kern w:val="0"/>
          <w:sz w:val="24"/>
          <w:szCs w:val="24"/>
          <w:lang w:val="en-US" w:eastAsia="zh-CN" w:bidi="ar"/>
        </w:rPr>
        <w:t xml:space="preserve">各村民委员会、镇直有关单位：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经镇政府同意，现将《黑塔镇2020年城乡居民养老保险工作方案》印发给你们，请认真贯彻执行。 </w:t>
      </w:r>
    </w:p>
    <w:p>
      <w:pPr>
        <w:keepNext w:val="0"/>
        <w:keepLines w:val="0"/>
        <w:widowControl/>
        <w:suppressLineNumbers w:val="0"/>
        <w:tabs>
          <w:tab w:val="left" w:pos="6460"/>
        </w:tabs>
        <w:spacing w:before="0" w:beforeAutospacing="1" w:after="0" w:afterAutospacing="1"/>
        <w:ind w:left="0" w:right="0" w:firstLine="640"/>
        <w:jc w:val="right"/>
        <w:rPr>
          <w:rFonts w:hint="default"/>
          <w:lang w:val="en-US"/>
        </w:rPr>
      </w:pPr>
      <w:r>
        <w:rPr>
          <w:rFonts w:asciiTheme="minorHAnsi" w:hAnsiTheme="minorHAnsi" w:eastAsiaTheme="minorEastAsia" w:cstheme="minorBidi"/>
          <w:kern w:val="0"/>
          <w:sz w:val="24"/>
          <w:szCs w:val="24"/>
          <w:lang w:val="en-US" w:eastAsia="zh-CN" w:bidi="ar"/>
        </w:rPr>
        <w:t xml:space="preserve">    </w:t>
      </w:r>
      <w:r>
        <w:rPr>
          <w:rFonts w:hint="eastAsia" w:cstheme="minorBidi"/>
          <w:kern w:val="0"/>
          <w:sz w:val="24"/>
          <w:szCs w:val="24"/>
          <w:lang w:val="en-US" w:eastAsia="zh-CN" w:bidi="ar"/>
        </w:rPr>
        <w:t>泗县黑塔镇人民政府</w:t>
      </w:r>
    </w:p>
    <w:p>
      <w:pPr>
        <w:keepNext w:val="0"/>
        <w:keepLines w:val="0"/>
        <w:widowControl/>
        <w:suppressLineNumbers w:val="0"/>
        <w:spacing w:before="0" w:beforeAutospacing="1" w:after="0" w:afterAutospacing="1"/>
        <w:ind w:left="0" w:right="0" w:firstLine="640"/>
        <w:jc w:val="right"/>
      </w:pPr>
      <w:r>
        <w:rPr>
          <w:rFonts w:asciiTheme="minorHAnsi" w:hAnsiTheme="minorHAnsi" w:eastAsiaTheme="minorEastAsia" w:cstheme="minorBidi"/>
          <w:kern w:val="0"/>
          <w:sz w:val="24"/>
          <w:szCs w:val="24"/>
          <w:lang w:val="en-US" w:eastAsia="zh-CN" w:bidi="ar"/>
        </w:rPr>
        <w:t xml:space="preserve">   2019年11月28日         </w:t>
      </w:r>
    </w:p>
    <w:p>
      <w:pPr>
        <w:keepNext w:val="0"/>
        <w:keepLines w:val="0"/>
        <w:widowControl/>
        <w:suppressLineNumbers w:val="0"/>
        <w:spacing w:before="0" w:beforeAutospacing="1" w:after="0" w:afterAutospacing="1"/>
        <w:ind w:left="0" w:right="0" w:firstLine="0"/>
        <w:jc w:val="center"/>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center"/>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center"/>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center"/>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center"/>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center"/>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center"/>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center"/>
        <w:rPr>
          <w:rFonts w:asciiTheme="minorHAnsi" w:hAnsiTheme="minorHAnsi" w:eastAsiaTheme="minorEastAsia" w:cstheme="minorBidi"/>
          <w:b/>
          <w:kern w:val="0"/>
          <w:sz w:val="24"/>
          <w:szCs w:val="24"/>
          <w:lang w:val="en-US" w:eastAsia="zh-CN" w:bidi="ar"/>
        </w:rPr>
      </w:pPr>
    </w:p>
    <w:p>
      <w:pPr>
        <w:keepNext w:val="0"/>
        <w:keepLines w:val="0"/>
        <w:widowControl/>
        <w:suppressLineNumbers w:val="0"/>
        <w:spacing w:before="0" w:beforeAutospacing="1" w:after="0" w:afterAutospacing="1"/>
        <w:ind w:left="0" w:right="0" w:firstLine="0"/>
        <w:jc w:val="center"/>
        <w:rPr>
          <w:rFonts w:asciiTheme="minorHAnsi" w:hAnsiTheme="minorHAnsi" w:eastAsiaTheme="minorEastAsia" w:cstheme="minorBidi"/>
          <w:b/>
          <w:kern w:val="0"/>
          <w:sz w:val="24"/>
          <w:szCs w:val="24"/>
          <w:lang w:val="en-US" w:eastAsia="zh-CN" w:bidi="ar"/>
        </w:rPr>
      </w:pPr>
    </w:p>
    <w:p>
      <w:pPr>
        <w:keepNext w:val="0"/>
        <w:keepLines w:val="0"/>
        <w:widowControl/>
        <w:suppressLineNumbers w:val="0"/>
        <w:spacing w:before="0" w:beforeAutospacing="1" w:after="0" w:afterAutospacing="1"/>
        <w:ind w:left="0" w:right="0" w:firstLine="0"/>
        <w:jc w:val="center"/>
      </w:pPr>
      <w:r>
        <w:rPr>
          <w:rFonts w:asciiTheme="minorHAnsi" w:hAnsiTheme="minorHAnsi" w:eastAsiaTheme="minorEastAsia" w:cstheme="minorBidi"/>
          <w:b/>
          <w:kern w:val="0"/>
          <w:sz w:val="24"/>
          <w:szCs w:val="24"/>
          <w:lang w:val="en-US" w:eastAsia="zh-CN" w:bidi="ar"/>
        </w:rPr>
        <w:t>黑塔镇2020年城乡居民养老保险工作方案</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为了深入贯彻《关于建立城乡居民基本养老保险待遇确定和基础养老金正常调整机制的实施意见》（皖人社发〔2019〕15号）和《关于贯彻落实社会保险扶贫工作的实施意见》（皖人社发〔2017〕65号）及《泗县2020年城乡居民养老保险工作方案》泗政办秘〔2019〕56号文件，进一步落实社会保险扶贫工作，完善城乡居民养老保险制度，确保按时完成任务，结合我镇实际情况制定本工作方案。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一、目标任务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以习近平新时代中国特色社会主义思想为指导，按照兜底线、织密网、建机制的要求，建立城乡居民养老保险待遇确定和调整机制，引导城乡居民提高参保缴费水平，推动城乡居民养老保险待遇水平随经济发展逐步提高，促进城乡居民基本养老保险制度健康发展。2020年全镇参保缴费34632人（各村缴费任务附后），待遇领取人员养老金发放率达到100%。实现建档立卡贫困人员应保尽保、应发尽发工作。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二、时间安排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城乡居民养老保险全年缴费任务完成时间节点为2020年4月30日。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三、缴费标准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参加城乡居民养老保险的人员应按规定缴纳养老保险费，实行按年选档缴费制。从 2020 年 1月起，将缴费档次标准统一调整为200元、 300 元、400 元、500 元、600 元、700 元、800 元、900 元、1000 元、1500 元、2000 元、3000 元、4000 元、5000 元、6000 元共 15个档次。根据城乡居民收入情况，逐步提高城乡居民养老保险最低缴费档次，完善缴费激励机制，引导广大城乡居民选高档、多缴费，增加个人账户积累，提高未来个人账户养老金水平。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四、缴费补贴和特殊群体代缴标准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1．县政府对参保人缴费给予财政补贴，从 2020 年1 月起每人每年缴费补贴标准调整为：缴费 200 元补贴 40 元，缴费 300 元补贴 50 元，缴费 400 元补贴 60 元，缴费 500 元补贴 70元，缴费 600 元补贴 80 元，缴费 700 元补贴 90 元，缴费 800 元补贴 100 元，缴费 900 元补贴 110 元，缴费 1000 元补贴 120 元，缴费 1500 元补贴 150 元，缴费 2000 元及以上的补贴 200 元。参保人员中断缴费，补缴的不享受缴费补贴。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2．建档立卡贫困人员、低保对象、特困人员、重度（二级以上）残疾人，县政府按每人每年200元缴费标准为其代缴全部养老保险费。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3．对领取独生子女光荣证的父母和落实绝育措施的农村双女户父母参保，由县政府在统一缴费补贴标准的基础上再给予每人每年40元补贴。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4．独生子女死亡或伤残（三级以上）后未再生育夫妻（女方年满49周岁）、节育手术并发症人员（三级以上）人员，县政府按每人每年3000元标准代缴保险费。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以上政府代缴特殊群体为符合城乡居民养老保险参保条件的城乡居民。如果一人有多重身份的，只能选择一种身份进行代缴。建档立卡贫困人员的政府代缴时间暂定执行到2020年底，其他特殊群体代缴期限至特殊身份终止。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五、养老保险待遇确定 </w:t>
      </w:r>
    </w:p>
    <w:p>
      <w:pPr>
        <w:keepNext w:val="0"/>
        <w:keepLines w:val="0"/>
        <w:widowControl/>
        <w:suppressLineNumbers w:val="0"/>
        <w:spacing w:before="0" w:beforeAutospacing="1" w:after="0" w:afterAutospacing="1"/>
        <w:ind w:left="0" w:right="0" w:firstLine="667"/>
        <w:jc w:val="left"/>
      </w:pPr>
      <w:r>
        <w:rPr>
          <w:rFonts w:asciiTheme="minorHAnsi" w:hAnsiTheme="minorHAnsi" w:eastAsiaTheme="minorEastAsia" w:cstheme="minorBidi"/>
          <w:b/>
          <w:kern w:val="0"/>
          <w:sz w:val="24"/>
          <w:szCs w:val="24"/>
          <w:lang w:val="en-US" w:eastAsia="zh-CN" w:bidi="ar"/>
        </w:rPr>
        <w:t>1．城乡居民养老保险待遇由基础养老金和个人账户养老金构成，支付终身。</w:t>
      </w:r>
      <w:r>
        <w:rPr>
          <w:rFonts w:asciiTheme="minorHAnsi" w:hAnsiTheme="minorHAnsi" w:eastAsiaTheme="minorEastAsia" w:cstheme="minorBidi"/>
          <w:kern w:val="0"/>
          <w:sz w:val="24"/>
          <w:szCs w:val="24"/>
          <w:lang w:val="en-US" w:eastAsia="zh-CN" w:bidi="ar"/>
        </w:rPr>
        <w:t xml:space="preserve">目前基础养老金为每人每月110元全额支付给符合领取条件的参保人；个人账户养老金为个人账户全部储存额除以计发系数（139 个月）确定。参保人死亡个人账户资金余额可以依法继承。鼓励符合条件的城乡居民早参保、多缴费，增加个人账户资金积累，优化养老保险待遇结构，提高待遇水平。 </w:t>
      </w:r>
    </w:p>
    <w:p>
      <w:pPr>
        <w:keepNext w:val="0"/>
        <w:keepLines w:val="0"/>
        <w:widowControl/>
        <w:suppressLineNumbers w:val="0"/>
        <w:spacing w:before="0" w:beforeAutospacing="1" w:after="0" w:afterAutospacing="1"/>
        <w:ind w:left="0" w:right="0" w:firstLine="643"/>
        <w:jc w:val="left"/>
      </w:pPr>
      <w:r>
        <w:rPr>
          <w:rFonts w:asciiTheme="minorHAnsi" w:hAnsiTheme="minorHAnsi" w:eastAsiaTheme="minorEastAsia" w:cstheme="minorBidi"/>
          <w:b/>
          <w:kern w:val="0"/>
          <w:sz w:val="24"/>
          <w:szCs w:val="24"/>
          <w:lang w:val="en-US" w:eastAsia="zh-CN" w:bidi="ar"/>
        </w:rPr>
        <w:t>2．提高基础养老金标准时，65岁及以上参保的城乡老年居民予以适当倾斜，加发高龄基础养老金。</w:t>
      </w:r>
      <w:r>
        <w:rPr>
          <w:rFonts w:asciiTheme="minorHAnsi" w:hAnsiTheme="minorHAnsi" w:eastAsiaTheme="minorEastAsia" w:cstheme="minorBidi"/>
          <w:kern w:val="0"/>
          <w:sz w:val="24"/>
          <w:szCs w:val="24"/>
          <w:lang w:val="en-US" w:eastAsia="zh-CN" w:bidi="ar"/>
        </w:rPr>
        <w:t xml:space="preserve">对累计缴费年限超过15年的参保人员，到龄核定待遇时，除按规定计发个人账户养老金、支付本地统一标准的基础养老金外，另行增发缴费年限基础养老金，每超过一年，增发标准最低为每人每月2元。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六、工作措施 </w:t>
      </w:r>
    </w:p>
    <w:p>
      <w:pPr>
        <w:keepNext w:val="0"/>
        <w:keepLines w:val="0"/>
        <w:widowControl/>
        <w:suppressLineNumbers w:val="0"/>
        <w:spacing w:before="0" w:beforeAutospacing="1" w:after="0" w:afterAutospacing="1"/>
        <w:ind w:left="0" w:right="0" w:firstLine="687"/>
        <w:jc w:val="left"/>
      </w:pPr>
      <w:r>
        <w:rPr>
          <w:rFonts w:asciiTheme="minorHAnsi" w:hAnsiTheme="minorHAnsi" w:eastAsiaTheme="minorEastAsia" w:cstheme="minorBidi"/>
          <w:b/>
          <w:kern w:val="0"/>
          <w:sz w:val="24"/>
          <w:szCs w:val="24"/>
          <w:lang w:val="en-US" w:eastAsia="zh-CN" w:bidi="ar"/>
        </w:rPr>
        <w:t>1．加强领导，强化责任。</w:t>
      </w:r>
      <w:r>
        <w:rPr>
          <w:rFonts w:asciiTheme="minorHAnsi" w:hAnsiTheme="minorHAnsi" w:eastAsiaTheme="minorEastAsia" w:cstheme="minorBidi"/>
          <w:kern w:val="0"/>
          <w:sz w:val="24"/>
          <w:szCs w:val="24"/>
          <w:lang w:val="en-US" w:eastAsia="zh-CN" w:bidi="ar"/>
        </w:rPr>
        <w:t xml:space="preserve">完善城乡居民养老保险制度，提高养老待遇总体水平，是城乡居民养老保险制度改革的重要内容，关系广大城乡居民的切身利益。各村要高度重视，明确任务，落实责任，切实把城乡居保新政策落实到位。 </w:t>
      </w:r>
    </w:p>
    <w:p>
      <w:pPr>
        <w:keepNext w:val="0"/>
        <w:keepLines w:val="0"/>
        <w:widowControl/>
        <w:suppressLineNumbers w:val="0"/>
        <w:spacing w:before="0" w:beforeAutospacing="1" w:after="0" w:afterAutospacing="1"/>
        <w:ind w:left="0" w:right="0" w:firstLine="643"/>
        <w:jc w:val="left"/>
      </w:pPr>
      <w:r>
        <w:rPr>
          <w:rFonts w:asciiTheme="minorHAnsi" w:hAnsiTheme="minorHAnsi" w:eastAsiaTheme="minorEastAsia" w:cstheme="minorBidi"/>
          <w:b/>
          <w:kern w:val="0"/>
          <w:sz w:val="24"/>
          <w:szCs w:val="24"/>
          <w:lang w:val="en-US" w:eastAsia="zh-CN" w:bidi="ar"/>
        </w:rPr>
        <w:t>2．担当作为，强化落实。</w:t>
      </w:r>
      <w:r>
        <w:rPr>
          <w:rFonts w:asciiTheme="minorHAnsi" w:hAnsiTheme="minorHAnsi" w:eastAsiaTheme="minorEastAsia" w:cstheme="minorBidi"/>
          <w:kern w:val="0"/>
          <w:sz w:val="24"/>
          <w:szCs w:val="24"/>
          <w:lang w:val="en-US" w:eastAsia="zh-CN" w:bidi="ar"/>
        </w:rPr>
        <w:t xml:space="preserve">各村要进一步提高思想认识，精心组织安排，明确责任分工，细化工作目标，确保按时全面完成上级下达的目标任务。 </w:t>
      </w:r>
    </w:p>
    <w:p>
      <w:pPr>
        <w:keepNext w:val="0"/>
        <w:keepLines w:val="0"/>
        <w:widowControl/>
        <w:suppressLineNumbers w:val="0"/>
        <w:spacing w:before="0" w:beforeAutospacing="1" w:after="0" w:afterAutospacing="1"/>
        <w:ind w:left="0" w:right="0" w:firstLine="643"/>
        <w:jc w:val="left"/>
      </w:pPr>
      <w:r>
        <w:rPr>
          <w:rFonts w:asciiTheme="minorHAnsi" w:hAnsiTheme="minorHAnsi" w:eastAsiaTheme="minorEastAsia" w:cstheme="minorBidi"/>
          <w:b/>
          <w:kern w:val="0"/>
          <w:sz w:val="24"/>
          <w:szCs w:val="24"/>
          <w:lang w:val="en-US" w:eastAsia="zh-CN" w:bidi="ar"/>
        </w:rPr>
        <w:t>3．规范业务，强化服务。</w:t>
      </w:r>
      <w:r>
        <w:rPr>
          <w:rFonts w:asciiTheme="minorHAnsi" w:hAnsiTheme="minorHAnsi" w:eastAsiaTheme="minorEastAsia" w:cstheme="minorBidi"/>
          <w:kern w:val="0"/>
          <w:sz w:val="24"/>
          <w:szCs w:val="24"/>
          <w:lang w:val="en-US" w:eastAsia="zh-CN" w:bidi="ar"/>
        </w:rPr>
        <w:t xml:space="preserve">进一步提高城乡居保经办业务管理水平，完善金融社保便民服务点工作；坚守城乡居保基金高压线，严格落实死亡报告制度；全面推行城乡居保服务规范，确保城乡居保业务及时、规范、科学。 </w:t>
      </w:r>
    </w:p>
    <w:p>
      <w:pPr>
        <w:keepNext w:val="0"/>
        <w:keepLines w:val="0"/>
        <w:widowControl/>
        <w:suppressLineNumbers w:val="0"/>
        <w:spacing w:before="0" w:beforeAutospacing="1" w:after="0" w:afterAutospacing="1"/>
        <w:ind w:left="0" w:right="0" w:firstLine="643"/>
        <w:jc w:val="left"/>
      </w:pPr>
      <w:r>
        <w:rPr>
          <w:rFonts w:asciiTheme="minorHAnsi" w:hAnsiTheme="minorHAnsi" w:eastAsiaTheme="minorEastAsia" w:cstheme="minorBidi"/>
          <w:b/>
          <w:kern w:val="0"/>
          <w:sz w:val="24"/>
          <w:szCs w:val="24"/>
          <w:lang w:val="en-US" w:eastAsia="zh-CN" w:bidi="ar"/>
        </w:rPr>
        <w:t>4．把握重点，强化宣传。</w:t>
      </w:r>
      <w:r>
        <w:rPr>
          <w:rFonts w:asciiTheme="minorHAnsi" w:hAnsiTheme="minorHAnsi" w:eastAsiaTheme="minorEastAsia" w:cstheme="minorBidi"/>
          <w:kern w:val="0"/>
          <w:sz w:val="24"/>
          <w:szCs w:val="24"/>
          <w:lang w:val="en-US" w:eastAsia="zh-CN" w:bidi="ar"/>
        </w:rPr>
        <w:t xml:space="preserve">各村要不断丰富宣传手段，创新宣传方式，拓宽宣传路径，重点宣传缴费档次调整、缴费补助增加、养老待遇确定等政策，切实把党和政府的惠民政策宣传到户、到人，引导广大城乡居民早参保、多缴费、长缴费，提高个人账户积累。要全面准确解读政策，正确引导社会舆论，让参保居民形成合理的心理预期。 </w:t>
      </w:r>
    </w:p>
    <w:p>
      <w:pPr>
        <w:keepNext w:val="0"/>
        <w:keepLines w:val="0"/>
        <w:widowControl/>
        <w:suppressLineNumbers w:val="0"/>
        <w:spacing w:before="0" w:beforeAutospacing="1" w:after="0" w:afterAutospacing="1"/>
        <w:ind w:left="0" w:right="0" w:firstLine="643"/>
        <w:jc w:val="left"/>
      </w:pPr>
      <w:r>
        <w:rPr>
          <w:rFonts w:asciiTheme="minorHAnsi" w:hAnsiTheme="minorHAnsi" w:eastAsiaTheme="minorEastAsia" w:cstheme="minorBidi"/>
          <w:b/>
          <w:kern w:val="0"/>
          <w:sz w:val="24"/>
          <w:szCs w:val="24"/>
          <w:lang w:val="en-US" w:eastAsia="zh-CN" w:bidi="ar"/>
        </w:rPr>
        <w:t>5．严格考核，兑现奖惩</w:t>
      </w:r>
      <w:r>
        <w:rPr>
          <w:rFonts w:asciiTheme="minorHAnsi" w:hAnsiTheme="minorHAnsi" w:eastAsiaTheme="minorEastAsia" w:cstheme="minorBidi"/>
          <w:kern w:val="0"/>
          <w:sz w:val="24"/>
          <w:szCs w:val="24"/>
          <w:lang w:val="en-US" w:eastAsia="zh-CN" w:bidi="ar"/>
        </w:rPr>
        <w:t xml:space="preserve">。凡是在规定时限内，完成收缴任务的村，给予一定的奖励，并通报表彰；对未按时完成收缴任务的村，处以一定罚金，并对后三名村进行镇大会检讨和通报批评。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24"/>
          <w:szCs w:val="24"/>
          <w:lang w:val="en-US" w:eastAsia="zh-CN" w:bidi="ar"/>
        </w:rPr>
        <w:t xml:space="preserve">附件：2020年度城乡居民养老保险参保缴费任务分解表 </w:t>
      </w:r>
    </w:p>
    <w:p>
      <w:pPr>
        <w:keepNext w:val="0"/>
        <w:keepLines w:val="0"/>
        <w:widowControl/>
        <w:suppressLineNumbers w:val="0"/>
        <w:spacing w:before="0" w:beforeAutospacing="1" w:after="0" w:afterAutospacing="1"/>
        <w:ind w:left="0" w:right="0" w:firstLine="360"/>
        <w:jc w:val="both"/>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360"/>
        <w:jc w:val="both"/>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360"/>
        <w:jc w:val="both"/>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360"/>
        <w:jc w:val="both"/>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both"/>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both"/>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both"/>
      </w:pPr>
      <w:r>
        <w:rPr>
          <w:rFonts w:asciiTheme="minorHAnsi" w:hAnsiTheme="minorHAnsi" w:eastAsiaTheme="minorEastAsia" w:cstheme="minorBidi"/>
          <w:kern w:val="0"/>
          <w:sz w:val="24"/>
          <w:szCs w:val="24"/>
          <w:lang w:val="en-US" w:eastAsia="zh-CN" w:bidi="ar"/>
        </w:rPr>
        <w:t xml:space="preserve">附件： </w:t>
      </w:r>
    </w:p>
    <w:p>
      <w:pPr>
        <w:keepNext w:val="0"/>
        <w:keepLines w:val="0"/>
        <w:widowControl/>
        <w:suppressLineNumbers w:val="0"/>
        <w:spacing w:before="0" w:beforeAutospacing="1" w:after="0" w:afterAutospacing="1"/>
        <w:ind w:left="0" w:right="0" w:firstLine="0"/>
        <w:jc w:val="center"/>
      </w:pP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center"/>
      </w:pPr>
      <w:r>
        <w:rPr>
          <w:rFonts w:asciiTheme="minorHAnsi" w:hAnsiTheme="minorHAnsi" w:eastAsiaTheme="minorEastAsia" w:cstheme="minorBidi"/>
          <w:kern w:val="0"/>
          <w:sz w:val="24"/>
          <w:szCs w:val="24"/>
          <w:lang w:val="en-US" w:eastAsia="zh-CN" w:bidi="ar"/>
        </w:rPr>
        <w:t xml:space="preserve">2020年度城乡居民养老保险 </w:t>
      </w:r>
    </w:p>
    <w:p>
      <w:pPr>
        <w:keepNext w:val="0"/>
        <w:keepLines w:val="0"/>
        <w:widowControl/>
        <w:suppressLineNumbers w:val="0"/>
        <w:spacing w:before="0" w:beforeAutospacing="1" w:after="0" w:afterAutospacing="1"/>
        <w:ind w:left="0" w:right="0" w:firstLine="0"/>
        <w:jc w:val="center"/>
      </w:pPr>
      <w:r>
        <w:rPr>
          <w:rFonts w:asciiTheme="minorHAnsi" w:hAnsiTheme="minorHAnsi" w:eastAsiaTheme="minorEastAsia" w:cstheme="minorBidi"/>
          <w:kern w:val="0"/>
          <w:sz w:val="24"/>
          <w:szCs w:val="24"/>
          <w:lang w:val="en-US" w:eastAsia="zh-CN" w:bidi="ar"/>
        </w:rPr>
        <w:t xml:space="preserve">参保缴费任务分解表 </w:t>
      </w:r>
    </w:p>
    <w:p>
      <w:pPr>
        <w:keepNext w:val="0"/>
        <w:keepLines w:val="0"/>
        <w:widowControl/>
        <w:suppressLineNumbers w:val="0"/>
        <w:spacing w:before="0" w:beforeAutospacing="1" w:after="0" w:afterAutospacing="1"/>
        <w:ind w:left="0" w:right="0" w:firstLine="0"/>
        <w:jc w:val="center"/>
      </w:pPr>
      <w:r>
        <w:rPr>
          <w:rFonts w:asciiTheme="minorHAnsi" w:hAnsiTheme="minorHAnsi" w:eastAsiaTheme="minorEastAsia" w:cstheme="minorBidi"/>
          <w:kern w:val="0"/>
          <w:sz w:val="24"/>
          <w:szCs w:val="24"/>
          <w:lang w:val="en-US" w:eastAsia="zh-CN" w:bidi="ar"/>
        </w:rPr>
        <w:t xml:space="preserve">  </w:t>
      </w:r>
    </w:p>
    <w:tbl>
      <w:tblPr>
        <w:tblW w:w="8957" w:type="dxa"/>
        <w:tblCellSpacing w:w="0" w:type="dxa"/>
        <w:tblInd w:w="20" w:type="dxa"/>
        <w:shd w:val="clear"/>
        <w:tblLayout w:type="autofit"/>
        <w:tblCellMar>
          <w:top w:w="15" w:type="dxa"/>
          <w:left w:w="15" w:type="dxa"/>
          <w:bottom w:w="15" w:type="dxa"/>
          <w:right w:w="15" w:type="dxa"/>
        </w:tblCellMar>
      </w:tblPr>
      <w:tblGrid>
        <w:gridCol w:w="1084"/>
        <w:gridCol w:w="2845"/>
        <w:gridCol w:w="3477"/>
        <w:gridCol w:w="1551"/>
      </w:tblGrid>
      <w:tr>
        <w:tblPrEx>
          <w:shd w:val="clear"/>
          <w:tblCellMar>
            <w:top w:w="15" w:type="dxa"/>
            <w:left w:w="15" w:type="dxa"/>
            <w:bottom w:w="15" w:type="dxa"/>
            <w:right w:w="15" w:type="dxa"/>
          </w:tblCellMar>
        </w:tblPrEx>
        <w:trPr>
          <w:tblCellSpacing w:w="0" w:type="dxa"/>
        </w:trPr>
        <w:tc>
          <w:tcPr>
            <w:tcW w:w="108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ascii="font-size:12pt;" w:hAnsi="font-size:12pt;" w:eastAsia="font-size:12pt;" w:cs="font-size:12pt;"/>
                <w:b/>
                <w:kern w:val="0"/>
                <w:sz w:val="24"/>
                <w:szCs w:val="24"/>
                <w:lang w:val="en-US" w:eastAsia="zh-CN" w:bidi="ar"/>
              </w:rPr>
              <w:t>序  号</w:t>
            </w:r>
            <w:r>
              <w:rPr>
                <w:rFonts w:asciiTheme="minorHAnsi" w:hAnsiTheme="minorHAnsi" w:eastAsiaTheme="minorEastAsia" w:cstheme="minorBidi"/>
                <w:kern w:val="0"/>
                <w:sz w:val="24"/>
                <w:szCs w:val="24"/>
                <w:lang w:val="en-US" w:eastAsia="zh-CN" w:bidi="ar"/>
              </w:rPr>
              <w:t xml:space="preserve"> </w:t>
            </w:r>
          </w:p>
        </w:tc>
        <w:tc>
          <w:tcPr>
            <w:tcW w:w="2835"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2pt;" w:hAnsi="font-size:12pt;" w:eastAsia="font-size:12pt;" w:cs="font-size:12pt;"/>
                <w:b/>
                <w:kern w:val="0"/>
                <w:sz w:val="24"/>
                <w:szCs w:val="24"/>
                <w:lang w:val="en-US" w:eastAsia="zh-CN" w:bidi="ar"/>
              </w:rPr>
              <w:t>单  位</w:t>
            </w:r>
            <w:r>
              <w:rPr>
                <w:rFonts w:asciiTheme="minorHAnsi" w:hAnsiTheme="minorHAnsi" w:eastAsiaTheme="minorEastAsia" w:cstheme="minorBidi"/>
                <w:kern w:val="0"/>
                <w:sz w:val="24"/>
                <w:szCs w:val="24"/>
                <w:lang w:val="en-US" w:eastAsia="zh-CN" w:bidi="ar"/>
              </w:rPr>
              <w:t xml:space="preserve"> </w:t>
            </w:r>
          </w:p>
        </w:tc>
        <w:tc>
          <w:tcPr>
            <w:tcW w:w="3465"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default" w:ascii="font-size:12pt;" w:hAnsi="font-size:12pt;" w:eastAsia="font-size:12pt;" w:cs="font-size:12pt;"/>
                <w:b/>
                <w:kern w:val="0"/>
                <w:sz w:val="24"/>
                <w:szCs w:val="24"/>
                <w:lang w:val="en-US" w:eastAsia="zh-CN" w:bidi="ar"/>
              </w:rPr>
              <w:t>缴费任务数（人）</w:t>
            </w:r>
            <w:r>
              <w:rPr>
                <w:rFonts w:asciiTheme="minorHAnsi" w:hAnsiTheme="minorHAnsi" w:eastAsiaTheme="minorEastAsia" w:cstheme="minorBidi"/>
                <w:kern w:val="0"/>
                <w:sz w:val="24"/>
                <w:szCs w:val="24"/>
                <w:lang w:val="en-US" w:eastAsia="zh-CN" w:bidi="ar"/>
              </w:rPr>
              <w:t xml:space="preserve"> </w:t>
            </w:r>
          </w:p>
        </w:tc>
        <w:tc>
          <w:tcPr>
            <w:tcW w:w="1545"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default" w:ascii="font-size:12pt;" w:hAnsi="font-size:12pt;" w:eastAsia="font-size:12pt;" w:cs="font-size:12pt;"/>
                <w:b/>
                <w:kern w:val="0"/>
                <w:sz w:val="24"/>
                <w:szCs w:val="24"/>
                <w:lang w:val="en-US" w:eastAsia="zh-CN" w:bidi="ar"/>
              </w:rPr>
              <w:t>备  注</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283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346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545"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ascii="font-size:14pt;" w:hAnsi="font-size:14pt;" w:eastAsia="font-size:14pt;" w:cs="font-size:14pt;"/>
                <w:kern w:val="0"/>
                <w:sz w:val="24"/>
                <w:szCs w:val="24"/>
                <w:lang w:val="en-US" w:eastAsia="zh-CN" w:bidi="ar"/>
              </w:rPr>
              <w:t>1</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黑塔村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1489</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2</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河西村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1952</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3</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顺河村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2143</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4</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倪姚村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1921</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5</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三甄村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1669</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6</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陈圩村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1651</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7</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王武村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1711</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8</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蒋杨村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1903</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9</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周黄村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1691</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10</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朱山村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2066</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11</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马厂村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2027</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12</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红旗村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2330</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13</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三葛村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1764</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14</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界牌村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1901</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15</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三陈村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1959</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16</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大魏村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1978</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17</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小梁村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2330</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18</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韩徐村</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2147</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shd w:val="clear"/>
          <w:tblCellMar>
            <w:top w:w="15" w:type="dxa"/>
            <w:left w:w="15" w:type="dxa"/>
            <w:bottom w:w="15" w:type="dxa"/>
            <w:right w:w="15" w:type="dxa"/>
          </w:tblCellMar>
        </w:tblPrEx>
        <w:trPr>
          <w:tblCellSpacing w:w="0" w:type="dxa"/>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28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合  计</w:t>
            </w:r>
            <w:r>
              <w:rPr>
                <w:rFonts w:asciiTheme="minorHAnsi" w:hAnsiTheme="minorHAnsi" w:eastAsiaTheme="minorEastAsia" w:cstheme="minorBidi"/>
                <w:kern w:val="0"/>
                <w:sz w:val="24"/>
                <w:szCs w:val="24"/>
                <w:lang w:val="en-US" w:eastAsia="zh-CN" w:bidi="ar"/>
              </w:rPr>
              <w:t xml:space="preserve"> </w:t>
            </w:r>
          </w:p>
        </w:tc>
        <w:tc>
          <w:tcPr>
            <w:tcW w:w="346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firstLine="0"/>
              <w:jc w:val="center"/>
              <w:textAlignment w:val="center"/>
            </w:pPr>
            <w:r>
              <w:rPr>
                <w:rFonts w:hint="default" w:ascii="font-size:14pt;" w:hAnsi="font-size:14pt;" w:eastAsia="font-size:14pt;" w:cs="font-size:14pt;"/>
                <w:kern w:val="0"/>
                <w:sz w:val="24"/>
                <w:szCs w:val="24"/>
                <w:lang w:val="en-US" w:eastAsia="zh-CN" w:bidi="ar"/>
              </w:rPr>
              <w:t>34632</w:t>
            </w:r>
            <w:r>
              <w:rPr>
                <w:rFonts w:asciiTheme="minorHAnsi" w:hAnsiTheme="minorHAnsi" w:eastAsiaTheme="minorEastAsia" w:cstheme="minorBidi"/>
                <w:kern w:val="0"/>
                <w:sz w:val="24"/>
                <w:szCs w:val="24"/>
                <w:lang w:val="en-US" w:eastAsia="zh-CN" w:bidi="ar"/>
              </w:rPr>
              <w:t xml:space="preserve"> </w:t>
            </w:r>
          </w:p>
        </w:tc>
        <w:tc>
          <w:tcPr>
            <w:tcW w:w="154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font-size:12pt;">
    <w:altName w:val="Hilda Sonnenschein"/>
    <w:panose1 w:val="00000000000000000000"/>
    <w:charset w:val="00"/>
    <w:family w:val="auto"/>
    <w:pitch w:val="default"/>
    <w:sig w:usb0="00000000" w:usb1="00000000" w:usb2="00000000" w:usb3="00000000" w:csb0="00000000" w:csb1="00000000"/>
  </w:font>
  <w:font w:name="Hilda Sonnenschein">
    <w:panose1 w:val="02000400000000000000"/>
    <w:charset w:val="00"/>
    <w:family w:val="auto"/>
    <w:pitch w:val="default"/>
    <w:sig w:usb0="80000027" w:usb1="0000200A" w:usb2="00000000" w:usb3="00000000" w:csb0="00000001" w:csb1="00000000"/>
  </w:font>
  <w:font w:name="font-size:14pt;">
    <w:altName w:val="Hilda Sonnenschei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1798B"/>
    <w:rsid w:val="1671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2020-08-26T03:51:00Z</dcterms:created>
  <dc:creator>潇潇雨歇</dc:creator>
  <cp:lastModifiedBy>潇潇雨歇</cp:lastModifiedBy>
  <dcterms:modified xsi:type="dcterms:W3CDTF">2020-08-26T03:53:18Z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