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6E0C" w:rsidRDefault="00FD6E0C" w:rsidP="00FD6E0C">
      <w:pPr>
        <w:spacing w:line="570" w:lineRule="exact"/>
        <w:jc w:val="center"/>
        <w:rPr>
          <w:rFonts w:ascii="仿宋" w:eastAsia="仿宋" w:hAnsi="仿宋"/>
          <w:szCs w:val="32"/>
        </w:rPr>
      </w:pPr>
    </w:p>
    <w:p w:rsidR="00FD6E0C" w:rsidRDefault="00FD6E0C" w:rsidP="00FD6E0C">
      <w:pPr>
        <w:spacing w:line="570" w:lineRule="exact"/>
        <w:jc w:val="center"/>
        <w:rPr>
          <w:rFonts w:ascii="仿宋" w:eastAsia="仿宋" w:hAnsi="仿宋"/>
          <w:szCs w:val="32"/>
        </w:rPr>
      </w:pPr>
    </w:p>
    <w:p w:rsidR="00FD6E0C" w:rsidRDefault="00FD6E0C" w:rsidP="00FD6E0C">
      <w:pPr>
        <w:spacing w:line="570" w:lineRule="exact"/>
        <w:jc w:val="center"/>
        <w:rPr>
          <w:rFonts w:ascii="仿宋" w:eastAsia="仿宋" w:hAnsi="仿宋"/>
          <w:szCs w:val="32"/>
        </w:rPr>
      </w:pPr>
    </w:p>
    <w:p w:rsidR="00FD6E0C" w:rsidRDefault="00FD6E0C" w:rsidP="00FD6E0C">
      <w:pPr>
        <w:spacing w:line="570" w:lineRule="exact"/>
        <w:jc w:val="center"/>
        <w:rPr>
          <w:rFonts w:ascii="仿宋" w:eastAsia="仿宋" w:hAnsi="仿宋"/>
          <w:szCs w:val="32"/>
        </w:rPr>
      </w:pPr>
    </w:p>
    <w:p w:rsidR="00FD6E0C" w:rsidRDefault="00FD6E0C" w:rsidP="00FD6E0C">
      <w:pPr>
        <w:spacing w:line="570" w:lineRule="exact"/>
        <w:jc w:val="center"/>
        <w:rPr>
          <w:rFonts w:ascii="仿宋" w:eastAsia="仿宋" w:hAnsi="仿宋"/>
          <w:szCs w:val="32"/>
        </w:rPr>
      </w:pPr>
    </w:p>
    <w:p w:rsidR="00FD6E0C" w:rsidRDefault="00FD6E0C" w:rsidP="00FD6E0C">
      <w:pPr>
        <w:spacing w:line="570" w:lineRule="exact"/>
        <w:jc w:val="center"/>
        <w:rPr>
          <w:rFonts w:ascii="仿宋" w:eastAsia="仿宋" w:hAnsi="仿宋"/>
          <w:szCs w:val="32"/>
        </w:rPr>
      </w:pPr>
      <w:bookmarkStart w:id="0" w:name="_GoBack"/>
      <w:bookmarkEnd w:id="0"/>
    </w:p>
    <w:p w:rsidR="00FD6E0C" w:rsidRPr="00903BBC" w:rsidRDefault="00FD6E0C" w:rsidP="00FD6E0C">
      <w:pPr>
        <w:pStyle w:val="Style2"/>
        <w:rPr>
          <w:rFonts w:eastAsiaTheme="minorEastAsia"/>
        </w:rPr>
      </w:pPr>
    </w:p>
    <w:p w:rsidR="00FD6E0C" w:rsidRDefault="00FD6E0C" w:rsidP="00FD6E0C">
      <w:pPr>
        <w:spacing w:line="570" w:lineRule="exact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泗牧〔2020 〕</w:t>
      </w:r>
      <w:r>
        <w:rPr>
          <w:rFonts w:ascii="仿宋" w:eastAsia="仿宋" w:hAnsi="仿宋"/>
          <w:szCs w:val="32"/>
        </w:rPr>
        <w:t>4</w:t>
      </w:r>
      <w:r>
        <w:rPr>
          <w:rFonts w:ascii="仿宋" w:eastAsia="仿宋" w:hAnsi="仿宋"/>
          <w:szCs w:val="32"/>
        </w:rPr>
        <w:t>3</w:t>
      </w:r>
      <w:r>
        <w:rPr>
          <w:rFonts w:ascii="仿宋" w:eastAsia="仿宋" w:hAnsi="仿宋" w:hint="eastAsia"/>
          <w:szCs w:val="32"/>
        </w:rPr>
        <w:t xml:space="preserve">号 </w:t>
      </w:r>
    </w:p>
    <w:p w:rsidR="00FD6E0C" w:rsidRDefault="00FD6E0C" w:rsidP="00FD6E0C">
      <w:pPr>
        <w:ind w:firstLineChars="200" w:firstLine="88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</w:p>
    <w:p w:rsidR="008C4AAD" w:rsidRDefault="003F0272">
      <w:pPr>
        <w:pStyle w:val="1"/>
      </w:pPr>
      <w:r>
        <w:rPr>
          <w:rFonts w:hint="eastAsia"/>
        </w:rPr>
        <w:t>关于深入开展农资打假“春雷”行动、全面加强兽药饲料监管的通知</w:t>
      </w:r>
    </w:p>
    <w:p w:rsidR="008C4AAD" w:rsidRDefault="008C4AAD"/>
    <w:p w:rsidR="008C4AAD" w:rsidRDefault="003F0272">
      <w:pPr>
        <w:spacing w:line="560" w:lineRule="exact"/>
      </w:pPr>
      <w:r>
        <w:rPr>
          <w:rFonts w:hint="eastAsia"/>
        </w:rPr>
        <w:t>各畜牧兽医水产站、中心各相关站所、养殖各相关企业：</w:t>
      </w:r>
    </w:p>
    <w:p w:rsidR="008C4AAD" w:rsidRDefault="003F0272">
      <w:pPr>
        <w:spacing w:line="560" w:lineRule="exact"/>
        <w:ind w:firstLineChars="200" w:firstLine="640"/>
      </w:pPr>
      <w:r>
        <w:rPr>
          <w:rFonts w:hint="eastAsia"/>
        </w:rPr>
        <w:t>为贯彻落实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kern w:val="0"/>
          <w:szCs w:val="32"/>
        </w:rPr>
        <w:t>全国农资打假专项治理行动视频会议</w:t>
      </w:r>
      <w:r>
        <w:rPr>
          <w:rFonts w:hint="eastAsia"/>
        </w:rPr>
        <w:t>精神，深入开展兽药饲料打假“春雷”行动，促进生猪恢复产能和春季动物疫病防控，决定在全县开展</w:t>
      </w:r>
      <w:r>
        <w:rPr>
          <w:rFonts w:hint="eastAsia"/>
        </w:rPr>
        <w:t>兽药经营</w:t>
      </w:r>
      <w:r>
        <w:rPr>
          <w:rFonts w:hint="eastAsia"/>
        </w:rPr>
        <w:t>企业资格</w:t>
      </w:r>
      <w:r>
        <w:rPr>
          <w:rFonts w:hint="eastAsia"/>
        </w:rPr>
        <w:t>清理和</w:t>
      </w:r>
      <w:r>
        <w:rPr>
          <w:rFonts w:hint="eastAsia"/>
        </w:rPr>
        <w:t>查处违规经营兽用疫苗专项行动，</w:t>
      </w:r>
      <w:r>
        <w:rPr>
          <w:rFonts w:hint="eastAsia"/>
        </w:rPr>
        <w:t>现将有关事项通知如下。</w:t>
      </w:r>
    </w:p>
    <w:p w:rsidR="008C4AAD" w:rsidRDefault="003F0272">
      <w:p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</w:t>
      </w:r>
      <w:r>
        <w:rPr>
          <w:rFonts w:ascii="黑体" w:eastAsia="黑体" w:hAnsi="黑体" w:cs="黑体" w:hint="eastAsia"/>
        </w:rPr>
        <w:t>工作</w:t>
      </w:r>
      <w:r>
        <w:rPr>
          <w:rFonts w:ascii="黑体" w:eastAsia="黑体" w:hAnsi="黑体" w:cs="黑体" w:hint="eastAsia"/>
        </w:rPr>
        <w:t>目标</w:t>
      </w:r>
    </w:p>
    <w:p w:rsidR="008C4AAD" w:rsidRDefault="003F0272">
      <w:pPr>
        <w:spacing w:line="560" w:lineRule="exact"/>
        <w:ind w:firstLineChars="200" w:firstLine="640"/>
      </w:pPr>
      <w:r>
        <w:t>兽药是用于预防、治疗和诊断动物疾病的特殊商品，事关重大动物疫病防控成效</w:t>
      </w:r>
      <w:r>
        <w:rPr>
          <w:rFonts w:hint="eastAsia"/>
        </w:rPr>
        <w:t>、</w:t>
      </w:r>
      <w:r>
        <w:t>养殖业健康发展</w:t>
      </w:r>
      <w:r>
        <w:rPr>
          <w:rFonts w:hint="eastAsia"/>
        </w:rPr>
        <w:t>及</w:t>
      </w:r>
      <w:r>
        <w:t>动物产品质量安全和公共卫生安全。</w:t>
      </w:r>
      <w:r>
        <w:rPr>
          <w:rFonts w:hint="eastAsia"/>
        </w:rPr>
        <w:t>通过监督检查，督</w:t>
      </w:r>
      <w:r>
        <w:rPr>
          <w:rFonts w:hint="eastAsia"/>
        </w:rPr>
        <w:t>促兽药经营企业严</w:t>
      </w:r>
      <w:r>
        <w:rPr>
          <w:rFonts w:hint="eastAsia"/>
        </w:rPr>
        <w:lastRenderedPageBreak/>
        <w:t>格执行</w:t>
      </w:r>
      <w:r>
        <w:rPr>
          <w:rFonts w:hint="eastAsia"/>
        </w:rPr>
        <w:t>GSP</w:t>
      </w:r>
      <w:r>
        <w:rPr>
          <w:rFonts w:hint="eastAsia"/>
        </w:rPr>
        <w:t>标准规范经营</w:t>
      </w:r>
      <w:r>
        <w:rPr>
          <w:rFonts w:hint="eastAsia"/>
        </w:rPr>
        <w:t>，</w:t>
      </w:r>
      <w:r>
        <w:rPr>
          <w:rFonts w:hint="eastAsia"/>
        </w:rPr>
        <w:t>落实兽医处方药制度、</w:t>
      </w:r>
      <w:r>
        <w:t>“</w:t>
      </w:r>
      <w:r>
        <w:t>二维码</w:t>
      </w:r>
      <w:r>
        <w:t>”</w:t>
      </w:r>
      <w:r>
        <w:t>追溯</w:t>
      </w:r>
      <w:r>
        <w:rPr>
          <w:rFonts w:hint="eastAsia"/>
        </w:rPr>
        <w:t>制度、严禁销售人用药、禁用药物和超范围经营兽用疫苗，通过</w:t>
      </w:r>
      <w:r>
        <w:rPr>
          <w:rFonts w:hint="eastAsia"/>
        </w:rPr>
        <w:t>规范兽药经营秩序，保证兽药质量，促进畜产品质量安全。</w:t>
      </w:r>
    </w:p>
    <w:p w:rsidR="008C4AAD" w:rsidRDefault="003F0272">
      <w:p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</w:t>
      </w:r>
      <w:r>
        <w:rPr>
          <w:rFonts w:ascii="黑体" w:eastAsia="黑体" w:hAnsi="黑体" w:cs="黑体" w:hint="eastAsia"/>
        </w:rPr>
        <w:t>、</w:t>
      </w:r>
      <w:r>
        <w:rPr>
          <w:rFonts w:ascii="黑体" w:eastAsia="黑体" w:hAnsi="黑体" w:cs="黑体" w:hint="eastAsia"/>
        </w:rPr>
        <w:t>工作重点</w:t>
      </w:r>
    </w:p>
    <w:p w:rsidR="008C4AAD" w:rsidRDefault="003F0272">
      <w:pPr>
        <w:spacing w:line="560" w:lineRule="exact"/>
        <w:ind w:firstLineChars="200" w:firstLine="64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（</w:t>
      </w:r>
      <w:r>
        <w:rPr>
          <w:rFonts w:ascii="楷体" w:eastAsia="楷体" w:hAnsi="楷体" w:cs="楷体" w:hint="eastAsia"/>
        </w:rPr>
        <w:t>一）严格核查</w:t>
      </w:r>
      <w:r>
        <w:rPr>
          <w:rFonts w:ascii="楷体" w:eastAsia="楷体" w:hAnsi="楷体" w:cs="楷体" w:hint="eastAsia"/>
        </w:rPr>
        <w:t>兽药经营企业</w:t>
      </w:r>
      <w:r>
        <w:rPr>
          <w:rFonts w:ascii="楷体" w:eastAsia="楷体" w:hAnsi="楷体" w:cs="楷体" w:hint="eastAsia"/>
        </w:rPr>
        <w:t>GSP</w:t>
      </w:r>
      <w:r>
        <w:rPr>
          <w:rFonts w:ascii="楷体" w:eastAsia="楷体" w:hAnsi="楷体" w:cs="楷体" w:hint="eastAsia"/>
        </w:rPr>
        <w:t>制度</w:t>
      </w:r>
      <w:r>
        <w:rPr>
          <w:rFonts w:ascii="楷体" w:eastAsia="楷体" w:hAnsi="楷体" w:cs="楷体" w:hint="eastAsia"/>
        </w:rPr>
        <w:t>执行情况</w:t>
      </w:r>
      <w:r>
        <w:rPr>
          <w:rFonts w:ascii="楷体" w:eastAsia="楷体" w:hAnsi="楷体" w:cs="楷体" w:hint="eastAsia"/>
        </w:rPr>
        <w:t>。</w:t>
      </w:r>
    </w:p>
    <w:p w:rsidR="008C4AAD" w:rsidRDefault="003F0272">
      <w:pPr>
        <w:spacing w:line="560" w:lineRule="exact"/>
        <w:ind w:firstLine="640"/>
      </w:pPr>
      <w:r>
        <w:rPr>
          <w:rFonts w:hint="eastAsia"/>
        </w:rPr>
        <w:t>根据《兽药管理条例》和《兽药经营质量管理规范》有关规定，</w:t>
      </w:r>
      <w:r>
        <w:rPr>
          <w:rFonts w:hint="eastAsia"/>
        </w:rPr>
        <w:t>逐户核查兽药经营企业</w:t>
      </w:r>
      <w:r>
        <w:rPr>
          <w:rFonts w:hint="eastAsia"/>
        </w:rPr>
        <w:t>GSP</w:t>
      </w:r>
      <w:r>
        <w:rPr>
          <w:rFonts w:hint="eastAsia"/>
        </w:rPr>
        <w:t>制度执行情况，检查发现</w:t>
      </w:r>
      <w:r>
        <w:rPr>
          <w:rFonts w:hint="eastAsia"/>
        </w:rPr>
        <w:t>未达到兽药</w:t>
      </w:r>
      <w:r>
        <w:rPr>
          <w:rFonts w:hint="eastAsia"/>
        </w:rPr>
        <w:t>GSP</w:t>
      </w:r>
      <w:r>
        <w:rPr>
          <w:rFonts w:hint="eastAsia"/>
        </w:rPr>
        <w:t>要求的兽药经营企业限期整改，逾期不改正</w:t>
      </w:r>
      <w:r>
        <w:rPr>
          <w:rFonts w:hint="eastAsia"/>
        </w:rPr>
        <w:t>和证件不一致</w:t>
      </w:r>
      <w:r>
        <w:rPr>
          <w:rFonts w:hint="eastAsia"/>
        </w:rPr>
        <w:t>的，依法注销兽药经营许可证，并及时向</w:t>
      </w:r>
      <w:r>
        <w:rPr>
          <w:rFonts w:hint="eastAsia"/>
        </w:rPr>
        <w:t>县市场监督管理局</w:t>
      </w:r>
      <w:r>
        <w:rPr>
          <w:rFonts w:hint="eastAsia"/>
        </w:rPr>
        <w:t>通报兽药经营许可证注销信息。</w:t>
      </w:r>
    </w:p>
    <w:p w:rsidR="008C4AAD" w:rsidRDefault="003F0272">
      <w:pPr>
        <w:spacing w:line="560" w:lineRule="exact"/>
        <w:ind w:firstLineChars="200" w:firstLine="64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（</w:t>
      </w:r>
      <w:r>
        <w:rPr>
          <w:rFonts w:ascii="楷体" w:eastAsia="楷体" w:hAnsi="楷体" w:cs="楷体" w:hint="eastAsia"/>
        </w:rPr>
        <w:t>二）清理规</w:t>
      </w:r>
      <w:r>
        <w:rPr>
          <w:rFonts w:ascii="楷体" w:eastAsia="楷体" w:hAnsi="楷体" w:cs="楷体" w:hint="eastAsia"/>
        </w:rPr>
        <w:t>范兽药饲料经营行为。</w:t>
      </w:r>
    </w:p>
    <w:p w:rsidR="008C4AAD" w:rsidRDefault="003F0272">
      <w:pPr>
        <w:spacing w:line="560" w:lineRule="exact"/>
        <w:ind w:firstLineChars="200" w:firstLine="640"/>
      </w:pPr>
      <w:r>
        <w:rPr>
          <w:rFonts w:hint="eastAsia"/>
        </w:rPr>
        <w:t>严厉查处无证经营</w:t>
      </w:r>
      <w:r>
        <w:rPr>
          <w:rFonts w:hint="eastAsia"/>
        </w:rPr>
        <w:t>兽药</w:t>
      </w:r>
      <w:r>
        <w:rPr>
          <w:rFonts w:hint="eastAsia"/>
        </w:rPr>
        <w:t>、超范围经营</w:t>
      </w:r>
      <w:r>
        <w:rPr>
          <w:rFonts w:hint="eastAsia"/>
        </w:rPr>
        <w:t>兽用疫苗</w:t>
      </w:r>
      <w:r>
        <w:rPr>
          <w:rFonts w:hint="eastAsia"/>
        </w:rPr>
        <w:t>、兽用抗菌原料药拆零销售、购销记录不完整以及销售假劣兽药</w:t>
      </w:r>
      <w:r>
        <w:rPr>
          <w:rFonts w:hint="eastAsia"/>
        </w:rPr>
        <w:t>饲料</w:t>
      </w:r>
      <w:r>
        <w:rPr>
          <w:rFonts w:hint="eastAsia"/>
        </w:rPr>
        <w:t>等违法违规行为</w:t>
      </w:r>
      <w:r>
        <w:rPr>
          <w:rFonts w:hint="eastAsia"/>
        </w:rPr>
        <w:t>，</w:t>
      </w:r>
      <w:r>
        <w:rPr>
          <w:rFonts w:hint="eastAsia"/>
        </w:rPr>
        <w:t>引导企业守法、诚信、规范经营。</w:t>
      </w:r>
    </w:p>
    <w:p w:rsidR="008C4AAD" w:rsidRDefault="003F0272">
      <w:pPr>
        <w:spacing w:line="560" w:lineRule="exact"/>
        <w:ind w:firstLineChars="200" w:firstLine="64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（三）检查兽药追溯实施情况。</w:t>
      </w:r>
    </w:p>
    <w:p w:rsidR="008C4AAD" w:rsidRDefault="003F0272">
      <w:pPr>
        <w:spacing w:line="560" w:lineRule="exact"/>
        <w:ind w:firstLineChars="200" w:firstLine="640"/>
      </w:pPr>
      <w:r>
        <w:rPr>
          <w:rFonts w:hint="eastAsia"/>
        </w:rPr>
        <w:t>兽药经营企业应全面落实兽药产品追溯工作要求，安装兽药追溯管理系统，对未安装追溯系统的，责令限期整改到位，逾期整改不合格的，按照相关法律法规进行处罚。并核查企业经营的兽药产品是否有二维码，每个被抽查主体中应随机抽取</w:t>
      </w:r>
      <w:r>
        <w:rPr>
          <w:rFonts w:hint="eastAsia"/>
        </w:rPr>
        <w:t>5</w:t>
      </w:r>
      <w:r>
        <w:rPr>
          <w:rFonts w:hint="eastAsia"/>
        </w:rPr>
        <w:t>个品种在追溯系统查询是否有相关产品信息。</w:t>
      </w:r>
    </w:p>
    <w:p w:rsidR="008C4AAD" w:rsidRDefault="003F0272">
      <w:pPr>
        <w:spacing w:line="560" w:lineRule="exact"/>
        <w:ind w:firstLineChars="200" w:firstLine="64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（四）加强养殖环节监管。</w:t>
      </w:r>
    </w:p>
    <w:p w:rsidR="008C4AAD" w:rsidRDefault="003F0272">
      <w:pPr>
        <w:spacing w:line="560" w:lineRule="exact"/>
        <w:ind w:firstLineChars="200" w:firstLine="640"/>
      </w:pPr>
      <w:r>
        <w:t>督促养殖场</w:t>
      </w:r>
      <w:r>
        <w:t>(</w:t>
      </w:r>
      <w:r>
        <w:t>户</w:t>
      </w:r>
      <w:r>
        <w:t>)</w:t>
      </w:r>
      <w:r>
        <w:t>建立真实完整的兽药采购、使用记录，杜绝从网络销售、拎包销售</w:t>
      </w:r>
      <w:r>
        <w:rPr>
          <w:rFonts w:hint="eastAsia"/>
        </w:rPr>
        <w:t>、电话销售、“疫苗打针队”</w:t>
      </w:r>
      <w:r>
        <w:t>等</w:t>
      </w:r>
      <w:r>
        <w:lastRenderedPageBreak/>
        <w:t>生产经营资质不可靠的</w:t>
      </w:r>
      <w:r>
        <w:rPr>
          <w:rFonts w:hint="eastAsia"/>
        </w:rPr>
        <w:t>经营</w:t>
      </w:r>
      <w:r>
        <w:t>企业采购兽药</w:t>
      </w:r>
      <w:r>
        <w:rPr>
          <w:rFonts w:hint="eastAsia"/>
        </w:rPr>
        <w:t>、疫苗</w:t>
      </w:r>
      <w:r>
        <w:t>，确保进场兽药</w:t>
      </w:r>
      <w:r>
        <w:rPr>
          <w:rFonts w:hint="eastAsia"/>
        </w:rPr>
        <w:t>、疫苗</w:t>
      </w:r>
      <w:r>
        <w:t>安全可靠</w:t>
      </w:r>
      <w:r>
        <w:rPr>
          <w:rFonts w:hint="eastAsia"/>
        </w:rPr>
        <w:t>，</w:t>
      </w:r>
      <w:r>
        <w:t>督促养殖场</w:t>
      </w:r>
      <w:r>
        <w:t>(</w:t>
      </w:r>
      <w:r>
        <w:t>户</w:t>
      </w:r>
      <w:r>
        <w:t>)</w:t>
      </w:r>
      <w:r>
        <w:t>规范用药</w:t>
      </w:r>
      <w:r>
        <w:rPr>
          <w:rFonts w:hint="eastAsia"/>
        </w:rPr>
        <w:t>，</w:t>
      </w:r>
      <w:r>
        <w:t>不</w:t>
      </w:r>
      <w:r>
        <w:rPr>
          <w:rFonts w:hint="eastAsia"/>
        </w:rPr>
        <w:t>得</w:t>
      </w:r>
      <w:r>
        <w:t>随意在饲料和饮水中添加</w:t>
      </w:r>
      <w:r>
        <w:rPr>
          <w:rFonts w:hint="eastAsia"/>
        </w:rPr>
        <w:t>违禁</w:t>
      </w:r>
      <w:r>
        <w:rPr>
          <w:rFonts w:hint="eastAsia"/>
        </w:rPr>
        <w:t>用药，</w:t>
      </w:r>
      <w:r>
        <w:t>认真执行</w:t>
      </w:r>
      <w:r>
        <w:rPr>
          <w:rFonts w:hint="eastAsia"/>
        </w:rPr>
        <w:t>休</w:t>
      </w:r>
      <w:r>
        <w:t>药期</w:t>
      </w:r>
      <w:r>
        <w:rPr>
          <w:rFonts w:hint="eastAsia"/>
        </w:rPr>
        <w:t>制度，</w:t>
      </w:r>
      <w:r>
        <w:t>检查养殖场</w:t>
      </w:r>
      <w:r>
        <w:t>(</w:t>
      </w:r>
      <w:r>
        <w:t>户</w:t>
      </w:r>
      <w:r>
        <w:t>)</w:t>
      </w:r>
      <w:r>
        <w:t>是否违规使用人用药品，是否过量或滥用抗菌药物，一经发现，严格按照《兽药管理条例》及相关规定进行处罚，涉嫌犯罪的及时移交公安部门。</w:t>
      </w:r>
    </w:p>
    <w:p w:rsidR="008C4AAD" w:rsidRDefault="003F0272">
      <w:p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</w:t>
      </w:r>
      <w:r>
        <w:rPr>
          <w:rFonts w:ascii="黑体" w:eastAsia="黑体" w:hAnsi="黑体" w:cs="黑体" w:hint="eastAsia"/>
        </w:rPr>
        <w:t>、</w:t>
      </w:r>
      <w:r>
        <w:rPr>
          <w:rFonts w:ascii="黑体" w:eastAsia="黑体" w:hAnsi="黑体" w:cs="黑体" w:hint="eastAsia"/>
        </w:rPr>
        <w:t>时间安排</w:t>
      </w:r>
    </w:p>
    <w:p w:rsidR="008C4AAD" w:rsidRDefault="003F0272">
      <w:pPr>
        <w:spacing w:line="560" w:lineRule="exact"/>
        <w:ind w:firstLineChars="200" w:firstLine="640"/>
      </w:pPr>
      <w:r>
        <w:rPr>
          <w:rFonts w:hint="eastAsia"/>
        </w:rPr>
        <w:t>20</w:t>
      </w:r>
      <w:r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日至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1</w:t>
      </w:r>
      <w:r>
        <w:rPr>
          <w:rFonts w:hint="eastAsia"/>
        </w:rPr>
        <w:t>日，在全</w:t>
      </w:r>
      <w:r>
        <w:rPr>
          <w:rFonts w:hint="eastAsia"/>
        </w:rPr>
        <w:t>县</w:t>
      </w:r>
      <w:r>
        <w:rPr>
          <w:rFonts w:hint="eastAsia"/>
        </w:rPr>
        <w:t>范围内组织开展</w:t>
      </w:r>
      <w:r>
        <w:rPr>
          <w:rFonts w:hint="eastAsia"/>
        </w:rPr>
        <w:t>兽药饲料打假“春雷”行动，</w:t>
      </w:r>
      <w:r>
        <w:rPr>
          <w:rFonts w:ascii="仿宋_GB2312" w:hAnsi="仿宋_GB2312" w:cs="仿宋_GB2312" w:hint="eastAsia"/>
          <w:szCs w:val="32"/>
        </w:rPr>
        <w:t>集中打击兽药饲料</w:t>
      </w:r>
      <w:r>
        <w:rPr>
          <w:rFonts w:ascii="仿宋_GB2312" w:hAnsi="仿宋_GB2312" w:cs="仿宋_GB2312" w:hint="eastAsia"/>
          <w:szCs w:val="32"/>
        </w:rPr>
        <w:t>经营环节</w:t>
      </w:r>
      <w:r>
        <w:rPr>
          <w:rFonts w:ascii="仿宋_GB2312" w:hAnsi="仿宋_GB2312" w:cs="仿宋_GB2312" w:hint="eastAsia"/>
          <w:szCs w:val="32"/>
        </w:rPr>
        <w:t>制假售假</w:t>
      </w:r>
      <w:r>
        <w:rPr>
          <w:rFonts w:ascii="仿宋_GB2312" w:hAnsi="仿宋_GB2312" w:cs="仿宋_GB2312" w:hint="eastAsia"/>
          <w:szCs w:val="32"/>
        </w:rPr>
        <w:t>和养殖环节违规</w:t>
      </w:r>
      <w:r>
        <w:rPr>
          <w:rFonts w:ascii="仿宋_GB2312" w:hAnsi="仿宋_GB2312" w:cs="仿宋_GB2312" w:hint="eastAsia"/>
          <w:szCs w:val="32"/>
        </w:rPr>
        <w:t>违法行为</w:t>
      </w:r>
      <w:r>
        <w:rPr>
          <w:rFonts w:hint="eastAsia"/>
        </w:rPr>
        <w:t>。</w:t>
      </w:r>
    </w:p>
    <w:p w:rsidR="008C4AAD" w:rsidRDefault="003F0272">
      <w:p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四、强化组织领导</w:t>
      </w:r>
      <w:r>
        <w:rPr>
          <w:rFonts w:ascii="黑体" w:eastAsia="黑体" w:hAnsi="黑体" w:cs="黑体" w:hint="eastAsia"/>
        </w:rPr>
        <w:t>。</w:t>
      </w:r>
    </w:p>
    <w:p w:rsidR="008C4AAD" w:rsidRDefault="003F0272">
      <w:pPr>
        <w:spacing w:line="560" w:lineRule="exact"/>
        <w:ind w:firstLineChars="200" w:firstLine="640"/>
      </w:pPr>
      <w:r>
        <w:rPr>
          <w:rFonts w:hint="eastAsia"/>
        </w:rPr>
        <w:t>各畜牧站</w:t>
      </w:r>
      <w:r>
        <w:rPr>
          <w:rFonts w:hint="eastAsia"/>
        </w:rPr>
        <w:t>、</w:t>
      </w:r>
      <w:r>
        <w:rPr>
          <w:rFonts w:hint="eastAsia"/>
        </w:rPr>
        <w:t>中心相关站所</w:t>
      </w:r>
      <w:r>
        <w:rPr>
          <w:rFonts w:hint="eastAsia"/>
        </w:rPr>
        <w:t>要强化责任意识，认真组织开展日常监管、专项整治、抽样核查、案件查处等业务工作</w:t>
      </w:r>
      <w:r>
        <w:rPr>
          <w:rFonts w:hint="eastAsia"/>
        </w:rPr>
        <w:t>，</w:t>
      </w:r>
      <w:r>
        <w:rPr>
          <w:rFonts w:hint="eastAsia"/>
        </w:rPr>
        <w:t>对群众反映强烈、长期制假售假坑农害农的企业要纳入监管黑名单，</w:t>
      </w:r>
      <w:r>
        <w:rPr>
          <w:rFonts w:hint="eastAsia"/>
        </w:rPr>
        <w:t>加</w:t>
      </w:r>
      <w:r>
        <w:rPr>
          <w:rFonts w:hint="eastAsia"/>
        </w:rPr>
        <w:t>大监管频次，加大处罚力度，情节严重的，移交公安机关追究刑事责任。</w:t>
      </w:r>
    </w:p>
    <w:p w:rsidR="008C4AAD" w:rsidRDefault="003F0272">
      <w:pPr>
        <w:spacing w:line="560" w:lineRule="exact"/>
        <w:ind w:firstLineChars="200" w:firstLine="640"/>
      </w:pPr>
      <w:r>
        <w:rPr>
          <w:rFonts w:hint="eastAsia"/>
        </w:rPr>
        <w:t>相关责任站所及时汇总相关检查信息，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日将检查情况形成报告，报动物卫生监督所。</w:t>
      </w:r>
    </w:p>
    <w:p w:rsidR="008C4AAD" w:rsidRDefault="003F0272">
      <w:pPr>
        <w:spacing w:line="560" w:lineRule="exact"/>
        <w:ind w:firstLineChars="200" w:firstLine="640"/>
      </w:pPr>
      <w:r>
        <w:rPr>
          <w:rFonts w:hint="eastAsia"/>
        </w:rPr>
        <w:t>联系人：莫苒</w:t>
      </w:r>
      <w:r>
        <w:rPr>
          <w:rFonts w:hint="eastAsia"/>
        </w:rPr>
        <w:t xml:space="preserve">    18155754968</w:t>
      </w:r>
      <w:r>
        <w:rPr>
          <w:rFonts w:hint="eastAsia"/>
        </w:rPr>
        <w:t>。</w:t>
      </w:r>
    </w:p>
    <w:p w:rsidR="008C4AAD" w:rsidRDefault="008C4AAD">
      <w:pPr>
        <w:spacing w:line="560" w:lineRule="exact"/>
        <w:ind w:firstLineChars="200" w:firstLine="640"/>
      </w:pPr>
    </w:p>
    <w:p w:rsidR="008C4AAD" w:rsidRDefault="003F0272">
      <w:pPr>
        <w:spacing w:line="560" w:lineRule="exact"/>
        <w:ind w:firstLineChars="200" w:firstLine="640"/>
      </w:pPr>
      <w:r>
        <w:rPr>
          <w:rFonts w:hint="eastAsia"/>
        </w:rPr>
        <w:t xml:space="preserve">                </w:t>
      </w:r>
    </w:p>
    <w:p w:rsidR="008C4AAD" w:rsidRDefault="008C4AAD">
      <w:pPr>
        <w:spacing w:line="560" w:lineRule="exact"/>
        <w:ind w:firstLineChars="200" w:firstLine="640"/>
      </w:pPr>
    </w:p>
    <w:p w:rsidR="008C4AAD" w:rsidRDefault="003F0272">
      <w:pPr>
        <w:spacing w:line="560" w:lineRule="exact"/>
        <w:ind w:firstLineChars="200" w:firstLine="640"/>
      </w:pPr>
      <w:r>
        <w:rPr>
          <w:rFonts w:hint="eastAsia"/>
        </w:rPr>
        <w:t xml:space="preserve">                   </w:t>
      </w:r>
      <w:r>
        <w:rPr>
          <w:rFonts w:hint="eastAsia"/>
        </w:rPr>
        <w:t>泗县畜牧兽医水产技术服务中心</w:t>
      </w:r>
    </w:p>
    <w:p w:rsidR="008C4AAD" w:rsidRDefault="003F0272">
      <w:pPr>
        <w:spacing w:line="560" w:lineRule="exact"/>
        <w:ind w:firstLineChars="1500" w:firstLine="4800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sectPr w:rsidR="008C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0272" w:rsidRDefault="003F0272" w:rsidP="00FD6E0C">
      <w:r>
        <w:separator/>
      </w:r>
    </w:p>
  </w:endnote>
  <w:endnote w:type="continuationSeparator" w:id="0">
    <w:p w:rsidR="003F0272" w:rsidRDefault="003F0272" w:rsidP="00FD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0272" w:rsidRDefault="003F0272" w:rsidP="00FD6E0C">
      <w:r>
        <w:separator/>
      </w:r>
    </w:p>
  </w:footnote>
  <w:footnote w:type="continuationSeparator" w:id="0">
    <w:p w:rsidR="003F0272" w:rsidRDefault="003F0272" w:rsidP="00FD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CA0F5F"/>
    <w:rsid w:val="003F0272"/>
    <w:rsid w:val="008C1C15"/>
    <w:rsid w:val="008C4AAD"/>
    <w:rsid w:val="00FD6E0C"/>
    <w:rsid w:val="021C385E"/>
    <w:rsid w:val="062D7743"/>
    <w:rsid w:val="077335C0"/>
    <w:rsid w:val="10A4162C"/>
    <w:rsid w:val="17674705"/>
    <w:rsid w:val="17B16990"/>
    <w:rsid w:val="18C12B24"/>
    <w:rsid w:val="221F2874"/>
    <w:rsid w:val="2BC97FCB"/>
    <w:rsid w:val="2D9F46E3"/>
    <w:rsid w:val="2E70501C"/>
    <w:rsid w:val="30195373"/>
    <w:rsid w:val="318949C6"/>
    <w:rsid w:val="3409591E"/>
    <w:rsid w:val="35A707AE"/>
    <w:rsid w:val="38282A82"/>
    <w:rsid w:val="3EC033BF"/>
    <w:rsid w:val="45464B3B"/>
    <w:rsid w:val="4D6B3C3F"/>
    <w:rsid w:val="503A2A2B"/>
    <w:rsid w:val="50567394"/>
    <w:rsid w:val="51A85174"/>
    <w:rsid w:val="52DD6E91"/>
    <w:rsid w:val="55471AB2"/>
    <w:rsid w:val="562C0ED0"/>
    <w:rsid w:val="582B1DDF"/>
    <w:rsid w:val="59307F36"/>
    <w:rsid w:val="59CA3395"/>
    <w:rsid w:val="5A8823C1"/>
    <w:rsid w:val="5D290F11"/>
    <w:rsid w:val="60CA0F5F"/>
    <w:rsid w:val="61461D95"/>
    <w:rsid w:val="61AF034B"/>
    <w:rsid w:val="62CB2C15"/>
    <w:rsid w:val="659E79AC"/>
    <w:rsid w:val="70C163FF"/>
    <w:rsid w:val="724A2F34"/>
    <w:rsid w:val="734E6022"/>
    <w:rsid w:val="77D817E6"/>
    <w:rsid w:val="7A4A0A4E"/>
    <w:rsid w:val="7CAE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F40C91"/>
  <w15:docId w15:val="{A9A946E6-D6EA-4BC8-BF15-8A6F4AB3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720" w:lineRule="exact"/>
      <w:jc w:val="center"/>
      <w:outlineLvl w:val="0"/>
    </w:pPr>
    <w:rPr>
      <w:rFonts w:asciiTheme="minorHAnsi" w:eastAsia="方正小标宋简体" w:hAnsiTheme="minorHAnsi" w:cstheme="minorBidi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微软雅黑" w:hAnsi="Arial"/>
      <w:sz w:val="4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jc w:val="center"/>
      <w:outlineLvl w:val="2"/>
    </w:pPr>
    <w:rPr>
      <w:rFonts w:asciiTheme="minorHAnsi" w:eastAsiaTheme="majorEastAsia" w:hAnsiTheme="minorHAnsi"/>
      <w:sz w:val="44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/>
      <w:jc w:val="left"/>
      <w:outlineLvl w:val="3"/>
    </w:pPr>
    <w:rPr>
      <w:rFonts w:ascii="Arial" w:hAnsi="Arial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qFormat/>
    <w:rPr>
      <w:color w:val="333333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="方正小标宋简体" w:hAnsiTheme="minorHAnsi" w:cstheme="minorBidi"/>
      <w:bCs/>
      <w:kern w:val="44"/>
      <w:sz w:val="44"/>
      <w:szCs w:val="44"/>
    </w:rPr>
  </w:style>
  <w:style w:type="character" w:customStyle="1" w:styleId="hover32">
    <w:name w:val="hover32"/>
    <w:basedOn w:val="a0"/>
    <w:qFormat/>
    <w:rPr>
      <w:color w:val="2A80C9"/>
      <w:u w:val="none"/>
      <w:bdr w:val="single" w:sz="6" w:space="0" w:color="2A80C9"/>
    </w:rPr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time">
    <w:name w:val="time"/>
    <w:basedOn w:val="a0"/>
    <w:qFormat/>
    <w:rPr>
      <w:color w:val="7D695A"/>
    </w:rPr>
  </w:style>
  <w:style w:type="character" w:customStyle="1" w:styleId="icon-print">
    <w:name w:val="icon-print"/>
    <w:basedOn w:val="a0"/>
    <w:qFormat/>
  </w:style>
  <w:style w:type="character" w:customStyle="1" w:styleId="right14">
    <w:name w:val="right14"/>
    <w:basedOn w:val="a0"/>
    <w:qFormat/>
    <w:rPr>
      <w:rFonts w:ascii="宋体" w:eastAsia="宋体" w:hAnsi="宋体" w:cs="宋体" w:hint="eastAsia"/>
      <w:color w:val="999999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Pr>
      <w:color w:val="999999"/>
    </w:rPr>
  </w:style>
  <w:style w:type="character" w:customStyle="1" w:styleId="zltxt">
    <w:name w:val="zl_txt"/>
    <w:basedOn w:val="a0"/>
    <w:qFormat/>
    <w:rPr>
      <w:color w:val="FFFFFF"/>
    </w:rPr>
  </w:style>
  <w:style w:type="character" w:customStyle="1" w:styleId="icon-report2">
    <w:name w:val="icon-report2"/>
    <w:basedOn w:val="a0"/>
    <w:qFormat/>
  </w:style>
  <w:style w:type="character" w:customStyle="1" w:styleId="time2">
    <w:name w:val="time2"/>
    <w:basedOn w:val="a0"/>
    <w:qFormat/>
    <w:rPr>
      <w:color w:val="7D695A"/>
    </w:rPr>
  </w:style>
  <w:style w:type="paragraph" w:styleId="a7">
    <w:name w:val="header"/>
    <w:basedOn w:val="a"/>
    <w:link w:val="a8"/>
    <w:rsid w:val="00FD6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D6E0C"/>
    <w:rPr>
      <w:rFonts w:eastAsia="仿宋_GB2312"/>
      <w:kern w:val="2"/>
      <w:sz w:val="18"/>
      <w:szCs w:val="18"/>
    </w:rPr>
  </w:style>
  <w:style w:type="paragraph" w:styleId="a9">
    <w:name w:val="footer"/>
    <w:basedOn w:val="a"/>
    <w:link w:val="aa"/>
    <w:rsid w:val="00FD6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D6E0C"/>
    <w:rPr>
      <w:rFonts w:eastAsia="仿宋_GB2312"/>
      <w:kern w:val="2"/>
      <w:sz w:val="18"/>
      <w:szCs w:val="18"/>
    </w:rPr>
  </w:style>
  <w:style w:type="paragraph" w:customStyle="1" w:styleId="Style2">
    <w:name w:val="_Style 2"/>
    <w:basedOn w:val="a"/>
    <w:uiPriority w:val="99"/>
    <w:qFormat/>
    <w:rsid w:val="00FD6E0C"/>
    <w:pPr>
      <w:spacing w:line="351" w:lineRule="atLeast"/>
      <w:ind w:firstLine="623"/>
      <w:textAlignment w:val="baseline"/>
    </w:pPr>
    <w:rPr>
      <w:color w:val="000000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独倚危栏</dc:creator>
  <cp:lastModifiedBy>泗县畜牧局</cp:lastModifiedBy>
  <cp:revision>2</cp:revision>
  <cp:lastPrinted>2020-03-30T03:20:00Z</cp:lastPrinted>
  <dcterms:created xsi:type="dcterms:W3CDTF">2020-03-24T07:33:00Z</dcterms:created>
  <dcterms:modified xsi:type="dcterms:W3CDTF">2020-03-30T03:22:00Z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