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sz w:val="48"/>
          <w:szCs w:val="48"/>
          <w:bdr w:val="none" w:color="auto" w:sz="0" w:space="0"/>
          <w:shd w:val="clear" w:fill="FFFFFF"/>
        </w:rPr>
        <w:t>国家税务总局关于进一步支持和服务长江三角洲区域一体化发展若干措施的通知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国家税务总局上海、江苏、浙江、宁波、安徽省（市）税务局，驻上海特派员办事处： 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深入贯彻落实党中央、国务院关于推动长江三角洲（以下简称“长三角”）区域一体化发展的决策部署，更好发挥税收服务国家重大发展战略的作用，税务总局决定进一步推出以下10项助力长三角一体化高质量发展的税收征管服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一、提升税收大数据服务能力。</w:t>
      </w:r>
      <w:r>
        <w:rPr>
          <w:rFonts w:hint="eastAsia" w:ascii="微软雅黑" w:hAnsi="微软雅黑" w:eastAsia="微软雅黑" w:cs="微软雅黑"/>
          <w:i w:val="0"/>
          <w:caps w:val="0"/>
          <w:color w:val="333333"/>
          <w:spacing w:val="0"/>
          <w:sz w:val="24"/>
          <w:szCs w:val="24"/>
          <w:bdr w:val="none" w:color="auto" w:sz="0" w:space="0"/>
          <w:shd w:val="clear" w:fill="FFFFFF"/>
        </w:rPr>
        <w:t>推动长三角区域税收数据共享共用，积极打造税收“服务共同体”“征管共同体”和“信息共同体”。利用税收大数据，加大长三角区域税收经济联合分析力度。根据区域产业布局，拓展产业链、供应链分析，为长三角区域企业实现产供销上下游精准对接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二、深化增值税电子发票应用。</w:t>
      </w:r>
      <w:r>
        <w:rPr>
          <w:rFonts w:hint="eastAsia" w:ascii="微软雅黑" w:hAnsi="微软雅黑" w:eastAsia="微软雅黑" w:cs="微软雅黑"/>
          <w:i w:val="0"/>
          <w:caps w:val="0"/>
          <w:color w:val="333333"/>
          <w:spacing w:val="0"/>
          <w:sz w:val="24"/>
          <w:szCs w:val="24"/>
          <w:bdr w:val="none" w:color="auto" w:sz="0" w:space="0"/>
          <w:shd w:val="clear" w:fill="FFFFFF"/>
        </w:rPr>
        <w:t>将长三角区域部分城市列入首批增值税专用发票电子化试点范围。进一步提升电子发票公共服务平台支撑能力，加大增值税电子普通发票推广力度。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三、推行“五税合一”综合申报。</w:t>
      </w:r>
      <w:r>
        <w:rPr>
          <w:rFonts w:hint="eastAsia" w:ascii="微软雅黑" w:hAnsi="微软雅黑" w:eastAsia="微软雅黑" w:cs="微软雅黑"/>
          <w:i w:val="0"/>
          <w:caps w:val="0"/>
          <w:color w:val="333333"/>
          <w:spacing w:val="0"/>
          <w:sz w:val="24"/>
          <w:szCs w:val="24"/>
          <w:bdr w:val="none" w:color="auto" w:sz="0" w:space="0"/>
          <w:shd w:val="clear" w:fill="FFFFFF"/>
        </w:rPr>
        <w:t>进一步简并征期，将城镇土地使用税、房产税、印花税（按次申报的除外）、土地增值税等四个税种统一按季申报。纳税人在申报上述四个税种和企业所得税时，可选择通过电子税务局进行税种综合申报，实现“一张报表、一次申报、一次缴款、一张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四、探索推进纳税申报预填服务。</w:t>
      </w:r>
      <w:r>
        <w:rPr>
          <w:rFonts w:hint="eastAsia" w:ascii="微软雅黑" w:hAnsi="微软雅黑" w:eastAsia="微软雅黑" w:cs="微软雅黑"/>
          <w:i w:val="0"/>
          <w:caps w:val="0"/>
          <w:color w:val="333333"/>
          <w:spacing w:val="0"/>
          <w:sz w:val="24"/>
          <w:szCs w:val="24"/>
          <w:bdr w:val="none" w:color="auto" w:sz="0" w:space="0"/>
          <w:shd w:val="clear" w:fill="FFFFFF"/>
        </w:rPr>
        <w:t>增值税小规模纳税人通过电子税务局申报时，系统自动归集纳税人发票开具、房产及土地税源等数据，自动判断应申报税种，自动推送预填数据，由纳税人确认后一次完成各税种申报。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五、简化增值税即征即退事项办理流程。</w:t>
      </w:r>
      <w:r>
        <w:rPr>
          <w:rFonts w:hint="eastAsia" w:ascii="微软雅黑" w:hAnsi="微软雅黑" w:eastAsia="微软雅黑" w:cs="微软雅黑"/>
          <w:i w:val="0"/>
          <w:caps w:val="0"/>
          <w:color w:val="333333"/>
          <w:spacing w:val="0"/>
          <w:sz w:val="24"/>
          <w:szCs w:val="24"/>
          <w:bdr w:val="none" w:color="auto" w:sz="0" w:space="0"/>
          <w:shd w:val="clear" w:fill="FFFFFF"/>
        </w:rPr>
        <w:t>对除纳税信用级别为C级、D级以外的纳税人，在软件产品、动漫企业、安置残疾人就业、新型墙体材料、资源综合利用产品及劳务、风力发电、管道运输服务、飞机维修劳务、铂金交易、黄金交易、有形动产融资租赁服务等11项增值税即征即退事项办理中，简并报送资料，减少环节，提高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六、加快土地增值税免税优惠办理。</w:t>
      </w:r>
      <w:r>
        <w:rPr>
          <w:rFonts w:hint="eastAsia" w:ascii="微软雅黑" w:hAnsi="微软雅黑" w:eastAsia="微软雅黑" w:cs="微软雅黑"/>
          <w:i w:val="0"/>
          <w:caps w:val="0"/>
          <w:color w:val="333333"/>
          <w:spacing w:val="0"/>
          <w:sz w:val="24"/>
          <w:szCs w:val="24"/>
          <w:bdr w:val="none" w:color="auto" w:sz="0" w:space="0"/>
          <w:shd w:val="clear" w:fill="FFFFFF"/>
        </w:rPr>
        <w:t>对除纳税信用级别为C级、D级以外的纳税人，推进土地增值税免税事项办理环节的简并，进一步优化办理方式，减少资料报送，促进纳税人更快享受免税优惠。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七、推进服务贸易对外付汇便利化。</w:t>
      </w:r>
      <w:r>
        <w:rPr>
          <w:rFonts w:hint="eastAsia" w:ascii="微软雅黑" w:hAnsi="微软雅黑" w:eastAsia="微软雅黑" w:cs="微软雅黑"/>
          <w:i w:val="0"/>
          <w:caps w:val="0"/>
          <w:color w:val="333333"/>
          <w:spacing w:val="0"/>
          <w:sz w:val="24"/>
          <w:szCs w:val="24"/>
          <w:bdr w:val="none" w:color="auto" w:sz="0" w:space="0"/>
          <w:shd w:val="clear" w:fill="FFFFFF"/>
        </w:rPr>
        <w:t>进一步优化服务贸易对外支付流程，在服务贸易等项目对外支付税务备案电子化的基础上，推进税务备案信息与银行间同步共享，更好满足纳税人异地付汇业务需要。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八、统筹开展税收风险管理。</w:t>
      </w:r>
      <w:r>
        <w:rPr>
          <w:rFonts w:hint="eastAsia" w:ascii="微软雅黑" w:hAnsi="微软雅黑" w:eastAsia="微软雅黑" w:cs="微软雅黑"/>
          <w:i w:val="0"/>
          <w:caps w:val="0"/>
          <w:color w:val="333333"/>
          <w:spacing w:val="0"/>
          <w:sz w:val="24"/>
          <w:szCs w:val="24"/>
          <w:bdr w:val="none" w:color="auto" w:sz="0" w:space="0"/>
          <w:shd w:val="clear" w:fill="FFFFFF"/>
        </w:rPr>
        <w:t>依托税务总局云平台大数据等数据资源，实现长三角区域涉税风险信息和风险模型共享。统筹跨区域风险管理任务，避免对区域内跨省经营企业的重复检查。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九、推进税收政策执行标准规范统一。</w:t>
      </w:r>
      <w:r>
        <w:rPr>
          <w:rFonts w:hint="eastAsia" w:ascii="微软雅黑" w:hAnsi="微软雅黑" w:eastAsia="微软雅黑" w:cs="微软雅黑"/>
          <w:i w:val="0"/>
          <w:caps w:val="0"/>
          <w:color w:val="333333"/>
          <w:spacing w:val="0"/>
          <w:sz w:val="24"/>
          <w:szCs w:val="24"/>
          <w:bdr w:val="none" w:color="auto" w:sz="0" w:space="0"/>
          <w:shd w:val="clear" w:fill="FFFFFF"/>
        </w:rPr>
        <w:t>对税收法律、法规、规章、规范性文件及税务总局其他文件明确规定由各省（市）税务机关自行确定执行标准的税收政策，根据实际情况研究协调在长三角区域统一执行标准。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十、构建统一的税收执法清单体系。</w:t>
      </w:r>
      <w:r>
        <w:rPr>
          <w:rFonts w:hint="eastAsia" w:ascii="微软雅黑" w:hAnsi="微软雅黑" w:eastAsia="微软雅黑" w:cs="微软雅黑"/>
          <w:i w:val="0"/>
          <w:caps w:val="0"/>
          <w:color w:val="333333"/>
          <w:spacing w:val="0"/>
          <w:sz w:val="24"/>
          <w:szCs w:val="24"/>
          <w:bdr w:val="none" w:color="auto" w:sz="0" w:space="0"/>
          <w:shd w:val="clear" w:fill="FFFFFF"/>
        </w:rPr>
        <w:t>将长三角区域统一的税务行政处罚裁量基准与长三角区域通办涉税事项清单、“一网通办”任务清单相衔接，构建长三角区域统一的税收执法清单体系。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以上措施，由国家税务总局上海市税务局牵头，江苏、浙江、宁波、安徽省（市）税务局共同抓好落实。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2020年7月31日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5BDE"/>
    <w:rsid w:val="6A9F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2020-08-28T08:01:00Z</dcterms:created>
  <dc:creator>YOYO</dc:creator>
  <cp:lastModifiedBy>YOYO</cp:lastModifiedBy>
  <dcterms:modified xsi:type="dcterms:W3CDTF">2020-08-28T08:01:29Z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