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bCs/>
          <w:sz w:val="44"/>
          <w:szCs w:val="44"/>
        </w:rPr>
        <w:t>2020年1-9月份财政收支分析</w:t>
      </w:r>
    </w:p>
    <w:bookmarkEnd w:id="0"/>
    <w:p>
      <w:pPr>
        <w:spacing w:line="360" w:lineRule="auto"/>
        <w:ind w:firstLine="602" w:firstLineChars="200"/>
        <w:rPr>
          <w:rFonts w:ascii="黑体" w:eastAsia="黑体"/>
          <w:b/>
          <w:bCs/>
          <w:szCs w:val="30"/>
        </w:rPr>
      </w:pPr>
    </w:p>
    <w:p>
      <w:pPr>
        <w:spacing w:line="360" w:lineRule="auto"/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一、财政收支预算执行情况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2020年1-9月份累计完成财政收入144894万元，完成年度预算的72.1%，比去年同期增长3.2%; 1-9月份累计完成财政支出488586万元，完成年度预算的106.2%，比去年同期下降10.4%。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从征收部门完成情况看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税务部门1-9月累计完成111262万元，为年度预算的71.3%，比去年同期增长5.2%；财政部门1-9月累计完成33632万元，为预算的74.7%，比去年同期下降2.7%。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从收入级次完成情况看：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</w:rPr>
        <w:t>1－9月，地方收入完成100686万元，为年度预算的75.3%,比去年同期增长5.6%；中央收入完成34648万元，比去年同期下降7.3%；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出口退税完成9560万元,比去年同期增长26.2％。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从收入结构完成情况看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1-9月，税收收入完成107904万元，</w:t>
      </w:r>
      <w:r>
        <w:rPr>
          <w:rFonts w:hint="eastAsia" w:ascii="仿宋_GB2312" w:hAnsi="华文仿宋" w:eastAsia="仿宋_GB2312"/>
          <w:sz w:val="32"/>
          <w:szCs w:val="32"/>
        </w:rPr>
        <w:t>比去年同期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增长5.4%，占财政总收入</w:t>
      </w:r>
      <w:r>
        <w:rPr>
          <w:rFonts w:ascii="仿宋_GB2312" w:hAnsi="华文仿宋" w:eastAsia="仿宋_GB2312"/>
          <w:sz w:val="32"/>
          <w:szCs w:val="32"/>
          <w:lang w:val="en-GB"/>
        </w:rPr>
        <w:t>7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4.5％；非税收入完成36990万元，</w:t>
      </w:r>
      <w:r>
        <w:rPr>
          <w:rFonts w:hint="eastAsia" w:ascii="仿宋_GB2312" w:hAnsi="华文仿宋" w:eastAsia="仿宋_GB2312"/>
          <w:sz w:val="32"/>
          <w:szCs w:val="32"/>
        </w:rPr>
        <w:t>比去年同期下降2.5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%，占财政总收入25.5％。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支出完成情况：</w:t>
      </w:r>
      <w:r>
        <w:rPr>
          <w:rFonts w:hint="eastAsia" w:ascii="仿宋_GB2312" w:hAnsi="华文仿宋" w:eastAsia="仿宋_GB2312"/>
          <w:sz w:val="32"/>
          <w:szCs w:val="32"/>
        </w:rPr>
        <w:t>1-9月份财政支出累计完成488586万元，完成年度预算的106.2%，比去年同期下降10.4%。十三大类民生工程支出426568万元，占总支出的87.3%，同比下降10.6%。</w:t>
      </w:r>
    </w:p>
    <w:p>
      <w:pPr>
        <w:spacing w:line="360" w:lineRule="auto"/>
        <w:ind w:firstLine="640" w:firstLineChars="200"/>
        <w:rPr>
          <w:rFonts w:ascii="黑体" w:hAnsi="华文仿宋" w:eastAsia="黑体"/>
          <w:sz w:val="32"/>
          <w:szCs w:val="32"/>
          <w:lang w:val="en-GB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二、政府性基金收支情况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1-9月份政府性基金累计收入252389万元，同比增长5.9%，其中：土地出让金收入252317万元。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政府性基金支出303156万元，同比下降17.9%，其中：土地出让金支出163161万元，专项债券支出127900万元。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 xml:space="preserve"> </w:t>
      </w:r>
    </w:p>
    <w:p>
      <w:pPr>
        <w:spacing w:line="360" w:lineRule="auto"/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三、</w:t>
      </w:r>
      <w:r>
        <w:rPr>
          <w:rFonts w:hint="eastAsia" w:ascii="黑体" w:hAnsi="宋体" w:eastAsia="黑体"/>
          <w:bCs/>
          <w:sz w:val="32"/>
          <w:szCs w:val="32"/>
        </w:rPr>
        <w:t>财政收支主要特点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1、财政</w:t>
      </w:r>
      <w:r>
        <w:rPr>
          <w:rFonts w:hint="eastAsia" w:ascii="仿宋" w:hAnsi="仿宋" w:eastAsia="仿宋"/>
          <w:b/>
          <w:sz w:val="32"/>
          <w:szCs w:val="32"/>
        </w:rPr>
        <w:t>收支形势好转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</w:rPr>
        <w:t>目前财政收入形势逐渐向好发展，</w:t>
      </w:r>
      <w:r>
        <w:rPr>
          <w:rFonts w:hint="eastAsia" w:ascii="仿宋_GB2312" w:hAnsi="华文仿宋" w:eastAsia="仿宋_GB2312"/>
          <w:sz w:val="32"/>
          <w:szCs w:val="32"/>
        </w:rPr>
        <w:t>1-9月份</w:t>
      </w:r>
      <w:r>
        <w:rPr>
          <w:rFonts w:ascii="仿宋_GB2312" w:hAnsi="华文仿宋" w:eastAsia="仿宋_GB2312"/>
          <w:sz w:val="32"/>
          <w:szCs w:val="32"/>
        </w:rPr>
        <w:t>全</w:t>
      </w:r>
      <w:r>
        <w:rPr>
          <w:rFonts w:hint="eastAsia" w:ascii="仿宋_GB2312" w:hAnsi="华文仿宋" w:eastAsia="仿宋_GB2312"/>
          <w:sz w:val="32"/>
          <w:szCs w:val="32"/>
        </w:rPr>
        <w:t>县</w:t>
      </w:r>
      <w:r>
        <w:rPr>
          <w:rFonts w:ascii="仿宋_GB2312" w:hAnsi="华文仿宋" w:eastAsia="仿宋_GB2312"/>
          <w:sz w:val="32"/>
          <w:szCs w:val="32"/>
        </w:rPr>
        <w:t>财政收入</w:t>
      </w:r>
      <w:r>
        <w:rPr>
          <w:rFonts w:hint="eastAsia" w:ascii="仿宋_GB2312" w:hAnsi="华文仿宋" w:eastAsia="仿宋_GB2312"/>
          <w:sz w:val="32"/>
          <w:szCs w:val="32"/>
        </w:rPr>
        <w:t>完成预算72.1%，同比增长3.2%;财政支出完成预算106.2%。同时，非税收入占比25</w:t>
      </w:r>
      <w:r>
        <w:rPr>
          <w:rFonts w:ascii="仿宋_GB2312" w:hAnsi="华文仿宋" w:eastAsia="仿宋_GB2312"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>2%，</w:t>
      </w:r>
      <w:r>
        <w:rPr>
          <w:rFonts w:ascii="仿宋_GB2312" w:hAnsi="华文仿宋" w:eastAsia="仿宋_GB2312"/>
          <w:sz w:val="32"/>
          <w:szCs w:val="32"/>
        </w:rPr>
        <w:t>财政收入质量</w:t>
      </w:r>
      <w:r>
        <w:rPr>
          <w:rFonts w:hint="eastAsia" w:ascii="仿宋_GB2312" w:hAnsi="华文仿宋" w:eastAsia="仿宋_GB2312"/>
          <w:sz w:val="32"/>
          <w:szCs w:val="32"/>
        </w:rPr>
        <w:t>逐步恢复</w:t>
      </w:r>
      <w:r>
        <w:rPr>
          <w:rFonts w:ascii="仿宋_GB2312" w:hAnsi="华文仿宋" w:eastAsia="仿宋_GB2312"/>
          <w:sz w:val="32"/>
          <w:szCs w:val="32"/>
        </w:rPr>
        <w:t>正常。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2、政府性基金收支有所增长。</w:t>
      </w:r>
      <w:r>
        <w:rPr>
          <w:rFonts w:hint="eastAsia" w:ascii="仿宋_GB2312" w:hAnsi="华文仿宋" w:eastAsia="仿宋_GB2312"/>
          <w:sz w:val="32"/>
          <w:szCs w:val="32"/>
        </w:rPr>
        <w:t>之前受宏观政策变化影响，与土地交易相关的政府性基金收入、耕地占用税比上年同期均较大幅度减少。目前，土地交易开始有所恢复，与之相关的政府性基金收支都有一定幅度增长。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3、提高财政保障能力</w:t>
      </w:r>
      <w:r>
        <w:rPr>
          <w:rFonts w:ascii="仿宋_GB2312" w:hAnsi="华文仿宋" w:eastAsia="仿宋_GB2312"/>
          <w:b/>
          <w:sz w:val="32"/>
          <w:szCs w:val="32"/>
        </w:rPr>
        <w:t>，</w:t>
      </w:r>
      <w:r>
        <w:rPr>
          <w:rFonts w:hint="eastAsia" w:ascii="仿宋_GB2312" w:hAnsi="华文仿宋" w:eastAsia="仿宋_GB2312"/>
          <w:b/>
          <w:sz w:val="32"/>
          <w:szCs w:val="32"/>
        </w:rPr>
        <w:t>有效保障</w:t>
      </w:r>
      <w:r>
        <w:rPr>
          <w:rFonts w:ascii="仿宋_GB2312" w:hAnsi="华文仿宋" w:eastAsia="仿宋_GB2312"/>
          <w:b/>
          <w:sz w:val="32"/>
          <w:szCs w:val="32"/>
        </w:rPr>
        <w:t>基本民生。</w:t>
      </w:r>
      <w:r>
        <w:rPr>
          <w:rFonts w:ascii="仿宋_GB2312" w:hAnsi="华文仿宋" w:eastAsia="仿宋_GB2312"/>
          <w:sz w:val="32"/>
          <w:szCs w:val="32"/>
        </w:rPr>
        <w:t>积极对上争取，科学调度资金，优先保障</w:t>
      </w:r>
      <w:r>
        <w:rPr>
          <w:rFonts w:hint="eastAsia" w:ascii="仿宋_GB2312" w:hAnsi="华文仿宋" w:eastAsia="仿宋_GB2312"/>
          <w:sz w:val="32"/>
          <w:szCs w:val="32"/>
        </w:rPr>
        <w:t>县乡</w:t>
      </w:r>
      <w:r>
        <w:rPr>
          <w:rFonts w:ascii="仿宋_GB2312" w:hAnsi="华文仿宋" w:eastAsia="仿宋_GB2312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>
        <w:rPr>
          <w:rFonts w:hint="eastAsia" w:ascii="仿宋_GB2312" w:hAnsi="华文仿宋" w:eastAsia="仿宋_GB2312"/>
          <w:sz w:val="32"/>
          <w:szCs w:val="32"/>
        </w:rPr>
        <w:t>1-9月</w:t>
      </w:r>
      <w:r>
        <w:rPr>
          <w:rFonts w:ascii="仿宋_GB2312" w:hAnsi="华文仿宋" w:eastAsia="仿宋_GB2312"/>
          <w:sz w:val="32"/>
          <w:szCs w:val="32"/>
        </w:rPr>
        <w:t>用于教育、医疗卫生、社会保障和就业、城乡社区事务、农林水事务、保障性住房等13项民生方面支出达</w:t>
      </w:r>
      <w:r>
        <w:rPr>
          <w:rFonts w:hint="eastAsia" w:ascii="仿宋_GB2312" w:hAnsi="华文仿宋" w:eastAsia="仿宋_GB2312"/>
          <w:sz w:val="32"/>
          <w:szCs w:val="32"/>
        </w:rPr>
        <w:t>426568</w:t>
      </w:r>
      <w:r>
        <w:rPr>
          <w:rFonts w:ascii="仿宋_GB2312" w:hAnsi="华文仿宋" w:eastAsia="仿宋_GB2312"/>
          <w:sz w:val="32"/>
          <w:szCs w:val="32"/>
        </w:rPr>
        <w:t>万元，占总支出的</w:t>
      </w:r>
      <w:r>
        <w:rPr>
          <w:rFonts w:hint="eastAsia" w:ascii="仿宋_GB2312" w:hAnsi="华文仿宋" w:eastAsia="仿宋_GB2312"/>
          <w:sz w:val="32"/>
          <w:szCs w:val="32"/>
        </w:rPr>
        <w:t>87.3</w:t>
      </w:r>
      <w:r>
        <w:rPr>
          <w:rFonts w:ascii="仿宋_GB2312" w:hAnsi="华文仿宋" w:eastAsia="仿宋_GB2312"/>
          <w:sz w:val="32"/>
          <w:szCs w:val="32"/>
        </w:rPr>
        <w:t>%，同比</w:t>
      </w:r>
      <w:r>
        <w:rPr>
          <w:rFonts w:hint="eastAsia" w:ascii="仿宋_GB2312" w:hAnsi="华文仿宋" w:eastAsia="仿宋_GB2312"/>
          <w:sz w:val="32"/>
          <w:szCs w:val="32"/>
        </w:rPr>
        <w:t>下降10.6</w:t>
      </w:r>
      <w:r>
        <w:rPr>
          <w:rFonts w:ascii="仿宋_GB2312" w:hAnsi="华文仿宋" w:eastAsia="仿宋_GB2312"/>
          <w:sz w:val="32"/>
          <w:szCs w:val="32"/>
        </w:rPr>
        <w:t>%。</w:t>
      </w:r>
    </w:p>
    <w:p>
      <w:pPr>
        <w:pStyle w:val="32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下一步工作打算</w:t>
      </w:r>
    </w:p>
    <w:p>
      <w:pPr>
        <w:pBdr>
          <w:bottom w:val="single" w:color="FFFFFF" w:sz="4" w:space="31"/>
        </w:pBdr>
        <w:adjustRightIn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进一步强化收入预测管理，积极培植新增税源</w:t>
      </w:r>
      <w:r>
        <w:rPr>
          <w:rFonts w:hint="eastAsia" w:ascii="仿宋_GB2312" w:eastAsia="仿宋_GB2312"/>
          <w:kern w:val="0"/>
          <w:sz w:val="32"/>
          <w:szCs w:val="2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加强收入预期管理，强化组织收入调度，</w:t>
      </w:r>
      <w:r>
        <w:rPr>
          <w:rFonts w:hint="eastAsia" w:ascii="仿宋_GB2312" w:eastAsia="仿宋_GB2312"/>
          <w:kern w:val="0"/>
          <w:sz w:val="32"/>
          <w:szCs w:val="22"/>
        </w:rPr>
        <w:t>依法合规组织收入，切实做到应收尽收，提高税收收入占比，优化收入结构，保证收入质量，争取高质量完成全年目标任务。加强税源管理，动态监控税源变化，保持现有税源健康前提下，强化税源培植，发展新增优质税源，增加财政收入。不断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>
        <w:rPr>
          <w:rFonts w:hint="eastAsia" w:ascii="仿宋_GB2312" w:eastAsia="仿宋_GB2312"/>
          <w:sz w:val="32"/>
          <w:szCs w:val="32"/>
        </w:rPr>
        <w:t>使用好、监管好中央直达资金，切实发挥资金使用效益，为</w:t>
      </w:r>
      <w:r>
        <w:rPr>
          <w:rFonts w:hint="eastAsia" w:ascii="仿宋_GB2312" w:hAnsi="黑体" w:eastAsia="仿宋_GB2312"/>
          <w:sz w:val="32"/>
          <w:szCs w:val="32"/>
        </w:rPr>
        <w:t>决战决胜脱贫攻坚、全面建成小康社会提供有力保障。</w:t>
      </w:r>
    </w:p>
    <w:p>
      <w:pPr>
        <w:pBdr>
          <w:bottom w:val="single" w:color="FFFFFF" w:sz="4" w:space="31"/>
        </w:pBdr>
        <w:adjustRightInd w:val="0"/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22"/>
        </w:rPr>
      </w:pP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- 2 -</w:t>
    </w:r>
    <w:r>
      <w:rPr>
        <w:rStyle w:val="15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F1E"/>
    <w:multiLevelType w:val="multilevel"/>
    <w:tmpl w:val="34FF4F1E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D2F5A57"/>
    <w:multiLevelType w:val="multilevel"/>
    <w:tmpl w:val="7D2F5A57"/>
    <w:lvl w:ilvl="0" w:tentative="0">
      <w:start w:val="1"/>
      <w:numFmt w:val="decimal"/>
      <w:pStyle w:val="2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72E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FFE"/>
    <w:rsid w:val="009D1301"/>
    <w:rsid w:val="009D1DE2"/>
    <w:rsid w:val="009D26DA"/>
    <w:rsid w:val="009D37B6"/>
    <w:rsid w:val="009D384B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3573"/>
    <w:rsid w:val="00E7467B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1B25"/>
    <w:rsid w:val="00F41C2E"/>
    <w:rsid w:val="00F41D2B"/>
    <w:rsid w:val="00F41F96"/>
    <w:rsid w:val="00F427BC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  <w:rsid w:val="2A11041A"/>
    <w:rsid w:val="2E013FC1"/>
    <w:rsid w:val="2F401F46"/>
    <w:rsid w:val="36EB6D00"/>
    <w:rsid w:val="5A1813A7"/>
    <w:rsid w:val="763054F4"/>
    <w:rsid w:val="7EC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5"/>
    <w:uiPriority w:val="0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540" w:lineRule="exact"/>
      <w:ind w:firstLine="630"/>
    </w:pPr>
    <w:rPr>
      <w:rFonts w:eastAsia="仿宋_GB2312"/>
      <w:sz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仿宋_GB2312" w:eastAsia="仿宋_GB2312" w:cs="宋体"/>
      <w:b/>
      <w:kern w:val="2"/>
      <w:sz w:val="28"/>
      <w:szCs w:val="28"/>
      <w:lang w:val="en-US" w:eastAsia="zh-CN" w:bidi="ar-SA"/>
    </w:rPr>
  </w:style>
  <w:style w:type="character" w:styleId="15">
    <w:name w:val="page number"/>
    <w:basedOn w:val="13"/>
    <w:uiPriority w:val="0"/>
  </w:style>
  <w:style w:type="character" w:styleId="16">
    <w:name w:val="Hyperlink"/>
    <w:qFormat/>
    <w:uiPriority w:val="0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17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18">
    <w:name w:val="Char Char Char Char Char Char Char"/>
    <w:basedOn w:val="1"/>
    <w:qFormat/>
    <w:uiPriority w:val="0"/>
    <w:rPr>
      <w:sz w:val="21"/>
      <w:szCs w:val="21"/>
    </w:rPr>
  </w:style>
  <w:style w:type="paragraph" w:customStyle="1" w:styleId="19">
    <w:name w:val="Char Char Char Char Char Char1 Char"/>
    <w:basedOn w:val="1"/>
    <w:next w:val="1"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20">
    <w:name w:val="Char Char Char Char Char Char Char1"/>
    <w:basedOn w:val="1"/>
    <w:uiPriority w:val="0"/>
    <w:rPr>
      <w:sz w:val="21"/>
      <w:szCs w:val="21"/>
    </w:rPr>
  </w:style>
  <w:style w:type="paragraph" w:customStyle="1" w:styleId="21">
    <w:name w:val="Char"/>
    <w:basedOn w:val="1"/>
    <w:uiPriority w:val="0"/>
    <w:pPr>
      <w:spacing w:line="360" w:lineRule="auto"/>
      <w:ind w:firstLine="480" w:firstLineChars="200"/>
    </w:pPr>
    <w:rPr>
      <w:rFonts w:ascii="宋体" w:hAnsi="宋体" w:eastAsia="楷体_GB2312"/>
      <w:sz w:val="24"/>
      <w:szCs w:val="21"/>
    </w:rPr>
  </w:style>
  <w:style w:type="paragraph" w:customStyle="1" w:styleId="22">
    <w:name w:val="默认段落字体 Para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23">
    <w:name w:val="1"/>
    <w:basedOn w:val="1"/>
    <w:uiPriority w:val="0"/>
    <w:pPr>
      <w:numPr>
        <w:ilvl w:val="0"/>
        <w:numId w:val="1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24">
    <w:name w:val="Char Char Char Char"/>
    <w:basedOn w:val="1"/>
    <w:next w:val="1"/>
    <w:uiPriority w:val="0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25">
    <w:name w:val="纯文本 Char"/>
    <w:link w:val="4"/>
    <w:uiPriority w:val="0"/>
    <w:rPr>
      <w:rFonts w:ascii="宋体" w:hAnsi="Courier New" w:eastAsia="宋体" w:cs="宋体"/>
      <w:bCs/>
      <w:kern w:val="2"/>
      <w:sz w:val="21"/>
      <w:szCs w:val="21"/>
      <w:lang w:val="en-US" w:eastAsia="zh-CN" w:bidi="ar-SA"/>
    </w:rPr>
  </w:style>
  <w:style w:type="character" w:customStyle="1" w:styleId="26">
    <w:name w:val="content"/>
    <w:basedOn w:val="13"/>
    <w:qFormat/>
    <w:uiPriority w:val="0"/>
  </w:style>
  <w:style w:type="paragraph" w:customStyle="1" w:styleId="27">
    <w:name w:val="Char1"/>
    <w:basedOn w:val="1"/>
    <w:qFormat/>
    <w:uiPriority w:val="0"/>
    <w:rPr>
      <w:sz w:val="21"/>
    </w:rPr>
  </w:style>
  <w:style w:type="paragraph" w:customStyle="1" w:styleId="2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9">
    <w:name w:val="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0">
    <w:name w:val="Char2"/>
    <w:basedOn w:val="1"/>
    <w:semiHidden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1">
    <w:name w:val="Char Char Char Char1"/>
    <w:basedOn w:val="1"/>
    <w:qFormat/>
    <w:uiPriority w:val="0"/>
    <w:rPr>
      <w:sz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215</Words>
  <Characters>1229</Characters>
  <Lines>10</Lines>
  <Paragraphs>2</Paragraphs>
  <TotalTime>39</TotalTime>
  <ScaleCrop>false</ScaleCrop>
  <LinksUpToDate>false</LinksUpToDate>
  <CharactersWithSpaces>1442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2020-10-12T07:42:00Z</dcterms:created>
  <dc:creator>cx</dc:creator>
  <cp:lastModifiedBy>Administrator</cp:lastModifiedBy>
  <cp:lastPrinted>2018-08-07T02:40:00Z</cp:lastPrinted>
  <dcterms:modified xsi:type="dcterms:W3CDTF">2020-10-22T06:55:13Z</dcterms:modified>
  <dc:title>内部资料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