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附件二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电话咨询办事指南</w:t>
      </w:r>
    </w:p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 w:eastAsia="zh-CN"/>
        </w:rPr>
        <w:t>（依申请类）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一、办理依据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《中华人民共和国税收征收管理法》第七条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二、承办机构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纳税服务科、纳税服务和宣传中心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三、服务对象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自然人、</w:t>
      </w:r>
      <w:r>
        <w:rPr>
          <w:rFonts w:ascii="Times New Roman" w:hAnsi="Times New Roman" w:eastAsia="仿宋_GB2312"/>
          <w:sz w:val="32"/>
          <w:szCs w:val="32"/>
        </w:rPr>
        <w:t>企业法人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等纳税人、缴费人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四、申请条件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纳税（缴费）人通过拨打税务机关对外公开的咨询电话提出涉税（费）咨询需求，税务机关为其提供免费咨询服务。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五、申报材料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电话咨询无需提供材料。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六、服务流程</w:t>
      </w:r>
    </w:p>
    <w:p/>
    <w:p>
      <w:r>
        <w:rPr>
          <w:rFonts w:ascii="等线" w:hAnsi="等线" w:eastAsia="等线" w:cs="Times New Roman"/>
        </w:rPr>
        <w:drawing>
          <wp:inline distT="0" distB="0" distL="114300" distR="114300">
            <wp:extent cx="5271770" cy="2456180"/>
            <wp:effectExtent l="0" t="0" r="5080" b="1270"/>
            <wp:docPr id="4" name="图片 4" descr="电话咨询（即办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电话咨询（即办）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七、办理时限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1.能即时答复的即时答复。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2.不能即时答复的按规定时限回复。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八、收费依据及标准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不收费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  <w:sectPr>
          <w:pgSz w:w="11906" w:h="16838"/>
          <w:pgMar w:top="1417" w:right="1417" w:bottom="1417" w:left="1417" w:header="851" w:footer="992" w:gutter="0"/>
          <w:cols w:space="720" w:num="1"/>
          <w:titlePg/>
          <w:rtlGutter w:val="0"/>
          <w:docGrid w:type="linesAndChars" w:linePitch="312" w:charSpace="200"/>
        </w:sect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电话咨询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17A6F"/>
    <w:rsid w:val="10AA1507"/>
    <w:rsid w:val="1CFC4CC5"/>
    <w:rsid w:val="1F7F726E"/>
    <w:rsid w:val="2AB624A0"/>
    <w:rsid w:val="2F507400"/>
    <w:rsid w:val="332572AC"/>
    <w:rsid w:val="5FCE1FCE"/>
    <w:rsid w:val="63660AC9"/>
    <w:rsid w:val="6D017A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2022-12-15T01:39:00Z</dcterms:created>
  <dc:creator>尹欣</dc:creator>
  <cp:lastModifiedBy>Administrator</cp:lastModifiedBy>
  <dcterms:modified xsi:type="dcterms:W3CDTF">2026-01-05T03:04:05Z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