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000000"/>
          <w:kern w:val="0"/>
          <w:sz w:val="32"/>
          <w:szCs w:val="32"/>
          <w:lang w:eastAsia="zh-CN"/>
        </w:rPr>
      </w:pPr>
      <w:r>
        <w:rPr>
          <w:rFonts w:hint="eastAsia" w:ascii="方正黑体_GBK" w:hAnsi="方正黑体_GBK" w:eastAsia="方正黑体_GBK" w:cs="方正黑体_GBK"/>
          <w:color w:val="000000"/>
          <w:kern w:val="0"/>
          <w:sz w:val="32"/>
          <w:szCs w:val="32"/>
          <w:lang w:eastAsia="zh-CN"/>
        </w:rPr>
        <w:t>附件二</w:t>
      </w:r>
    </w:p>
    <w:p>
      <w:pPr>
        <w:wordWrap w:val="0"/>
        <w:spacing w:beforeLines="100" w:afterLines="100" w:line="360" w:lineRule="auto"/>
        <w:ind w:firstLine="880" w:firstLineChars="200"/>
        <w:jc w:val="center"/>
        <w:outlineLvl w:val="2"/>
        <w:rPr>
          <w:rFonts w:hint="eastAsia" w:ascii="方正小标宋简体" w:hAnsi="方正小标宋简体" w:eastAsia="方正小标宋简体" w:cs="方正小标宋简体"/>
          <w:color w:val="000000"/>
          <w:kern w:val="0"/>
          <w:sz w:val="44"/>
          <w:szCs w:val="44"/>
          <w:lang w:eastAsia="zh-CN"/>
        </w:rPr>
      </w:pPr>
      <w:r>
        <w:rPr>
          <w:rFonts w:hint="eastAsia" w:ascii="Times New Roman" w:hAnsi="Times New Roman" w:eastAsia="方正小标宋_GBK" w:cs="Times New Roman"/>
          <w:sz w:val="44"/>
          <w:szCs w:val="44"/>
          <w:lang w:val="zh-CN" w:eastAsia="zh-CN"/>
        </w:rPr>
        <w:t>开具税收完税证明</w:t>
      </w:r>
      <w:r>
        <w:rPr>
          <w:rFonts w:hint="eastAsia" w:ascii="方正小标宋简体" w:hAnsi="方正小标宋简体" w:eastAsia="方正小标宋简体" w:cs="方正小标宋简体"/>
          <w:color w:val="000000"/>
          <w:kern w:val="0"/>
          <w:sz w:val="44"/>
          <w:szCs w:val="44"/>
          <w:lang w:eastAsia="zh-CN"/>
        </w:rPr>
        <w:t>办事指南</w:t>
      </w:r>
    </w:p>
    <w:p>
      <w:pPr>
        <w:keepNext w:val="0"/>
        <w:keepLines w:val="0"/>
        <w:pageBreakBefore w:val="0"/>
        <w:widowControl/>
        <w:shd w:val="clear" w:color="auto" w:fill="FFFFFF"/>
        <w:suppressAutoHyphen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sz w:val="32"/>
          <w:szCs w:val="32"/>
          <w:lang w:val="zh-CN" w:eastAsia="zh-CN"/>
        </w:rPr>
      </w:pPr>
      <w:r>
        <w:rPr>
          <w:rFonts w:hint="eastAsia" w:ascii="方正仿宋_GBK" w:hAnsi="方正仿宋_GBK" w:eastAsia="方正仿宋_GBK" w:cs="方正仿宋_GBK"/>
          <w:sz w:val="32"/>
          <w:szCs w:val="32"/>
          <w:lang w:val="zh-CN" w:eastAsia="zh-CN"/>
        </w:rPr>
        <w:t>（依申请类）</w:t>
      </w:r>
      <w:bookmarkStart w:id="1" w:name="_GoBack"/>
      <w:bookmarkEnd w:id="1"/>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一、办理依据</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1.《中华人民共和国税收征收管理法》第三十四条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2.《中华人民共和国税收征收管理法实施细则》第四十六条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3.《税收票证管理办法》（国家税务总局令第28号公布，国家税务总局令第48号修改）第十七条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二、承办机构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市税务局收入核算和税收经济分析科</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三、服务对象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自然人、</w:t>
      </w:r>
      <w:r>
        <w:rPr>
          <w:rFonts w:ascii="Times New Roman" w:hAnsi="Times New Roman" w:eastAsia="仿宋_GB2312"/>
          <w:sz w:val="32"/>
          <w:szCs w:val="32"/>
        </w:rPr>
        <w:t>企业法人</w:t>
      </w:r>
      <w:r>
        <w:rPr>
          <w:rFonts w:hint="eastAsia" w:ascii="Times New Roman" w:hAnsi="Times New Roman" w:eastAsia="仿宋_GB2312"/>
          <w:sz w:val="32"/>
          <w:szCs w:val="32"/>
          <w:lang w:eastAsia="zh-CN"/>
        </w:rPr>
        <w:t>等纳税人、缴费人</w:t>
      </w:r>
      <w:r>
        <w:rPr>
          <w:rFonts w:hint="eastAsia" w:ascii="Times New Roman" w:hAnsi="Times New Roman" w:eastAsia="仿宋_GB2312"/>
          <w:sz w:val="32"/>
          <w:szCs w:val="32"/>
        </w:rPr>
        <w:t>。</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四、申请条件</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税收完税证明是税务机关为证明纳税人已经缴纳税款或者已经退还纳税人税款而开具的凭证。纳税人符合下列情形之一的，可以申请开具税收完税证明：</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1.通过横向联网电子缴税系统划缴税款到国库（经收处）后或收到从国库退还的税款后，当场或事后需要取得税收票证的。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2.扣缴义务人代扣、代收税款后，已经向纳税人开具税法规定或国家税务总局认可的记载完税情况的其他凭证，纳税人需要换开正式完税凭证的。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3.纳税人遗失已完税的各种税收票证（《出口货物完税分割单》、印花税票和《印花税票销售凭证》除外），需要重新开具的。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4.对纳税人特定期间完税情况出具证明的。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5.国家税务总局规定的其他需要为纳税人开具完税凭证情形。</w:t>
      </w:r>
    </w:p>
    <w:p>
      <w:pPr>
        <w:keepNext w:val="0"/>
        <w:keepLines w:val="0"/>
        <w:pageBreakBefore w:val="0"/>
        <w:widowControl w:val="0"/>
        <w:suppressAutoHyphens/>
        <w:kinsoku/>
        <w:wordWrap/>
        <w:overflowPunct/>
        <w:topLinePunct w:val="0"/>
        <w:autoSpaceDE/>
        <w:autoSpaceDN/>
        <w:bidi w:val="0"/>
        <w:adjustRightInd/>
        <w:snapToGrid/>
        <w:spacing w:line="560" w:lineRule="exact"/>
        <w:ind w:left="638" w:leftChars="304" w:firstLine="0" w:firstLineChars="0"/>
        <w:textAlignment w:val="auto"/>
        <w:rPr>
          <w:rFonts w:ascii="Times New Roman" w:hAnsi="Times New Roman" w:eastAsia="黑体"/>
          <w:sz w:val="32"/>
          <w:szCs w:val="32"/>
        </w:rPr>
      </w:pPr>
      <w:r>
        <w:rPr>
          <w:rFonts w:ascii="Times New Roman" w:hAnsi="Times New Roman" w:eastAsia="黑体"/>
          <w:sz w:val="32"/>
          <w:szCs w:val="32"/>
        </w:rPr>
        <w:t>五、申报材料</w:t>
      </w:r>
    </w:p>
    <w:tbl>
      <w:tblPr>
        <w:tblStyle w:val="2"/>
        <w:tblW w:w="8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3273"/>
        <w:gridCol w:w="709"/>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2473"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bookmarkStart w:id="0" w:name="_Hlk79496947"/>
            <w:r>
              <w:rPr>
                <w:rFonts w:hint="eastAsia" w:ascii="黑体" w:hAnsi="黑体" w:eastAsia="黑体" w:cs="Times New Roman"/>
                <w:szCs w:val="21"/>
              </w:rPr>
              <w:t>适用情形</w:t>
            </w:r>
          </w:p>
        </w:tc>
        <w:tc>
          <w:tcPr>
            <w:tcW w:w="3273"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材料名称</w:t>
            </w:r>
          </w:p>
        </w:tc>
        <w:tc>
          <w:tcPr>
            <w:tcW w:w="70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数量</w:t>
            </w:r>
          </w:p>
        </w:tc>
        <w:tc>
          <w:tcPr>
            <w:tcW w:w="170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s="Times New Roman"/>
                <w:szCs w:val="21"/>
              </w:rPr>
            </w:pPr>
            <w:r>
              <w:rPr>
                <w:rFonts w:hint="eastAsia" w:ascii="黑体" w:hAnsi="黑体" w:eastAsia="黑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473" w:type="dxa"/>
            <w:tcBorders>
              <w:left w:val="single" w:color="auto" w:sz="4" w:space="0"/>
              <w:right w:val="single" w:color="auto" w:sz="4" w:space="0"/>
            </w:tcBorders>
            <w:vAlign w:val="center"/>
          </w:tcPr>
          <w:p>
            <w:pPr>
              <w:wordWrap w:val="0"/>
              <w:jc w:val="center"/>
              <w:rPr>
                <w:rFonts w:ascii="黑体" w:hAnsi="黑体" w:eastAsia="黑体" w:cs="Times New Roman"/>
                <w:sz w:val="18"/>
                <w:szCs w:val="18"/>
              </w:rPr>
            </w:pPr>
            <w:r>
              <w:rPr>
                <w:rFonts w:hint="eastAsia" w:ascii="黑体" w:hAnsi="黑体" w:eastAsia="黑体" w:cs="Microsoft Himalaya"/>
                <w:sz w:val="18"/>
                <w:szCs w:val="18"/>
              </w:rPr>
              <w:t>已办理税务登记的纳税人</w:t>
            </w:r>
          </w:p>
        </w:tc>
        <w:tc>
          <w:tcPr>
            <w:tcW w:w="32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加载统一社会信用代码的营业执照（或税务登记证、组织机构代码证等）原件</w:t>
            </w:r>
          </w:p>
        </w:tc>
        <w:tc>
          <w:tcPr>
            <w:tcW w:w="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wordWrap w:val="0"/>
              <w:jc w:val="center"/>
              <w:rPr>
                <w:rFonts w:hint="eastAsia" w:ascii="黑体" w:hAnsi="黑体" w:eastAsia="黑体" w:cs="Microsoft Himalaya"/>
                <w:sz w:val="18"/>
                <w:szCs w:val="18"/>
              </w:rPr>
            </w:pPr>
            <w:r>
              <w:rPr>
                <w:rFonts w:hint="eastAsia" w:ascii="黑体" w:hAnsi="黑体" w:eastAsia="黑体" w:cs="Microsoft Himalaya"/>
                <w:sz w:val="18"/>
                <w:szCs w:val="18"/>
              </w:rPr>
              <w:t>查验后退回</w:t>
            </w:r>
          </w:p>
          <w:p>
            <w:pPr>
              <w:wordWrap w:val="0"/>
              <w:jc w:val="center"/>
              <w:rPr>
                <w:rFonts w:hint="eastAsia" w:ascii="黑体" w:hAnsi="黑体" w:eastAsia="黑体" w:cs="Microsoft Himalaya"/>
                <w:sz w:val="18"/>
                <w:szCs w:val="18"/>
              </w:rPr>
            </w:pPr>
            <w:r>
              <w:rPr>
                <w:rFonts w:hint="eastAsia" w:ascii="黑体" w:hAnsi="黑体" w:eastAsia="黑体" w:cs="Microsoft Himalaya"/>
                <w:color w:val="FF0000"/>
                <w:sz w:val="18"/>
                <w:szCs w:val="18"/>
              </w:rPr>
              <w:t>依托可信身份体系（实名办税），免于提交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4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自然人</w:t>
            </w:r>
          </w:p>
        </w:tc>
        <w:tc>
          <w:tcPr>
            <w:tcW w:w="32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身份证件原件</w:t>
            </w:r>
          </w:p>
        </w:tc>
        <w:tc>
          <w:tcPr>
            <w:tcW w:w="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wordWrap w:val="0"/>
              <w:jc w:val="center"/>
              <w:rPr>
                <w:rFonts w:hint="eastAsia" w:ascii="黑体" w:hAnsi="黑体" w:eastAsia="黑体" w:cs="Microsoft Himalaya"/>
                <w:sz w:val="18"/>
                <w:szCs w:val="18"/>
              </w:rPr>
            </w:pPr>
            <w:r>
              <w:rPr>
                <w:rFonts w:hint="eastAsia" w:ascii="黑体" w:hAnsi="黑体" w:eastAsia="黑体" w:cs="Microsoft Himalaya"/>
                <w:sz w:val="18"/>
                <w:szCs w:val="18"/>
              </w:rPr>
              <w:t>查验后退回</w:t>
            </w:r>
          </w:p>
          <w:p>
            <w:pPr>
              <w:wordWrap w:val="0"/>
              <w:jc w:val="center"/>
              <w:rPr>
                <w:rFonts w:ascii="黑体" w:hAnsi="黑体" w:eastAsia="黑体" w:cs="Microsoft Himalaya"/>
                <w:sz w:val="18"/>
                <w:szCs w:val="18"/>
              </w:rPr>
            </w:pPr>
            <w:r>
              <w:rPr>
                <w:rFonts w:hint="eastAsia" w:ascii="黑体" w:hAnsi="黑体" w:eastAsia="黑体" w:cs="Microsoft Himalaya"/>
                <w:color w:val="FF0000"/>
                <w:sz w:val="18"/>
                <w:szCs w:val="18"/>
              </w:rPr>
              <w:t>依托可信身份体系（实名办税），免于提交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证券交易场所和证券登记结算机构扣缴证券交易印花税后，需要换开税收完税证明</w:t>
            </w:r>
          </w:p>
        </w:tc>
        <w:tc>
          <w:tcPr>
            <w:tcW w:w="32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加盖开具单位的相关业务章戳的“成交过户交割凭单”或“过户登记确认书”</w:t>
            </w:r>
          </w:p>
        </w:tc>
        <w:tc>
          <w:tcPr>
            <w:tcW w:w="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color w:val="FF0000"/>
                <w:sz w:val="18"/>
                <w:szCs w:val="18"/>
              </w:rPr>
              <w:t>通过电子化报送免于提交纸质资料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通过保险机构缴纳车船税后，需要换开税收完税证明</w:t>
            </w:r>
          </w:p>
        </w:tc>
        <w:tc>
          <w:tcPr>
            <w:tcW w:w="32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记载车船税完税情况的“交强险”保险单复印件</w:t>
            </w:r>
          </w:p>
        </w:tc>
        <w:tc>
          <w:tcPr>
            <w:tcW w:w="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color w:val="FF0000"/>
                <w:sz w:val="18"/>
                <w:szCs w:val="18"/>
              </w:rPr>
              <w:t>通过电子化报送免于提交纸质资料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储蓄机构扣缴储蓄存款利息所得税后，需要换开税收完税证明</w:t>
            </w:r>
          </w:p>
        </w:tc>
        <w:tc>
          <w:tcPr>
            <w:tcW w:w="3273" w:type="dxa"/>
            <w:tcBorders>
              <w:left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记载储蓄存款利息所得税完税情况的利息清单</w:t>
            </w:r>
          </w:p>
        </w:tc>
        <w:tc>
          <w:tcPr>
            <w:tcW w:w="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sz w:val="18"/>
                <w:szCs w:val="18"/>
              </w:rPr>
            </w:pPr>
            <w:r>
              <w:rPr>
                <w:rFonts w:hint="eastAsia" w:ascii="黑体" w:hAnsi="黑体" w:eastAsia="黑体" w:cs="Microsoft Himalaya"/>
                <w:color w:val="FF0000"/>
                <w:sz w:val="18"/>
                <w:szCs w:val="18"/>
              </w:rPr>
              <w:t>通过电子化报送免于提交纸质资料</w:t>
            </w:r>
          </w:p>
        </w:tc>
      </w:tr>
      <w:bookmarkEnd w:id="0"/>
    </w:tbl>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六、服务流程</w:t>
      </w:r>
    </w:p>
    <w:p>
      <w:pPr>
        <w:keepNext w:val="0"/>
        <w:keepLines w:val="0"/>
        <w:pageBreakBefore w:val="0"/>
        <w:widowControl w:val="0"/>
        <w:suppressAutoHyphens/>
        <w:kinsoku/>
        <w:wordWrap/>
        <w:overflowPunct/>
        <w:topLinePunct w:val="0"/>
        <w:autoSpaceDE/>
        <w:autoSpaceDN/>
        <w:bidi w:val="0"/>
        <w:adjustRightInd/>
        <w:snapToGrid/>
        <w:spacing w:line="560" w:lineRule="exact"/>
        <w:textAlignment w:val="auto"/>
        <w:rPr>
          <w:rFonts w:hint="eastAsia" w:ascii="Times New Roman" w:hAnsi="Times New Roman" w:eastAsia="仿宋_GB2312"/>
          <w:sz w:val="32"/>
          <w:szCs w:val="32"/>
          <w:lang w:eastAsia="zh-CN"/>
        </w:rPr>
      </w:pPr>
      <w:r>
        <w:rPr>
          <w:rFonts w:hint="eastAsia" w:ascii="仿宋" w:hAnsi="仿宋" w:eastAsia="仿宋" w:cs="仿宋"/>
          <w:sz w:val="24"/>
          <w:szCs w:val="24"/>
          <w:lang w:val="en-US"/>
        </w:rPr>
        <w:drawing>
          <wp:anchor distT="0" distB="0" distL="114300" distR="114300" simplePos="0" relativeHeight="251659264" behindDoc="0" locked="0" layoutInCell="1" allowOverlap="1">
            <wp:simplePos x="0" y="0"/>
            <wp:positionH relativeFrom="column">
              <wp:posOffset>250190</wp:posOffset>
            </wp:positionH>
            <wp:positionV relativeFrom="paragraph">
              <wp:posOffset>42545</wp:posOffset>
            </wp:positionV>
            <wp:extent cx="4448175" cy="1504315"/>
            <wp:effectExtent l="0" t="0" r="1905" b="0"/>
            <wp:wrapTopAndBottom/>
            <wp:docPr id="2" name="图片 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纳税人流程图(即办）"/>
                    <pic:cNvPicPr>
                      <a:picLocks noChangeAspect="1"/>
                    </pic:cNvPicPr>
                  </pic:nvPicPr>
                  <pic:blipFill>
                    <a:blip r:embed="rId4" cstate="print"/>
                    <a:stretch>
                      <a:fillRect/>
                    </a:stretch>
                  </pic:blipFill>
                  <pic:spPr>
                    <a:xfrm>
                      <a:off x="0" y="0"/>
                      <a:ext cx="4448175" cy="1504315"/>
                    </a:xfrm>
                    <a:prstGeom prst="rect">
                      <a:avLst/>
                    </a:prstGeom>
                  </pic:spPr>
                </pic:pic>
              </a:graphicData>
            </a:graphic>
          </wp:anchor>
        </w:drawing>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七、办理时限</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即时办结</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八、收费依据及标准</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不收费</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九、咨询方式</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eastAsia="zh-CN"/>
        </w:rPr>
        <w:sectPr>
          <w:pgSz w:w="11906" w:h="16838"/>
          <w:pgMar w:top="1417" w:right="1417" w:bottom="1417" w:left="1417" w:header="851" w:footer="992" w:gutter="0"/>
          <w:cols w:space="720" w:num="1"/>
          <w:titlePg/>
          <w:rtlGutter w:val="0"/>
          <w:docGrid w:type="linesAndChars" w:linePitch="312" w:charSpace="200"/>
        </w:sectPr>
      </w:pPr>
      <w:r>
        <w:rPr>
          <w:rFonts w:hint="eastAsia" w:ascii="Times New Roman" w:hAnsi="Times New Roman" w:eastAsia="仿宋_GB2312"/>
          <w:sz w:val="32"/>
          <w:szCs w:val="32"/>
          <w:lang w:eastAsia="zh-CN"/>
        </w:rPr>
        <w:t>电话咨询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Arial Unicode MS"/>
    <w:panose1 w:val="03000509000000000000"/>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17A6F"/>
    <w:rsid w:val="10AA1507"/>
    <w:rsid w:val="1C253F90"/>
    <w:rsid w:val="1D1141C3"/>
    <w:rsid w:val="1F7F726E"/>
    <w:rsid w:val="2AB624A0"/>
    <w:rsid w:val="2F507400"/>
    <w:rsid w:val="332572AC"/>
    <w:rsid w:val="480D3282"/>
    <w:rsid w:val="521D3D22"/>
    <w:rsid w:val="5FCE1FCE"/>
    <w:rsid w:val="63660AC9"/>
    <w:rsid w:val="6D01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2022-12-15T01:39:00Z</dcterms:created>
  <dc:creator>尹欣</dc:creator>
  <cp:lastModifiedBy>Administrator</cp:lastModifiedBy>
  <dcterms:modified xsi:type="dcterms:W3CDTF">2026-01-05T03:05:15Z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