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suppressAutoHyphens/>
        <w:kinsoku/>
        <w:wordWrap/>
        <w:overflowPunct/>
        <w:topLinePunct w:val="0"/>
        <w:autoSpaceDE/>
        <w:autoSpaceDN/>
        <w:bidi w:val="0"/>
        <w:adjustRightInd/>
        <w:snapToGrid/>
        <w:spacing w:line="560" w:lineRule="exact"/>
        <w:ind w:right="640"/>
        <w:textAlignment w:val="auto"/>
        <w:rPr>
          <w:rFonts w:hint="eastAsia" w:ascii="方正黑体_GBK" w:hAnsi="方正黑体_GBK" w:eastAsia="方正黑体_GBK" w:cs="方正黑体_GBK"/>
          <w:color w:val="000000"/>
          <w:kern w:val="0"/>
          <w:sz w:val="32"/>
          <w:szCs w:val="32"/>
          <w:lang w:eastAsia="zh-CN"/>
        </w:rPr>
      </w:pPr>
      <w:r>
        <w:rPr>
          <w:rFonts w:hint="eastAsia" w:ascii="方正黑体_GBK" w:hAnsi="方正黑体_GBK" w:eastAsia="方正黑体_GBK" w:cs="方正黑体_GBK"/>
          <w:color w:val="000000"/>
          <w:kern w:val="0"/>
          <w:sz w:val="32"/>
          <w:szCs w:val="32"/>
          <w:lang w:eastAsia="zh-CN"/>
        </w:rPr>
        <w:t>附件二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eastAsia" w:ascii="方正小标宋_GBK" w:hAnsi="方正小标宋_GBK" w:eastAsia="方正小标宋_GBK" w:cs="方正小标宋_GBK"/>
          <w:sz w:val="44"/>
          <w:szCs w:val="44"/>
          <w:lang w:val="zh-CN"/>
        </w:rPr>
      </w:pPr>
      <w:r>
        <w:rPr>
          <w:rFonts w:hint="eastAsia" w:ascii="方正小标宋_GBK" w:hAnsi="方正小标宋_GBK" w:eastAsia="方正小标宋_GBK" w:cs="方正小标宋_GBK"/>
          <w:sz w:val="44"/>
          <w:szCs w:val="44"/>
          <w:lang w:val="zh-CN"/>
        </w:rPr>
        <w:t>中国税收居民身份证明的开具办事指南</w:t>
      </w:r>
    </w:p>
    <w:p>
      <w:pPr>
        <w:keepNext w:val="0"/>
        <w:keepLines w:val="0"/>
        <w:pageBreakBefore w:val="0"/>
        <w:widowControl/>
        <w:shd w:val="clear" w:color="auto" w:fill="FFFFFF"/>
        <w:suppressAutoHyphens/>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eastAsia" w:ascii="方正小标宋_GBK" w:hAnsi="方正小标宋_GBK" w:eastAsia="方正小标宋_GBK" w:cs="方正小标宋_GBK"/>
          <w:sz w:val="44"/>
          <w:szCs w:val="44"/>
          <w:lang w:val="zh-CN" w:eastAsia="zh-CN"/>
        </w:rPr>
      </w:pPr>
      <w:r>
        <w:rPr>
          <w:rFonts w:hint="eastAsia" w:ascii="方正仿宋_GBK" w:hAnsi="方正仿宋_GBK" w:eastAsia="方正仿宋_GBK" w:cs="方正仿宋_GBK"/>
          <w:sz w:val="32"/>
          <w:szCs w:val="32"/>
          <w:lang w:val="zh-CN" w:eastAsia="zh-CN"/>
        </w:rPr>
        <w:t>（依申请类）</w:t>
      </w:r>
      <w:bookmarkStart w:id="0" w:name="_GoBack"/>
      <w:bookmarkEnd w:id="0"/>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一、办理依据</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1.《国家税务总局关于开具〈中国税收居民身份证明〉有关事项的公告》（国家税务总局公告2016年第40号发布，国家税务总局公告2018年第31号修改）第一条</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2.《国家税务总局关于调整〈中国税收居民身份证明〉有关事项的公告》（国家税务总局公告2019年第17号）第一条</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二、承办机构</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市税务局所得税科</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三、服务对象</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eastAsia="zh-CN"/>
        </w:rPr>
        <w:t>自然人、</w:t>
      </w:r>
      <w:r>
        <w:rPr>
          <w:rFonts w:ascii="Times New Roman" w:hAnsi="Times New Roman" w:eastAsia="仿宋_GB2312"/>
          <w:sz w:val="32"/>
          <w:szCs w:val="32"/>
        </w:rPr>
        <w:t>企业</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四、申请条件</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企业或个人（以下称申请人）为享受中国政府与其他国家政府签署的税收协定，内地与香港、澳门签署的税收安排以及大陆与台湾签署的税收协议，航空协定税收条款，海运协定税收条款，汽车运输协定税收条款，互免国际运输收入税收协议或者换函的协定待遇，就其构成中国税收居民身份的任一公历年度向主管税务机关申请开具《中国税收居民身份证明》（以下简称《税收居民证明》）。</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五、申报材料</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37"/>
        <w:gridCol w:w="2699"/>
        <w:gridCol w:w="95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8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wordWrap w:val="0"/>
              <w:spacing w:line="240" w:lineRule="auto"/>
              <w:ind w:firstLine="0" w:firstLineChars="0"/>
              <w:jc w:val="center"/>
              <w:rPr>
                <w:rFonts w:hint="default" w:ascii="黑体" w:hAnsi="黑体" w:eastAsia="黑体" w:cs="黑体"/>
                <w:kern w:val="24"/>
                <w:sz w:val="21"/>
                <w:szCs w:val="21"/>
              </w:rPr>
            </w:pPr>
            <w:r>
              <w:rPr>
                <w:rFonts w:ascii="黑体" w:hAnsi="黑体" w:eastAsia="黑体" w:cs="黑体"/>
                <w:kern w:val="24"/>
                <w:sz w:val="21"/>
                <w:szCs w:val="21"/>
              </w:rPr>
              <w:t>序号</w:t>
            </w:r>
          </w:p>
        </w:tc>
        <w:tc>
          <w:tcPr>
            <w:tcW w:w="4536" w:type="dxa"/>
            <w:gridSpan w:val="2"/>
            <w:tcBorders>
              <w:top w:val="single" w:color="auto" w:sz="4" w:space="0"/>
              <w:left w:val="single" w:color="auto" w:sz="4" w:space="0"/>
              <w:bottom w:val="single" w:color="auto" w:sz="4" w:space="0"/>
              <w:right w:val="single" w:color="auto" w:sz="4" w:space="0"/>
            </w:tcBorders>
            <w:shd w:val="clear" w:color="auto" w:fill="D9D9D9"/>
            <w:noWrap w:val="0"/>
            <w:vAlign w:val="center"/>
          </w:tcPr>
          <w:p>
            <w:pPr>
              <w:wordWrap w:val="0"/>
              <w:spacing w:line="240" w:lineRule="auto"/>
              <w:ind w:firstLine="0" w:firstLineChars="0"/>
              <w:jc w:val="center"/>
              <w:rPr>
                <w:rFonts w:hint="default" w:ascii="黑体" w:hAnsi="黑体" w:eastAsia="黑体" w:cs="黑体"/>
                <w:kern w:val="24"/>
                <w:sz w:val="21"/>
                <w:szCs w:val="21"/>
              </w:rPr>
            </w:pPr>
            <w:r>
              <w:rPr>
                <w:rFonts w:ascii="黑体" w:hAnsi="黑体" w:eastAsia="黑体" w:cs="黑体"/>
                <w:kern w:val="24"/>
                <w:sz w:val="21"/>
                <w:szCs w:val="21"/>
              </w:rPr>
              <w:t>材料名称</w:t>
            </w:r>
          </w:p>
        </w:tc>
        <w:tc>
          <w:tcPr>
            <w:tcW w:w="954"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wordWrap w:val="0"/>
              <w:spacing w:line="240" w:lineRule="auto"/>
              <w:ind w:firstLine="0" w:firstLineChars="0"/>
              <w:jc w:val="center"/>
              <w:rPr>
                <w:rFonts w:hint="default" w:ascii="黑体" w:hAnsi="黑体" w:eastAsia="黑体" w:cs="黑体"/>
                <w:kern w:val="24"/>
                <w:sz w:val="21"/>
                <w:szCs w:val="21"/>
              </w:rPr>
            </w:pPr>
            <w:r>
              <w:rPr>
                <w:rFonts w:ascii="黑体" w:hAnsi="黑体" w:eastAsia="黑体" w:cs="黑体"/>
                <w:kern w:val="24"/>
                <w:sz w:val="21"/>
                <w:szCs w:val="21"/>
              </w:rPr>
              <w:t>数量</w:t>
            </w:r>
          </w:p>
        </w:tc>
        <w:tc>
          <w:tcPr>
            <w:tcW w:w="1994"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wordWrap w:val="0"/>
              <w:spacing w:line="240" w:lineRule="auto"/>
              <w:ind w:firstLine="0" w:firstLineChars="0"/>
              <w:jc w:val="center"/>
              <w:rPr>
                <w:rFonts w:hint="default" w:ascii="黑体" w:hAnsi="黑体" w:eastAsia="黑体" w:cs="黑体"/>
                <w:kern w:val="24"/>
                <w:sz w:val="21"/>
                <w:szCs w:val="21"/>
              </w:rPr>
            </w:pPr>
            <w:r>
              <w:rPr>
                <w:rFonts w:ascii="黑体" w:hAnsi="黑体" w:eastAsia="黑体" w:cs="黑体"/>
                <w:kern w:val="2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80"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eastAsia="黑体"/>
                <w:kern w:val="24"/>
                <w:sz w:val="18"/>
                <w:szCs w:val="18"/>
              </w:rPr>
              <w:t>1</w:t>
            </w:r>
          </w:p>
        </w:tc>
        <w:tc>
          <w:tcPr>
            <w:tcW w:w="4536" w:type="dxa"/>
            <w:gridSpan w:val="2"/>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kern w:val="24"/>
                <w:sz w:val="18"/>
                <w:szCs w:val="18"/>
              </w:rPr>
            </w:pPr>
            <w:r>
              <w:rPr>
                <w:rFonts w:ascii="黑体" w:hAnsi="黑体" w:eastAsia="黑体" w:cs="黑体"/>
                <w:kern w:val="24"/>
                <w:sz w:val="18"/>
                <w:szCs w:val="18"/>
              </w:rPr>
              <w:t>《〈中国税收居民身份证明〉申请表》</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kern w:val="24"/>
                <w:sz w:val="18"/>
                <w:szCs w:val="18"/>
              </w:rPr>
            </w:pPr>
            <w:r>
              <w:rPr>
                <w:rFonts w:eastAsia="黑体"/>
                <w:kern w:val="24"/>
                <w:sz w:val="18"/>
                <w:szCs w:val="18"/>
              </w:rPr>
              <w:t>1</w:t>
            </w:r>
            <w:r>
              <w:rPr>
                <w:rFonts w:ascii="黑体" w:hAnsi="黑体" w:eastAsia="黑体" w:cs="黑体"/>
                <w:kern w:val="24"/>
                <w:sz w:val="18"/>
                <w:szCs w:val="18"/>
              </w:rPr>
              <w:t>份</w:t>
            </w:r>
          </w:p>
        </w:tc>
        <w:tc>
          <w:tcPr>
            <w:tcW w:w="199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kern w:val="2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80"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eastAsia="黑体"/>
                <w:kern w:val="24"/>
                <w:sz w:val="18"/>
                <w:szCs w:val="18"/>
              </w:rPr>
              <w:t>2</w:t>
            </w:r>
          </w:p>
        </w:tc>
        <w:tc>
          <w:tcPr>
            <w:tcW w:w="4536" w:type="dxa"/>
            <w:gridSpan w:val="2"/>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ascii="黑体" w:hAnsi="黑体" w:eastAsia="黑体" w:cs="黑体"/>
                <w:kern w:val="24"/>
                <w:sz w:val="18"/>
                <w:szCs w:val="18"/>
              </w:rPr>
              <w:t>与拟享受税收协定待遇的收入有关的合同、协议、</w:t>
            </w:r>
          </w:p>
          <w:p>
            <w:pPr>
              <w:wordWrap w:val="0"/>
              <w:spacing w:line="240" w:lineRule="auto"/>
              <w:ind w:firstLine="0" w:firstLineChars="0"/>
              <w:jc w:val="center"/>
              <w:rPr>
                <w:rFonts w:hint="default" w:ascii="黑体" w:hAnsi="黑体" w:eastAsia="黑体"/>
                <w:kern w:val="24"/>
                <w:sz w:val="18"/>
                <w:szCs w:val="18"/>
              </w:rPr>
            </w:pPr>
            <w:r>
              <w:rPr>
                <w:rFonts w:ascii="黑体" w:hAnsi="黑体" w:eastAsia="黑体" w:cs="黑体"/>
                <w:kern w:val="24"/>
                <w:sz w:val="18"/>
                <w:szCs w:val="18"/>
              </w:rPr>
              <w:t>董事会或者股东会决议、支付凭证等证明资料</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kern w:val="24"/>
                <w:sz w:val="18"/>
                <w:szCs w:val="18"/>
              </w:rPr>
            </w:pPr>
            <w:r>
              <w:rPr>
                <w:rFonts w:eastAsia="黑体"/>
                <w:kern w:val="24"/>
                <w:sz w:val="18"/>
                <w:szCs w:val="18"/>
              </w:rPr>
              <w:t>1</w:t>
            </w:r>
            <w:r>
              <w:rPr>
                <w:rFonts w:ascii="黑体" w:hAnsi="黑体" w:eastAsia="黑体" w:cs="黑体"/>
                <w:kern w:val="24"/>
                <w:sz w:val="18"/>
                <w:szCs w:val="18"/>
              </w:rPr>
              <w:t>份</w:t>
            </w:r>
          </w:p>
        </w:tc>
        <w:tc>
          <w:tcPr>
            <w:tcW w:w="199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kern w:val="24"/>
                <w:sz w:val="18"/>
                <w:szCs w:val="18"/>
              </w:rPr>
            </w:pPr>
            <w:r>
              <w:rPr>
                <w:rFonts w:ascii="黑体" w:hAnsi="黑体" w:eastAsia="黑体" w:cs="Microsoft Himalaya"/>
                <w:kern w:val="24"/>
                <w:sz w:val="18"/>
                <w:szCs w:val="18"/>
              </w:rPr>
              <w:t>材料文本为外文的，同时附送中文译本，下同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64" w:type="dxa"/>
            <w:gridSpan w:val="5"/>
            <w:tcBorders>
              <w:top w:val="single" w:color="auto" w:sz="4" w:space="0"/>
              <w:left w:val="single" w:color="auto" w:sz="4" w:space="0"/>
              <w:bottom w:val="single" w:color="auto" w:sz="4" w:space="0"/>
              <w:right w:val="single" w:color="auto" w:sz="4" w:space="0"/>
            </w:tcBorders>
            <w:shd w:val="clear" w:color="auto" w:fill="D9D9D9"/>
            <w:noWrap w:val="0"/>
            <w:vAlign w:val="center"/>
          </w:tcPr>
          <w:p>
            <w:pPr>
              <w:wordWrap w:val="0"/>
              <w:spacing w:line="240" w:lineRule="auto"/>
              <w:ind w:firstLine="0" w:firstLineChars="0"/>
              <w:jc w:val="center"/>
              <w:rPr>
                <w:rFonts w:hint="default" w:ascii="黑体" w:hAnsi="黑体" w:eastAsia="黑体"/>
                <w:sz w:val="21"/>
                <w:szCs w:val="21"/>
                <w:lang w:val="zh-CN"/>
              </w:rPr>
            </w:pPr>
            <w:r>
              <w:rPr>
                <w:rFonts w:ascii="黑体" w:hAnsi="黑体" w:eastAsia="黑体"/>
                <w:sz w:val="21"/>
                <w:szCs w:val="21"/>
                <w:lang w:val="zh-CN"/>
              </w:rPr>
              <w:t>有以下情形的，还应提供相应材料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517" w:type="dxa"/>
            <w:gridSpan w:val="2"/>
            <w:tcBorders>
              <w:top w:val="single" w:color="auto" w:sz="4" w:space="0"/>
              <w:left w:val="single" w:color="auto" w:sz="4" w:space="0"/>
              <w:bottom w:val="single" w:color="auto" w:sz="4" w:space="0"/>
              <w:right w:val="single" w:color="auto" w:sz="4" w:space="0"/>
            </w:tcBorders>
            <w:shd w:val="clear" w:color="auto" w:fill="D9D9D9"/>
            <w:noWrap w:val="0"/>
            <w:vAlign w:val="center"/>
          </w:tcPr>
          <w:p>
            <w:pPr>
              <w:wordWrap w:val="0"/>
              <w:spacing w:line="240" w:lineRule="auto"/>
              <w:ind w:firstLine="0" w:firstLineChars="0"/>
              <w:jc w:val="center"/>
              <w:rPr>
                <w:rFonts w:hint="default" w:ascii="黑体" w:hAnsi="黑体" w:eastAsia="黑体"/>
                <w:sz w:val="21"/>
                <w:szCs w:val="21"/>
              </w:rPr>
            </w:pPr>
            <w:r>
              <w:rPr>
                <w:rFonts w:ascii="黑体" w:hAnsi="黑体" w:eastAsia="黑体"/>
                <w:sz w:val="21"/>
                <w:szCs w:val="21"/>
              </w:rPr>
              <w:t>适用情形</w:t>
            </w:r>
          </w:p>
        </w:tc>
        <w:tc>
          <w:tcPr>
            <w:tcW w:w="2699"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wordWrap w:val="0"/>
              <w:spacing w:line="240" w:lineRule="auto"/>
              <w:ind w:firstLine="0" w:firstLineChars="0"/>
              <w:jc w:val="center"/>
              <w:rPr>
                <w:rFonts w:hint="default" w:ascii="黑体" w:hAnsi="黑体" w:eastAsia="黑体"/>
                <w:sz w:val="21"/>
                <w:szCs w:val="21"/>
              </w:rPr>
            </w:pPr>
            <w:r>
              <w:rPr>
                <w:rFonts w:ascii="黑体" w:hAnsi="黑体" w:eastAsia="黑体"/>
                <w:sz w:val="21"/>
                <w:szCs w:val="21"/>
              </w:rPr>
              <w:t>材料名称</w:t>
            </w:r>
          </w:p>
        </w:tc>
        <w:tc>
          <w:tcPr>
            <w:tcW w:w="954"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wordWrap w:val="0"/>
              <w:spacing w:line="240" w:lineRule="auto"/>
              <w:ind w:firstLine="0" w:firstLineChars="0"/>
              <w:jc w:val="center"/>
              <w:rPr>
                <w:rFonts w:hint="default" w:ascii="黑体" w:hAnsi="黑体" w:eastAsia="黑体"/>
                <w:sz w:val="21"/>
                <w:szCs w:val="21"/>
              </w:rPr>
            </w:pPr>
            <w:r>
              <w:rPr>
                <w:rFonts w:ascii="黑体" w:hAnsi="黑体" w:eastAsia="黑体"/>
                <w:sz w:val="21"/>
                <w:szCs w:val="21"/>
              </w:rPr>
              <w:t>数量</w:t>
            </w:r>
          </w:p>
        </w:tc>
        <w:tc>
          <w:tcPr>
            <w:tcW w:w="1994" w:type="dxa"/>
            <w:tcBorders>
              <w:top w:val="single" w:color="auto" w:sz="4" w:space="0"/>
              <w:left w:val="single" w:color="auto" w:sz="4" w:space="0"/>
              <w:bottom w:val="single" w:color="auto" w:sz="4" w:space="0"/>
              <w:right w:val="single" w:color="auto" w:sz="4" w:space="0"/>
            </w:tcBorders>
            <w:shd w:val="clear" w:color="auto" w:fill="D9D9D9"/>
            <w:noWrap w:val="0"/>
            <w:vAlign w:val="center"/>
          </w:tcPr>
          <w:p>
            <w:pPr>
              <w:wordWrap w:val="0"/>
              <w:spacing w:line="240" w:lineRule="auto"/>
              <w:ind w:firstLine="0" w:firstLineChars="0"/>
              <w:jc w:val="center"/>
              <w:rPr>
                <w:rFonts w:hint="default" w:ascii="黑体" w:hAnsi="黑体" w:eastAsia="黑体"/>
                <w:sz w:val="21"/>
                <w:szCs w:val="21"/>
              </w:rPr>
            </w:pPr>
            <w:r>
              <w:rPr>
                <w:rFonts w:ascii="黑体" w:hAnsi="黑体" w:eastAsia="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exact"/>
          <w:jc w:val="center"/>
        </w:trPr>
        <w:tc>
          <w:tcPr>
            <w:tcW w:w="2517" w:type="dxa"/>
            <w:gridSpan w:val="2"/>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rPr>
            </w:pPr>
            <w:r>
              <w:rPr>
                <w:rFonts w:ascii="黑体" w:hAnsi="黑体" w:eastAsia="黑体" w:cs="黑体"/>
                <w:kern w:val="24"/>
                <w:sz w:val="18"/>
                <w:szCs w:val="18"/>
              </w:rPr>
              <w:t>申请人为个人且在中国境内有住所</w:t>
            </w:r>
          </w:p>
        </w:tc>
        <w:tc>
          <w:tcPr>
            <w:tcW w:w="2699"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ascii="黑体" w:hAnsi="黑体" w:eastAsia="黑体" w:cs="黑体"/>
                <w:kern w:val="24"/>
                <w:sz w:val="18"/>
                <w:szCs w:val="18"/>
              </w:rPr>
              <w:t>因户籍、家庭、经济利益关系而在中国境内习惯性居住的证明材料，包括申请人身份信息、住所情况说明等资料</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eastAsia="黑体"/>
                <w:kern w:val="24"/>
                <w:sz w:val="18"/>
                <w:szCs w:val="18"/>
              </w:rPr>
              <w:t>1</w:t>
            </w:r>
            <w:r>
              <w:rPr>
                <w:rFonts w:ascii="黑体" w:hAnsi="黑体" w:eastAsia="黑体" w:cs="黑体"/>
                <w:kern w:val="24"/>
                <w:sz w:val="18"/>
                <w:szCs w:val="18"/>
              </w:rPr>
              <w:t>份</w:t>
            </w:r>
          </w:p>
        </w:tc>
        <w:tc>
          <w:tcPr>
            <w:tcW w:w="199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exact"/>
          <w:jc w:val="center"/>
        </w:trPr>
        <w:tc>
          <w:tcPr>
            <w:tcW w:w="2517" w:type="dxa"/>
            <w:gridSpan w:val="2"/>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rPr>
            </w:pPr>
            <w:r>
              <w:rPr>
                <w:rFonts w:ascii="黑体" w:hAnsi="黑体" w:eastAsia="黑体" w:cs="黑体"/>
                <w:kern w:val="24"/>
                <w:sz w:val="18"/>
                <w:szCs w:val="18"/>
              </w:rPr>
              <w:t>申请人为个人且在中国境内无住所，而一个纳税年度内在中国境内居住累计满</w:t>
            </w:r>
            <w:r>
              <w:rPr>
                <w:rFonts w:eastAsia="黑体"/>
                <w:kern w:val="24"/>
                <w:sz w:val="18"/>
                <w:szCs w:val="18"/>
              </w:rPr>
              <w:t>183</w:t>
            </w:r>
            <w:r>
              <w:rPr>
                <w:rFonts w:ascii="黑体" w:hAnsi="黑体" w:eastAsia="黑体" w:cs="黑体"/>
                <w:kern w:val="24"/>
                <w:sz w:val="18"/>
                <w:szCs w:val="18"/>
              </w:rPr>
              <w:t>天</w:t>
            </w:r>
          </w:p>
        </w:tc>
        <w:tc>
          <w:tcPr>
            <w:tcW w:w="2699"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宋体"/>
                <w:sz w:val="18"/>
                <w:szCs w:val="18"/>
              </w:rPr>
            </w:pPr>
            <w:r>
              <w:rPr>
                <w:rFonts w:ascii="黑体" w:hAnsi="黑体" w:eastAsia="黑体" w:cs="宋体"/>
                <w:sz w:val="18"/>
                <w:szCs w:val="18"/>
              </w:rPr>
              <w:t>在中国境内实际居住时间的相关证明材料或者说明材料，包括出入境信息等资料</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kern w:val="24"/>
              </w:rPr>
            </w:pPr>
            <w:r>
              <w:rPr>
                <w:rFonts w:eastAsia="黑体"/>
                <w:kern w:val="24"/>
                <w:sz w:val="18"/>
                <w:szCs w:val="18"/>
              </w:rPr>
              <w:t>1</w:t>
            </w:r>
            <w:r>
              <w:rPr>
                <w:rFonts w:ascii="黑体" w:hAnsi="黑体" w:eastAsia="黑体" w:cs="黑体"/>
                <w:kern w:val="24"/>
                <w:sz w:val="18"/>
                <w:szCs w:val="18"/>
              </w:rPr>
              <w:t>份</w:t>
            </w:r>
          </w:p>
        </w:tc>
        <w:tc>
          <w:tcPr>
            <w:tcW w:w="199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kern w:val="2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517" w:type="dxa"/>
            <w:gridSpan w:val="2"/>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ascii="黑体" w:hAnsi="黑体" w:eastAsia="黑体" w:cs="黑体"/>
                <w:kern w:val="24"/>
                <w:sz w:val="18"/>
                <w:szCs w:val="18"/>
              </w:rPr>
              <w:t>境内、外分支机构通过其</w:t>
            </w:r>
          </w:p>
          <w:p>
            <w:pPr>
              <w:wordWrap w:val="0"/>
              <w:spacing w:line="240" w:lineRule="auto"/>
              <w:ind w:firstLine="0" w:firstLineChars="0"/>
              <w:jc w:val="center"/>
              <w:rPr>
                <w:rFonts w:hint="default" w:ascii="黑体" w:hAnsi="黑体" w:eastAsia="黑体"/>
                <w:kern w:val="24"/>
              </w:rPr>
            </w:pPr>
            <w:r>
              <w:rPr>
                <w:rFonts w:ascii="黑体" w:hAnsi="黑体" w:eastAsia="黑体" w:cs="黑体"/>
                <w:kern w:val="24"/>
                <w:sz w:val="18"/>
                <w:szCs w:val="18"/>
              </w:rPr>
              <w:t>总机构提出申请</w:t>
            </w:r>
          </w:p>
        </w:tc>
        <w:tc>
          <w:tcPr>
            <w:tcW w:w="2699"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kern w:val="24"/>
                <w:sz w:val="18"/>
                <w:szCs w:val="18"/>
              </w:rPr>
            </w:pPr>
            <w:r>
              <w:rPr>
                <w:rFonts w:ascii="黑体" w:hAnsi="黑体" w:eastAsia="黑体" w:cs="黑体"/>
                <w:kern w:val="24"/>
                <w:sz w:val="18"/>
                <w:szCs w:val="18"/>
              </w:rPr>
              <w:t>总分机构的登记注册情况</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kern w:val="24"/>
              </w:rPr>
            </w:pPr>
            <w:r>
              <w:rPr>
                <w:rFonts w:eastAsia="黑体"/>
                <w:kern w:val="24"/>
                <w:sz w:val="18"/>
                <w:szCs w:val="18"/>
              </w:rPr>
              <w:t>1</w:t>
            </w:r>
            <w:r>
              <w:rPr>
                <w:rFonts w:ascii="黑体" w:hAnsi="黑体" w:eastAsia="黑体" w:cs="黑体"/>
                <w:kern w:val="24"/>
                <w:sz w:val="18"/>
                <w:szCs w:val="18"/>
              </w:rPr>
              <w:t>份</w:t>
            </w:r>
          </w:p>
        </w:tc>
        <w:tc>
          <w:tcPr>
            <w:tcW w:w="199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kern w:val="2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2517" w:type="dxa"/>
            <w:gridSpan w:val="2"/>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ascii="黑体" w:hAnsi="黑体" w:eastAsia="黑体" w:cs="黑体"/>
                <w:kern w:val="24"/>
                <w:sz w:val="18"/>
                <w:szCs w:val="18"/>
              </w:rPr>
              <w:t>以合伙企业的中国居民</w:t>
            </w:r>
          </w:p>
          <w:p>
            <w:pPr>
              <w:wordWrap w:val="0"/>
              <w:spacing w:line="240" w:lineRule="auto"/>
              <w:ind w:firstLine="0" w:firstLineChars="0"/>
              <w:jc w:val="center"/>
              <w:rPr>
                <w:rFonts w:hint="default" w:ascii="黑体" w:hAnsi="黑体" w:eastAsia="黑体"/>
                <w:kern w:val="24"/>
              </w:rPr>
            </w:pPr>
            <w:r>
              <w:rPr>
                <w:rFonts w:ascii="黑体" w:hAnsi="黑体" w:eastAsia="黑体" w:cs="黑体"/>
                <w:kern w:val="24"/>
                <w:sz w:val="18"/>
                <w:szCs w:val="18"/>
              </w:rPr>
              <w:t>合伙人提出申请</w:t>
            </w:r>
          </w:p>
        </w:tc>
        <w:tc>
          <w:tcPr>
            <w:tcW w:w="2699"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kern w:val="24"/>
                <w:sz w:val="18"/>
                <w:szCs w:val="18"/>
              </w:rPr>
            </w:pPr>
            <w:r>
              <w:rPr>
                <w:rFonts w:ascii="黑体" w:hAnsi="黑体" w:eastAsia="黑体" w:cs="黑体"/>
                <w:kern w:val="24"/>
                <w:sz w:val="18"/>
                <w:szCs w:val="18"/>
              </w:rPr>
              <w:t>合伙企业登记注册情况</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kern w:val="24"/>
              </w:rPr>
            </w:pPr>
            <w:r>
              <w:rPr>
                <w:rFonts w:eastAsia="黑体"/>
                <w:kern w:val="24"/>
                <w:sz w:val="18"/>
                <w:szCs w:val="18"/>
              </w:rPr>
              <w:t>1</w:t>
            </w:r>
            <w:r>
              <w:rPr>
                <w:rFonts w:ascii="黑体" w:hAnsi="黑体" w:eastAsia="黑体" w:cs="黑体"/>
                <w:kern w:val="24"/>
                <w:sz w:val="18"/>
                <w:szCs w:val="18"/>
              </w:rPr>
              <w:t>份</w:t>
            </w:r>
          </w:p>
        </w:tc>
        <w:tc>
          <w:tcPr>
            <w:tcW w:w="199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kern w:val="2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exact"/>
          <w:jc w:val="center"/>
        </w:trPr>
        <w:tc>
          <w:tcPr>
            <w:tcW w:w="2517" w:type="dxa"/>
            <w:gridSpan w:val="2"/>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ascii="黑体" w:hAnsi="黑体" w:eastAsia="黑体" w:cs="黑体"/>
                <w:kern w:val="24"/>
                <w:sz w:val="18"/>
                <w:szCs w:val="18"/>
              </w:rPr>
              <w:t>缔约对方税务主管当局对</w:t>
            </w:r>
          </w:p>
          <w:p>
            <w:pPr>
              <w:wordWrap w:val="0"/>
              <w:spacing w:line="240" w:lineRule="auto"/>
              <w:ind w:firstLine="0" w:firstLineChars="0"/>
              <w:jc w:val="center"/>
              <w:rPr>
                <w:rFonts w:hint="default" w:ascii="黑体" w:hAnsi="黑体" w:eastAsia="黑体" w:cs="黑体"/>
                <w:kern w:val="24"/>
                <w:sz w:val="18"/>
                <w:szCs w:val="18"/>
              </w:rPr>
            </w:pPr>
            <w:r>
              <w:rPr>
                <w:rFonts w:ascii="黑体" w:hAnsi="黑体" w:eastAsia="黑体" w:cs="黑体"/>
                <w:kern w:val="24"/>
                <w:sz w:val="18"/>
                <w:szCs w:val="18"/>
              </w:rPr>
              <w:t>《税收居民证明》样式有</w:t>
            </w:r>
          </w:p>
          <w:p>
            <w:pPr>
              <w:wordWrap w:val="0"/>
              <w:spacing w:line="240" w:lineRule="auto"/>
              <w:ind w:firstLine="0" w:firstLineChars="0"/>
              <w:jc w:val="center"/>
              <w:rPr>
                <w:rFonts w:hint="default" w:ascii="黑体" w:hAnsi="黑体" w:eastAsia="黑体" w:cs="黑体"/>
                <w:kern w:val="24"/>
                <w:sz w:val="18"/>
                <w:szCs w:val="18"/>
              </w:rPr>
            </w:pPr>
            <w:r>
              <w:rPr>
                <w:rFonts w:ascii="黑体" w:hAnsi="黑体" w:eastAsia="黑体" w:cs="黑体"/>
                <w:kern w:val="24"/>
                <w:sz w:val="18"/>
                <w:szCs w:val="18"/>
              </w:rPr>
              <w:t>特殊要求</w:t>
            </w:r>
          </w:p>
        </w:tc>
        <w:tc>
          <w:tcPr>
            <w:tcW w:w="2699"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ascii="黑体" w:eastAsia="黑体" w:cs="黑体"/>
                <w:kern w:val="0"/>
                <w:sz w:val="18"/>
                <w:szCs w:val="18"/>
                <w:lang w:val="zh-CN"/>
              </w:rPr>
              <w:t>需要特殊要求书面说明以及《税收居民证明》样式</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eastAsia="黑体"/>
                <w:kern w:val="24"/>
                <w:sz w:val="18"/>
                <w:szCs w:val="18"/>
              </w:rPr>
              <w:t>1</w:t>
            </w:r>
            <w:r>
              <w:rPr>
                <w:rFonts w:ascii="黑体" w:hAnsi="黑体" w:eastAsia="黑体" w:cs="黑体"/>
                <w:kern w:val="24"/>
                <w:sz w:val="18"/>
                <w:szCs w:val="18"/>
              </w:rPr>
              <w:t>份</w:t>
            </w:r>
          </w:p>
        </w:tc>
        <w:tc>
          <w:tcPr>
            <w:tcW w:w="199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kern w:val="24"/>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exact"/>
          <w:jc w:val="center"/>
        </w:trPr>
        <w:tc>
          <w:tcPr>
            <w:tcW w:w="2517" w:type="dxa"/>
            <w:gridSpan w:val="2"/>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ascii="黑体" w:hAnsi="黑体" w:eastAsia="黑体" w:cs="黑体"/>
                <w:kern w:val="24"/>
                <w:sz w:val="18"/>
                <w:szCs w:val="18"/>
              </w:rPr>
              <w:t>主管税务机关或者上级税务机关根据申请人提交资料无法作出判断</w:t>
            </w:r>
          </w:p>
        </w:tc>
        <w:tc>
          <w:tcPr>
            <w:tcW w:w="2699"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lang w:val="zh-CN"/>
              </w:rPr>
            </w:pPr>
            <w:r>
              <w:rPr>
                <w:rFonts w:ascii="黑体" w:hAnsi="黑体" w:eastAsia="黑体" w:cs="黑体"/>
                <w:kern w:val="24"/>
                <w:sz w:val="18"/>
                <w:szCs w:val="18"/>
                <w:lang w:val="zh-CN"/>
              </w:rPr>
              <w:t>补充提供的相关资料</w:t>
            </w:r>
          </w:p>
        </w:tc>
        <w:tc>
          <w:tcPr>
            <w:tcW w:w="95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r>
              <w:rPr>
                <w:rFonts w:ascii="黑体" w:hAnsi="黑体" w:eastAsia="黑体" w:cs="黑体"/>
                <w:kern w:val="24"/>
                <w:sz w:val="18"/>
                <w:szCs w:val="18"/>
              </w:rPr>
              <w:t>1份</w:t>
            </w:r>
          </w:p>
        </w:tc>
        <w:tc>
          <w:tcPr>
            <w:tcW w:w="1994" w:type="dxa"/>
            <w:tcBorders>
              <w:top w:val="single" w:color="auto" w:sz="4" w:space="0"/>
              <w:left w:val="single" w:color="auto" w:sz="4" w:space="0"/>
              <w:bottom w:val="single" w:color="auto" w:sz="4" w:space="0"/>
              <w:right w:val="single" w:color="auto" w:sz="4" w:space="0"/>
            </w:tcBorders>
            <w:noWrap w:val="0"/>
            <w:vAlign w:val="center"/>
          </w:tcPr>
          <w:p>
            <w:pPr>
              <w:wordWrap w:val="0"/>
              <w:spacing w:line="240" w:lineRule="auto"/>
              <w:ind w:firstLine="0" w:firstLineChars="0"/>
              <w:jc w:val="center"/>
              <w:rPr>
                <w:rFonts w:hint="default" w:ascii="黑体" w:hAnsi="黑体" w:eastAsia="黑体" w:cs="黑体"/>
                <w:kern w:val="24"/>
                <w:sz w:val="18"/>
                <w:szCs w:val="18"/>
              </w:rPr>
            </w:pPr>
          </w:p>
        </w:tc>
      </w:tr>
    </w:tbl>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六、服务流程</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p>
    <w:p>
      <w:pPr>
        <w:keepNext w:val="0"/>
        <w:keepLines w:val="0"/>
        <w:pageBreakBefore w:val="0"/>
        <w:widowControl w:val="0"/>
        <w:suppressAutoHyphens/>
        <w:kinsoku/>
        <w:wordWrap/>
        <w:overflowPunct/>
        <w:topLinePunct w:val="0"/>
        <w:autoSpaceDE/>
        <w:autoSpaceDN/>
        <w:bidi w:val="0"/>
        <w:adjustRightInd/>
        <w:snapToGrid/>
        <w:spacing w:line="560" w:lineRule="exact"/>
        <w:ind w:firstLine="420" w:firstLineChars="200"/>
        <w:textAlignment w:val="auto"/>
        <w:rPr>
          <w:rFonts w:ascii="Times New Roman" w:hAnsi="Times New Roman" w:eastAsia="黑体"/>
          <w:sz w:val="32"/>
          <w:szCs w:val="32"/>
        </w:rPr>
      </w:pPr>
      <w:r>
        <w:rPr>
          <w:rFonts w:ascii="宋体" w:hAnsi="宋体"/>
        </w:rPr>
        <w:drawing>
          <wp:anchor distT="0" distB="0" distL="114300" distR="114300" simplePos="0" relativeHeight="251659264" behindDoc="0" locked="0" layoutInCell="1" allowOverlap="1">
            <wp:simplePos x="0" y="0"/>
            <wp:positionH relativeFrom="column">
              <wp:posOffset>266700</wp:posOffset>
            </wp:positionH>
            <wp:positionV relativeFrom="page">
              <wp:posOffset>7705725</wp:posOffset>
            </wp:positionV>
            <wp:extent cx="5184140" cy="1773555"/>
            <wp:effectExtent l="0" t="0" r="16510" b="17145"/>
            <wp:wrapNone/>
            <wp:docPr id="1" name="图片 1" descr="C:\Users\baoqianyu\Desktop\流程图\流转\申请人.png申请人"/>
            <wp:cNvGraphicFramePr/>
            <a:graphic xmlns:a="http://schemas.openxmlformats.org/drawingml/2006/main">
              <a:graphicData uri="http://schemas.openxmlformats.org/drawingml/2006/picture">
                <pic:pic xmlns:pic="http://schemas.openxmlformats.org/drawingml/2006/picture">
                  <pic:nvPicPr>
                    <pic:cNvPr id="1" name="图片 1" descr="C:\Users\baoqianyu\Desktop\流程图\流转\申请人.png申请人"/>
                    <pic:cNvPicPr/>
                  </pic:nvPicPr>
                  <pic:blipFill>
                    <a:blip r:embed="rId4"/>
                    <a:stretch>
                      <a:fillRect/>
                    </a:stretch>
                  </pic:blipFill>
                  <pic:spPr>
                    <a:xfrm>
                      <a:off x="0" y="0"/>
                      <a:ext cx="5184140" cy="1773555"/>
                    </a:xfrm>
                    <a:prstGeom prst="rect">
                      <a:avLst/>
                    </a:prstGeom>
                    <a:noFill/>
                    <a:ln>
                      <a:noFill/>
                    </a:ln>
                  </pic:spPr>
                </pic:pic>
              </a:graphicData>
            </a:graphic>
          </wp:anchor>
        </w:drawing>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七、办理时限</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lang w:val="en-US" w:eastAsia="zh-CN"/>
        </w:rPr>
        <w:t>主管税务机关自受理申请之日起10个工作日内办结；无法准确判断居民身份的，需要报告上级税务机关的，20个工作日内办结。</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八、收费依据及标准</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不收费</w:t>
      </w:r>
    </w:p>
    <w:p>
      <w:pPr>
        <w:keepNext w:val="0"/>
        <w:keepLines w:val="0"/>
        <w:pageBreakBefore w:val="0"/>
        <w:widowControl w:val="0"/>
        <w:numPr>
          <w:ilvl w:val="0"/>
          <w:numId w:val="1"/>
        </w:numPr>
        <w:suppressAutoHyphens/>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黑体"/>
          <w:sz w:val="32"/>
          <w:szCs w:val="32"/>
        </w:rPr>
      </w:pPr>
      <w:r>
        <w:rPr>
          <w:rFonts w:ascii="Times New Roman" w:hAnsi="Times New Roman" w:eastAsia="黑体"/>
          <w:sz w:val="32"/>
          <w:szCs w:val="32"/>
        </w:rPr>
        <w:t>咨询方式</w:t>
      </w:r>
    </w:p>
    <w:p>
      <w:pPr>
        <w:keepNext w:val="0"/>
        <w:keepLines w:val="0"/>
        <w:pageBreakBefore w:val="0"/>
        <w:widowControl w:val="0"/>
        <w:suppressAutoHyphens/>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电话咨询、面对面咨询、网络咨询</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60" w:lineRule="exact"/>
        <w:textAlignment w:val="auto"/>
        <w:rPr>
          <w:rFonts w:ascii="Times New Roman" w:hAnsi="Times New Roman" w:eastAsia="黑体"/>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altName w:val="Arial Unicode MS"/>
    <w:panose1 w:val="03000509000000000000"/>
    <w:charset w:val="86"/>
    <w:family w:val="auto"/>
    <w:pitch w:val="default"/>
    <w:sig w:usb0="00000000" w:usb1="00000000" w:usb2="00000000" w:usb3="00000000" w:csb0="00040000" w:csb1="00000000"/>
  </w:font>
  <w:font w:name="方正小标宋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icrosoft Himalaya">
    <w:panose1 w:val="01010100010101010101"/>
    <w:charset w:val="00"/>
    <w:family w:val="auto"/>
    <w:pitch w:val="default"/>
    <w:sig w:usb0="80000003" w:usb1="00010000" w:usb2="0000004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CD807"/>
    <w:multiLevelType w:val="singleLevel"/>
    <w:tmpl w:val="C2BCD807"/>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887CF2"/>
    <w:rsid w:val="00774D66"/>
    <w:rsid w:val="0A887CF2"/>
    <w:rsid w:val="2A133401"/>
    <w:rsid w:val="35745312"/>
    <w:rsid w:val="54D8046D"/>
    <w:rsid w:val="56E4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2022-12-15T03:10:00Z</dcterms:created>
  <dc:creator>陈曦</dc:creator>
  <cp:lastModifiedBy>Administrator</cp:lastModifiedBy>
  <dcterms:modified xsi:type="dcterms:W3CDTF">2026-01-05T03:05:23Z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