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附件二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  <w:t>社会公众涉税公开信息查询办事指南</w:t>
      </w:r>
    </w:p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zh-CN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 w:eastAsia="zh-CN"/>
        </w:rPr>
        <w:t>（依申请类）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一、办理依据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《国家税务总局关于发布〈涉税信息查询管理办法〉的公告》（国家税务总局公告2016年第41号）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二、承办机构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纳税服务</w:t>
      </w:r>
      <w:r>
        <w:rPr>
          <w:rFonts w:hint="eastAsia" w:ascii="Times New Roman" w:hAnsi="Times New Roman" w:eastAsia="仿宋_GB2312"/>
          <w:sz w:val="32"/>
          <w:szCs w:val="32"/>
        </w:rPr>
        <w:t>科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三、服务对象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社会公众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四、申请条件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税务机关按照办税公开要求的范围、程序和时限，公开相关涉税事项和具体规定，并向社会公众提供查询服务。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申报材料</w:t>
      </w:r>
    </w:p>
    <w:p>
      <w:pPr>
        <w:wordWrap w:val="0"/>
        <w:spacing w:line="360" w:lineRule="auto"/>
        <w:ind w:firstLine="480"/>
        <w:contextualSpacing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社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会公众涉税公开信息查询无需提供材料。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六、服务流程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七、办理时限</w:t>
      </w:r>
    </w:p>
    <w:p>
      <w:pPr>
        <w:wordWrap w:val="0"/>
        <w:spacing w:line="360" w:lineRule="auto"/>
        <w:ind w:firstLine="480"/>
        <w:contextualSpacing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即办事项、即时办结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八、收费依据及标准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电话咨询、网络咨询、面对面咨询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198B09"/>
    <w:multiLevelType w:val="singleLevel"/>
    <w:tmpl w:val="A5198B0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98E7577"/>
    <w:multiLevelType w:val="singleLevel"/>
    <w:tmpl w:val="B98E7577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F1D50"/>
    <w:rsid w:val="06DF1D50"/>
    <w:rsid w:val="18B1321E"/>
    <w:rsid w:val="234A079A"/>
    <w:rsid w:val="39A02C06"/>
    <w:rsid w:val="4BFF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2022-12-15T02:44:00Z</dcterms:created>
  <dc:creator>陈曦</dc:creator>
  <cp:lastModifiedBy>Administrator</cp:lastModifiedBy>
  <dcterms:modified xsi:type="dcterms:W3CDTF">2026-01-05T03:05:52Z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