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Times New Roman" w:hAnsi="Times New Roman" w:eastAsia="仿宋_GB2312"/>
          <w:b/>
          <w:sz w:val="20"/>
          <w:szCs w:val="16"/>
        </w:rPr>
      </w:pPr>
    </w:p>
    <w:p>
      <w:pPr>
        <w:jc w:val="center"/>
        <w:rPr>
          <w:rFonts w:hint="eastAsia" w:ascii="Times New Roman" w:hAnsi="Times New Roman" w:eastAsia="仿宋_GB2312"/>
          <w:b/>
          <w:sz w:val="28"/>
          <w:szCs w:val="22"/>
        </w:rPr>
      </w:pPr>
    </w:p>
    <w:p>
      <w:pPr>
        <w:jc w:val="center"/>
        <w:rPr>
          <w:rFonts w:hint="eastAsia" w:ascii="Times New Roman" w:hAnsi="Times New Roman" w:eastAsia="仿宋_GB2312"/>
          <w:b/>
          <w:sz w:val="21"/>
          <w:szCs w:val="18"/>
        </w:rPr>
      </w:pPr>
    </w:p>
    <w:p>
      <w:pPr>
        <w:tabs>
          <w:tab w:val="left" w:pos="7723"/>
        </w:tabs>
        <w:spacing w:line="400" w:lineRule="exact"/>
        <w:ind w:left="0" w:leftChars="0" w:firstLine="0" w:firstLineChars="0"/>
        <w:rPr>
          <w:rFonts w:hint="eastAsia" w:ascii="Times New Roman" w:hAnsi="Times New Roman" w:eastAsia="方正楷体简体"/>
          <w:sz w:val="18"/>
          <w:szCs w:val="18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方正楷体简体"/>
          <w:sz w:val="4"/>
          <w:szCs w:val="4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方正楷体简体"/>
          <w:sz w:val="18"/>
          <w:szCs w:val="18"/>
        </w:rPr>
      </w:pPr>
    </w:p>
    <w:p>
      <w:pPr>
        <w:pStyle w:val="2"/>
        <w:rPr>
          <w:rFonts w:hint="eastAsia"/>
        </w:rPr>
      </w:pPr>
    </w:p>
    <w:p>
      <w:pPr>
        <w:tabs>
          <w:tab w:val="left" w:pos="7723"/>
        </w:tabs>
        <w:spacing w:line="400" w:lineRule="exact"/>
        <w:ind w:left="0" w:leftChars="0" w:firstLine="0" w:firstLineChars="0"/>
        <w:rPr>
          <w:rFonts w:hint="eastAsia" w:ascii="Times New Roman" w:hAnsi="Times New Roman" w:eastAsia="方正楷体简体"/>
          <w:sz w:val="2"/>
          <w:szCs w:val="2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刘政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宋体"/>
          <w:b/>
          <w:color w:val="auto"/>
          <w:sz w:val="21"/>
          <w:szCs w:val="21"/>
        </w:rPr>
      </w:pPr>
    </w:p>
    <w:p>
      <w:pPr>
        <w:jc w:val="both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Style w:val="6"/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shd w:val="clear" w:color="auto" w:fill="FFFFFF"/>
          <w:lang w:val="en-US" w:eastAsia="zh-CN" w:bidi="ar-SA"/>
        </w:rPr>
        <w:t>关于印发《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刘圩镇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度城乡居民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基本医疗保险征缴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工作实施方案</w:t>
      </w:r>
      <w:r>
        <w:rPr>
          <w:rStyle w:val="6"/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>
      <w:pPr>
        <w:pStyle w:val="2"/>
        <w:rPr>
          <w:rFonts w:hint="eastAsia"/>
          <w:sz w:val="21"/>
          <w:szCs w:val="18"/>
          <w:lang w:val="en-US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村党总支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村民委员会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镇直各部门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国家、省、市、县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工作部署，稳妥有序做好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城乡基本医疗保险征缴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，确保保费征缴安全、便利、高效，根据《宿州市人民政府办公室关于做好2021年城乡居民基本医疗保险征缴工作的通知》(宿政办明电[2020] 19号)及市医保局、国家税务总局宿州市税务局、市扶贫局、市民政局、市财政局《关于印发&lt;宿州市贫困人口实行分类资助参保的意见&gt;的通知》宿医保秘( 2020]76号)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及泗政办明电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[2020]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17号文件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精神，结合我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实际，经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镇党政联席会研究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同意，现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如下: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一、基本原则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)属地管理。以方便缴费人为出发点，原则上按照缴费大户籍地、常住地，实行属地管理。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)便捷高效。全面推行网上、自助等便捷缴费方式，方便缴费人，保障资金安全。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二、覆盖范围</w:t>
      </w:r>
    </w:p>
    <w:p>
      <w:pPr>
        <w:ind w:left="319" w:leftChars="152"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(一)具有本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户籍且不属于城镇职工基本医疗保险参保范围的城乡居民。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(二)非本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户籍但在本县长期居住的城乡居民。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(三)本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行政区域内各类中中小学校的在册学生和托幼机构的在园幼儿。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三、筹资标准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2021年居民医保个人缴费标准同步提高30元，达到280元/人/年。继续执行新生儿“落地”参保政策，新生儿自出生之日起3个月内参保缴费的，自出生之日起享受当年居民医保待遇。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分类资助对象及标准:</w:t>
      </w:r>
    </w:p>
    <w:p>
      <w:pPr>
        <w:ind w:firstLine="321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(一)全额资助对象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。特困供养人员、孤儿(含事实无人抚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养的儿童，以下简称“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儿");领取独生子女父母光荣证和双女户结扎的农村(2015年7月1日前为农业户口)夫妻、计划生育特殊家庭扶助对象;重点优抚对象(享受国家定期抚恤补助的残疾军人、烈士遗属、因公牺牲军人遗属、病故军人遗属、在乡复员军人、带病回乡退伍军人、参战参试退役人员)。</w:t>
      </w:r>
    </w:p>
    <w:p>
      <w:pPr>
        <w:ind w:firstLine="321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(二)定额资助对象及标准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。低保对象和农村建档立卡贫困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人口(2015年底未脱贫的贫困人口以及动态调整新识别的贫困人口)参加城乡居民基本医疗保险，资助标准为250元/人/年，个人自付标准为30元/人/年。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四、缴费期限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集中缴费期为2020年9月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日至2020年1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日。新生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执行“落地”参保政策，自出生之日起3个月内完成参保缴费。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五、征收方式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为进一步优化营商环境，最大化便民、利民，在2019年实践的基础上，全面推行皖事通、微信等手机APP线上缴费方式，减少线下聚集、排队缴费。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全额缴纳保费的要全部实现线上缴费，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定额资助对象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个人缴纳的保费及时交到镇财政专户。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、工作要求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）提高认识，加强领导。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要充分认识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城乡基本医疗保险征缴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工作的重要性，切实把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城乡居民基本医疗保险征缴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工作列入重要议事日程，加强组织领导，狠抓工作落实。 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宣传，营造氛围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要充分利用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宣传车、宣传单、标语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等多种方式，加大宣传力度，营造浓厚的参合氛围。各村、组要在人口集中的地方张贴公告，设立宣传橱窗，分发宣传资料，悬挂宣传标语，充分调动广大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民的参合积极性。 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（三）明确职责，密切配合。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各有关部门要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协调配合，积极做好筹资工作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民政部门要做好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特困供养人员、孤儿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、低保户名单核对，并向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及各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提供人员名单；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镇扶贫办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要做好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建档立卡的贫困人口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名单核对，并向各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提供人员名单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计生部门要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好独生子女户和双女结扎户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计划生育特殊家庭扶助对象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名单核对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，并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向各村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提供人员名单；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镇军人事务站做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重点优抚对象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名单核对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工作，并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向各村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提供人员名单；其他相关部门要根据各自工作职责，做好相关工作，确保圆满完成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征缴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任务。 </w:t>
      </w:r>
    </w:p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加强考核、明确时限。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镇保费征缴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考核时间节点为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，凡是在10月10日前完不成50</w:t>
      </w:r>
      <w:r>
        <w:rPr>
          <w:rFonts w:hint="default" w:ascii="Calibri" w:hAnsi="Calibri" w:eastAsia="仿宋" w:cs="Calibri"/>
          <w:color w:val="auto"/>
          <w:sz w:val="32"/>
          <w:szCs w:val="32"/>
          <w:lang w:val="en-US" w:eastAsia="zh-CN"/>
        </w:rPr>
        <w:t>%</w:t>
      </w:r>
      <w:r>
        <w:rPr>
          <w:rFonts w:hint="eastAsia" w:ascii="Calibri" w:hAnsi="Calibri" w:eastAsia="仿宋" w:cs="Calibri"/>
          <w:color w:val="auto"/>
          <w:sz w:val="32"/>
          <w:szCs w:val="32"/>
          <w:lang w:val="en-US" w:eastAsia="zh-CN"/>
        </w:rPr>
        <w:t>的村，镇将召开调度会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；凡是在10月15日前完不成70</w:t>
      </w:r>
      <w:r>
        <w:rPr>
          <w:rFonts w:hint="default" w:ascii="Calibri" w:hAnsi="Calibri" w:eastAsia="仿宋" w:cs="Calibri"/>
          <w:color w:val="auto"/>
          <w:sz w:val="32"/>
          <w:szCs w:val="32"/>
          <w:lang w:val="en-US" w:eastAsia="zh-CN"/>
        </w:rPr>
        <w:t>%</w:t>
      </w:r>
      <w:r>
        <w:rPr>
          <w:rFonts w:hint="eastAsia" w:ascii="Calibri" w:hAnsi="Calibri" w:eastAsia="仿宋" w:cs="Calibri"/>
          <w:color w:val="auto"/>
          <w:sz w:val="32"/>
          <w:szCs w:val="32"/>
          <w:lang w:val="en-US" w:eastAsia="zh-CN"/>
        </w:rPr>
        <w:t>的村，镇将召开调度会，分别处罚后三名的村书记、主任、包村干部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；凡是在10月31日前完不成80</w:t>
      </w:r>
      <w:r>
        <w:rPr>
          <w:rFonts w:hint="default" w:ascii="Calibri" w:hAnsi="Calibri" w:eastAsia="仿宋" w:cs="Calibri"/>
          <w:color w:val="auto"/>
          <w:sz w:val="32"/>
          <w:szCs w:val="32"/>
          <w:lang w:val="en-US" w:eastAsia="zh-CN"/>
        </w:rPr>
        <w:t>%</w:t>
      </w:r>
      <w:r>
        <w:rPr>
          <w:rFonts w:hint="eastAsia" w:ascii="Calibri" w:hAnsi="Calibri" w:eastAsia="仿宋" w:cs="Calibri"/>
          <w:color w:val="auto"/>
          <w:sz w:val="32"/>
          <w:szCs w:val="32"/>
          <w:lang w:val="en-US" w:eastAsia="zh-CN"/>
        </w:rPr>
        <w:t>的村，镇将召开调度会，分别处罚书记、主任、包村干部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对于在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没有完成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的村，后三名的村书记</w:t>
      </w:r>
      <w:r>
        <w:rPr>
          <w:rFonts w:hint="eastAsia" w:ascii="Calibri" w:hAnsi="Calibri" w:eastAsia="仿宋" w:cs="Calibri"/>
          <w:color w:val="auto"/>
          <w:sz w:val="32"/>
          <w:szCs w:val="32"/>
          <w:lang w:val="en-US" w:eastAsia="zh-CN"/>
        </w:rPr>
        <w:t>在镇大会上表态检讨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并对村书记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、主任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alibri" w:hAnsi="Calibri" w:eastAsia="仿宋" w:cs="Calibri"/>
          <w:color w:val="auto"/>
          <w:sz w:val="32"/>
          <w:szCs w:val="32"/>
          <w:lang w:val="en-US" w:eastAsia="zh-CN"/>
        </w:rPr>
        <w:t>包村干部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分别处罚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限期完成任务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。上述罚款用于奖励完成对应序时进度前三名村的书记、主任、包村干部。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附件：刘圩镇2021年度城乡基本医疗保险征缴任务分解表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ordWrap w:val="0"/>
        <w:ind w:firstLine="5440" w:firstLineChars="1700"/>
        <w:jc w:val="right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wordWrap w:val="0"/>
        <w:jc w:val="right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  <w:t xml:space="preserve">泗县刘圩镇人民政府  </w:t>
      </w:r>
    </w:p>
    <w:p>
      <w:pPr>
        <w:jc w:val="right"/>
        <w:rPr>
          <w:rStyle w:val="6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  <w:t xml:space="preserve">                                 2020年9月24日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643DB"/>
    <w:rsid w:val="0A730406"/>
    <w:rsid w:val="0C6E44B0"/>
    <w:rsid w:val="132C17A2"/>
    <w:rsid w:val="198719FE"/>
    <w:rsid w:val="1CD55CF9"/>
    <w:rsid w:val="24F65605"/>
    <w:rsid w:val="274D3284"/>
    <w:rsid w:val="2AB56622"/>
    <w:rsid w:val="30CF44D7"/>
    <w:rsid w:val="32B57186"/>
    <w:rsid w:val="38BE5AEA"/>
    <w:rsid w:val="452B5B48"/>
    <w:rsid w:val="4D955146"/>
    <w:rsid w:val="563425D5"/>
    <w:rsid w:val="5AC8284D"/>
    <w:rsid w:val="5AFB23F8"/>
    <w:rsid w:val="5D502303"/>
    <w:rsid w:val="5FF721E7"/>
    <w:rsid w:val="604A7E62"/>
    <w:rsid w:val="6763009F"/>
    <w:rsid w:val="676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崔爱民</cp:lastModifiedBy>
  <cp:lastPrinted>2020-09-25T00:12:00Z</cp:lastPrinted>
  <dcterms:modified xsi:type="dcterms:W3CDTF">2020-09-25T07:26:45Z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