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55DF1">
      <w:pPr>
        <w:rPr>
          <w:rFonts w:ascii="方正仿宋_GB2312" w:hAnsi="方正仿宋_GB2312" w:eastAsia="方正仿宋_GB2312" w:cs="方正仿宋_GB2312"/>
          <w:color w:val="auto"/>
          <w:sz w:val="36"/>
          <w:szCs w:val="36"/>
          <w:highlight w:val="none"/>
        </w:rPr>
      </w:pPr>
    </w:p>
    <w:p w14:paraId="0F6029AF">
      <w:pPr>
        <w:rPr>
          <w:rFonts w:ascii="方正仿宋_GB2312" w:hAnsi="方正仿宋_GB2312" w:eastAsia="方正仿宋_GB2312" w:cs="方正仿宋_GB2312"/>
          <w:color w:val="auto"/>
          <w:sz w:val="36"/>
          <w:szCs w:val="36"/>
          <w:highlight w:val="none"/>
        </w:rPr>
      </w:pPr>
    </w:p>
    <w:p w14:paraId="136FD4CD">
      <w:pPr>
        <w:rPr>
          <w:rFonts w:ascii="方正仿宋_GB2312" w:hAnsi="方正仿宋_GB2312" w:eastAsia="方正仿宋_GB2312" w:cs="方正仿宋_GB2312"/>
          <w:color w:val="auto"/>
          <w:sz w:val="36"/>
          <w:szCs w:val="36"/>
          <w:highlight w:val="none"/>
        </w:rPr>
      </w:pPr>
    </w:p>
    <w:p w14:paraId="78438249">
      <w:pPr>
        <w:rPr>
          <w:rFonts w:ascii="方正仿宋_GB2312" w:hAnsi="方正仿宋_GB2312" w:eastAsia="方正仿宋_GB2312" w:cs="方正仿宋_GB2312"/>
          <w:color w:val="auto"/>
          <w:sz w:val="36"/>
          <w:szCs w:val="36"/>
          <w:highlight w:val="none"/>
        </w:rPr>
      </w:pPr>
    </w:p>
    <w:p w14:paraId="72875420">
      <w:pPr>
        <w:adjustRightInd w:val="0"/>
        <w:snapToGrid w:val="0"/>
        <w:jc w:val="center"/>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351A9252">
      <w:pPr>
        <w:adjustRightInd w:val="0"/>
        <w:snapToGrid w:val="0"/>
        <w:spacing w:before="192" w:beforeLines="80"/>
        <w:jc w:val="center"/>
        <w:rPr>
          <w:rFonts w:ascii="方正楷体_GB2312" w:eastAsia="方正楷体_GB2312"/>
          <w:bCs/>
          <w:color w:val="auto"/>
          <w:sz w:val="48"/>
          <w:szCs w:val="48"/>
          <w:highlight w:val="none"/>
        </w:rPr>
      </w:pPr>
      <w:r>
        <w:rPr>
          <w:rFonts w:hint="eastAsia" w:ascii="方正楷体_GB2312" w:eastAsia="方正楷体_GB2312"/>
          <w:bCs/>
          <w:color w:val="auto"/>
          <w:sz w:val="48"/>
          <w:szCs w:val="48"/>
          <w:highlight w:val="none"/>
        </w:rPr>
        <w:t>（污染影响类）</w:t>
      </w:r>
    </w:p>
    <w:p w14:paraId="417AD261">
      <w:pPr>
        <w:rPr>
          <w:color w:val="auto"/>
          <w:highlight w:val="none"/>
        </w:rPr>
      </w:pPr>
    </w:p>
    <w:p w14:paraId="3D738F52">
      <w:pPr>
        <w:rPr>
          <w:rFonts w:eastAsia="仿宋"/>
          <w:color w:val="auto"/>
          <w:sz w:val="44"/>
          <w:szCs w:val="44"/>
          <w:highlight w:val="none"/>
        </w:rPr>
      </w:pPr>
    </w:p>
    <w:p w14:paraId="6276D02D">
      <w:pPr>
        <w:ind w:firstLine="1040"/>
        <w:rPr>
          <w:rFonts w:eastAsia="仿宋"/>
          <w:color w:val="auto"/>
          <w:sz w:val="44"/>
          <w:szCs w:val="44"/>
          <w:highlight w:val="none"/>
        </w:rPr>
      </w:pPr>
    </w:p>
    <w:p w14:paraId="4422AA00">
      <w:pPr>
        <w:ind w:firstLine="1040"/>
        <w:rPr>
          <w:rFonts w:hint="eastAsia" w:eastAsia="仿宋"/>
          <w:color w:val="auto"/>
          <w:sz w:val="44"/>
          <w:szCs w:val="44"/>
          <w:highlight w:val="none"/>
          <w:lang w:val="en-US" w:eastAsia="zh-CN"/>
        </w:rPr>
      </w:pPr>
      <w:r>
        <w:rPr>
          <w:rFonts w:hint="eastAsia" w:eastAsia="仿宋"/>
          <w:color w:val="auto"/>
          <w:sz w:val="44"/>
          <w:szCs w:val="44"/>
          <w:highlight w:val="none"/>
          <w:lang w:val="en-US" w:eastAsia="zh-CN"/>
        </w:rPr>
        <w:t xml:space="preserve"> </w:t>
      </w:r>
    </w:p>
    <w:p w14:paraId="75771052">
      <w:pPr>
        <w:pStyle w:val="11"/>
        <w:rPr>
          <w:color w:val="auto"/>
          <w:highlight w:val="none"/>
        </w:rPr>
      </w:pPr>
    </w:p>
    <w:p w14:paraId="168FF0BB">
      <w:pPr>
        <w:ind w:firstLine="1040"/>
        <w:rPr>
          <w:rFonts w:eastAsia="仿宋"/>
          <w:color w:val="auto"/>
          <w:sz w:val="44"/>
          <w:szCs w:val="44"/>
          <w:highlight w:val="none"/>
        </w:rPr>
      </w:pPr>
    </w:p>
    <w:p w14:paraId="0814C714">
      <w:pPr>
        <w:keepNext w:val="0"/>
        <w:keepLines w:val="0"/>
        <w:pageBreakBefore w:val="0"/>
        <w:widowControl w:val="0"/>
        <w:kinsoku/>
        <w:wordWrap/>
        <w:overflowPunct/>
        <w:topLinePunct w:val="0"/>
        <w:autoSpaceDE/>
        <w:autoSpaceDN/>
        <w:bidi w:val="0"/>
        <w:adjustRightInd w:val="0"/>
        <w:snapToGrid w:val="0"/>
        <w:spacing w:line="360" w:lineRule="auto"/>
        <w:ind w:left="1919" w:leftChars="133" w:hanging="1600" w:hangingChars="500"/>
        <w:jc w:val="both"/>
        <w:textAlignment w:val="auto"/>
        <w:rPr>
          <w:rFonts w:hint="default" w:ascii="方正仿宋_GB2312" w:eastAsia="方正仿宋_GB2312"/>
          <w:color w:val="auto"/>
          <w:sz w:val="32"/>
          <w:szCs w:val="32"/>
          <w:highlight w:val="none"/>
          <w:lang w:val="en-US" w:eastAsia="zh-CN"/>
        </w:rPr>
      </w:pPr>
      <w:bookmarkStart w:id="0" w:name="_Hlk57884087"/>
      <w:r>
        <w:rPr>
          <w:rFonts w:hint="eastAsia" w:ascii="方正仿宋_GB2312" w:eastAsia="方正仿宋_GB2312"/>
          <w:color w:val="auto"/>
          <w:sz w:val="32"/>
          <w:szCs w:val="32"/>
          <w:highlight w:val="none"/>
        </w:rPr>
        <w:t>项目名称：</w:t>
      </w:r>
      <w:r>
        <w:rPr>
          <w:rFonts w:hint="eastAsia" w:ascii="方正仿宋_GB2312" w:eastAsia="方正仿宋_GB2312"/>
          <w:color w:val="auto"/>
          <w:sz w:val="32"/>
          <w:szCs w:val="32"/>
          <w:highlight w:val="none"/>
          <w:u w:val="single"/>
          <w:lang w:val="en-US" w:eastAsia="zh-CN"/>
        </w:rPr>
        <w:t xml:space="preserve">           年产</w:t>
      </w:r>
      <w:r>
        <w:rPr>
          <w:rFonts w:hint="default" w:ascii="Times New Roman" w:hAnsi="Times New Roman" w:eastAsia="方正仿宋_GB2312" w:cs="Times New Roman"/>
          <w:color w:val="auto"/>
          <w:sz w:val="32"/>
          <w:szCs w:val="32"/>
          <w:highlight w:val="none"/>
          <w:u w:val="single"/>
          <w:lang w:val="en-US" w:eastAsia="zh-CN"/>
        </w:rPr>
        <w:t>3</w:t>
      </w:r>
      <w:r>
        <w:rPr>
          <w:rFonts w:hint="eastAsia" w:ascii="方正仿宋_GB2312" w:eastAsia="方正仿宋_GB2312"/>
          <w:color w:val="auto"/>
          <w:sz w:val="32"/>
          <w:szCs w:val="32"/>
          <w:highlight w:val="none"/>
          <w:u w:val="single"/>
          <w:lang w:val="en-US" w:eastAsia="zh-CN"/>
        </w:rPr>
        <w:t xml:space="preserve">万套塑料制品项目        </w:t>
      </w:r>
      <w:r>
        <w:rPr>
          <w:rFonts w:hint="eastAsia" w:ascii="方正仿宋_GB2312" w:hAnsi="Times New Roman" w:eastAsia="方正仿宋_GB2312" w:cs="Times New Roman"/>
          <w:color w:val="auto"/>
          <w:sz w:val="32"/>
          <w:szCs w:val="32"/>
          <w:highlight w:val="none"/>
          <w:u w:val="single"/>
        </w:rPr>
        <w:t xml:space="preserve"> </w:t>
      </w:r>
      <w:r>
        <w:rPr>
          <w:rFonts w:hint="eastAsia" w:ascii="方正仿宋_GB2312" w:hAnsi="Times New Roman" w:eastAsia="方正仿宋_GB2312" w:cs="Times New Roman"/>
          <w:color w:val="auto"/>
          <w:sz w:val="32"/>
          <w:szCs w:val="32"/>
          <w:highlight w:val="none"/>
          <w:u w:val="single"/>
          <w:lang w:val="en-US" w:eastAsia="zh-CN"/>
        </w:rPr>
        <w:t xml:space="preserve"> </w:t>
      </w:r>
    </w:p>
    <w:p w14:paraId="37496465">
      <w:pPr>
        <w:keepNext w:val="0"/>
        <w:keepLines w:val="0"/>
        <w:pageBreakBefore w:val="0"/>
        <w:widowControl w:val="0"/>
        <w:kinsoku/>
        <w:wordWrap/>
        <w:overflowPunct/>
        <w:topLinePunct w:val="0"/>
        <w:autoSpaceDE/>
        <w:autoSpaceDN/>
        <w:bidi w:val="0"/>
        <w:adjustRightInd w:val="0"/>
        <w:snapToGrid w:val="0"/>
        <w:spacing w:line="360" w:lineRule="auto"/>
        <w:ind w:left="1919" w:leftChars="133" w:hanging="1600" w:hangingChars="500"/>
        <w:jc w:val="both"/>
        <w:textAlignment w:val="auto"/>
        <w:rPr>
          <w:rFonts w:hint="default" w:ascii="方正仿宋_GB2312" w:eastAsia="方正仿宋_GB2312"/>
          <w:color w:val="auto"/>
          <w:sz w:val="32"/>
          <w:szCs w:val="32"/>
          <w:highlight w:val="none"/>
          <w:lang w:val="en-US"/>
        </w:rPr>
      </w:pPr>
      <w:r>
        <w:rPr>
          <w:rFonts w:hint="eastAsia" w:ascii="方正仿宋_GB2312" w:eastAsia="方正仿宋_GB2312"/>
          <w:color w:val="auto"/>
          <w:sz w:val="32"/>
          <w:szCs w:val="32"/>
          <w:highlight w:val="none"/>
        </w:rPr>
        <w:t>建设单位（盖章）：</w:t>
      </w:r>
      <w:r>
        <w:rPr>
          <w:rFonts w:hint="eastAsia" w:ascii="方正仿宋_GB2312" w:eastAsia="方正仿宋_GB2312"/>
          <w:color w:val="auto"/>
          <w:sz w:val="32"/>
          <w:szCs w:val="32"/>
          <w:highlight w:val="none"/>
          <w:u w:val="single"/>
          <w:lang w:val="en-US" w:eastAsia="zh-CN"/>
        </w:rPr>
        <w:t xml:space="preserve">       安徽其冠塑业有限公司        </w:t>
      </w:r>
    </w:p>
    <w:p w14:paraId="66C6D1FB">
      <w:pPr>
        <w:keepNext w:val="0"/>
        <w:keepLines w:val="0"/>
        <w:pageBreakBefore w:val="0"/>
        <w:widowControl w:val="0"/>
        <w:kinsoku/>
        <w:wordWrap/>
        <w:overflowPunct/>
        <w:topLinePunct w:val="0"/>
        <w:autoSpaceDE/>
        <w:autoSpaceDN/>
        <w:bidi w:val="0"/>
        <w:adjustRightInd w:val="0"/>
        <w:snapToGrid w:val="0"/>
        <w:spacing w:line="360" w:lineRule="auto"/>
        <w:ind w:left="1919" w:leftChars="133" w:hanging="1600" w:hangingChars="500"/>
        <w:jc w:val="both"/>
        <w:textAlignment w:val="auto"/>
        <w:rPr>
          <w:rFonts w:hint="default" w:ascii="方正仿宋_GB2312" w:eastAsia="方正仿宋_GB2312"/>
          <w:color w:val="auto"/>
          <w:sz w:val="32"/>
          <w:szCs w:val="32"/>
          <w:highlight w:val="none"/>
          <w:lang w:val="en-US" w:eastAsia="zh-CN"/>
        </w:rPr>
      </w:pPr>
      <w:r>
        <w:rPr>
          <w:rFonts w:hint="eastAsia" w:ascii="方正仿宋_GB2312" w:eastAsia="方正仿宋_GB2312"/>
          <w:color w:val="auto"/>
          <w:sz w:val="32"/>
          <w:szCs w:val="32"/>
          <w:highlight w:val="none"/>
        </w:rPr>
        <w:t>编制日期：</w:t>
      </w:r>
      <w:r>
        <w:rPr>
          <w:rFonts w:hint="eastAsia" w:ascii="方正仿宋_GB2312" w:eastAsia="方正仿宋_GB2312"/>
          <w:color w:val="auto"/>
          <w:sz w:val="32"/>
          <w:szCs w:val="32"/>
          <w:highlight w:val="none"/>
          <w:u w:val="single"/>
        </w:rPr>
        <w:t xml:space="preserve">        </w:t>
      </w:r>
      <w:r>
        <w:rPr>
          <w:rFonts w:hint="eastAsia" w:ascii="方正仿宋_GB2312" w:eastAsia="方正仿宋_GB2312"/>
          <w:color w:val="auto"/>
          <w:sz w:val="32"/>
          <w:szCs w:val="32"/>
          <w:highlight w:val="none"/>
          <w:u w:val="single"/>
          <w:lang w:val="en-US" w:eastAsia="zh-CN"/>
        </w:rPr>
        <w:t xml:space="preserve">      </w:t>
      </w:r>
      <w:r>
        <w:rPr>
          <w:rFonts w:hint="eastAsia" w:ascii="方正仿宋_GB2312" w:eastAsia="方正仿宋_GB2312"/>
          <w:color w:val="auto"/>
          <w:sz w:val="32"/>
          <w:szCs w:val="32"/>
          <w:highlight w:val="none"/>
          <w:u w:val="single"/>
        </w:rPr>
        <w:t>二〇二</w:t>
      </w:r>
      <w:r>
        <w:rPr>
          <w:rFonts w:hint="eastAsia" w:ascii="方正仿宋_GB2312" w:eastAsia="方正仿宋_GB2312"/>
          <w:color w:val="auto"/>
          <w:sz w:val="32"/>
          <w:szCs w:val="32"/>
          <w:highlight w:val="none"/>
          <w:u w:val="single"/>
          <w:lang w:val="en-US" w:eastAsia="zh-CN"/>
        </w:rPr>
        <w:t>五</w:t>
      </w:r>
      <w:r>
        <w:rPr>
          <w:rFonts w:hint="eastAsia" w:ascii="方正仿宋_GB2312" w:eastAsia="方正仿宋_GB2312"/>
          <w:color w:val="auto"/>
          <w:sz w:val="32"/>
          <w:szCs w:val="32"/>
          <w:highlight w:val="none"/>
          <w:u w:val="single"/>
        </w:rPr>
        <w:t>年</w:t>
      </w:r>
      <w:r>
        <w:rPr>
          <w:rFonts w:hint="eastAsia" w:ascii="方正仿宋_GB2312" w:eastAsia="方正仿宋_GB2312"/>
          <w:color w:val="auto"/>
          <w:sz w:val="32"/>
          <w:szCs w:val="32"/>
          <w:highlight w:val="none"/>
          <w:u w:val="single"/>
          <w:lang w:val="en-US" w:eastAsia="zh-CN"/>
        </w:rPr>
        <w:t>十一</w:t>
      </w:r>
      <w:r>
        <w:rPr>
          <w:rFonts w:hint="eastAsia" w:ascii="方正仿宋_GB2312" w:eastAsia="方正仿宋_GB2312"/>
          <w:color w:val="auto"/>
          <w:sz w:val="32"/>
          <w:szCs w:val="32"/>
          <w:highlight w:val="none"/>
          <w:u w:val="single"/>
        </w:rPr>
        <w:t>月</w:t>
      </w:r>
      <w:r>
        <w:rPr>
          <w:rFonts w:hint="eastAsia" w:ascii="方正仿宋_GB2312" w:eastAsia="方正仿宋_GB2312"/>
          <w:color w:val="auto"/>
          <w:sz w:val="32"/>
          <w:szCs w:val="32"/>
          <w:highlight w:val="none"/>
          <w:u w:val="single"/>
          <w:lang w:val="en-US" w:eastAsia="zh-CN"/>
        </w:rPr>
        <w:t xml:space="preserve">               </w:t>
      </w:r>
    </w:p>
    <w:p w14:paraId="34C0953E">
      <w:pPr>
        <w:adjustRightInd w:val="0"/>
        <w:snapToGrid w:val="0"/>
        <w:spacing w:line="288" w:lineRule="auto"/>
        <w:ind w:firstLine="1040"/>
        <w:rPr>
          <w:rFonts w:ascii="方正仿宋_GB2312" w:eastAsia="方正仿宋_GB2312"/>
          <w:color w:val="auto"/>
          <w:sz w:val="36"/>
          <w:szCs w:val="36"/>
          <w:highlight w:val="none"/>
        </w:rPr>
      </w:pPr>
    </w:p>
    <w:p w14:paraId="250BD3E2">
      <w:pPr>
        <w:adjustRightInd w:val="0"/>
        <w:snapToGrid w:val="0"/>
        <w:spacing w:line="288" w:lineRule="auto"/>
        <w:ind w:firstLine="1040"/>
        <w:rPr>
          <w:rFonts w:ascii="方正仿宋_GB2312" w:eastAsia="方正仿宋_GB2312"/>
          <w:color w:val="auto"/>
          <w:sz w:val="36"/>
          <w:szCs w:val="36"/>
          <w:highlight w:val="none"/>
        </w:rPr>
      </w:pPr>
    </w:p>
    <w:p w14:paraId="5C855BA2">
      <w:pPr>
        <w:adjustRightInd w:val="0"/>
        <w:snapToGrid w:val="0"/>
        <w:spacing w:line="288" w:lineRule="auto"/>
        <w:ind w:firstLine="1040"/>
        <w:rPr>
          <w:rFonts w:ascii="方正仿宋_GB2312" w:eastAsia="方正仿宋_GB2312"/>
          <w:color w:val="auto"/>
          <w:sz w:val="36"/>
          <w:szCs w:val="36"/>
          <w:highlight w:val="none"/>
        </w:rPr>
      </w:pPr>
    </w:p>
    <w:p w14:paraId="6C780AE2">
      <w:pPr>
        <w:adjustRightInd w:val="0"/>
        <w:snapToGrid w:val="0"/>
        <w:spacing w:line="288" w:lineRule="auto"/>
        <w:rPr>
          <w:rFonts w:ascii="方正仿宋_GB2312" w:eastAsia="方正仿宋_GB2312"/>
          <w:color w:val="auto"/>
          <w:sz w:val="36"/>
          <w:szCs w:val="36"/>
          <w:highlight w:val="none"/>
        </w:rPr>
      </w:pPr>
    </w:p>
    <w:bookmarkEnd w:id="0"/>
    <w:p w14:paraId="6F48AE58">
      <w:pPr>
        <w:adjustRightInd w:val="0"/>
        <w:snapToGrid w:val="0"/>
        <w:spacing w:line="288" w:lineRule="auto"/>
        <w:jc w:val="center"/>
        <w:rPr>
          <w:rFonts w:ascii="方正楷体_GB2312" w:eastAsia="方正楷体_GB2312"/>
          <w:color w:val="auto"/>
          <w:sz w:val="36"/>
          <w:szCs w:val="36"/>
          <w:highlight w:val="none"/>
        </w:rPr>
      </w:pPr>
      <w:r>
        <w:rPr>
          <w:rFonts w:hint="eastAsia" w:ascii="方正楷体_GB2312" w:eastAsia="方正楷体_GB2312"/>
          <w:color w:val="auto"/>
          <w:sz w:val="36"/>
          <w:szCs w:val="36"/>
          <w:highlight w:val="none"/>
        </w:rPr>
        <w:t>中华人民共和国生态环境部制</w:t>
      </w:r>
    </w:p>
    <w:p w14:paraId="79535BE6">
      <w:pPr>
        <w:adjustRightInd w:val="0"/>
        <w:snapToGrid w:val="0"/>
        <w:spacing w:line="288" w:lineRule="auto"/>
        <w:ind w:firstLine="1040"/>
        <w:rPr>
          <w:rFonts w:ascii="方正仿宋_GB2312" w:eastAsia="方正仿宋_GB2312"/>
          <w:color w:val="auto"/>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06185C1">
      <w:pPr>
        <w:spacing w:line="360" w:lineRule="auto"/>
        <w:jc w:val="center"/>
        <w:outlineLvl w:val="0"/>
        <w:rPr>
          <w:rFonts w:hint="eastAsia" w:ascii="宋体" w:hAnsi="宋体" w:eastAsia="宋体" w:cs="宋体"/>
          <w:b/>
          <w:bCs/>
          <w:snapToGrid w:val="0"/>
          <w:color w:val="auto"/>
          <w:sz w:val="30"/>
          <w:szCs w:val="30"/>
          <w:highlight w:val="none"/>
        </w:rPr>
      </w:pPr>
      <w:bookmarkStart w:id="40" w:name="_GoBack"/>
      <w:bookmarkEnd w:id="40"/>
      <w:r>
        <w:rPr>
          <w:rFonts w:hint="eastAsia" w:ascii="宋体" w:hAnsi="宋体" w:eastAsia="宋体" w:cs="宋体"/>
          <w:b/>
          <w:bCs/>
          <w:snapToGrid w:val="0"/>
          <w:color w:val="auto"/>
          <w:sz w:val="30"/>
          <w:szCs w:val="30"/>
          <w:highlight w:val="none"/>
        </w:rPr>
        <w:t>一、建设项目基本情况</w:t>
      </w:r>
    </w:p>
    <w:tbl>
      <w:tblPr>
        <w:tblStyle w:val="2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73"/>
        <w:gridCol w:w="1689"/>
        <w:gridCol w:w="157"/>
        <w:gridCol w:w="1782"/>
        <w:gridCol w:w="97"/>
        <w:gridCol w:w="2972"/>
      </w:tblGrid>
      <w:tr w14:paraId="35DF6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73" w:type="dxa"/>
            <w:tcMar>
              <w:top w:w="16" w:type="dxa"/>
              <w:left w:w="16" w:type="dxa"/>
              <w:right w:w="16" w:type="dxa"/>
            </w:tcMar>
            <w:vAlign w:val="center"/>
          </w:tcPr>
          <w:p w14:paraId="2B7D88FF">
            <w:pPr>
              <w:adjustRightInd w:val="0"/>
              <w:snapToGrid w:val="0"/>
              <w:jc w:val="center"/>
              <w:rPr>
                <w:color w:val="auto"/>
                <w:highlight w:val="none"/>
              </w:rPr>
            </w:pPr>
            <w:r>
              <w:rPr>
                <w:color w:val="auto"/>
                <w:highlight w:val="none"/>
              </w:rPr>
              <w:t>建设项目名称</w:t>
            </w:r>
          </w:p>
        </w:tc>
        <w:tc>
          <w:tcPr>
            <w:tcW w:w="6697" w:type="dxa"/>
            <w:gridSpan w:val="5"/>
            <w:vAlign w:val="center"/>
          </w:tcPr>
          <w:p w14:paraId="03FDA1E4">
            <w:pPr>
              <w:adjustRightInd w:val="0"/>
              <w:snapToGrid w:val="0"/>
              <w:jc w:val="center"/>
              <w:rPr>
                <w:rFonts w:hint="eastAsia" w:eastAsia="宋体"/>
                <w:color w:val="auto"/>
                <w:highlight w:val="none"/>
                <w:lang w:eastAsia="zh-CN"/>
              </w:rPr>
            </w:pPr>
            <w:r>
              <w:rPr>
                <w:rFonts w:hint="eastAsia"/>
                <w:color w:val="auto"/>
                <w:highlight w:val="none"/>
                <w:lang w:eastAsia="zh-CN"/>
              </w:rPr>
              <w:t>年产3万套塑料制品项目</w:t>
            </w:r>
          </w:p>
        </w:tc>
      </w:tr>
      <w:tr w14:paraId="06998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73" w:type="dxa"/>
            <w:tcMar>
              <w:top w:w="16" w:type="dxa"/>
              <w:left w:w="16" w:type="dxa"/>
              <w:right w:w="16" w:type="dxa"/>
            </w:tcMar>
            <w:vAlign w:val="center"/>
          </w:tcPr>
          <w:p w14:paraId="40DB7D4F">
            <w:pPr>
              <w:adjustRightInd w:val="0"/>
              <w:snapToGrid w:val="0"/>
              <w:jc w:val="center"/>
              <w:rPr>
                <w:color w:val="auto"/>
                <w:highlight w:val="none"/>
              </w:rPr>
            </w:pPr>
            <w:r>
              <w:rPr>
                <w:color w:val="auto"/>
                <w:highlight w:val="none"/>
              </w:rPr>
              <w:t>项目代码</w:t>
            </w:r>
          </w:p>
        </w:tc>
        <w:tc>
          <w:tcPr>
            <w:tcW w:w="6697" w:type="dxa"/>
            <w:gridSpan w:val="5"/>
            <w:vAlign w:val="center"/>
          </w:tcPr>
          <w:p w14:paraId="68459234">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2407-341324-04-01-917541</w:t>
            </w:r>
          </w:p>
        </w:tc>
      </w:tr>
      <w:tr w14:paraId="57CDF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73" w:type="dxa"/>
            <w:tcMar>
              <w:top w:w="16" w:type="dxa"/>
              <w:left w:w="16" w:type="dxa"/>
              <w:right w:w="16" w:type="dxa"/>
            </w:tcMar>
            <w:vAlign w:val="center"/>
          </w:tcPr>
          <w:p w14:paraId="2BD0A05E">
            <w:pPr>
              <w:adjustRightInd w:val="0"/>
              <w:snapToGrid w:val="0"/>
              <w:jc w:val="center"/>
              <w:rPr>
                <w:color w:val="auto"/>
                <w:highlight w:val="none"/>
              </w:rPr>
            </w:pPr>
            <w:r>
              <w:rPr>
                <w:color w:val="auto"/>
                <w:highlight w:val="none"/>
              </w:rPr>
              <w:t>建设单位联系人</w:t>
            </w:r>
          </w:p>
        </w:tc>
        <w:tc>
          <w:tcPr>
            <w:tcW w:w="1689" w:type="dxa"/>
            <w:vAlign w:val="center"/>
          </w:tcPr>
          <w:p w14:paraId="58CE78C1">
            <w:pPr>
              <w:spacing w:line="240" w:lineRule="auto"/>
              <w:jc w:val="center"/>
              <w:rPr>
                <w:rFonts w:hint="default" w:eastAsia="宋体"/>
                <w:color w:val="auto"/>
                <w:highlight w:val="none"/>
                <w:lang w:val="en-US" w:eastAsia="zh-CN"/>
              </w:rPr>
            </w:pPr>
            <w:r>
              <w:rPr>
                <w:rFonts w:hint="eastAsia"/>
                <w:lang w:val="en-US" w:eastAsia="zh-CN"/>
              </w:rPr>
              <w:t>宗加民</w:t>
            </w:r>
          </w:p>
        </w:tc>
        <w:tc>
          <w:tcPr>
            <w:tcW w:w="1939" w:type="dxa"/>
            <w:gridSpan w:val="2"/>
            <w:vAlign w:val="center"/>
          </w:tcPr>
          <w:p w14:paraId="77029F5D">
            <w:pPr>
              <w:spacing w:line="240" w:lineRule="auto"/>
              <w:jc w:val="center"/>
              <w:rPr>
                <w:rFonts w:hint="eastAsia" w:eastAsia="宋体"/>
                <w:color w:val="auto"/>
                <w:highlight w:val="none"/>
                <w:lang w:eastAsia="zh-CN"/>
              </w:rPr>
            </w:pPr>
            <w:r>
              <w:rPr>
                <w:rFonts w:hint="default" w:ascii="Times New Roman" w:hAnsi="Times New Roman" w:eastAsia="宋体" w:cs="Times New Roman"/>
                <w:color w:val="auto"/>
                <w:sz w:val="24"/>
                <w:szCs w:val="24"/>
                <w:highlight w:val="none"/>
              </w:rPr>
              <w:t>联系</w:t>
            </w:r>
            <w:r>
              <w:rPr>
                <w:rFonts w:hint="eastAsia" w:eastAsia="宋体" w:cs="Times New Roman"/>
                <w:color w:val="auto"/>
                <w:sz w:val="24"/>
                <w:szCs w:val="24"/>
                <w:highlight w:val="none"/>
                <w:lang w:val="en-US" w:eastAsia="zh-CN"/>
              </w:rPr>
              <w:t>方式</w:t>
            </w:r>
          </w:p>
        </w:tc>
        <w:tc>
          <w:tcPr>
            <w:tcW w:w="3069" w:type="dxa"/>
            <w:gridSpan w:val="2"/>
            <w:vAlign w:val="center"/>
          </w:tcPr>
          <w:p w14:paraId="33F43438">
            <w:pPr>
              <w:spacing w:line="240" w:lineRule="auto"/>
              <w:jc w:val="center"/>
              <w:rPr>
                <w:rFonts w:hint="default" w:eastAsia="宋体"/>
                <w:color w:val="auto"/>
                <w:highlight w:val="none"/>
                <w:lang w:val="en-US" w:eastAsia="zh-CN"/>
              </w:rPr>
            </w:pPr>
            <w:r>
              <w:rPr>
                <w:rFonts w:hint="eastAsia"/>
                <w:color w:val="auto"/>
                <w:highlight w:val="none"/>
                <w:lang w:val="en-US" w:eastAsia="zh-CN"/>
              </w:rPr>
              <w:t>13457527222</w:t>
            </w:r>
          </w:p>
        </w:tc>
      </w:tr>
      <w:tr w14:paraId="5D275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73" w:type="dxa"/>
            <w:tcMar>
              <w:top w:w="16" w:type="dxa"/>
              <w:left w:w="16" w:type="dxa"/>
              <w:right w:w="16" w:type="dxa"/>
            </w:tcMar>
            <w:vAlign w:val="center"/>
          </w:tcPr>
          <w:p w14:paraId="4515C220">
            <w:pPr>
              <w:adjustRightInd w:val="0"/>
              <w:snapToGrid w:val="0"/>
              <w:jc w:val="center"/>
              <w:rPr>
                <w:color w:val="auto"/>
                <w:highlight w:val="none"/>
              </w:rPr>
            </w:pPr>
            <w:r>
              <w:rPr>
                <w:color w:val="auto"/>
                <w:highlight w:val="none"/>
              </w:rPr>
              <w:t>建设地点</w:t>
            </w:r>
          </w:p>
        </w:tc>
        <w:tc>
          <w:tcPr>
            <w:tcW w:w="6697" w:type="dxa"/>
            <w:gridSpan w:val="5"/>
            <w:vAlign w:val="center"/>
          </w:tcPr>
          <w:p w14:paraId="07546D7F">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泗县经济开发区蟠龙山路与南柳路交口东南角地块</w:t>
            </w:r>
          </w:p>
        </w:tc>
      </w:tr>
      <w:tr w14:paraId="7B019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73" w:type="dxa"/>
            <w:tcMar>
              <w:top w:w="16" w:type="dxa"/>
              <w:left w:w="16" w:type="dxa"/>
              <w:right w:w="16" w:type="dxa"/>
            </w:tcMar>
            <w:vAlign w:val="center"/>
          </w:tcPr>
          <w:p w14:paraId="010E65DC">
            <w:pPr>
              <w:adjustRightInd w:val="0"/>
              <w:snapToGrid w:val="0"/>
              <w:jc w:val="center"/>
              <w:rPr>
                <w:color w:val="auto"/>
                <w:highlight w:val="none"/>
              </w:rPr>
            </w:pPr>
            <w:r>
              <w:rPr>
                <w:color w:val="auto"/>
                <w:highlight w:val="none"/>
              </w:rPr>
              <w:t>地理坐标</w:t>
            </w:r>
          </w:p>
        </w:tc>
        <w:tc>
          <w:tcPr>
            <w:tcW w:w="6697" w:type="dxa"/>
            <w:gridSpan w:val="5"/>
            <w:vAlign w:val="center"/>
          </w:tcPr>
          <w:p w14:paraId="47155805">
            <w:pPr>
              <w:jc w:val="center"/>
              <w:rPr>
                <w:color w:val="auto"/>
                <w:highlight w:val="none"/>
              </w:rPr>
            </w:pPr>
            <w:r>
              <w:rPr>
                <w:rFonts w:hint="default" w:ascii="Times New Roman" w:hAnsi="Times New Roman" w:eastAsia="宋体" w:cs="Times New Roman"/>
              </w:rPr>
              <w:t>（东经</w:t>
            </w:r>
            <w:r>
              <w:rPr>
                <w:rFonts w:hint="default" w:ascii="Times New Roman" w:hAnsi="Times New Roman" w:eastAsia="宋体" w:cs="Times New Roman"/>
                <w:u w:val="single"/>
                <w:lang w:val="en-US" w:eastAsia="zh-CN"/>
              </w:rPr>
              <w:t>117</w:t>
            </w:r>
            <w:r>
              <w:rPr>
                <w:rFonts w:hint="default" w:ascii="Times New Roman" w:hAnsi="Times New Roman" w:eastAsia="宋体" w:cs="Times New Roman"/>
              </w:rPr>
              <w:t>度</w:t>
            </w:r>
            <w:r>
              <w:rPr>
                <w:rFonts w:hint="eastAsia" w:cs="Times New Roman"/>
                <w:u w:val="single"/>
                <w:lang w:val="en-US" w:eastAsia="zh-CN"/>
              </w:rPr>
              <w:t>55</w:t>
            </w:r>
            <w:r>
              <w:rPr>
                <w:rFonts w:hint="default" w:ascii="Times New Roman" w:hAnsi="Times New Roman" w:eastAsia="宋体" w:cs="Times New Roman"/>
              </w:rPr>
              <w:t>分</w:t>
            </w:r>
            <w:r>
              <w:rPr>
                <w:rFonts w:hint="eastAsia" w:cs="Times New Roman"/>
                <w:u w:val="single"/>
                <w:lang w:val="en-US" w:eastAsia="zh-CN"/>
              </w:rPr>
              <w:t>45.541</w:t>
            </w:r>
            <w:r>
              <w:rPr>
                <w:rFonts w:hint="default" w:ascii="Times New Roman" w:hAnsi="Times New Roman" w:eastAsia="宋体" w:cs="Times New Roman"/>
              </w:rPr>
              <w:t>秒，北纬</w:t>
            </w:r>
            <w:r>
              <w:rPr>
                <w:rFonts w:hint="default" w:ascii="Times New Roman" w:hAnsi="Times New Roman" w:eastAsia="宋体" w:cs="Times New Roman"/>
                <w:u w:val="single"/>
              </w:rPr>
              <w:t>3</w:t>
            </w:r>
            <w:r>
              <w:rPr>
                <w:rFonts w:hint="eastAsia" w:cs="Times New Roman"/>
                <w:u w:val="single"/>
                <w:lang w:val="en-US" w:eastAsia="zh-CN"/>
              </w:rPr>
              <w:t>3</w:t>
            </w:r>
            <w:r>
              <w:rPr>
                <w:rFonts w:hint="default" w:ascii="Times New Roman" w:hAnsi="Times New Roman" w:eastAsia="宋体" w:cs="Times New Roman"/>
              </w:rPr>
              <w:t>度</w:t>
            </w:r>
            <w:r>
              <w:rPr>
                <w:rFonts w:hint="eastAsia" w:cs="Times New Roman"/>
                <w:u w:val="single"/>
                <w:lang w:val="en-US" w:eastAsia="zh-CN"/>
              </w:rPr>
              <w:t>28</w:t>
            </w:r>
            <w:r>
              <w:rPr>
                <w:rFonts w:hint="default" w:ascii="Times New Roman" w:hAnsi="Times New Roman" w:eastAsia="宋体" w:cs="Times New Roman"/>
              </w:rPr>
              <w:t>分</w:t>
            </w:r>
            <w:r>
              <w:rPr>
                <w:rFonts w:hint="eastAsia" w:cs="Times New Roman"/>
                <w:u w:val="single"/>
                <w:lang w:val="en-US" w:eastAsia="zh-CN"/>
              </w:rPr>
              <w:t>10.425</w:t>
            </w:r>
            <w:r>
              <w:rPr>
                <w:rFonts w:hint="default" w:ascii="Times New Roman" w:hAnsi="Times New Roman" w:eastAsia="宋体" w:cs="Times New Roman"/>
              </w:rPr>
              <w:t>秒）</w:t>
            </w:r>
          </w:p>
        </w:tc>
      </w:tr>
      <w:tr w14:paraId="6C3C0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2173" w:type="dxa"/>
            <w:tcMar>
              <w:top w:w="16" w:type="dxa"/>
              <w:left w:w="16" w:type="dxa"/>
              <w:right w:w="16" w:type="dxa"/>
            </w:tcMar>
            <w:vAlign w:val="center"/>
          </w:tcPr>
          <w:p w14:paraId="657B9305">
            <w:pPr>
              <w:adjustRightInd w:val="0"/>
              <w:snapToGrid w:val="0"/>
              <w:jc w:val="center"/>
              <w:rPr>
                <w:color w:val="auto"/>
                <w:highlight w:val="none"/>
              </w:rPr>
            </w:pPr>
            <w:r>
              <w:rPr>
                <w:color w:val="auto"/>
                <w:highlight w:val="none"/>
              </w:rPr>
              <w:t>国民经济</w:t>
            </w:r>
          </w:p>
          <w:p w14:paraId="0E8356F8">
            <w:pPr>
              <w:adjustRightInd w:val="0"/>
              <w:snapToGrid w:val="0"/>
              <w:jc w:val="center"/>
              <w:rPr>
                <w:color w:val="auto"/>
                <w:highlight w:val="none"/>
              </w:rPr>
            </w:pPr>
            <w:r>
              <w:rPr>
                <w:color w:val="auto"/>
                <w:highlight w:val="none"/>
              </w:rPr>
              <w:t>行业类别</w:t>
            </w:r>
          </w:p>
        </w:tc>
        <w:tc>
          <w:tcPr>
            <w:tcW w:w="1846" w:type="dxa"/>
            <w:gridSpan w:val="2"/>
            <w:vAlign w:val="center"/>
          </w:tcPr>
          <w:p w14:paraId="3D190FF7">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C2929塑料零件及其他塑料制品制造</w:t>
            </w:r>
          </w:p>
        </w:tc>
        <w:tc>
          <w:tcPr>
            <w:tcW w:w="1879" w:type="dxa"/>
            <w:gridSpan w:val="2"/>
            <w:vAlign w:val="center"/>
          </w:tcPr>
          <w:p w14:paraId="1A866306">
            <w:pPr>
              <w:adjustRightInd w:val="0"/>
              <w:snapToGrid w:val="0"/>
              <w:jc w:val="center"/>
              <w:rPr>
                <w:color w:val="auto"/>
                <w:highlight w:val="none"/>
              </w:rPr>
            </w:pPr>
            <w:r>
              <w:rPr>
                <w:color w:val="auto"/>
                <w:highlight w:val="none"/>
              </w:rPr>
              <w:t>建设项目</w:t>
            </w:r>
          </w:p>
          <w:p w14:paraId="3C95DADF">
            <w:pPr>
              <w:adjustRightInd w:val="0"/>
              <w:snapToGrid w:val="0"/>
              <w:jc w:val="center"/>
              <w:rPr>
                <w:color w:val="auto"/>
                <w:highlight w:val="none"/>
              </w:rPr>
            </w:pPr>
            <w:r>
              <w:rPr>
                <w:color w:val="auto"/>
                <w:highlight w:val="none"/>
              </w:rPr>
              <w:t>行业类别</w:t>
            </w:r>
          </w:p>
        </w:tc>
        <w:tc>
          <w:tcPr>
            <w:tcW w:w="2972" w:type="dxa"/>
            <w:vAlign w:val="center"/>
          </w:tcPr>
          <w:p w14:paraId="5143BAAC">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二十</w:t>
            </w:r>
            <w:r>
              <w:rPr>
                <w:rFonts w:hint="default" w:ascii="Times New Roman" w:hAnsi="Times New Roman" w:eastAsia="宋体" w:cs="Times New Roman"/>
                <w:color w:val="auto"/>
                <w:highlight w:val="none"/>
                <w:lang w:val="en-US" w:eastAsia="zh-CN"/>
              </w:rPr>
              <w:t>六、橡胶和塑料制品业 29</w:t>
            </w:r>
            <w:r>
              <w:rPr>
                <w:rFonts w:hint="eastAsia" w:ascii="Times New Roman" w:hAnsi="Times New Roman" w:eastAsia="宋体" w:cs="Times New Roman"/>
                <w:color w:val="auto"/>
                <w:highlight w:val="none"/>
                <w:lang w:val="en-US" w:eastAsia="zh-CN"/>
              </w:rPr>
              <w:t>“53 塑料制品业29</w:t>
            </w:r>
            <w:r>
              <w:rPr>
                <w:rFonts w:hint="eastAsia"/>
                <w:color w:val="auto"/>
                <w:highlight w:val="none"/>
                <w:lang w:val="en-US" w:eastAsia="zh-CN"/>
              </w:rPr>
              <w:t>2”</w:t>
            </w:r>
          </w:p>
        </w:tc>
      </w:tr>
      <w:tr w14:paraId="19DAF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8" w:hRule="atLeast"/>
          <w:jc w:val="center"/>
        </w:trPr>
        <w:tc>
          <w:tcPr>
            <w:tcW w:w="2173" w:type="dxa"/>
            <w:tcMar>
              <w:top w:w="16" w:type="dxa"/>
              <w:left w:w="16" w:type="dxa"/>
              <w:right w:w="16" w:type="dxa"/>
            </w:tcMar>
            <w:vAlign w:val="center"/>
          </w:tcPr>
          <w:p w14:paraId="3D1BFE27">
            <w:pPr>
              <w:adjustRightInd w:val="0"/>
              <w:snapToGrid w:val="0"/>
              <w:jc w:val="center"/>
              <w:rPr>
                <w:color w:val="auto"/>
                <w:highlight w:val="none"/>
              </w:rPr>
            </w:pPr>
            <w:r>
              <w:rPr>
                <w:color w:val="auto"/>
                <w:highlight w:val="none"/>
              </w:rPr>
              <w:t>建设性质</w:t>
            </w:r>
          </w:p>
        </w:tc>
        <w:tc>
          <w:tcPr>
            <w:tcW w:w="1846" w:type="dxa"/>
            <w:gridSpan w:val="2"/>
            <w:vAlign w:val="center"/>
          </w:tcPr>
          <w:p w14:paraId="25D7A7B8">
            <w:pPr>
              <w:jc w:val="left"/>
              <w:rPr>
                <w:color w:val="auto"/>
                <w:highlight w:val="none"/>
              </w:rPr>
            </w:pPr>
            <w:r>
              <w:rPr>
                <w:rFonts w:hint="eastAsia" w:ascii="宋体" w:hAnsi="宋体" w:cs="宋体"/>
                <w:color w:val="auto"/>
                <w:highlight w:val="none"/>
                <w:lang w:eastAsia="zh-CN"/>
              </w:rPr>
              <w:t>☑</w:t>
            </w:r>
            <w:r>
              <w:rPr>
                <w:color w:val="auto"/>
                <w:highlight w:val="none"/>
              </w:rPr>
              <w:t>新建（迁建）</w:t>
            </w:r>
          </w:p>
          <w:p w14:paraId="4D234C53">
            <w:pPr>
              <w:jc w:val="left"/>
              <w:rPr>
                <w:color w:val="auto"/>
                <w:highlight w:val="none"/>
              </w:rPr>
            </w:pPr>
            <w:r>
              <w:rPr>
                <w:rFonts w:hint="eastAsia" w:ascii="宋体" w:hAnsi="宋体" w:cs="宋体"/>
                <w:color w:val="auto"/>
                <w:highlight w:val="none"/>
              </w:rPr>
              <w:t>□</w:t>
            </w:r>
            <w:r>
              <w:rPr>
                <w:color w:val="auto"/>
                <w:highlight w:val="none"/>
              </w:rPr>
              <w:t>改建</w:t>
            </w:r>
          </w:p>
          <w:p w14:paraId="7E30F7CD">
            <w:pPr>
              <w:jc w:val="left"/>
              <w:rPr>
                <w:color w:val="auto"/>
                <w:highlight w:val="none"/>
              </w:rPr>
            </w:pPr>
            <w:r>
              <w:rPr>
                <w:rFonts w:hint="eastAsia" w:ascii="宋体" w:hAnsi="宋体" w:cs="宋体"/>
                <w:color w:val="auto"/>
                <w:highlight w:val="none"/>
                <w:lang w:eastAsia="zh-CN"/>
              </w:rPr>
              <w:t>□</w:t>
            </w:r>
            <w:r>
              <w:rPr>
                <w:color w:val="auto"/>
                <w:highlight w:val="none"/>
              </w:rPr>
              <w:t>扩建</w:t>
            </w:r>
          </w:p>
          <w:p w14:paraId="3F2213B1">
            <w:pPr>
              <w:rPr>
                <w:color w:val="auto"/>
                <w:highlight w:val="none"/>
              </w:rPr>
            </w:pPr>
            <w:r>
              <w:rPr>
                <w:rFonts w:hint="eastAsia" w:ascii="宋体" w:hAnsi="宋体" w:cs="宋体"/>
                <w:color w:val="auto"/>
                <w:highlight w:val="none"/>
                <w:lang w:eastAsia="zh-CN"/>
              </w:rPr>
              <w:t>□</w:t>
            </w:r>
            <w:r>
              <w:rPr>
                <w:color w:val="auto"/>
                <w:highlight w:val="none"/>
              </w:rPr>
              <w:t>技术改造</w:t>
            </w:r>
          </w:p>
        </w:tc>
        <w:tc>
          <w:tcPr>
            <w:tcW w:w="1879" w:type="dxa"/>
            <w:gridSpan w:val="2"/>
            <w:vAlign w:val="center"/>
          </w:tcPr>
          <w:p w14:paraId="1A106CEF">
            <w:pPr>
              <w:adjustRightInd w:val="0"/>
              <w:snapToGrid w:val="0"/>
              <w:jc w:val="center"/>
              <w:rPr>
                <w:color w:val="auto"/>
                <w:highlight w:val="none"/>
              </w:rPr>
            </w:pPr>
            <w:r>
              <w:rPr>
                <w:color w:val="auto"/>
                <w:highlight w:val="none"/>
              </w:rPr>
              <w:t>建设项目</w:t>
            </w:r>
          </w:p>
          <w:p w14:paraId="4F9A056B">
            <w:pPr>
              <w:adjustRightInd w:val="0"/>
              <w:snapToGrid w:val="0"/>
              <w:jc w:val="center"/>
              <w:rPr>
                <w:color w:val="auto"/>
                <w:highlight w:val="none"/>
              </w:rPr>
            </w:pPr>
            <w:r>
              <w:rPr>
                <w:color w:val="auto"/>
                <w:highlight w:val="none"/>
              </w:rPr>
              <w:t>申报情形</w:t>
            </w:r>
          </w:p>
        </w:tc>
        <w:tc>
          <w:tcPr>
            <w:tcW w:w="2972" w:type="dxa"/>
            <w:vAlign w:val="center"/>
          </w:tcPr>
          <w:p w14:paraId="2D3998D3">
            <w:pPr>
              <w:jc w:val="left"/>
              <w:rPr>
                <w:color w:val="auto"/>
                <w:highlight w:val="none"/>
              </w:rPr>
            </w:pPr>
            <w:r>
              <w:rPr>
                <w:rFonts w:hint="eastAsia" w:ascii="宋体" w:hAnsi="宋体" w:cs="宋体"/>
                <w:color w:val="auto"/>
                <w:highlight w:val="none"/>
                <w:lang w:eastAsia="zh-CN"/>
              </w:rPr>
              <w:t>☑</w:t>
            </w:r>
            <w:r>
              <w:rPr>
                <w:color w:val="auto"/>
                <w:highlight w:val="none"/>
              </w:rPr>
              <w:t>首次申报项目</w:t>
            </w:r>
          </w:p>
          <w:p w14:paraId="072D1955">
            <w:pPr>
              <w:jc w:val="left"/>
              <w:rPr>
                <w:color w:val="auto"/>
                <w:highlight w:val="none"/>
              </w:rPr>
            </w:pPr>
            <w:r>
              <w:rPr>
                <w:rFonts w:hint="eastAsia" w:ascii="宋体" w:hAnsi="宋体" w:cs="宋体"/>
                <w:color w:val="auto"/>
                <w:highlight w:val="none"/>
              </w:rPr>
              <w:t>□</w:t>
            </w:r>
            <w:r>
              <w:rPr>
                <w:color w:val="auto"/>
                <w:highlight w:val="none"/>
              </w:rPr>
              <w:t>不予批准后再次申报项目</w:t>
            </w:r>
          </w:p>
          <w:p w14:paraId="095BBC7C">
            <w:pPr>
              <w:jc w:val="left"/>
              <w:rPr>
                <w:color w:val="auto"/>
                <w:highlight w:val="none"/>
              </w:rPr>
            </w:pPr>
            <w:r>
              <w:rPr>
                <w:rFonts w:hint="eastAsia" w:ascii="宋体" w:hAnsi="宋体" w:cs="宋体"/>
                <w:color w:val="auto"/>
                <w:highlight w:val="none"/>
              </w:rPr>
              <w:t>□</w:t>
            </w:r>
            <w:r>
              <w:rPr>
                <w:color w:val="auto"/>
                <w:highlight w:val="none"/>
              </w:rPr>
              <w:t>超五年重新审核项目</w:t>
            </w:r>
          </w:p>
          <w:p w14:paraId="64DFC53E">
            <w:pPr>
              <w:jc w:val="left"/>
              <w:rPr>
                <w:color w:val="auto"/>
                <w:highlight w:val="none"/>
              </w:rPr>
            </w:pPr>
            <w:r>
              <w:rPr>
                <w:rFonts w:hint="eastAsia" w:ascii="宋体" w:hAnsi="宋体" w:cs="宋体"/>
                <w:color w:val="auto"/>
                <w:highlight w:val="none"/>
              </w:rPr>
              <w:t>□</w:t>
            </w:r>
            <w:r>
              <w:rPr>
                <w:color w:val="auto"/>
                <w:highlight w:val="none"/>
              </w:rPr>
              <w:t>重大变动重新报批项目</w:t>
            </w:r>
          </w:p>
        </w:tc>
      </w:tr>
      <w:tr w14:paraId="38273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3" w:hRule="atLeast"/>
          <w:jc w:val="center"/>
        </w:trPr>
        <w:tc>
          <w:tcPr>
            <w:tcW w:w="2173" w:type="dxa"/>
            <w:tcMar>
              <w:top w:w="16" w:type="dxa"/>
              <w:left w:w="16" w:type="dxa"/>
              <w:right w:w="16" w:type="dxa"/>
            </w:tcMar>
            <w:vAlign w:val="center"/>
          </w:tcPr>
          <w:p w14:paraId="68ED5EAB">
            <w:pPr>
              <w:adjustRightInd w:val="0"/>
              <w:snapToGrid w:val="0"/>
              <w:jc w:val="center"/>
              <w:rPr>
                <w:color w:val="auto"/>
                <w:highlight w:val="none"/>
              </w:rPr>
            </w:pPr>
            <w:r>
              <w:rPr>
                <w:color w:val="auto"/>
                <w:highlight w:val="none"/>
              </w:rPr>
              <w:t>项目审批（核准/</w:t>
            </w:r>
          </w:p>
          <w:p w14:paraId="111BD2E3">
            <w:pPr>
              <w:adjustRightInd w:val="0"/>
              <w:snapToGrid w:val="0"/>
              <w:jc w:val="center"/>
              <w:rPr>
                <w:color w:val="auto"/>
                <w:highlight w:val="none"/>
              </w:rPr>
            </w:pPr>
            <w:r>
              <w:rPr>
                <w:color w:val="auto"/>
                <w:highlight w:val="none"/>
              </w:rPr>
              <w:t>备案）部门（选填）</w:t>
            </w:r>
          </w:p>
        </w:tc>
        <w:tc>
          <w:tcPr>
            <w:tcW w:w="1846" w:type="dxa"/>
            <w:gridSpan w:val="2"/>
            <w:vAlign w:val="center"/>
          </w:tcPr>
          <w:p w14:paraId="58FEC6D3">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泗县发展和改革委员会</w:t>
            </w:r>
          </w:p>
        </w:tc>
        <w:tc>
          <w:tcPr>
            <w:tcW w:w="1879" w:type="dxa"/>
            <w:gridSpan w:val="2"/>
            <w:vAlign w:val="center"/>
          </w:tcPr>
          <w:p w14:paraId="54A4F1D9">
            <w:pPr>
              <w:adjustRightInd w:val="0"/>
              <w:snapToGrid w:val="0"/>
              <w:jc w:val="center"/>
              <w:rPr>
                <w:color w:val="auto"/>
                <w:highlight w:val="none"/>
              </w:rPr>
            </w:pPr>
            <w:r>
              <w:rPr>
                <w:color w:val="auto"/>
                <w:highlight w:val="none"/>
              </w:rPr>
              <w:t>项目审批（核准/</w:t>
            </w:r>
          </w:p>
          <w:p w14:paraId="53E3CE11">
            <w:pPr>
              <w:adjustRightInd w:val="0"/>
              <w:snapToGrid w:val="0"/>
              <w:jc w:val="center"/>
              <w:rPr>
                <w:color w:val="auto"/>
                <w:highlight w:val="none"/>
              </w:rPr>
            </w:pPr>
            <w:r>
              <w:rPr>
                <w:color w:val="auto"/>
                <w:highlight w:val="none"/>
              </w:rPr>
              <w:t>备案）文号（选填）</w:t>
            </w:r>
          </w:p>
        </w:tc>
        <w:tc>
          <w:tcPr>
            <w:tcW w:w="2972" w:type="dxa"/>
            <w:vAlign w:val="center"/>
          </w:tcPr>
          <w:p w14:paraId="00A52152">
            <w:pPr>
              <w:adjustRightInd w:val="0"/>
              <w:snapToGrid w:val="0"/>
              <w:jc w:val="center"/>
              <w:rPr>
                <w:rFonts w:hint="eastAsia" w:eastAsia="宋体"/>
                <w:color w:val="auto"/>
                <w:highlight w:val="none"/>
                <w:lang w:eastAsia="zh-CN"/>
              </w:rPr>
            </w:pPr>
            <w:r>
              <w:rPr>
                <w:rFonts w:hint="eastAsia" w:eastAsia="宋体"/>
                <w:color w:val="auto"/>
                <w:highlight w:val="none"/>
                <w:lang w:eastAsia="zh-CN"/>
              </w:rPr>
              <w:t>泗发改备案</w:t>
            </w:r>
            <w:r>
              <w:rPr>
                <w:rFonts w:hint="eastAsia"/>
                <w:color w:val="auto"/>
                <w:highlight w:val="none"/>
                <w:lang w:eastAsia="zh-CN"/>
              </w:rPr>
              <w:t>〔2024〕393号</w:t>
            </w:r>
          </w:p>
        </w:tc>
      </w:tr>
      <w:tr w14:paraId="0B482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2173" w:type="dxa"/>
            <w:tcMar>
              <w:top w:w="16" w:type="dxa"/>
              <w:left w:w="16" w:type="dxa"/>
              <w:right w:w="16" w:type="dxa"/>
            </w:tcMar>
            <w:vAlign w:val="center"/>
          </w:tcPr>
          <w:p w14:paraId="1CC7E56E">
            <w:pPr>
              <w:adjustRightInd w:val="0"/>
              <w:snapToGrid w:val="0"/>
              <w:jc w:val="center"/>
              <w:rPr>
                <w:color w:val="auto"/>
                <w:highlight w:val="none"/>
              </w:rPr>
            </w:pPr>
            <w:r>
              <w:rPr>
                <w:color w:val="auto"/>
                <w:highlight w:val="none"/>
              </w:rPr>
              <w:t>总投资（万元）</w:t>
            </w:r>
          </w:p>
        </w:tc>
        <w:tc>
          <w:tcPr>
            <w:tcW w:w="1846" w:type="dxa"/>
            <w:gridSpan w:val="2"/>
            <w:vAlign w:val="center"/>
          </w:tcPr>
          <w:p w14:paraId="0B4FCDA4">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1800</w:t>
            </w:r>
          </w:p>
        </w:tc>
        <w:tc>
          <w:tcPr>
            <w:tcW w:w="1879" w:type="dxa"/>
            <w:gridSpan w:val="2"/>
            <w:tcMar>
              <w:top w:w="16" w:type="dxa"/>
              <w:left w:w="16" w:type="dxa"/>
              <w:right w:w="16" w:type="dxa"/>
            </w:tcMar>
            <w:vAlign w:val="center"/>
          </w:tcPr>
          <w:p w14:paraId="20930F50">
            <w:pPr>
              <w:adjustRightInd w:val="0"/>
              <w:snapToGrid w:val="0"/>
              <w:jc w:val="center"/>
              <w:rPr>
                <w:color w:val="auto"/>
                <w:highlight w:val="none"/>
              </w:rPr>
            </w:pPr>
            <w:r>
              <w:rPr>
                <w:color w:val="auto"/>
                <w:highlight w:val="none"/>
              </w:rPr>
              <w:t>环保投资（万元）</w:t>
            </w:r>
          </w:p>
        </w:tc>
        <w:tc>
          <w:tcPr>
            <w:tcW w:w="2972" w:type="dxa"/>
            <w:vAlign w:val="center"/>
          </w:tcPr>
          <w:p w14:paraId="478E625A">
            <w:pPr>
              <w:adjustRightInd w:val="0"/>
              <w:snapToGrid w:val="0"/>
              <w:jc w:val="center"/>
              <w:rPr>
                <w:rFonts w:hint="default" w:eastAsia="宋体"/>
                <w:color w:val="auto"/>
                <w:highlight w:val="none"/>
                <w:lang w:val="en-US" w:eastAsia="zh-CN"/>
              </w:rPr>
            </w:pPr>
            <w:r>
              <w:rPr>
                <w:rFonts w:hint="eastAsia"/>
                <w:lang w:val="en-US" w:eastAsia="zh-CN"/>
              </w:rPr>
              <w:t>68</w:t>
            </w:r>
          </w:p>
        </w:tc>
      </w:tr>
      <w:tr w14:paraId="5103F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2173" w:type="dxa"/>
            <w:tcMar>
              <w:top w:w="16" w:type="dxa"/>
              <w:left w:w="16" w:type="dxa"/>
              <w:right w:w="16" w:type="dxa"/>
            </w:tcMar>
            <w:vAlign w:val="center"/>
          </w:tcPr>
          <w:p w14:paraId="76688E78">
            <w:pPr>
              <w:adjustRightInd w:val="0"/>
              <w:snapToGrid w:val="0"/>
              <w:jc w:val="center"/>
              <w:rPr>
                <w:color w:val="auto"/>
                <w:highlight w:val="none"/>
              </w:rPr>
            </w:pPr>
            <w:r>
              <w:rPr>
                <w:color w:val="auto"/>
                <w:highlight w:val="none"/>
              </w:rPr>
              <w:t>环保投资占比（%）</w:t>
            </w:r>
          </w:p>
        </w:tc>
        <w:tc>
          <w:tcPr>
            <w:tcW w:w="1846" w:type="dxa"/>
            <w:gridSpan w:val="2"/>
            <w:vAlign w:val="center"/>
          </w:tcPr>
          <w:p w14:paraId="514E0D36">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3.7</w:t>
            </w:r>
          </w:p>
        </w:tc>
        <w:tc>
          <w:tcPr>
            <w:tcW w:w="1879" w:type="dxa"/>
            <w:gridSpan w:val="2"/>
            <w:tcMar>
              <w:top w:w="16" w:type="dxa"/>
              <w:left w:w="16" w:type="dxa"/>
              <w:right w:w="16" w:type="dxa"/>
            </w:tcMar>
            <w:vAlign w:val="center"/>
          </w:tcPr>
          <w:p w14:paraId="0190C8AD">
            <w:pPr>
              <w:adjustRightInd w:val="0"/>
              <w:snapToGrid w:val="0"/>
              <w:jc w:val="center"/>
              <w:rPr>
                <w:color w:val="auto"/>
                <w:highlight w:val="none"/>
              </w:rPr>
            </w:pPr>
            <w:r>
              <w:rPr>
                <w:color w:val="auto"/>
                <w:highlight w:val="none"/>
              </w:rPr>
              <w:t>施工工期</w:t>
            </w:r>
          </w:p>
        </w:tc>
        <w:tc>
          <w:tcPr>
            <w:tcW w:w="2972" w:type="dxa"/>
            <w:vAlign w:val="center"/>
          </w:tcPr>
          <w:p w14:paraId="7316195E">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三个月</w:t>
            </w:r>
          </w:p>
        </w:tc>
      </w:tr>
      <w:tr w14:paraId="36142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9" w:hRule="atLeast"/>
          <w:jc w:val="center"/>
        </w:trPr>
        <w:tc>
          <w:tcPr>
            <w:tcW w:w="2173" w:type="dxa"/>
            <w:tcMar>
              <w:top w:w="16" w:type="dxa"/>
              <w:left w:w="16" w:type="dxa"/>
              <w:right w:w="16" w:type="dxa"/>
            </w:tcMar>
            <w:vAlign w:val="center"/>
          </w:tcPr>
          <w:p w14:paraId="01BFA252">
            <w:pPr>
              <w:adjustRightInd w:val="0"/>
              <w:snapToGrid w:val="0"/>
              <w:jc w:val="center"/>
              <w:rPr>
                <w:color w:val="auto"/>
                <w:highlight w:val="none"/>
              </w:rPr>
            </w:pPr>
            <w:r>
              <w:rPr>
                <w:color w:val="auto"/>
                <w:highlight w:val="none"/>
              </w:rPr>
              <w:t>是否开工建设</w:t>
            </w:r>
          </w:p>
        </w:tc>
        <w:tc>
          <w:tcPr>
            <w:tcW w:w="1846" w:type="dxa"/>
            <w:gridSpan w:val="2"/>
            <w:vAlign w:val="center"/>
          </w:tcPr>
          <w:p w14:paraId="78F9F0E0">
            <w:pPr>
              <w:adjustRightInd w:val="0"/>
              <w:snapToGrid w:val="0"/>
              <w:rPr>
                <w:color w:val="auto"/>
                <w:highlight w:val="none"/>
              </w:rPr>
            </w:pPr>
            <w:r>
              <w:rPr>
                <w:rFonts w:hint="eastAsia" w:ascii="宋体" w:hAnsi="宋体" w:cs="宋体"/>
                <w:color w:val="auto"/>
                <w:highlight w:val="none"/>
                <w:lang w:eastAsia="zh-CN"/>
              </w:rPr>
              <w:t>☑</w:t>
            </w:r>
            <w:r>
              <w:rPr>
                <w:color w:val="auto"/>
                <w:highlight w:val="none"/>
              </w:rPr>
              <w:t>否</w:t>
            </w:r>
          </w:p>
          <w:p w14:paraId="7A44118B">
            <w:pPr>
              <w:adjustRightInd w:val="0"/>
              <w:snapToGrid w:val="0"/>
              <w:rPr>
                <w:rFonts w:hint="default" w:eastAsia="宋体"/>
                <w:color w:val="auto"/>
                <w:highlight w:val="none"/>
                <w:lang w:val="en-US" w:eastAsia="zh-CN"/>
              </w:rPr>
            </w:pPr>
            <w:r>
              <w:rPr>
                <w:rFonts w:hint="eastAsia" w:ascii="宋体" w:hAnsi="宋体" w:cs="宋体"/>
                <w:color w:val="auto"/>
                <w:highlight w:val="none"/>
              </w:rPr>
              <w:t>□</w:t>
            </w:r>
            <w:r>
              <w:rPr>
                <w:color w:val="auto"/>
                <w:highlight w:val="none"/>
              </w:rPr>
              <w:t>是：</w:t>
            </w:r>
            <w:r>
              <w:rPr>
                <w:rFonts w:hint="eastAsia"/>
                <w:color w:val="auto"/>
                <w:highlight w:val="none"/>
                <w:u w:val="single"/>
                <w:lang w:val="en-US" w:eastAsia="zh-CN"/>
              </w:rPr>
              <w:t xml:space="preserve">        </w:t>
            </w:r>
          </w:p>
        </w:tc>
        <w:tc>
          <w:tcPr>
            <w:tcW w:w="1879" w:type="dxa"/>
            <w:gridSpan w:val="2"/>
            <w:tcMar>
              <w:top w:w="16" w:type="dxa"/>
              <w:left w:w="16" w:type="dxa"/>
              <w:right w:w="16" w:type="dxa"/>
            </w:tcMar>
            <w:vAlign w:val="center"/>
          </w:tcPr>
          <w:p w14:paraId="39229DF8">
            <w:pPr>
              <w:adjustRightInd w:val="0"/>
              <w:snapToGrid w:val="0"/>
              <w:jc w:val="center"/>
              <w:rPr>
                <w:color w:val="auto"/>
                <w:spacing w:val="-6"/>
                <w:highlight w:val="none"/>
              </w:rPr>
            </w:pPr>
            <w:r>
              <w:rPr>
                <w:color w:val="auto"/>
                <w:spacing w:val="-6"/>
                <w:highlight w:val="none"/>
              </w:rPr>
              <w:t>用地（用海）</w:t>
            </w:r>
          </w:p>
          <w:p w14:paraId="2B36ABB0">
            <w:pPr>
              <w:adjustRightInd w:val="0"/>
              <w:snapToGrid w:val="0"/>
              <w:jc w:val="center"/>
              <w:rPr>
                <w:color w:val="auto"/>
                <w:highlight w:val="none"/>
              </w:rPr>
            </w:pPr>
            <w:r>
              <w:rPr>
                <w:color w:val="auto"/>
                <w:spacing w:val="-6"/>
                <w:highlight w:val="none"/>
              </w:rPr>
              <w:t>面积（m</w:t>
            </w:r>
            <w:r>
              <w:rPr>
                <w:color w:val="auto"/>
                <w:spacing w:val="-6"/>
                <w:highlight w:val="none"/>
                <w:vertAlign w:val="superscript"/>
              </w:rPr>
              <w:t>2</w:t>
            </w:r>
            <w:r>
              <w:rPr>
                <w:color w:val="auto"/>
                <w:spacing w:val="-6"/>
                <w:highlight w:val="none"/>
              </w:rPr>
              <w:t>）</w:t>
            </w:r>
          </w:p>
        </w:tc>
        <w:tc>
          <w:tcPr>
            <w:tcW w:w="2972" w:type="dxa"/>
            <w:vAlign w:val="center"/>
          </w:tcPr>
          <w:p w14:paraId="111C0C43">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3600</w:t>
            </w:r>
          </w:p>
        </w:tc>
      </w:tr>
      <w:tr w14:paraId="6D68C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173" w:type="dxa"/>
            <w:vAlign w:val="center"/>
          </w:tcPr>
          <w:p w14:paraId="33CC0780">
            <w:pPr>
              <w:autoSpaceDE w:val="0"/>
              <w:autoSpaceDN w:val="0"/>
              <w:adjustRightInd w:val="0"/>
              <w:snapToGrid w:val="0"/>
              <w:jc w:val="center"/>
              <w:rPr>
                <w:color w:val="auto"/>
                <w:kern w:val="0"/>
                <w:highlight w:val="none"/>
              </w:rPr>
            </w:pPr>
            <w:r>
              <w:rPr>
                <w:color w:val="auto"/>
                <w:kern w:val="0"/>
                <w:highlight w:val="none"/>
              </w:rPr>
              <w:t>专项评价设置情况</w:t>
            </w:r>
          </w:p>
        </w:tc>
        <w:tc>
          <w:tcPr>
            <w:tcW w:w="6697" w:type="dxa"/>
            <w:gridSpan w:val="5"/>
            <w:vAlign w:val="center"/>
          </w:tcPr>
          <w:p w14:paraId="242CF276">
            <w:pPr>
              <w:autoSpaceDE w:val="0"/>
              <w:autoSpaceDN w:val="0"/>
              <w:adjustRightInd w:val="0"/>
              <w:snapToGrid w:val="0"/>
              <w:jc w:val="center"/>
              <w:rPr>
                <w:color w:val="auto"/>
                <w:kern w:val="0"/>
                <w:highlight w:val="none"/>
              </w:rPr>
            </w:pPr>
            <w:r>
              <w:rPr>
                <w:rFonts w:hint="eastAsia" w:cs="宋体"/>
                <w:color w:val="auto"/>
                <w:highlight w:val="none"/>
                <w:lang w:bidi="ar"/>
              </w:rPr>
              <w:t>无</w:t>
            </w:r>
          </w:p>
        </w:tc>
      </w:tr>
      <w:tr w14:paraId="18B14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2173" w:type="dxa"/>
            <w:vAlign w:val="center"/>
          </w:tcPr>
          <w:p w14:paraId="0EC9D0C4">
            <w:pPr>
              <w:autoSpaceDE w:val="0"/>
              <w:autoSpaceDN w:val="0"/>
              <w:adjustRightInd w:val="0"/>
              <w:snapToGrid w:val="0"/>
              <w:jc w:val="center"/>
              <w:rPr>
                <w:color w:val="auto"/>
                <w:kern w:val="0"/>
                <w:highlight w:val="none"/>
              </w:rPr>
            </w:pPr>
            <w:r>
              <w:rPr>
                <w:color w:val="auto"/>
                <w:highlight w:val="none"/>
              </w:rPr>
              <w:t>规划情况</w:t>
            </w:r>
          </w:p>
        </w:tc>
        <w:tc>
          <w:tcPr>
            <w:tcW w:w="6697" w:type="dxa"/>
            <w:gridSpan w:val="5"/>
            <w:vAlign w:val="center"/>
          </w:tcPr>
          <w:p w14:paraId="6B40C020">
            <w:pPr>
              <w:autoSpaceDE w:val="0"/>
              <w:autoSpaceDN w:val="0"/>
              <w:adjustRightInd w:val="0"/>
              <w:snapToGrid w:val="0"/>
              <w:spacing w:line="360" w:lineRule="auto"/>
              <w:jc w:val="left"/>
              <w:rPr>
                <w:rFonts w:hint="eastAsia" w:eastAsia="宋体"/>
                <w:lang w:eastAsia="zh-CN"/>
              </w:rPr>
            </w:pPr>
            <w:r>
              <w:rPr>
                <w:b/>
                <w:bCs/>
                <w:kern w:val="0"/>
              </w:rPr>
              <w:t>规划名称：</w:t>
            </w:r>
            <w:r>
              <w:rPr>
                <w:rFonts w:hint="default" w:ascii="Times New Roman" w:hAnsi="Times New Roman" w:cs="Times New Roman"/>
                <w:kern w:val="0"/>
                <w:lang w:eastAsia="zh-CN"/>
              </w:rPr>
              <w:t>《</w:t>
            </w:r>
            <w:r>
              <w:rPr>
                <w:kern w:val="0"/>
              </w:rPr>
              <w:t>安徽泗县经济开发区总体发展规划</w:t>
            </w:r>
            <w:r>
              <w:rPr>
                <w:rFonts w:hint="default" w:ascii="Times New Roman" w:hAnsi="Times New Roman" w:cs="Times New Roman"/>
                <w:kern w:val="0"/>
              </w:rPr>
              <w:t>（2013-2030）</w:t>
            </w:r>
            <w:r>
              <w:rPr>
                <w:rFonts w:hint="default" w:ascii="Times New Roman" w:hAnsi="Times New Roman" w:cs="Times New Roman"/>
                <w:kern w:val="0"/>
                <w:lang w:eastAsia="zh-CN"/>
              </w:rPr>
              <w:t>》</w:t>
            </w:r>
          </w:p>
          <w:p w14:paraId="7A05E6F5">
            <w:pPr>
              <w:autoSpaceDE w:val="0"/>
              <w:autoSpaceDN w:val="0"/>
              <w:adjustRightInd w:val="0"/>
              <w:snapToGrid w:val="0"/>
              <w:spacing w:line="360" w:lineRule="auto"/>
              <w:jc w:val="left"/>
            </w:pPr>
            <w:r>
              <w:rPr>
                <w:b/>
                <w:bCs/>
                <w:kern w:val="0"/>
              </w:rPr>
              <w:t>审批机关：</w:t>
            </w:r>
            <w:r>
              <w:rPr>
                <w:rFonts w:hint="eastAsia"/>
              </w:rPr>
              <w:t>安徽省人民政府</w:t>
            </w:r>
          </w:p>
          <w:p w14:paraId="457FAF67">
            <w:pPr>
              <w:spacing w:before="0" w:after="0" w:line="360" w:lineRule="auto"/>
              <w:ind w:right="0" w:rightChars="0"/>
              <w:rPr>
                <w:bCs/>
                <w:color w:val="auto"/>
                <w:highlight w:val="none"/>
              </w:rPr>
            </w:pPr>
            <w:r>
              <w:rPr>
                <w:b/>
                <w:bCs/>
                <w:sz w:val="24"/>
                <w:szCs w:val="24"/>
              </w:rPr>
              <w:t>审批文件名称和文号：</w:t>
            </w:r>
            <w:r>
              <w:rPr>
                <w:rFonts w:hint="eastAsia"/>
                <w:sz w:val="24"/>
                <w:szCs w:val="28"/>
              </w:rPr>
              <w:t>《安徽省人民政府关于同意安徽泗县经济开发区扩区的批复》，皖政秘</w:t>
            </w:r>
            <w:r>
              <w:rPr>
                <w:rFonts w:hint="eastAsia"/>
                <w:sz w:val="24"/>
                <w:szCs w:val="28"/>
                <w:lang w:eastAsia="zh-CN"/>
              </w:rPr>
              <w:t>〔2014〕124号</w:t>
            </w:r>
          </w:p>
        </w:tc>
      </w:tr>
      <w:tr w14:paraId="2D64D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173" w:type="dxa"/>
            <w:vAlign w:val="center"/>
          </w:tcPr>
          <w:p w14:paraId="7F59193B">
            <w:pPr>
              <w:adjustRightInd w:val="0"/>
              <w:snapToGrid w:val="0"/>
              <w:jc w:val="center"/>
              <w:rPr>
                <w:color w:val="auto"/>
                <w:highlight w:val="none"/>
              </w:rPr>
            </w:pPr>
            <w:r>
              <w:rPr>
                <w:color w:val="auto"/>
                <w:highlight w:val="none"/>
              </w:rPr>
              <w:t>规划环境影响</w:t>
            </w:r>
          </w:p>
          <w:p w14:paraId="3A70AFB9">
            <w:pPr>
              <w:adjustRightInd w:val="0"/>
              <w:snapToGrid w:val="0"/>
              <w:jc w:val="center"/>
              <w:rPr>
                <w:color w:val="auto"/>
                <w:kern w:val="0"/>
                <w:highlight w:val="none"/>
              </w:rPr>
            </w:pPr>
            <w:r>
              <w:rPr>
                <w:color w:val="auto"/>
                <w:highlight w:val="none"/>
              </w:rPr>
              <w:t>评价情况</w:t>
            </w:r>
          </w:p>
        </w:tc>
        <w:tc>
          <w:tcPr>
            <w:tcW w:w="6697" w:type="dxa"/>
            <w:gridSpan w:val="5"/>
            <w:vAlign w:val="center"/>
          </w:tcPr>
          <w:p w14:paraId="2AF0199E">
            <w:pPr>
              <w:autoSpaceDE w:val="0"/>
              <w:autoSpaceDN w:val="0"/>
              <w:adjustRightInd w:val="0"/>
              <w:snapToGrid w:val="0"/>
              <w:spacing w:line="360" w:lineRule="auto"/>
            </w:pPr>
            <w:r>
              <w:rPr>
                <w:rFonts w:hint="eastAsia"/>
                <w:b/>
                <w:bCs/>
              </w:rPr>
              <w:t>规划环境影响评价文件名称：</w:t>
            </w:r>
            <w:r>
              <w:rPr>
                <w:rFonts w:hint="eastAsia"/>
              </w:rPr>
              <w:t>《安徽泗县经济开发区总体发展规划环境影响报告书》</w:t>
            </w:r>
          </w:p>
          <w:p w14:paraId="7031AEA8">
            <w:pPr>
              <w:autoSpaceDE w:val="0"/>
              <w:autoSpaceDN w:val="0"/>
              <w:adjustRightInd w:val="0"/>
              <w:snapToGrid w:val="0"/>
              <w:spacing w:line="360" w:lineRule="auto"/>
            </w:pPr>
            <w:r>
              <w:rPr>
                <w:rFonts w:hint="eastAsia"/>
                <w:b/>
                <w:bCs/>
              </w:rPr>
              <w:t>审查机关：</w:t>
            </w:r>
            <w:r>
              <w:rPr>
                <w:rFonts w:hint="eastAsia"/>
              </w:rPr>
              <w:t>安徽省环境保护厅</w:t>
            </w:r>
          </w:p>
          <w:p w14:paraId="2CEC1CDB">
            <w:pPr>
              <w:widowControl/>
              <w:spacing w:line="360" w:lineRule="auto"/>
            </w:pPr>
            <w:r>
              <w:rPr>
                <w:rFonts w:hint="eastAsia"/>
                <w:b/>
                <w:bCs/>
              </w:rPr>
              <w:t>审查文件名称及文号：</w:t>
            </w:r>
            <w:r>
              <w:rPr>
                <w:rFonts w:hint="eastAsia"/>
              </w:rPr>
              <w:t>《安徽省环保厅关于安徽泗县经济开发区总体发展规划环境影响报告书审查意见的函》皖环函</w:t>
            </w:r>
            <w:r>
              <w:rPr>
                <w:rFonts w:hint="eastAsia"/>
                <w:lang w:eastAsia="zh-CN"/>
              </w:rPr>
              <w:t>〔2014〕645号</w:t>
            </w:r>
          </w:p>
          <w:p w14:paraId="6ED1E627">
            <w:pPr>
              <w:autoSpaceDE w:val="0"/>
              <w:autoSpaceDN w:val="0"/>
              <w:adjustRightInd w:val="0"/>
              <w:snapToGrid w:val="0"/>
              <w:spacing w:line="360" w:lineRule="auto"/>
            </w:pPr>
            <w:r>
              <w:rPr>
                <w:rFonts w:hint="eastAsia" w:ascii="宋体" w:hAnsi="宋体" w:cs="宋体"/>
                <w:b/>
                <w:bCs/>
                <w:kern w:val="0"/>
              </w:rPr>
              <w:t>规划环境影响评价文件名称：</w:t>
            </w:r>
            <w:r>
              <w:rPr>
                <w:rFonts w:hint="eastAsia"/>
              </w:rPr>
              <w:t>《安徽泗县经济开发区总体发展规划环境影响跟踪评价报告书》</w:t>
            </w:r>
          </w:p>
          <w:p w14:paraId="30649B17">
            <w:pPr>
              <w:autoSpaceDE w:val="0"/>
              <w:autoSpaceDN w:val="0"/>
              <w:adjustRightInd w:val="0"/>
              <w:snapToGrid w:val="0"/>
              <w:spacing w:line="360" w:lineRule="auto"/>
            </w:pPr>
            <w:r>
              <w:rPr>
                <w:rFonts w:hint="eastAsia" w:ascii="宋体" w:hAnsi="宋体" w:cs="宋体"/>
                <w:b/>
                <w:bCs/>
                <w:kern w:val="0"/>
              </w:rPr>
              <w:t>审查机关：</w:t>
            </w:r>
            <w:r>
              <w:rPr>
                <w:rFonts w:hint="eastAsia" w:ascii="宋体" w:hAnsi="宋体" w:cs="宋体"/>
                <w:kern w:val="0"/>
              </w:rPr>
              <w:t>宿州市生态环境局</w:t>
            </w:r>
          </w:p>
          <w:p w14:paraId="75C44475">
            <w:pPr>
              <w:autoSpaceDE w:val="0"/>
              <w:autoSpaceDN w:val="0"/>
              <w:adjustRightInd w:val="0"/>
              <w:snapToGrid w:val="0"/>
              <w:spacing w:line="360" w:lineRule="auto"/>
              <w:jc w:val="left"/>
              <w:rPr>
                <w:rFonts w:hint="eastAsia" w:eastAsia="宋体"/>
                <w:color w:val="auto"/>
                <w:highlight w:val="none"/>
                <w:lang w:eastAsia="zh-CN"/>
              </w:rPr>
            </w:pPr>
            <w:r>
              <w:rPr>
                <w:rFonts w:hint="eastAsia" w:ascii="宋体" w:hAnsi="宋体" w:cs="宋体"/>
                <w:b/>
                <w:bCs/>
                <w:kern w:val="0"/>
              </w:rPr>
              <w:t>审查文件名称及文号：</w:t>
            </w:r>
            <w:r>
              <w:rPr>
                <w:rFonts w:hint="eastAsia"/>
              </w:rPr>
              <w:t>《</w:t>
            </w:r>
            <w:r>
              <w:rPr>
                <w:rFonts w:hint="eastAsia" w:ascii="宋体" w:hAnsi="宋体" w:cs="宋体"/>
                <w:kern w:val="0"/>
              </w:rPr>
              <w:t>宿州市生态环境局关于安徽泗县经济开发区总体发展规划环境影响跟踪评价报告书的审查意见</w:t>
            </w:r>
            <w:r>
              <w:rPr>
                <w:rFonts w:hint="eastAsia"/>
              </w:rPr>
              <w:t>》，宿环函</w:t>
            </w:r>
            <w:r>
              <w:rPr>
                <w:rFonts w:hint="eastAsia"/>
                <w:lang w:eastAsia="zh-CN"/>
              </w:rPr>
              <w:t>〔2020〕101号</w:t>
            </w:r>
          </w:p>
        </w:tc>
      </w:tr>
      <w:tr w14:paraId="1818E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173" w:type="dxa"/>
            <w:vAlign w:val="center"/>
          </w:tcPr>
          <w:p w14:paraId="7C90BE64">
            <w:pPr>
              <w:autoSpaceDE w:val="0"/>
              <w:autoSpaceDN w:val="0"/>
              <w:adjustRightInd w:val="0"/>
              <w:snapToGrid w:val="0"/>
              <w:jc w:val="center"/>
              <w:rPr>
                <w:color w:val="auto"/>
                <w:kern w:val="0"/>
                <w:highlight w:val="none"/>
              </w:rPr>
            </w:pPr>
            <w:r>
              <w:rPr>
                <w:color w:val="auto"/>
                <w:kern w:val="0"/>
                <w:highlight w:val="none"/>
              </w:rPr>
              <w:t>规划及规划环境影响评价符合性分析</w:t>
            </w:r>
          </w:p>
        </w:tc>
        <w:tc>
          <w:tcPr>
            <w:tcW w:w="6697" w:type="dxa"/>
            <w:gridSpan w:val="5"/>
            <w:vAlign w:val="center"/>
          </w:tcPr>
          <w:p w14:paraId="608C830B">
            <w:pPr>
              <w:autoSpaceDE w:val="0"/>
              <w:autoSpaceDN w:val="0"/>
              <w:adjustRightInd w:val="0"/>
              <w:snapToGrid w:val="0"/>
              <w:spacing w:line="360" w:lineRule="auto"/>
              <w:rPr>
                <w:rFonts w:hint="eastAsia"/>
                <w:b/>
                <w:bCs/>
                <w:kern w:val="0"/>
              </w:rPr>
            </w:pPr>
            <w:r>
              <w:rPr>
                <w:rFonts w:hint="eastAsia"/>
                <w:b/>
                <w:bCs/>
                <w:kern w:val="0"/>
              </w:rPr>
              <w:t>1、泗县经济开发区规划范围及主导产业</w:t>
            </w:r>
          </w:p>
          <w:p w14:paraId="477C7F47">
            <w:pPr>
              <w:autoSpaceDE w:val="0"/>
              <w:autoSpaceDN w:val="0"/>
              <w:adjustRightInd w:val="0"/>
              <w:snapToGrid w:val="0"/>
              <w:spacing w:line="360" w:lineRule="auto"/>
              <w:ind w:firstLine="480" w:firstLineChars="200"/>
              <w:rPr>
                <w:rFonts w:hint="eastAsia"/>
                <w:kern w:val="0"/>
              </w:rPr>
            </w:pPr>
            <w:r>
              <w:rPr>
                <w:rFonts w:hint="eastAsia"/>
                <w:kern w:val="0"/>
              </w:rPr>
              <w:t>安徽泗县经济开发区于2005年6月正式成立，并于2006年8月8日经安徽省人民政府以皖政秘</w:t>
            </w:r>
            <w:r>
              <w:rPr>
                <w:rFonts w:hint="eastAsia"/>
                <w:kern w:val="0"/>
                <w:lang w:eastAsia="zh-CN"/>
              </w:rPr>
              <w:t>〔2006〕136号</w:t>
            </w:r>
            <w:r>
              <w:rPr>
                <w:rFonts w:hint="eastAsia"/>
                <w:kern w:val="0"/>
              </w:rPr>
              <w:t>《安徽省人民政府关于设立安徽泗县经济开发区的批复》文件批准设立为省级开发区，开发区总体规划面积为3.88平方公里，为进一步拓展开发区发展空间，安徽省人民政府于2014年7月1日以《安徽省人民政府关于同意安徽泗县经济开发区扩区的批复》（皖政秘</w:t>
            </w:r>
            <w:r>
              <w:rPr>
                <w:rFonts w:hint="eastAsia"/>
                <w:kern w:val="0"/>
                <w:lang w:eastAsia="zh-CN"/>
              </w:rPr>
              <w:t>〔2014〕124号</w:t>
            </w:r>
            <w:r>
              <w:rPr>
                <w:rFonts w:hint="eastAsia"/>
                <w:kern w:val="0"/>
              </w:rPr>
              <w:t>），同意泗县经济开发区扩区，扩区后总面积18.0052平方公里，2013年11月泗县经济开发区</w:t>
            </w:r>
            <w:r>
              <w:rPr>
                <w:rFonts w:hint="eastAsia"/>
                <w:kern w:val="0"/>
                <w:lang w:val="en-US" w:eastAsia="zh-CN"/>
              </w:rPr>
              <w:t>管委会</w:t>
            </w:r>
            <w:r>
              <w:rPr>
                <w:rFonts w:hint="eastAsia"/>
                <w:kern w:val="0"/>
              </w:rPr>
              <w:t>委托天津天发源环境保护事务代理中心有限公司开展安徽泗县经济开发区总体发展规划的环境影响评价工作，并于2014年5月获得了安徽省环保厅关于安徽泗县经济开发区总体发展规划环境影响报告书审查意见的函（皖环函</w:t>
            </w:r>
            <w:r>
              <w:rPr>
                <w:rFonts w:hint="eastAsia"/>
                <w:kern w:val="0"/>
                <w:lang w:eastAsia="zh-CN"/>
              </w:rPr>
              <w:t>〔2014〕645号</w:t>
            </w:r>
            <w:r>
              <w:rPr>
                <w:rFonts w:hint="eastAsia"/>
                <w:kern w:val="0"/>
              </w:rPr>
              <w:t>）。安徽泗县经济开发区的规划范围为原批复和扩区的全部范围，四至界限：东至东三环路；西至西三环路；南至新汴河；北至古汴河。规划总面积约18.0052平方公里。</w:t>
            </w:r>
          </w:p>
          <w:p w14:paraId="599C61EB">
            <w:pPr>
              <w:autoSpaceDE w:val="0"/>
              <w:autoSpaceDN w:val="0"/>
              <w:adjustRightInd w:val="0"/>
              <w:snapToGrid w:val="0"/>
              <w:spacing w:line="360" w:lineRule="auto"/>
              <w:ind w:firstLine="480" w:firstLineChars="200"/>
              <w:rPr>
                <w:rFonts w:hint="eastAsia"/>
                <w:kern w:val="0"/>
              </w:rPr>
            </w:pPr>
            <w:r>
              <w:rPr>
                <w:rFonts w:hint="eastAsia"/>
                <w:kern w:val="0"/>
              </w:rPr>
              <w:t>泗县经济开发区主导产业为机械电子、纺织服装、农产品加工。</w:t>
            </w:r>
          </w:p>
          <w:p w14:paraId="3FCFB95E">
            <w:pPr>
              <w:autoSpaceDE w:val="0"/>
              <w:autoSpaceDN w:val="0"/>
              <w:adjustRightInd w:val="0"/>
              <w:snapToGrid w:val="0"/>
              <w:spacing w:line="360" w:lineRule="auto"/>
              <w:rPr>
                <w:rFonts w:hint="eastAsia"/>
                <w:b/>
                <w:bCs/>
                <w:kern w:val="0"/>
              </w:rPr>
            </w:pPr>
            <w:r>
              <w:rPr>
                <w:rFonts w:hint="eastAsia"/>
                <w:b/>
                <w:bCs/>
                <w:kern w:val="0"/>
                <w:lang w:val="en-US" w:eastAsia="zh-CN"/>
              </w:rPr>
              <w:t>2、</w:t>
            </w:r>
            <w:r>
              <w:rPr>
                <w:rFonts w:hint="eastAsia"/>
                <w:b/>
                <w:bCs/>
                <w:kern w:val="0"/>
              </w:rPr>
              <w:t>用地及规划符合性分析</w:t>
            </w:r>
          </w:p>
          <w:p w14:paraId="1952EE1E">
            <w:pPr>
              <w:autoSpaceDE w:val="0"/>
              <w:autoSpaceDN w:val="0"/>
              <w:adjustRightInd w:val="0"/>
              <w:snapToGrid w:val="0"/>
              <w:spacing w:line="360" w:lineRule="auto"/>
              <w:rPr>
                <w:rFonts w:hint="eastAsia"/>
                <w:kern w:val="0"/>
              </w:rPr>
            </w:pPr>
            <w:r>
              <w:rPr>
                <w:rFonts w:hint="eastAsia"/>
                <w:kern w:val="0"/>
              </w:rPr>
              <w:t>（1）用地性质符合性</w:t>
            </w:r>
          </w:p>
          <w:p w14:paraId="1C6C0F15">
            <w:pPr>
              <w:autoSpaceDE w:val="0"/>
              <w:autoSpaceDN w:val="0"/>
              <w:adjustRightInd w:val="0"/>
              <w:snapToGrid w:val="0"/>
              <w:spacing w:line="360" w:lineRule="auto"/>
              <w:ind w:firstLine="480" w:firstLineChars="200"/>
              <w:rPr>
                <w:rFonts w:hint="eastAsia"/>
                <w:kern w:val="0"/>
              </w:rPr>
            </w:pPr>
            <w:r>
              <w:rPr>
                <w:rFonts w:hint="eastAsia"/>
                <w:kern w:val="0"/>
              </w:rPr>
              <w:t>根据泗县经济开发区用地布局图，本项目占地为工业用地，用地性质符合要求。</w:t>
            </w:r>
          </w:p>
          <w:p w14:paraId="3512A1C7">
            <w:pPr>
              <w:autoSpaceDE w:val="0"/>
              <w:autoSpaceDN w:val="0"/>
              <w:adjustRightInd w:val="0"/>
              <w:snapToGrid w:val="0"/>
              <w:spacing w:line="360" w:lineRule="auto"/>
              <w:rPr>
                <w:rFonts w:hint="eastAsia"/>
                <w:kern w:val="0"/>
              </w:rPr>
            </w:pPr>
            <w:r>
              <w:rPr>
                <w:rFonts w:hint="eastAsia"/>
                <w:kern w:val="0"/>
              </w:rPr>
              <w:t>（2）规划符合性</w:t>
            </w:r>
          </w:p>
          <w:p w14:paraId="051256A5">
            <w:pPr>
              <w:autoSpaceDE w:val="0"/>
              <w:autoSpaceDN w:val="0"/>
              <w:adjustRightInd w:val="0"/>
              <w:snapToGrid w:val="0"/>
              <w:spacing w:line="360" w:lineRule="auto"/>
              <w:ind w:firstLine="480" w:firstLineChars="200"/>
              <w:rPr>
                <w:rFonts w:hint="eastAsia"/>
                <w:kern w:val="0"/>
              </w:rPr>
            </w:pPr>
            <w:r>
              <w:rPr>
                <w:rFonts w:hint="eastAsia"/>
                <w:kern w:val="0"/>
              </w:rPr>
              <w:t>根据泗县经济开发区总体发展规划，泗县经济开发区主导产业定位：规划区内构建“3+1”的重点产业体系，其中三大主导产业包括：重点做大做强机械电子这一首位主导产业；发展壮大纺织服装业；巩固提升农副产品深加工产业。根据规划文件，泗县经济开发区优先鼓励与规划主导产业结构相符合的工业项目和与开发区产业有产业链相配套的企业；能耗、高污染型行业禁止入区，其他行业选择性入区；新建20吨以下锅炉禁止入区；食品加工类严格限制酿造类；纺织服装禁止新建印染类和制革类项目。</w:t>
            </w:r>
          </w:p>
          <w:p w14:paraId="35C046CF">
            <w:pPr>
              <w:bidi w:val="0"/>
              <w:jc w:val="center"/>
              <w:rPr>
                <w:rFonts w:hint="default"/>
                <w:b/>
                <w:bCs/>
                <w:lang w:val="en-US" w:eastAsia="zh-CN"/>
              </w:rPr>
            </w:pPr>
            <w:r>
              <w:rPr>
                <w:rFonts w:hint="eastAsia"/>
                <w:b/>
                <w:bCs/>
                <w:lang w:val="en-US" w:eastAsia="zh-CN"/>
              </w:rPr>
              <w:t>表1-1  开发区入区项目行业参考建议一览表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515"/>
              <w:gridCol w:w="1320"/>
            </w:tblGrid>
            <w:tr w14:paraId="5F7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99B68CB">
                  <w:pPr>
                    <w:snapToGrid w:val="0"/>
                    <w:spacing w:line="240" w:lineRule="auto"/>
                    <w:ind w:firstLine="0" w:firstLineChars="0"/>
                    <w:jc w:val="center"/>
                    <w:rPr>
                      <w:color w:val="auto"/>
                      <w:sz w:val="21"/>
                      <w:szCs w:val="21"/>
                    </w:rPr>
                  </w:pPr>
                  <w:r>
                    <w:rPr>
                      <w:color w:val="auto"/>
                      <w:sz w:val="21"/>
                      <w:szCs w:val="21"/>
                    </w:rPr>
                    <w:t>行业门类</w:t>
                  </w:r>
                </w:p>
              </w:tc>
              <w:tc>
                <w:tcPr>
                  <w:tcW w:w="4515" w:type="dxa"/>
                  <w:vAlign w:val="center"/>
                </w:tcPr>
                <w:p w14:paraId="67DA79E6">
                  <w:pPr>
                    <w:snapToGrid w:val="0"/>
                    <w:spacing w:line="240" w:lineRule="auto"/>
                    <w:ind w:firstLine="0" w:firstLineChars="0"/>
                    <w:jc w:val="center"/>
                    <w:rPr>
                      <w:color w:val="auto"/>
                      <w:sz w:val="21"/>
                      <w:szCs w:val="21"/>
                    </w:rPr>
                  </w:pPr>
                  <w:r>
                    <w:rPr>
                      <w:color w:val="auto"/>
                      <w:sz w:val="21"/>
                      <w:szCs w:val="21"/>
                    </w:rPr>
                    <w:t>行业名称</w:t>
                  </w:r>
                </w:p>
              </w:tc>
              <w:tc>
                <w:tcPr>
                  <w:tcW w:w="1320" w:type="dxa"/>
                  <w:vAlign w:val="center"/>
                </w:tcPr>
                <w:p w14:paraId="3F73B517">
                  <w:pPr>
                    <w:snapToGrid w:val="0"/>
                    <w:spacing w:line="240" w:lineRule="auto"/>
                    <w:ind w:firstLine="0" w:firstLineChars="0"/>
                    <w:jc w:val="center"/>
                    <w:rPr>
                      <w:color w:val="auto"/>
                      <w:sz w:val="21"/>
                      <w:szCs w:val="21"/>
                    </w:rPr>
                  </w:pPr>
                  <w:r>
                    <w:rPr>
                      <w:color w:val="auto"/>
                      <w:sz w:val="21"/>
                      <w:szCs w:val="21"/>
                    </w:rPr>
                    <w:t>入区建议</w:t>
                  </w:r>
                </w:p>
              </w:tc>
            </w:tr>
            <w:tr w14:paraId="1045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14:paraId="474A874D">
                  <w:pPr>
                    <w:snapToGrid w:val="0"/>
                    <w:spacing w:line="240" w:lineRule="auto"/>
                    <w:ind w:firstLine="0" w:firstLineChars="0"/>
                    <w:jc w:val="center"/>
                    <w:rPr>
                      <w:color w:val="auto"/>
                      <w:sz w:val="21"/>
                      <w:szCs w:val="21"/>
                    </w:rPr>
                  </w:pPr>
                  <w:r>
                    <w:rPr>
                      <w:color w:val="auto"/>
                      <w:sz w:val="21"/>
                      <w:szCs w:val="21"/>
                    </w:rPr>
                    <w:t>机械电子</w:t>
                  </w:r>
                </w:p>
              </w:tc>
              <w:tc>
                <w:tcPr>
                  <w:tcW w:w="4515" w:type="dxa"/>
                  <w:vAlign w:val="center"/>
                </w:tcPr>
                <w:p w14:paraId="5707CD41">
                  <w:pPr>
                    <w:snapToGrid w:val="0"/>
                    <w:spacing w:line="240" w:lineRule="auto"/>
                    <w:ind w:firstLine="0" w:firstLineChars="0"/>
                    <w:jc w:val="center"/>
                    <w:rPr>
                      <w:color w:val="auto"/>
                      <w:sz w:val="21"/>
                      <w:szCs w:val="21"/>
                    </w:rPr>
                  </w:pPr>
                  <w:r>
                    <w:rPr>
                      <w:color w:val="auto"/>
                      <w:sz w:val="21"/>
                      <w:szCs w:val="21"/>
                    </w:rPr>
                    <w:t>通用、专用设备制造；铁路运输设备制造；汽车、摩托车制造（发动机、零部件）；自行车制造；船舶及浮动装置制造；交通器材及其他交通运输设备制造；电气机械及器材制造（不含电池制造）；仪器仪表及文化、办公用机械制造；电子配件组装；金属制品加工制造</w:t>
                  </w:r>
                </w:p>
              </w:tc>
              <w:tc>
                <w:tcPr>
                  <w:tcW w:w="1320" w:type="dxa"/>
                  <w:vAlign w:val="center"/>
                </w:tcPr>
                <w:p w14:paraId="699F122D">
                  <w:pPr>
                    <w:snapToGrid w:val="0"/>
                    <w:spacing w:line="240" w:lineRule="auto"/>
                    <w:ind w:firstLine="0" w:firstLineChars="0"/>
                    <w:jc w:val="center"/>
                    <w:rPr>
                      <w:color w:val="auto"/>
                      <w:sz w:val="21"/>
                      <w:szCs w:val="21"/>
                    </w:rPr>
                  </w:pPr>
                  <w:r>
                    <w:rPr>
                      <w:color w:val="auto"/>
                      <w:sz w:val="21"/>
                      <w:szCs w:val="21"/>
                    </w:rPr>
                    <w:t>（无电镀、喷漆工艺的）优先入区</w:t>
                  </w:r>
                </w:p>
              </w:tc>
            </w:tr>
            <w:tr w14:paraId="188B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170F5171">
                  <w:pPr>
                    <w:snapToGrid w:val="0"/>
                    <w:spacing w:line="240" w:lineRule="auto"/>
                    <w:ind w:firstLine="0" w:firstLineChars="0"/>
                    <w:jc w:val="center"/>
                    <w:rPr>
                      <w:color w:val="auto"/>
                      <w:sz w:val="21"/>
                      <w:szCs w:val="21"/>
                    </w:rPr>
                  </w:pPr>
                </w:p>
              </w:tc>
              <w:tc>
                <w:tcPr>
                  <w:tcW w:w="4515" w:type="dxa"/>
                  <w:vAlign w:val="center"/>
                </w:tcPr>
                <w:p w14:paraId="77288D1B">
                  <w:pPr>
                    <w:snapToGrid w:val="0"/>
                    <w:spacing w:line="240" w:lineRule="auto"/>
                    <w:ind w:firstLine="0" w:firstLineChars="0"/>
                    <w:jc w:val="center"/>
                    <w:rPr>
                      <w:color w:val="auto"/>
                      <w:sz w:val="21"/>
                      <w:szCs w:val="21"/>
                    </w:rPr>
                  </w:pPr>
                  <w:r>
                    <w:rPr>
                      <w:color w:val="auto"/>
                      <w:sz w:val="21"/>
                      <w:szCs w:val="21"/>
                    </w:rPr>
                    <w:t>集成电路生产，半导体器件生产；印刷电路板，电真空器件</w:t>
                  </w:r>
                </w:p>
              </w:tc>
              <w:tc>
                <w:tcPr>
                  <w:tcW w:w="1320" w:type="dxa"/>
                  <w:vAlign w:val="center"/>
                </w:tcPr>
                <w:p w14:paraId="5D6A0FD7">
                  <w:pPr>
                    <w:snapToGrid w:val="0"/>
                    <w:spacing w:line="240" w:lineRule="auto"/>
                    <w:ind w:firstLine="0" w:firstLineChars="0"/>
                    <w:jc w:val="center"/>
                    <w:rPr>
                      <w:color w:val="auto"/>
                      <w:sz w:val="21"/>
                      <w:szCs w:val="21"/>
                    </w:rPr>
                  </w:pPr>
                  <w:r>
                    <w:rPr>
                      <w:color w:val="auto"/>
                      <w:sz w:val="21"/>
                      <w:szCs w:val="21"/>
                    </w:rPr>
                    <w:t>限制进入</w:t>
                  </w:r>
                </w:p>
              </w:tc>
            </w:tr>
            <w:tr w14:paraId="6632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14:paraId="0F1B24A8">
                  <w:pPr>
                    <w:snapToGrid w:val="0"/>
                    <w:spacing w:line="240" w:lineRule="auto"/>
                    <w:ind w:firstLine="0" w:firstLineChars="0"/>
                    <w:jc w:val="center"/>
                    <w:rPr>
                      <w:color w:val="auto"/>
                      <w:sz w:val="21"/>
                      <w:szCs w:val="21"/>
                    </w:rPr>
                  </w:pPr>
                  <w:r>
                    <w:rPr>
                      <w:bCs/>
                      <w:color w:val="auto"/>
                      <w:sz w:val="21"/>
                      <w:szCs w:val="21"/>
                    </w:rPr>
                    <w:t>纺织服装</w:t>
                  </w:r>
                </w:p>
              </w:tc>
              <w:tc>
                <w:tcPr>
                  <w:tcW w:w="4515" w:type="dxa"/>
                  <w:vAlign w:val="center"/>
                </w:tcPr>
                <w:p w14:paraId="67AA8C58">
                  <w:pPr>
                    <w:snapToGrid w:val="0"/>
                    <w:spacing w:line="240" w:lineRule="auto"/>
                    <w:ind w:firstLine="0" w:firstLineChars="0"/>
                    <w:jc w:val="center"/>
                    <w:rPr>
                      <w:color w:val="auto"/>
                      <w:sz w:val="21"/>
                      <w:szCs w:val="21"/>
                    </w:rPr>
                  </w:pPr>
                  <w:r>
                    <w:rPr>
                      <w:color w:val="auto"/>
                      <w:sz w:val="21"/>
                      <w:szCs w:val="21"/>
                    </w:rPr>
                    <w:t>棉纺纱加工、棉织造加工；毛条和毛纱线加工、毛织造加工；麻纺织；家用纺织制成品制造、非家用纺织制成成品制造；纺织服装、服饰业</w:t>
                  </w:r>
                </w:p>
              </w:tc>
              <w:tc>
                <w:tcPr>
                  <w:tcW w:w="1320" w:type="dxa"/>
                  <w:vAlign w:val="center"/>
                </w:tcPr>
                <w:p w14:paraId="292EAC16">
                  <w:pPr>
                    <w:snapToGrid w:val="0"/>
                    <w:spacing w:line="240" w:lineRule="auto"/>
                    <w:ind w:firstLine="0" w:firstLineChars="0"/>
                    <w:jc w:val="center"/>
                    <w:rPr>
                      <w:color w:val="auto"/>
                      <w:sz w:val="21"/>
                      <w:szCs w:val="21"/>
                    </w:rPr>
                  </w:pPr>
                  <w:r>
                    <w:rPr>
                      <w:color w:val="auto"/>
                      <w:sz w:val="21"/>
                      <w:szCs w:val="21"/>
                    </w:rPr>
                    <w:t>优先入区</w:t>
                  </w:r>
                </w:p>
              </w:tc>
            </w:tr>
            <w:tr w14:paraId="106F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552FB3C5">
                  <w:pPr>
                    <w:snapToGrid w:val="0"/>
                    <w:spacing w:line="240" w:lineRule="auto"/>
                    <w:ind w:firstLine="0" w:firstLineChars="0"/>
                    <w:jc w:val="center"/>
                    <w:rPr>
                      <w:bCs/>
                      <w:color w:val="auto"/>
                      <w:sz w:val="21"/>
                      <w:szCs w:val="21"/>
                    </w:rPr>
                  </w:pPr>
                </w:p>
              </w:tc>
              <w:tc>
                <w:tcPr>
                  <w:tcW w:w="4515" w:type="dxa"/>
                  <w:vAlign w:val="center"/>
                </w:tcPr>
                <w:p w14:paraId="3EB016AA">
                  <w:pPr>
                    <w:snapToGrid w:val="0"/>
                    <w:spacing w:line="240" w:lineRule="auto"/>
                    <w:ind w:firstLine="0" w:firstLineChars="0"/>
                    <w:jc w:val="center"/>
                    <w:rPr>
                      <w:color w:val="auto"/>
                      <w:sz w:val="21"/>
                      <w:szCs w:val="21"/>
                    </w:rPr>
                  </w:pPr>
                  <w:r>
                    <w:rPr>
                      <w:color w:val="auto"/>
                      <w:sz w:val="21"/>
                      <w:szCs w:val="21"/>
                    </w:rPr>
                    <w:t>棉印染精加工、毛染整精加工</w:t>
                  </w:r>
                </w:p>
              </w:tc>
              <w:tc>
                <w:tcPr>
                  <w:tcW w:w="1320" w:type="dxa"/>
                  <w:vAlign w:val="center"/>
                </w:tcPr>
                <w:p w14:paraId="03748735">
                  <w:pPr>
                    <w:snapToGrid w:val="0"/>
                    <w:spacing w:line="240" w:lineRule="auto"/>
                    <w:ind w:firstLine="0" w:firstLineChars="0"/>
                    <w:jc w:val="center"/>
                    <w:rPr>
                      <w:color w:val="auto"/>
                      <w:sz w:val="21"/>
                      <w:szCs w:val="21"/>
                    </w:rPr>
                  </w:pPr>
                  <w:r>
                    <w:rPr>
                      <w:color w:val="auto"/>
                      <w:sz w:val="21"/>
                      <w:szCs w:val="21"/>
                    </w:rPr>
                    <w:t>禁止入区</w:t>
                  </w:r>
                </w:p>
              </w:tc>
            </w:tr>
            <w:tr w14:paraId="115F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14:paraId="20A2A53C">
                  <w:pPr>
                    <w:snapToGrid w:val="0"/>
                    <w:spacing w:line="240" w:lineRule="auto"/>
                    <w:ind w:firstLine="0" w:firstLineChars="0"/>
                    <w:jc w:val="center"/>
                    <w:rPr>
                      <w:color w:val="auto"/>
                      <w:sz w:val="21"/>
                      <w:szCs w:val="21"/>
                    </w:rPr>
                  </w:pPr>
                  <w:r>
                    <w:rPr>
                      <w:color w:val="auto"/>
                      <w:sz w:val="21"/>
                      <w:szCs w:val="21"/>
                    </w:rPr>
                    <w:t>农副产品深加工产业</w:t>
                  </w:r>
                </w:p>
              </w:tc>
              <w:tc>
                <w:tcPr>
                  <w:tcW w:w="4515" w:type="dxa"/>
                  <w:vAlign w:val="center"/>
                </w:tcPr>
                <w:p w14:paraId="4977D0D1">
                  <w:pPr>
                    <w:snapToGrid w:val="0"/>
                    <w:spacing w:line="240" w:lineRule="auto"/>
                    <w:ind w:firstLine="0" w:firstLineChars="0"/>
                    <w:jc w:val="center"/>
                    <w:rPr>
                      <w:color w:val="auto"/>
                      <w:sz w:val="21"/>
                      <w:szCs w:val="21"/>
                    </w:rPr>
                  </w:pPr>
                  <w:r>
                    <w:rPr>
                      <w:color w:val="auto"/>
                      <w:sz w:val="21"/>
                      <w:szCs w:val="21"/>
                    </w:rPr>
                    <w:t>谷物磨制，饲料加工，蔬菜、水果和坚果加工，肉禽类加工，蛋品加工；焙烤食品制造，糖果，巧克力及蜜饯制造，方便食品制造</w:t>
                  </w:r>
                </w:p>
              </w:tc>
              <w:tc>
                <w:tcPr>
                  <w:tcW w:w="1320" w:type="dxa"/>
                  <w:vAlign w:val="center"/>
                </w:tcPr>
                <w:p w14:paraId="2391E37A">
                  <w:pPr>
                    <w:snapToGrid w:val="0"/>
                    <w:spacing w:line="240" w:lineRule="auto"/>
                    <w:ind w:firstLine="0" w:firstLineChars="0"/>
                    <w:jc w:val="center"/>
                    <w:rPr>
                      <w:color w:val="auto"/>
                      <w:sz w:val="21"/>
                      <w:szCs w:val="21"/>
                    </w:rPr>
                  </w:pPr>
                  <w:r>
                    <w:rPr>
                      <w:color w:val="auto"/>
                      <w:sz w:val="21"/>
                      <w:szCs w:val="21"/>
                    </w:rPr>
                    <w:t>优先入区</w:t>
                  </w:r>
                </w:p>
              </w:tc>
            </w:tr>
            <w:tr w14:paraId="78EF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0D153655">
                  <w:pPr>
                    <w:snapToGrid w:val="0"/>
                    <w:spacing w:line="240" w:lineRule="auto"/>
                    <w:ind w:firstLine="0" w:firstLineChars="0"/>
                    <w:jc w:val="center"/>
                    <w:rPr>
                      <w:color w:val="auto"/>
                      <w:sz w:val="21"/>
                      <w:szCs w:val="21"/>
                    </w:rPr>
                  </w:pPr>
                </w:p>
              </w:tc>
              <w:tc>
                <w:tcPr>
                  <w:tcW w:w="4515" w:type="dxa"/>
                  <w:vAlign w:val="center"/>
                </w:tcPr>
                <w:p w14:paraId="4066AA4B">
                  <w:pPr>
                    <w:snapToGrid w:val="0"/>
                    <w:spacing w:line="240" w:lineRule="auto"/>
                    <w:ind w:firstLine="0" w:firstLineChars="0"/>
                    <w:jc w:val="center"/>
                    <w:rPr>
                      <w:color w:val="auto"/>
                      <w:sz w:val="21"/>
                      <w:szCs w:val="21"/>
                    </w:rPr>
                  </w:pPr>
                  <w:r>
                    <w:rPr>
                      <w:color w:val="auto"/>
                      <w:sz w:val="21"/>
                      <w:szCs w:val="21"/>
                    </w:rPr>
                    <w:t>植物油加工、制糖业、屠宰</w:t>
                  </w:r>
                </w:p>
              </w:tc>
              <w:tc>
                <w:tcPr>
                  <w:tcW w:w="1320" w:type="dxa"/>
                  <w:vAlign w:val="center"/>
                </w:tcPr>
                <w:p w14:paraId="374C4CBD">
                  <w:pPr>
                    <w:snapToGrid w:val="0"/>
                    <w:spacing w:line="240" w:lineRule="auto"/>
                    <w:ind w:firstLine="0" w:firstLineChars="0"/>
                    <w:jc w:val="center"/>
                    <w:rPr>
                      <w:color w:val="auto"/>
                      <w:sz w:val="21"/>
                      <w:szCs w:val="21"/>
                    </w:rPr>
                  </w:pPr>
                  <w:r>
                    <w:rPr>
                      <w:color w:val="auto"/>
                      <w:sz w:val="21"/>
                      <w:szCs w:val="21"/>
                    </w:rPr>
                    <w:t>限制入区</w:t>
                  </w:r>
                </w:p>
              </w:tc>
            </w:tr>
            <w:tr w14:paraId="50E6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2EB3EC06">
                  <w:pPr>
                    <w:snapToGrid w:val="0"/>
                    <w:spacing w:line="240" w:lineRule="auto"/>
                    <w:ind w:firstLine="0" w:firstLineChars="0"/>
                    <w:jc w:val="center"/>
                    <w:rPr>
                      <w:color w:val="auto"/>
                      <w:sz w:val="21"/>
                      <w:szCs w:val="21"/>
                    </w:rPr>
                  </w:pPr>
                  <w:r>
                    <w:rPr>
                      <w:color w:val="auto"/>
                      <w:sz w:val="21"/>
                      <w:szCs w:val="21"/>
                    </w:rPr>
                    <w:t>现代服务业</w:t>
                  </w:r>
                </w:p>
              </w:tc>
              <w:tc>
                <w:tcPr>
                  <w:tcW w:w="4515" w:type="dxa"/>
                  <w:vAlign w:val="center"/>
                </w:tcPr>
                <w:p w14:paraId="5A085257">
                  <w:pPr>
                    <w:snapToGrid w:val="0"/>
                    <w:spacing w:line="240" w:lineRule="auto"/>
                    <w:ind w:firstLine="0" w:firstLineChars="0"/>
                    <w:jc w:val="center"/>
                    <w:rPr>
                      <w:color w:val="auto"/>
                      <w:sz w:val="21"/>
                      <w:szCs w:val="21"/>
                    </w:rPr>
                  </w:pPr>
                  <w:r>
                    <w:rPr>
                      <w:color w:val="auto"/>
                      <w:sz w:val="21"/>
                      <w:szCs w:val="21"/>
                    </w:rPr>
                    <w:t>现代物流（无危险化学品托运）；金融服务业；研发创意；商贸（零售）、餐饮住宿、休闲娱乐、社区服务等生活性服务业</w:t>
                  </w:r>
                </w:p>
              </w:tc>
              <w:tc>
                <w:tcPr>
                  <w:tcW w:w="1320" w:type="dxa"/>
                  <w:vAlign w:val="center"/>
                </w:tcPr>
                <w:p w14:paraId="3367B49C">
                  <w:pPr>
                    <w:snapToGrid w:val="0"/>
                    <w:spacing w:line="240" w:lineRule="auto"/>
                    <w:ind w:firstLine="0" w:firstLineChars="0"/>
                    <w:jc w:val="center"/>
                    <w:rPr>
                      <w:color w:val="auto"/>
                      <w:sz w:val="21"/>
                      <w:szCs w:val="21"/>
                    </w:rPr>
                  </w:pPr>
                  <w:r>
                    <w:rPr>
                      <w:color w:val="auto"/>
                      <w:sz w:val="21"/>
                      <w:szCs w:val="21"/>
                    </w:rPr>
                    <w:t>优先入区</w:t>
                  </w:r>
                </w:p>
              </w:tc>
            </w:tr>
            <w:tr w14:paraId="7457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1" w:type="dxa"/>
                  <w:gridSpan w:val="3"/>
                  <w:vAlign w:val="center"/>
                </w:tcPr>
                <w:p w14:paraId="3670178F">
                  <w:pPr>
                    <w:snapToGrid w:val="0"/>
                    <w:spacing w:line="240" w:lineRule="auto"/>
                    <w:ind w:firstLine="0" w:firstLineChars="0"/>
                    <w:jc w:val="center"/>
                    <w:rPr>
                      <w:color w:val="auto"/>
                      <w:sz w:val="21"/>
                      <w:szCs w:val="21"/>
                    </w:rPr>
                  </w:pPr>
                  <w:r>
                    <w:rPr>
                      <w:color w:val="auto"/>
                      <w:sz w:val="21"/>
                      <w:szCs w:val="21"/>
                    </w:rPr>
                    <w:t>高能耗、高污染型行业禁止入区，其他行业选择性入区；新建20蒸吨以下锅炉禁止入区；食品加工类严格限制酿造类；纺织服装禁止新建印染类和制革类项目</w:t>
                  </w:r>
                </w:p>
              </w:tc>
            </w:tr>
            <w:tr w14:paraId="293C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1" w:type="dxa"/>
                  <w:gridSpan w:val="3"/>
                  <w:vAlign w:val="center"/>
                </w:tcPr>
                <w:p w14:paraId="3B4EF707">
                  <w:pPr>
                    <w:snapToGrid w:val="0"/>
                    <w:spacing w:line="240" w:lineRule="auto"/>
                    <w:ind w:firstLine="0" w:firstLineChars="0"/>
                    <w:jc w:val="center"/>
                    <w:rPr>
                      <w:color w:val="auto"/>
                      <w:sz w:val="21"/>
                      <w:szCs w:val="21"/>
                    </w:rPr>
                  </w:pPr>
                  <w:r>
                    <w:rPr>
                      <w:color w:val="auto"/>
                      <w:sz w:val="21"/>
                      <w:szCs w:val="21"/>
                    </w:rPr>
                    <w:t>与主导产业不完全相符，但是低能耗、轻污染型周边产业，可以适度入区</w:t>
                  </w:r>
                </w:p>
              </w:tc>
            </w:tr>
          </w:tbl>
          <w:p w14:paraId="4FB5E036">
            <w:pPr>
              <w:autoSpaceDE w:val="0"/>
              <w:autoSpaceDN w:val="0"/>
              <w:adjustRightInd w:val="0"/>
              <w:snapToGrid w:val="0"/>
              <w:spacing w:line="360" w:lineRule="auto"/>
              <w:ind w:firstLine="480" w:firstLineChars="200"/>
              <w:rPr>
                <w:rFonts w:hint="eastAsia"/>
                <w:kern w:val="0"/>
              </w:rPr>
            </w:pPr>
            <w:r>
              <w:rPr>
                <w:rFonts w:hint="eastAsia"/>
                <w:kern w:val="0"/>
              </w:rPr>
              <w:t>本项目为</w:t>
            </w:r>
            <w:r>
              <w:rPr>
                <w:rFonts w:hint="default" w:eastAsia="宋体"/>
                <w:color w:val="auto"/>
                <w:highlight w:val="none"/>
                <w:lang w:val="en-US" w:eastAsia="zh-CN"/>
              </w:rPr>
              <w:t>C2929塑料零件及其他塑料制品制造</w:t>
            </w:r>
            <w:r>
              <w:rPr>
                <w:rFonts w:hint="eastAsia"/>
                <w:kern w:val="0"/>
              </w:rPr>
              <w:t>，不属于上述禁止和限制入区的企业类别</w:t>
            </w:r>
            <w:r>
              <w:rPr>
                <w:rFonts w:hint="eastAsia"/>
                <w:kern w:val="0"/>
                <w:lang w:eastAsia="zh-CN"/>
              </w:rPr>
              <w:t>，</w:t>
            </w:r>
            <w:r>
              <w:rPr>
                <w:rFonts w:hint="eastAsia"/>
                <w:kern w:val="0"/>
                <w:lang w:val="en-US" w:eastAsia="zh-CN"/>
              </w:rPr>
              <w:t>也不属于</w:t>
            </w:r>
            <w:r>
              <w:rPr>
                <w:rFonts w:hint="eastAsia"/>
                <w:kern w:val="0"/>
              </w:rPr>
              <w:t>能耗、高污染型行业，符合规划要求。</w:t>
            </w:r>
          </w:p>
          <w:p w14:paraId="1D84504C">
            <w:pPr>
              <w:autoSpaceDE w:val="0"/>
              <w:autoSpaceDN w:val="0"/>
              <w:adjustRightInd w:val="0"/>
              <w:snapToGrid w:val="0"/>
              <w:spacing w:line="360" w:lineRule="auto"/>
              <w:rPr>
                <w:rFonts w:hint="eastAsia"/>
                <w:b/>
                <w:bCs/>
                <w:kern w:val="0"/>
              </w:rPr>
            </w:pPr>
            <w:r>
              <w:rPr>
                <w:rFonts w:hint="eastAsia"/>
                <w:b/>
                <w:bCs/>
                <w:kern w:val="0"/>
              </w:rPr>
              <w:t>3、与规划环境影响评价结论及审查意见的符合性</w:t>
            </w:r>
          </w:p>
          <w:p w14:paraId="16A0B3FC">
            <w:pPr>
              <w:autoSpaceDE w:val="0"/>
              <w:autoSpaceDN w:val="0"/>
              <w:adjustRightInd w:val="0"/>
              <w:snapToGrid w:val="0"/>
              <w:spacing w:line="360" w:lineRule="auto"/>
              <w:ind w:firstLine="480" w:firstLineChars="200"/>
              <w:rPr>
                <w:rFonts w:hint="eastAsia"/>
                <w:kern w:val="0"/>
                <w:lang w:eastAsia="zh-CN"/>
              </w:rPr>
            </w:pPr>
            <w:r>
              <w:rPr>
                <w:rFonts w:hint="eastAsia"/>
                <w:kern w:val="0"/>
              </w:rPr>
              <w:t>根据《宿州市生态环境局关于安徽泗县经济开发区总体发展规划影响跟踪评价报告书的审查意见》（宿环函【2020】101号）</w:t>
            </w:r>
            <w:r>
              <w:rPr>
                <w:rFonts w:hint="eastAsia"/>
                <w:kern w:val="0"/>
                <w:lang w:eastAsia="zh-CN"/>
              </w:rPr>
              <w:t>。</w:t>
            </w:r>
          </w:p>
          <w:p w14:paraId="25F8A4B4">
            <w:pPr>
              <w:autoSpaceDE w:val="0"/>
              <w:autoSpaceDN w:val="0"/>
              <w:adjustRightInd w:val="0"/>
              <w:snapToGrid w:val="0"/>
              <w:spacing w:line="360" w:lineRule="auto"/>
              <w:ind w:firstLine="480" w:firstLineChars="200"/>
              <w:rPr>
                <w:rFonts w:hint="eastAsia"/>
                <w:kern w:val="0"/>
              </w:rPr>
            </w:pPr>
            <w:r>
              <w:rPr>
                <w:rFonts w:hint="eastAsia"/>
                <w:kern w:val="0"/>
              </w:rPr>
              <w:t>本项目与泗县经济开发区规划环境影响跟踪评价报告书的审查意见相符性分析见下表。</w:t>
            </w:r>
          </w:p>
          <w:p w14:paraId="3A4A20B4">
            <w:pPr>
              <w:autoSpaceDE w:val="0"/>
              <w:autoSpaceDN w:val="0"/>
              <w:adjustRightInd w:val="0"/>
              <w:snapToGrid w:val="0"/>
              <w:spacing w:line="240" w:lineRule="auto"/>
              <w:jc w:val="center"/>
              <w:rPr>
                <w:rFonts w:hint="eastAsia"/>
                <w:b/>
                <w:bCs/>
                <w:kern w:val="0"/>
              </w:rPr>
            </w:pPr>
            <w:r>
              <w:rPr>
                <w:rFonts w:hint="eastAsia"/>
                <w:b/>
                <w:bCs/>
                <w:kern w:val="0"/>
              </w:rPr>
              <w:t>表1</w:t>
            </w:r>
            <w:r>
              <w:rPr>
                <w:rFonts w:hint="eastAsia"/>
                <w:b/>
                <w:bCs/>
                <w:kern w:val="0"/>
                <w:lang w:val="en-US" w:eastAsia="zh-CN"/>
              </w:rPr>
              <w:t>-2</w:t>
            </w:r>
            <w:r>
              <w:rPr>
                <w:rFonts w:hint="eastAsia"/>
                <w:b/>
                <w:bCs/>
                <w:kern w:val="0"/>
              </w:rPr>
              <w:t xml:space="preserve">  项目与规划环评审查意见符合性分析</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3061"/>
              <w:gridCol w:w="1803"/>
              <w:gridCol w:w="945"/>
            </w:tblGrid>
            <w:tr w14:paraId="4007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1" w:type="dxa"/>
                  <w:vAlign w:val="center"/>
                </w:tcPr>
                <w:p w14:paraId="4C2527AD">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序号</w:t>
                  </w:r>
                </w:p>
              </w:tc>
              <w:tc>
                <w:tcPr>
                  <w:tcW w:w="3061" w:type="dxa"/>
                  <w:vAlign w:val="center"/>
                </w:tcPr>
                <w:p w14:paraId="03DD830F">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审查意见</w:t>
                  </w:r>
                </w:p>
              </w:tc>
              <w:tc>
                <w:tcPr>
                  <w:tcW w:w="1803" w:type="dxa"/>
                  <w:vAlign w:val="center"/>
                </w:tcPr>
                <w:p w14:paraId="70B42C30">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本项目</w:t>
                  </w:r>
                </w:p>
              </w:tc>
              <w:tc>
                <w:tcPr>
                  <w:tcW w:w="945" w:type="dxa"/>
                  <w:vAlign w:val="center"/>
                </w:tcPr>
                <w:p w14:paraId="63F409A8">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符合性</w:t>
                  </w:r>
                </w:p>
              </w:tc>
            </w:tr>
            <w:tr w14:paraId="69F9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45EF1ADF">
                  <w:pPr>
                    <w:autoSpaceDE w:val="0"/>
                    <w:autoSpaceDN w:val="0"/>
                    <w:adjustRightInd w:val="0"/>
                    <w:snapToGrid w:val="0"/>
                    <w:spacing w:line="240" w:lineRule="auto"/>
                    <w:jc w:val="center"/>
                    <w:rPr>
                      <w:rFonts w:hint="eastAsia"/>
                      <w:kern w:val="0"/>
                      <w:sz w:val="21"/>
                      <w:szCs w:val="21"/>
                    </w:rPr>
                  </w:pPr>
                  <w:r>
                    <w:rPr>
                      <w:rFonts w:hint="eastAsia"/>
                      <w:kern w:val="0"/>
                      <w:sz w:val="21"/>
                      <w:szCs w:val="21"/>
                    </w:rPr>
                    <w:t>1</w:t>
                  </w:r>
                </w:p>
              </w:tc>
              <w:tc>
                <w:tcPr>
                  <w:tcW w:w="3061" w:type="dxa"/>
                  <w:vAlign w:val="center"/>
                </w:tcPr>
                <w:p w14:paraId="3317C7CC">
                  <w:pPr>
                    <w:autoSpaceDE w:val="0"/>
                    <w:autoSpaceDN w:val="0"/>
                    <w:adjustRightInd w:val="0"/>
                    <w:snapToGrid w:val="0"/>
                    <w:spacing w:line="240" w:lineRule="auto"/>
                    <w:jc w:val="center"/>
                    <w:rPr>
                      <w:rFonts w:hint="eastAsia"/>
                      <w:kern w:val="0"/>
                      <w:sz w:val="21"/>
                      <w:szCs w:val="21"/>
                    </w:rPr>
                  </w:pPr>
                  <w:r>
                    <w:rPr>
                      <w:rFonts w:hint="eastAsia"/>
                      <w:kern w:val="0"/>
                      <w:sz w:val="21"/>
                      <w:szCs w:val="21"/>
                    </w:rPr>
                    <w:t>严格项目行业准入和资源环境准入。禁止负面清单中行业企业入驻；新入区项目应按照规划功能布局入驻。优化调整开发区空间布局、组团结构，设置生态隔离措施，减轻和避免各功能区之间、项目之间的相互影响。</w:t>
                  </w:r>
                </w:p>
              </w:tc>
              <w:tc>
                <w:tcPr>
                  <w:tcW w:w="1803" w:type="dxa"/>
                  <w:vAlign w:val="center"/>
                </w:tcPr>
                <w:p w14:paraId="51F592AF">
                  <w:pPr>
                    <w:autoSpaceDE w:val="0"/>
                    <w:autoSpaceDN w:val="0"/>
                    <w:adjustRightInd w:val="0"/>
                    <w:snapToGrid w:val="0"/>
                    <w:spacing w:line="240" w:lineRule="auto"/>
                    <w:jc w:val="center"/>
                    <w:rPr>
                      <w:rFonts w:hint="eastAsia"/>
                      <w:kern w:val="0"/>
                      <w:sz w:val="21"/>
                      <w:szCs w:val="21"/>
                    </w:rPr>
                  </w:pPr>
                  <w:r>
                    <w:rPr>
                      <w:rFonts w:hint="eastAsia"/>
                      <w:kern w:val="0"/>
                      <w:sz w:val="21"/>
                      <w:szCs w:val="21"/>
                    </w:rPr>
                    <w:t>根据以上规划符合性分析，本项目不属于负面清单中的行业企业，本项目位于安徽省宿州市</w:t>
                  </w:r>
                  <w:r>
                    <w:rPr>
                      <w:rFonts w:hint="eastAsia"/>
                      <w:kern w:val="0"/>
                      <w:sz w:val="21"/>
                      <w:szCs w:val="21"/>
                      <w:lang w:val="en-US" w:eastAsia="zh-CN"/>
                    </w:rPr>
                    <w:t>泗县经济开发区蟠龙山路与南柳路交口东南角地块</w:t>
                  </w:r>
                  <w:r>
                    <w:rPr>
                      <w:rFonts w:hint="eastAsia"/>
                      <w:kern w:val="0"/>
                      <w:sz w:val="21"/>
                      <w:szCs w:val="21"/>
                    </w:rPr>
                    <w:t>，符合规划布局</w:t>
                  </w:r>
                </w:p>
              </w:tc>
              <w:tc>
                <w:tcPr>
                  <w:tcW w:w="945" w:type="dxa"/>
                  <w:vAlign w:val="center"/>
                </w:tcPr>
                <w:p w14:paraId="19D2589C">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7CF9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65A21C60">
                  <w:pPr>
                    <w:autoSpaceDE w:val="0"/>
                    <w:autoSpaceDN w:val="0"/>
                    <w:adjustRightInd w:val="0"/>
                    <w:snapToGrid w:val="0"/>
                    <w:spacing w:line="240" w:lineRule="auto"/>
                    <w:jc w:val="center"/>
                    <w:rPr>
                      <w:rFonts w:hint="eastAsia"/>
                      <w:kern w:val="0"/>
                      <w:sz w:val="21"/>
                      <w:szCs w:val="21"/>
                    </w:rPr>
                  </w:pPr>
                  <w:r>
                    <w:rPr>
                      <w:rFonts w:hint="eastAsia"/>
                      <w:kern w:val="0"/>
                      <w:sz w:val="21"/>
                      <w:szCs w:val="21"/>
                    </w:rPr>
                    <w:t>2</w:t>
                  </w:r>
                </w:p>
              </w:tc>
              <w:tc>
                <w:tcPr>
                  <w:tcW w:w="3061" w:type="dxa"/>
                  <w:vAlign w:val="center"/>
                </w:tcPr>
                <w:p w14:paraId="58B01CA2">
                  <w:pPr>
                    <w:autoSpaceDE w:val="0"/>
                    <w:autoSpaceDN w:val="0"/>
                    <w:adjustRightInd w:val="0"/>
                    <w:snapToGrid w:val="0"/>
                    <w:spacing w:line="240" w:lineRule="auto"/>
                    <w:jc w:val="center"/>
                    <w:rPr>
                      <w:rFonts w:hint="eastAsia"/>
                      <w:kern w:val="0"/>
                      <w:sz w:val="21"/>
                      <w:szCs w:val="21"/>
                    </w:rPr>
                  </w:pPr>
                  <w:r>
                    <w:rPr>
                      <w:rFonts w:hint="eastAsia"/>
                      <w:kern w:val="0"/>
                      <w:sz w:val="21"/>
                      <w:szCs w:val="21"/>
                    </w:rPr>
                    <w:t>强化水资源管理，积极推进企业内、企业间水资源梯级利用和企业用水总量控制，切实提高水资源利用率。严禁建设国家明令禁止的项目，严格控制高耗水、高耗能、污水排放量大的项目建设；已建和拟入区建设项目应严格执行水环境保护相关标准和要求。开发区内企业不得自行开采地下水用于工业生产。排查现有企业自备水井的取水合法性；加快推进雨污管网、中水回用和集中供热等基础设施建设。强化园区污水收集，做好污水处理厂的运营和管理，确保稳定达标排放</w:t>
                  </w:r>
                </w:p>
              </w:tc>
              <w:tc>
                <w:tcPr>
                  <w:tcW w:w="1803" w:type="dxa"/>
                  <w:vAlign w:val="center"/>
                </w:tcPr>
                <w:p w14:paraId="1F5177B0">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本项目用水来自园区自来水管网，不自建备用水井，项目不属于国家明令禁止的项目，项目不属于高耗能、污水排放量大的项目，项目产生的废水</w:t>
                  </w:r>
                  <w:r>
                    <w:rPr>
                      <w:rFonts w:hint="eastAsia"/>
                      <w:kern w:val="0"/>
                      <w:sz w:val="21"/>
                      <w:szCs w:val="21"/>
                      <w:lang w:val="en-US" w:eastAsia="zh-CN"/>
                    </w:rPr>
                    <w:t>经化粪池</w:t>
                  </w:r>
                  <w:r>
                    <w:rPr>
                      <w:rFonts w:hint="eastAsia"/>
                      <w:kern w:val="0"/>
                      <w:sz w:val="21"/>
                      <w:szCs w:val="21"/>
                    </w:rPr>
                    <w:t>处理后进入泗县工业污水处理厂进一步处理</w:t>
                  </w:r>
                </w:p>
              </w:tc>
              <w:tc>
                <w:tcPr>
                  <w:tcW w:w="945" w:type="dxa"/>
                  <w:vAlign w:val="center"/>
                </w:tcPr>
                <w:p w14:paraId="43E18287">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5389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08EDE402">
                  <w:pPr>
                    <w:autoSpaceDE w:val="0"/>
                    <w:autoSpaceDN w:val="0"/>
                    <w:adjustRightInd w:val="0"/>
                    <w:snapToGrid w:val="0"/>
                    <w:spacing w:line="240" w:lineRule="auto"/>
                    <w:jc w:val="center"/>
                    <w:rPr>
                      <w:rFonts w:hint="eastAsia"/>
                      <w:kern w:val="0"/>
                      <w:sz w:val="21"/>
                      <w:szCs w:val="21"/>
                    </w:rPr>
                  </w:pPr>
                  <w:r>
                    <w:rPr>
                      <w:rFonts w:hint="eastAsia"/>
                      <w:kern w:val="0"/>
                      <w:sz w:val="21"/>
                      <w:szCs w:val="21"/>
                    </w:rPr>
                    <w:t>3</w:t>
                  </w:r>
                </w:p>
              </w:tc>
              <w:tc>
                <w:tcPr>
                  <w:tcW w:w="3061" w:type="dxa"/>
                  <w:vAlign w:val="center"/>
                </w:tcPr>
                <w:p w14:paraId="0D831734">
                  <w:pPr>
                    <w:autoSpaceDE w:val="0"/>
                    <w:autoSpaceDN w:val="0"/>
                    <w:adjustRightInd w:val="0"/>
                    <w:snapToGrid w:val="0"/>
                    <w:spacing w:line="240" w:lineRule="auto"/>
                    <w:jc w:val="center"/>
                    <w:rPr>
                      <w:rFonts w:hint="eastAsia"/>
                      <w:kern w:val="0"/>
                      <w:sz w:val="21"/>
                      <w:szCs w:val="21"/>
                    </w:rPr>
                  </w:pPr>
                  <w:r>
                    <w:rPr>
                      <w:rFonts w:hint="eastAsia"/>
                      <w:kern w:val="0"/>
                      <w:sz w:val="21"/>
                      <w:szCs w:val="21"/>
                    </w:rPr>
                    <w:t>进一步优化发展重点，严格控制非主导产业项目入区。对不符合开发区产业定位和环保要求以及容易引起突发性环境风险的项目应禁止入区建设。建立并实施不符合规划、产业准入和环保准入条件的项目退出机制。大力推进园区产业升级改造工程，通过关、停、并、转、迁，加速转型或淘汰不符合工业用地性质、产业定位及环保要求的企业</w:t>
                  </w:r>
                </w:p>
              </w:tc>
              <w:tc>
                <w:tcPr>
                  <w:tcW w:w="1803" w:type="dxa"/>
                  <w:vAlign w:val="center"/>
                </w:tcPr>
                <w:p w14:paraId="1DA89056">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w:t>
                  </w:r>
                  <w:r>
                    <w:rPr>
                      <w:rFonts w:hint="eastAsia"/>
                      <w:kern w:val="0"/>
                      <w:sz w:val="21"/>
                      <w:szCs w:val="21"/>
                      <w:lang w:val="en-US" w:eastAsia="zh-CN"/>
                    </w:rPr>
                    <w:t>不属于园区禁止入区项目</w:t>
                  </w:r>
                  <w:r>
                    <w:rPr>
                      <w:rFonts w:hint="eastAsia"/>
                      <w:kern w:val="0"/>
                      <w:sz w:val="21"/>
                      <w:szCs w:val="21"/>
                    </w:rPr>
                    <w:t>，项目属于符合工业用地性质、产业定位及环保要求的企业</w:t>
                  </w:r>
                </w:p>
              </w:tc>
              <w:tc>
                <w:tcPr>
                  <w:tcW w:w="945" w:type="dxa"/>
                  <w:vAlign w:val="center"/>
                </w:tcPr>
                <w:p w14:paraId="10F017B5">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3497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44AA8C5C">
                  <w:pPr>
                    <w:autoSpaceDE w:val="0"/>
                    <w:autoSpaceDN w:val="0"/>
                    <w:adjustRightInd w:val="0"/>
                    <w:snapToGrid w:val="0"/>
                    <w:spacing w:line="240" w:lineRule="auto"/>
                    <w:jc w:val="center"/>
                    <w:rPr>
                      <w:rFonts w:hint="eastAsia"/>
                      <w:kern w:val="0"/>
                      <w:sz w:val="21"/>
                      <w:szCs w:val="21"/>
                    </w:rPr>
                  </w:pPr>
                  <w:r>
                    <w:rPr>
                      <w:rFonts w:hint="eastAsia"/>
                      <w:kern w:val="0"/>
                      <w:sz w:val="21"/>
                      <w:szCs w:val="21"/>
                    </w:rPr>
                    <w:t>4</w:t>
                  </w:r>
                </w:p>
              </w:tc>
              <w:tc>
                <w:tcPr>
                  <w:tcW w:w="3061" w:type="dxa"/>
                  <w:vAlign w:val="center"/>
                </w:tcPr>
                <w:p w14:paraId="29A5E2FE">
                  <w:pPr>
                    <w:autoSpaceDE w:val="0"/>
                    <w:autoSpaceDN w:val="0"/>
                    <w:adjustRightInd w:val="0"/>
                    <w:snapToGrid w:val="0"/>
                    <w:spacing w:line="240" w:lineRule="auto"/>
                    <w:jc w:val="center"/>
                    <w:rPr>
                      <w:rFonts w:hint="eastAsia"/>
                      <w:kern w:val="0"/>
                      <w:sz w:val="21"/>
                      <w:szCs w:val="21"/>
                    </w:rPr>
                  </w:pPr>
                  <w:r>
                    <w:rPr>
                      <w:rFonts w:hint="eastAsia"/>
                      <w:kern w:val="0"/>
                      <w:sz w:val="21"/>
                      <w:szCs w:val="21"/>
                    </w:rPr>
                    <w:t>加快实施产业结构调整与升级，夯实主导产业定位，逐步实现产业转型；建立产业引入清单管理，严格执行环境准入制度。引进项目的生产工艺、设备、污染治理技术及单位产品污染物排放和资源利用率均需达到同行业国内先进水平。</w:t>
                  </w:r>
                </w:p>
              </w:tc>
              <w:tc>
                <w:tcPr>
                  <w:tcW w:w="1803" w:type="dxa"/>
                  <w:vAlign w:val="center"/>
                </w:tcPr>
                <w:p w14:paraId="421D4135">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本项目使用的生产工艺、设备、污染治理技术及单位产品污染物排放标准和资源利用率均可达到同行业国内先进水平</w:t>
                  </w:r>
                </w:p>
              </w:tc>
              <w:tc>
                <w:tcPr>
                  <w:tcW w:w="945" w:type="dxa"/>
                  <w:vAlign w:val="center"/>
                </w:tcPr>
                <w:p w14:paraId="3B402520">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0ECB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5C1CA43F">
                  <w:pPr>
                    <w:autoSpaceDE w:val="0"/>
                    <w:autoSpaceDN w:val="0"/>
                    <w:adjustRightInd w:val="0"/>
                    <w:snapToGrid w:val="0"/>
                    <w:spacing w:line="240" w:lineRule="auto"/>
                    <w:jc w:val="center"/>
                    <w:rPr>
                      <w:rFonts w:hint="eastAsia"/>
                      <w:kern w:val="0"/>
                      <w:sz w:val="21"/>
                      <w:szCs w:val="21"/>
                    </w:rPr>
                  </w:pPr>
                  <w:r>
                    <w:rPr>
                      <w:rFonts w:hint="eastAsia"/>
                      <w:kern w:val="0"/>
                      <w:sz w:val="21"/>
                      <w:szCs w:val="21"/>
                    </w:rPr>
                    <w:t>5</w:t>
                  </w:r>
                </w:p>
              </w:tc>
              <w:tc>
                <w:tcPr>
                  <w:tcW w:w="3061" w:type="dxa"/>
                  <w:vAlign w:val="center"/>
                </w:tcPr>
                <w:p w14:paraId="02A4AF0E">
                  <w:pPr>
                    <w:autoSpaceDE w:val="0"/>
                    <w:autoSpaceDN w:val="0"/>
                    <w:adjustRightInd w:val="0"/>
                    <w:snapToGrid w:val="0"/>
                    <w:spacing w:line="240" w:lineRule="auto"/>
                    <w:jc w:val="center"/>
                    <w:rPr>
                      <w:rFonts w:hint="eastAsia"/>
                      <w:kern w:val="0"/>
                      <w:sz w:val="21"/>
                      <w:szCs w:val="21"/>
                    </w:rPr>
                  </w:pPr>
                  <w:r>
                    <w:rPr>
                      <w:rFonts w:hint="eastAsia"/>
                      <w:kern w:val="0"/>
                      <w:sz w:val="21"/>
                      <w:szCs w:val="21"/>
                    </w:rPr>
                    <w:t>扎实推进节能减排工作。应采取工艺改造、节水管理等措施控制和减少现有企业的资源消耗水平及污染物排放强度。加强挥发性有机物防治，园区现有主要VOCs及异味废气排放企业开展综合治理工作，加强日常监测、监督管理和预防控制</w:t>
                  </w:r>
                </w:p>
              </w:tc>
              <w:tc>
                <w:tcPr>
                  <w:tcW w:w="1803" w:type="dxa"/>
                  <w:vAlign w:val="center"/>
                </w:tcPr>
                <w:p w14:paraId="53DBEF2E">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本项目采用的生产工艺不属于高耗水工艺，项目产生的注塑废气通过二级活性炭吸附装置处理后排放，</w:t>
                  </w:r>
                  <w:r>
                    <w:rPr>
                      <w:rFonts w:hint="eastAsia"/>
                      <w:kern w:val="0"/>
                      <w:sz w:val="21"/>
                      <w:szCs w:val="21"/>
                      <w:lang w:val="en-US" w:eastAsia="zh-CN"/>
                    </w:rPr>
                    <w:t>调漆喷漆烘干废气经一级水喷淋+活性炭吸附/脱附装置+RCO处理</w:t>
                  </w:r>
                  <w:r>
                    <w:rPr>
                      <w:rFonts w:hint="eastAsia"/>
                      <w:kern w:val="0"/>
                      <w:sz w:val="21"/>
                      <w:szCs w:val="21"/>
                      <w:lang w:eastAsia="zh-CN"/>
                    </w:rPr>
                    <w:t>，</w:t>
                  </w:r>
                  <w:r>
                    <w:rPr>
                      <w:rFonts w:hint="eastAsia"/>
                      <w:kern w:val="0"/>
                      <w:sz w:val="21"/>
                      <w:szCs w:val="21"/>
                    </w:rPr>
                    <w:t>产生的污染物采取合理的处理措施处理后均可达标排放</w:t>
                  </w:r>
                </w:p>
              </w:tc>
              <w:tc>
                <w:tcPr>
                  <w:tcW w:w="945" w:type="dxa"/>
                  <w:vAlign w:val="center"/>
                </w:tcPr>
                <w:p w14:paraId="57A1FEF5">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237C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12997E91">
                  <w:pPr>
                    <w:autoSpaceDE w:val="0"/>
                    <w:autoSpaceDN w:val="0"/>
                    <w:adjustRightInd w:val="0"/>
                    <w:snapToGrid w:val="0"/>
                    <w:spacing w:line="240" w:lineRule="auto"/>
                    <w:jc w:val="center"/>
                    <w:rPr>
                      <w:rFonts w:hint="eastAsia"/>
                      <w:kern w:val="0"/>
                      <w:sz w:val="21"/>
                      <w:szCs w:val="21"/>
                    </w:rPr>
                  </w:pPr>
                  <w:r>
                    <w:rPr>
                      <w:rFonts w:hint="eastAsia"/>
                      <w:kern w:val="0"/>
                      <w:sz w:val="21"/>
                      <w:szCs w:val="21"/>
                    </w:rPr>
                    <w:t>6</w:t>
                  </w:r>
                </w:p>
              </w:tc>
              <w:tc>
                <w:tcPr>
                  <w:tcW w:w="3061" w:type="dxa"/>
                  <w:vAlign w:val="center"/>
                </w:tcPr>
                <w:p w14:paraId="0D88A3F7">
                  <w:pPr>
                    <w:autoSpaceDE w:val="0"/>
                    <w:autoSpaceDN w:val="0"/>
                    <w:adjustRightInd w:val="0"/>
                    <w:snapToGrid w:val="0"/>
                    <w:spacing w:line="240" w:lineRule="auto"/>
                    <w:jc w:val="center"/>
                    <w:rPr>
                      <w:rFonts w:hint="eastAsia"/>
                      <w:kern w:val="0"/>
                      <w:sz w:val="21"/>
                      <w:szCs w:val="21"/>
                    </w:rPr>
                  </w:pPr>
                  <w:r>
                    <w:rPr>
                      <w:rFonts w:hint="eastAsia"/>
                      <w:kern w:val="0"/>
                      <w:sz w:val="21"/>
                      <w:szCs w:val="21"/>
                    </w:rPr>
                    <w:t>严格落实污染物排放总量控制要求，采取有效措施减少粉尘、挥发性有机物、化学需氧量、氨氮、总氮、总磷等污染物的排放量，切实维护区域环境质量和生态功能</w:t>
                  </w:r>
                </w:p>
              </w:tc>
              <w:tc>
                <w:tcPr>
                  <w:tcW w:w="1803" w:type="dxa"/>
                  <w:vAlign w:val="center"/>
                </w:tcPr>
                <w:p w14:paraId="6D1B8BE9">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本项目严格落实污染物排放总量控制要求，所产生的污染物均采取了有效的环保措施</w:t>
                  </w:r>
                </w:p>
              </w:tc>
              <w:tc>
                <w:tcPr>
                  <w:tcW w:w="945" w:type="dxa"/>
                  <w:vAlign w:val="center"/>
                </w:tcPr>
                <w:p w14:paraId="60B8A64D">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bl>
          <w:p w14:paraId="2A7E18DB">
            <w:pPr>
              <w:spacing w:line="360" w:lineRule="auto"/>
              <w:ind w:firstLine="480" w:firstLineChars="200"/>
              <w:rPr>
                <w:color w:val="auto"/>
                <w:kern w:val="0"/>
                <w:highlight w:val="none"/>
              </w:rPr>
            </w:pPr>
            <w:r>
              <w:rPr>
                <w:rFonts w:hint="eastAsia" w:ascii="Times New Roman" w:hAnsi="Times New Roman" w:eastAsia="宋体" w:cs="Times New Roman"/>
                <w:color w:val="auto"/>
                <w:highlight w:val="none"/>
                <w:lang w:bidi="ar"/>
              </w:rPr>
              <w:t>上表分析可知，项目与</w:t>
            </w:r>
            <w:r>
              <w:rPr>
                <w:rFonts w:hint="default" w:ascii="Times New Roman" w:hAnsi="Times New Roman" w:cs="Times New Roman" w:eastAsiaTheme="minorEastAsia"/>
                <w:color w:val="auto"/>
                <w:highlight w:val="none"/>
                <w:lang w:bidi="ar"/>
              </w:rPr>
              <w:t>《宿州市生态环境局关于安徽泗县经济开发区总体发展规划影响跟踪评价报告书的审查意见》（宿环函【2020】101号）中要求相符。</w:t>
            </w:r>
          </w:p>
        </w:tc>
      </w:tr>
      <w:tr w14:paraId="5332E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2173" w:type="dxa"/>
            <w:vAlign w:val="center"/>
          </w:tcPr>
          <w:p w14:paraId="18827B89">
            <w:pPr>
              <w:autoSpaceDE w:val="0"/>
              <w:autoSpaceDN w:val="0"/>
              <w:adjustRightInd w:val="0"/>
              <w:snapToGrid w:val="0"/>
              <w:jc w:val="center"/>
              <w:rPr>
                <w:color w:val="auto"/>
                <w:kern w:val="0"/>
                <w:highlight w:val="none"/>
              </w:rPr>
            </w:pPr>
            <w:r>
              <w:rPr>
                <w:color w:val="auto"/>
                <w:kern w:val="0"/>
                <w:highlight w:val="none"/>
              </w:rPr>
              <w:t>其他符合性分析</w:t>
            </w:r>
          </w:p>
        </w:tc>
        <w:tc>
          <w:tcPr>
            <w:tcW w:w="6697" w:type="dxa"/>
            <w:gridSpan w:val="5"/>
            <w:vAlign w:val="center"/>
          </w:tcPr>
          <w:p w14:paraId="7DF5BE3B">
            <w:pPr>
              <w:pStyle w:val="56"/>
              <w:widowControl/>
              <w:adjustRightInd w:val="0"/>
              <w:snapToGrid w:val="0"/>
              <w:spacing w:before="120" w:beforeLines="50" w:line="360" w:lineRule="auto"/>
              <w:ind w:firstLine="0" w:firstLineChars="0"/>
              <w:rPr>
                <w:b/>
                <w:bCs/>
                <w:color w:val="auto"/>
                <w:highlight w:val="none"/>
              </w:rPr>
            </w:pPr>
            <w:r>
              <w:rPr>
                <w:rFonts w:hint="eastAsia" w:cs="宋体"/>
                <w:b/>
                <w:bCs/>
                <w:color w:val="auto"/>
                <w:highlight w:val="none"/>
              </w:rPr>
              <w:t>1、产业政策符合性分析</w:t>
            </w:r>
          </w:p>
          <w:p w14:paraId="1FE9CB14">
            <w:pPr>
              <w:spacing w:line="360" w:lineRule="auto"/>
              <w:ind w:firstLine="480" w:firstLineChars="20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根据《产业结构调整指导目录（</w:t>
            </w:r>
            <w:r>
              <w:rPr>
                <w:rFonts w:hint="default" w:ascii="Times New Roman" w:hAnsi="Times New Roman" w:cs="Times New Roman"/>
                <w:color w:val="auto"/>
                <w:highlight w:val="none"/>
                <w:lang w:val="en-US" w:eastAsia="zh-CN" w:bidi="ar"/>
              </w:rPr>
              <w:t>2024</w:t>
            </w:r>
            <w:r>
              <w:rPr>
                <w:rFonts w:hint="default" w:ascii="Times New Roman" w:hAnsi="Times New Roman" w:cs="Times New Roman"/>
                <w:color w:val="auto"/>
                <w:highlight w:val="none"/>
                <w:lang w:bidi="ar"/>
              </w:rPr>
              <w:t>年本）》，本项目不属于</w:t>
            </w:r>
            <w:r>
              <w:rPr>
                <w:rFonts w:hint="eastAsia" w:cs="Times New Roman"/>
                <w:color w:val="auto"/>
                <w:highlight w:val="none"/>
                <w:lang w:val="en-US" w:eastAsia="zh-CN" w:bidi="ar"/>
              </w:rPr>
              <w:t>其中</w:t>
            </w:r>
            <w:r>
              <w:rPr>
                <w:rFonts w:hint="default" w:ascii="Times New Roman" w:hAnsi="Times New Roman" w:cs="Times New Roman"/>
                <w:color w:val="auto"/>
                <w:highlight w:val="none"/>
                <w:lang w:bidi="ar"/>
              </w:rPr>
              <w:t>鼓励类、限制类和淘汰类，</w:t>
            </w:r>
            <w:r>
              <w:rPr>
                <w:rFonts w:hint="default" w:ascii="Times New Roman" w:hAnsi="Times New Roman" w:cs="Times New Roman"/>
                <w:color w:val="auto"/>
                <w:highlight w:val="none"/>
                <w:lang w:val="en-US" w:eastAsia="zh-CN" w:bidi="ar"/>
              </w:rPr>
              <w:t>视为</w:t>
            </w:r>
            <w:r>
              <w:rPr>
                <w:rFonts w:hint="default" w:ascii="Times New Roman" w:hAnsi="Times New Roman" w:cs="Times New Roman"/>
                <w:color w:val="auto"/>
                <w:highlight w:val="none"/>
                <w:lang w:bidi="ar"/>
              </w:rPr>
              <w:t>允许类项目。</w:t>
            </w:r>
          </w:p>
          <w:p w14:paraId="4738BEF0">
            <w:pPr>
              <w:spacing w:line="360" w:lineRule="auto"/>
              <w:ind w:firstLine="480" w:firstLineChars="200"/>
              <w:rPr>
                <w:color w:val="auto"/>
                <w:highlight w:val="none"/>
              </w:rPr>
            </w:pPr>
            <w:r>
              <w:rPr>
                <w:rFonts w:hint="eastAsia" w:cs="宋体"/>
                <w:color w:val="auto"/>
                <w:highlight w:val="none"/>
                <w:lang w:bidi="ar"/>
              </w:rPr>
              <w:t>本项目已于</w:t>
            </w:r>
            <w:r>
              <w:rPr>
                <w:color w:val="auto"/>
                <w:highlight w:val="none"/>
                <w:lang w:bidi="ar"/>
              </w:rPr>
              <w:t>202</w:t>
            </w:r>
            <w:r>
              <w:rPr>
                <w:rFonts w:hint="eastAsia"/>
                <w:color w:val="auto"/>
                <w:highlight w:val="none"/>
                <w:lang w:val="en-US" w:eastAsia="zh-CN" w:bidi="ar"/>
              </w:rPr>
              <w:t>4</w:t>
            </w:r>
            <w:r>
              <w:rPr>
                <w:rFonts w:hint="eastAsia" w:cs="宋体"/>
                <w:color w:val="auto"/>
                <w:highlight w:val="none"/>
                <w:lang w:bidi="ar"/>
              </w:rPr>
              <w:t>年</w:t>
            </w:r>
            <w:r>
              <w:rPr>
                <w:rFonts w:hint="eastAsia" w:cs="宋体"/>
                <w:color w:val="auto"/>
                <w:highlight w:val="none"/>
                <w:lang w:val="en-US" w:eastAsia="zh-CN" w:bidi="ar"/>
              </w:rPr>
              <w:t>7</w:t>
            </w:r>
            <w:r>
              <w:rPr>
                <w:rFonts w:hint="eastAsia" w:cs="宋体"/>
                <w:color w:val="auto"/>
                <w:highlight w:val="none"/>
                <w:lang w:bidi="ar"/>
              </w:rPr>
              <w:t>月</w:t>
            </w:r>
            <w:r>
              <w:rPr>
                <w:rFonts w:hint="eastAsia" w:cs="宋体"/>
                <w:color w:val="auto"/>
                <w:highlight w:val="none"/>
                <w:lang w:val="en-US" w:eastAsia="zh-CN" w:bidi="ar"/>
              </w:rPr>
              <w:t>22</w:t>
            </w:r>
            <w:r>
              <w:rPr>
                <w:rFonts w:hint="eastAsia" w:cs="宋体"/>
                <w:color w:val="auto"/>
                <w:highlight w:val="none"/>
                <w:lang w:bidi="ar"/>
              </w:rPr>
              <w:t>日</w:t>
            </w:r>
            <w:r>
              <w:rPr>
                <w:rFonts w:hint="eastAsia" w:cs="宋体"/>
                <w:color w:val="auto"/>
                <w:highlight w:val="none"/>
                <w:lang w:val="en-US" w:eastAsia="zh-CN" w:bidi="ar"/>
              </w:rPr>
              <w:t>由</w:t>
            </w:r>
            <w:r>
              <w:rPr>
                <w:rFonts w:hint="eastAsia"/>
                <w:color w:val="auto"/>
                <w:highlight w:val="none"/>
                <w:lang w:val="en-US" w:eastAsia="zh-CN"/>
              </w:rPr>
              <w:t>泗县发展和改革委员会以泗发改备案【2024】393号</w:t>
            </w:r>
            <w:r>
              <w:rPr>
                <w:rFonts w:hint="eastAsia" w:cs="宋体"/>
                <w:color w:val="auto"/>
                <w:highlight w:val="none"/>
                <w:lang w:bidi="ar"/>
              </w:rPr>
              <w:t>予以备案。项目代码为2407-341324-04-01-917541。因此，本项目的建设符合地方相关产业政策要求。</w:t>
            </w:r>
          </w:p>
          <w:p w14:paraId="225BF9DA">
            <w:pPr>
              <w:widowControl/>
              <w:adjustRightInd w:val="0"/>
              <w:snapToGrid w:val="0"/>
              <w:spacing w:line="360" w:lineRule="auto"/>
              <w:ind w:firstLine="480" w:firstLineChars="200"/>
              <w:jc w:val="left"/>
              <w:rPr>
                <w:color w:val="auto"/>
                <w:highlight w:val="none"/>
              </w:rPr>
            </w:pPr>
            <w:r>
              <w:rPr>
                <w:rFonts w:hint="eastAsia"/>
                <w:color w:val="auto"/>
                <w:highlight w:val="none"/>
                <w:lang w:bidi="ar"/>
              </w:rPr>
              <w:t>综上所述，本项目符合国家和地方产业政策要求。</w:t>
            </w:r>
          </w:p>
          <w:p w14:paraId="73A34361">
            <w:pPr>
              <w:pStyle w:val="19"/>
              <w:widowControl w:val="0"/>
              <w:spacing w:before="0" w:beforeAutospacing="0" w:after="0" w:afterAutospacing="0" w:line="360" w:lineRule="auto"/>
              <w:jc w:val="both"/>
              <w:rPr>
                <w:b/>
                <w:bCs/>
                <w:color w:val="auto"/>
                <w:highlight w:val="none"/>
              </w:rPr>
            </w:pPr>
            <w:r>
              <w:rPr>
                <w:rFonts w:hint="eastAsia" w:ascii="Times New Roman" w:hAnsi="Times New Roman" w:cs="宋体"/>
                <w:b/>
                <w:bCs/>
                <w:color w:val="auto"/>
                <w:kern w:val="2"/>
                <w:szCs w:val="24"/>
                <w:highlight w:val="none"/>
                <w:lang w:bidi="ar"/>
              </w:rPr>
              <w:t>2、土地利用的符合性分析</w:t>
            </w:r>
          </w:p>
          <w:p w14:paraId="45F3AB38">
            <w:pPr>
              <w:widowControl/>
              <w:spacing w:line="360" w:lineRule="auto"/>
              <w:ind w:firstLine="480" w:firstLineChars="200"/>
              <w:jc w:val="both"/>
              <w:rPr>
                <w:rFonts w:hint="eastAsia" w:eastAsia="宋体"/>
                <w:color w:val="auto"/>
                <w:szCs w:val="32"/>
                <w:highlight w:val="none"/>
                <w:lang w:eastAsia="zh-CN" w:bidi="ar"/>
              </w:rPr>
            </w:pPr>
            <w:r>
              <w:rPr>
                <w:rFonts w:hint="eastAsia"/>
                <w:color w:val="auto"/>
                <w:kern w:val="0"/>
                <w:highlight w:val="none"/>
              </w:rPr>
              <w:t>本项目位于</w:t>
            </w:r>
            <w:r>
              <w:rPr>
                <w:rFonts w:hint="eastAsia"/>
                <w:color w:val="auto"/>
                <w:kern w:val="0"/>
                <w:highlight w:val="none"/>
                <w:lang w:val="en-US" w:eastAsia="zh-CN"/>
              </w:rPr>
              <w:t>安徽省</w:t>
            </w:r>
            <w:r>
              <w:rPr>
                <w:rFonts w:hint="default" w:eastAsia="宋体"/>
                <w:color w:val="auto"/>
                <w:highlight w:val="none"/>
                <w:lang w:val="en-US" w:eastAsia="zh-CN"/>
              </w:rPr>
              <w:t>泗县经济开发区蟠龙山路与南柳路交口东南角地块</w:t>
            </w:r>
            <w:r>
              <w:rPr>
                <w:rFonts w:hint="eastAsia"/>
                <w:color w:val="auto"/>
                <w:kern w:val="0"/>
                <w:highlight w:val="none"/>
                <w:lang w:eastAsia="zh-CN"/>
              </w:rPr>
              <w:t>，</w:t>
            </w:r>
            <w:r>
              <w:rPr>
                <w:color w:val="auto"/>
                <w:szCs w:val="32"/>
                <w:highlight w:val="none"/>
                <w:lang w:bidi="ar"/>
              </w:rPr>
              <w:t>根据</w:t>
            </w:r>
            <w:r>
              <w:rPr>
                <w:rFonts w:hint="default" w:ascii="Times New Roman" w:hAnsi="Times New Roman" w:cs="Times New Roman"/>
                <w:kern w:val="0"/>
                <w:lang w:eastAsia="zh-CN"/>
              </w:rPr>
              <w:t>《</w:t>
            </w:r>
            <w:r>
              <w:rPr>
                <w:kern w:val="0"/>
              </w:rPr>
              <w:t>安徽泗县经济开发区总体发展规划</w:t>
            </w:r>
            <w:r>
              <w:rPr>
                <w:rFonts w:hint="default" w:ascii="Times New Roman" w:hAnsi="Times New Roman" w:cs="Times New Roman"/>
                <w:kern w:val="0"/>
              </w:rPr>
              <w:t>（2013-2030）</w:t>
            </w:r>
            <w:r>
              <w:rPr>
                <w:rFonts w:hint="default" w:ascii="Times New Roman" w:hAnsi="Times New Roman" w:cs="Times New Roman"/>
                <w:kern w:val="0"/>
                <w:lang w:eastAsia="zh-CN"/>
              </w:rPr>
              <w:t>》</w:t>
            </w:r>
            <w:r>
              <w:rPr>
                <w:rFonts w:hint="eastAsia"/>
                <w:color w:val="auto"/>
                <w:szCs w:val="32"/>
                <w:highlight w:val="none"/>
                <w:lang w:val="en-US" w:eastAsia="zh-CN" w:bidi="ar"/>
              </w:rPr>
              <w:t>，</w:t>
            </w:r>
            <w:r>
              <w:rPr>
                <w:color w:val="auto"/>
                <w:szCs w:val="32"/>
                <w:highlight w:val="none"/>
                <w:lang w:bidi="ar"/>
              </w:rPr>
              <w:t>项目</w:t>
            </w:r>
            <w:r>
              <w:rPr>
                <w:rFonts w:hint="eastAsia"/>
                <w:color w:val="auto"/>
                <w:szCs w:val="32"/>
                <w:highlight w:val="none"/>
                <w:lang w:bidi="ar"/>
              </w:rPr>
              <w:t>所在地属于工业用地</w:t>
            </w:r>
            <w:r>
              <w:rPr>
                <w:rFonts w:hint="eastAsia"/>
                <w:color w:val="auto"/>
                <w:szCs w:val="32"/>
                <w:highlight w:val="none"/>
                <w:lang w:eastAsia="zh-CN" w:bidi="ar"/>
              </w:rPr>
              <w:t>。</w:t>
            </w:r>
          </w:p>
          <w:p w14:paraId="147CA785">
            <w:pPr>
              <w:pStyle w:val="7"/>
              <w:snapToGrid w:val="0"/>
              <w:spacing w:line="360" w:lineRule="auto"/>
              <w:ind w:left="0" w:firstLine="480" w:firstLineChars="200"/>
              <w:rPr>
                <w:rFonts w:hint="eastAsia"/>
                <w:color w:val="auto"/>
                <w:highlight w:val="none"/>
                <w:lang w:val="en-US" w:eastAsia="zh-CN"/>
              </w:rPr>
            </w:pPr>
            <w:r>
              <w:rPr>
                <w:rFonts w:hint="eastAsia" w:cs="Times New Roman"/>
                <w:color w:val="auto"/>
                <w:highlight w:val="none"/>
                <w:lang w:val="en-US" w:eastAsia="zh-CN"/>
              </w:rPr>
              <w:t>项目租赁安徽好派文化体育用品股份有限公司空置厂房，目前厂房已经空置。项目北侧为空置厂房；南侧为安徽航邦铝塑板业有限公司；西侧为园区办公区；东侧为空地</w:t>
            </w:r>
            <w:r>
              <w:rPr>
                <w:rFonts w:hint="eastAsia"/>
                <w:color w:val="auto"/>
                <w:highlight w:val="none"/>
              </w:rPr>
              <w:t>。</w:t>
            </w:r>
            <w:r>
              <w:rPr>
                <w:rFonts w:hint="eastAsia"/>
                <w:color w:val="auto"/>
                <w:highlight w:val="none"/>
                <w:lang w:val="en-US" w:eastAsia="zh-CN"/>
              </w:rPr>
              <w:t>项目具体周边情况见附图。</w:t>
            </w:r>
          </w:p>
          <w:p w14:paraId="245805D3">
            <w:pPr>
              <w:pStyle w:val="7"/>
              <w:snapToGrid w:val="0"/>
              <w:spacing w:line="360" w:lineRule="auto"/>
              <w:ind w:left="0" w:firstLine="480" w:firstLineChars="200"/>
              <w:rPr>
                <w:rFonts w:hint="default" w:eastAsia="宋体"/>
                <w:color w:val="auto"/>
                <w:highlight w:val="yellow"/>
                <w:lang w:val="en-US" w:eastAsia="zh-CN" w:bidi="ar"/>
              </w:rPr>
            </w:pPr>
            <w:r>
              <w:rPr>
                <w:rFonts w:hint="eastAsia"/>
                <w:color w:val="auto"/>
                <w:highlight w:val="none"/>
                <w:lang w:bidi="ar"/>
              </w:rPr>
              <w:t>本项目</w:t>
            </w:r>
            <w:r>
              <w:rPr>
                <w:rFonts w:hint="eastAsia"/>
                <w:color w:val="auto"/>
                <w:highlight w:val="none"/>
                <w:lang w:val="en-US" w:eastAsia="zh-CN" w:bidi="ar"/>
              </w:rPr>
              <w:t>附近</w:t>
            </w:r>
            <w:r>
              <w:rPr>
                <w:color w:val="auto"/>
                <w:szCs w:val="24"/>
                <w:highlight w:val="none"/>
              </w:rPr>
              <w:t>无风景旅游区及国家、省、市级重点文物保护单位</w:t>
            </w:r>
            <w:r>
              <w:rPr>
                <w:rFonts w:hint="eastAsia"/>
                <w:color w:val="auto"/>
                <w:szCs w:val="24"/>
                <w:highlight w:val="none"/>
              </w:rPr>
              <w:t>，</w:t>
            </w:r>
            <w:r>
              <w:rPr>
                <w:rFonts w:hint="eastAsia"/>
                <w:color w:val="auto"/>
                <w:highlight w:val="none"/>
                <w:lang w:bidi="ar"/>
              </w:rPr>
              <w:t>且紧邻</w:t>
            </w:r>
            <w:r>
              <w:rPr>
                <w:rFonts w:hint="eastAsia"/>
                <w:color w:val="auto"/>
                <w:highlight w:val="none"/>
                <w:lang w:val="en-US" w:eastAsia="zh-CN"/>
              </w:rPr>
              <w:t>蟠龙山路</w:t>
            </w:r>
            <w:r>
              <w:rPr>
                <w:rFonts w:hint="eastAsia"/>
                <w:color w:val="auto"/>
                <w:highlight w:val="none"/>
                <w:lang w:bidi="ar"/>
              </w:rPr>
              <w:t>，交通方便。</w:t>
            </w:r>
          </w:p>
          <w:p w14:paraId="4DA60A69">
            <w:pPr>
              <w:widowControl/>
              <w:spacing w:line="360" w:lineRule="auto"/>
              <w:ind w:firstLine="480" w:firstLineChars="200"/>
              <w:jc w:val="left"/>
              <w:rPr>
                <w:rFonts w:hint="eastAsia"/>
                <w:color w:val="auto"/>
                <w:highlight w:val="none"/>
                <w:lang w:bidi="ar"/>
              </w:rPr>
            </w:pPr>
            <w:r>
              <w:rPr>
                <w:color w:val="auto"/>
                <w:highlight w:val="none"/>
                <w:lang w:bidi="ar"/>
              </w:rPr>
              <w:t>项目周边无饮用水源保护区、自然保护区、风景名胜区、生态环境敏感区等环境保护目标，选址处用地性质、位置符合相关规划要求与环境兼容。项目运营消耗资源主要为水</w:t>
            </w:r>
            <w:r>
              <w:rPr>
                <w:rFonts w:hint="eastAsia"/>
                <w:color w:val="auto"/>
                <w:highlight w:val="none"/>
                <w:lang w:eastAsia="zh-CN" w:bidi="ar"/>
              </w:rPr>
              <w:t>、</w:t>
            </w:r>
            <w:r>
              <w:rPr>
                <w:rFonts w:hint="eastAsia"/>
                <w:color w:val="auto"/>
                <w:highlight w:val="none"/>
                <w:lang w:val="en-US" w:eastAsia="zh-CN" w:bidi="ar"/>
              </w:rPr>
              <w:t>电。</w:t>
            </w:r>
          </w:p>
          <w:p w14:paraId="6A35F435">
            <w:pPr>
              <w:widowControl/>
              <w:spacing w:line="360" w:lineRule="auto"/>
              <w:ind w:firstLine="480" w:firstLineChars="200"/>
              <w:jc w:val="left"/>
              <w:rPr>
                <w:color w:val="auto"/>
                <w:highlight w:val="none"/>
                <w:lang w:bidi="ar"/>
              </w:rPr>
            </w:pPr>
            <w:r>
              <w:rPr>
                <w:rFonts w:hint="eastAsia"/>
                <w:color w:val="auto"/>
                <w:highlight w:val="none"/>
                <w:lang w:bidi="ar"/>
              </w:rPr>
              <w:t>综上所述，项目与周边环境基本相容，选址基本合理。</w:t>
            </w:r>
          </w:p>
          <w:p w14:paraId="5809BDAF">
            <w:pPr>
              <w:spacing w:line="360" w:lineRule="auto"/>
              <w:rPr>
                <w:b/>
                <w:bCs/>
                <w:color w:val="auto"/>
                <w:kern w:val="0"/>
                <w:highlight w:val="none"/>
              </w:rPr>
            </w:pPr>
            <w:r>
              <w:rPr>
                <w:rFonts w:hint="eastAsia" w:cs="宋体"/>
                <w:b/>
                <w:bCs/>
                <w:color w:val="auto"/>
                <w:highlight w:val="none"/>
                <w:lang w:bidi="ar"/>
              </w:rPr>
              <w:t>3、</w:t>
            </w:r>
            <w:r>
              <w:rPr>
                <w:rFonts w:hint="eastAsia"/>
                <w:b/>
                <w:bCs/>
                <w:color w:val="auto"/>
                <w:kern w:val="0"/>
                <w:highlight w:val="none"/>
              </w:rPr>
              <w:t>“三线一单”符合性分析：</w:t>
            </w:r>
          </w:p>
          <w:p w14:paraId="4C3D317E">
            <w:pPr>
              <w:spacing w:line="360" w:lineRule="auto"/>
              <w:ind w:firstLine="480"/>
              <w:rPr>
                <w:bCs/>
                <w:color w:val="auto"/>
                <w:kern w:val="0"/>
                <w:highlight w:val="none"/>
              </w:rPr>
            </w:pPr>
            <w:r>
              <w:rPr>
                <w:rFonts w:hint="eastAsia"/>
                <w:b/>
                <w:bCs w:val="0"/>
                <w:color w:val="auto"/>
                <w:kern w:val="0"/>
                <w:highlight w:val="none"/>
                <w:lang w:val="en-US" w:eastAsia="zh-CN"/>
              </w:rPr>
              <w:t>3.1</w:t>
            </w:r>
            <w:r>
              <w:rPr>
                <w:b/>
                <w:bCs w:val="0"/>
                <w:color w:val="auto"/>
                <w:kern w:val="0"/>
                <w:highlight w:val="none"/>
              </w:rPr>
              <w:t>生态保护红线</w:t>
            </w:r>
          </w:p>
          <w:p w14:paraId="16CBB9A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color w:val="auto"/>
                <w:highlight w:val="none"/>
                <w:lang w:eastAsia="zh-CN"/>
              </w:rPr>
            </w:pPr>
            <w:r>
              <w:rPr>
                <w:color w:val="auto"/>
                <w:sz w:val="24"/>
                <w:highlight w:val="none"/>
              </w:rPr>
              <w:t>根据</w:t>
            </w:r>
            <w:r>
              <w:rPr>
                <w:rFonts w:hint="eastAsia"/>
                <w:color w:val="auto"/>
                <w:sz w:val="24"/>
                <w:highlight w:val="none"/>
                <w:lang w:eastAsia="zh-CN"/>
              </w:rPr>
              <w:t>《宿州市生态环境分区管控编制文本》</w:t>
            </w:r>
            <w:r>
              <w:rPr>
                <w:color w:val="auto"/>
                <w:sz w:val="24"/>
                <w:highlight w:val="none"/>
              </w:rPr>
              <w:t>，宿州市的生态保护红线主要分布在以下片区</w:t>
            </w:r>
            <w:r>
              <w:rPr>
                <w:rFonts w:hint="eastAsia" w:cs="宋体"/>
                <w:color w:val="auto"/>
                <w:kern w:val="0"/>
                <w:sz w:val="24"/>
                <w:highlight w:val="none"/>
                <w:lang w:eastAsia="zh-CN"/>
              </w:rPr>
              <w:t>：</w:t>
            </w:r>
          </w:p>
          <w:p w14:paraId="20B34C24">
            <w:pPr>
              <w:keepNext w:val="0"/>
              <w:keepLines w:val="0"/>
              <w:suppressLineNumbers w:val="0"/>
              <w:adjustRightInd w:val="0"/>
              <w:snapToGrid w:val="0"/>
              <w:spacing w:before="0" w:beforeAutospacing="0" w:after="0" w:afterAutospacing="0"/>
              <w:ind w:left="0" w:right="0" w:firstLine="482" w:firstLineChars="200"/>
              <w:jc w:val="center"/>
              <w:rPr>
                <w:rFonts w:hint="default" w:eastAsia="仿宋"/>
                <w:b/>
                <w:color w:val="auto"/>
                <w:szCs w:val="28"/>
                <w:highlight w:val="none"/>
              </w:rPr>
            </w:pPr>
            <w:r>
              <w:rPr>
                <w:rFonts w:hint="eastAsia" w:ascii="宋体" w:hAnsi="宋体" w:cs="宋体"/>
                <w:b/>
                <w:bCs/>
                <w:color w:val="auto"/>
                <w:highlight w:val="none"/>
              </w:rPr>
              <w:t>表</w:t>
            </w:r>
            <w:r>
              <w:rPr>
                <w:rFonts w:hint="default"/>
                <w:b/>
                <w:bCs/>
                <w:color w:val="auto"/>
                <w:highlight w:val="none"/>
              </w:rPr>
              <w:t>1</w:t>
            </w:r>
            <w:r>
              <w:rPr>
                <w:rFonts w:hint="eastAsia"/>
                <w:b/>
                <w:bCs/>
                <w:color w:val="auto"/>
                <w:highlight w:val="none"/>
                <w:lang w:val="en-US" w:eastAsia="zh-CN"/>
              </w:rPr>
              <w:t xml:space="preserve">-3 </w:t>
            </w:r>
            <w:r>
              <w:rPr>
                <w:rFonts w:hint="eastAsia"/>
                <w:b/>
                <w:bCs/>
                <w:color w:val="auto"/>
                <w:highlight w:val="none"/>
              </w:rPr>
              <w:t xml:space="preserve"> </w:t>
            </w:r>
            <w:r>
              <w:rPr>
                <w:rFonts w:hint="default"/>
                <w:b/>
                <w:bCs/>
                <w:color w:val="auto"/>
                <w:highlight w:val="none"/>
              </w:rPr>
              <w:t>宿州市生态保护红线登记表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908"/>
              <w:gridCol w:w="1011"/>
              <w:gridCol w:w="2194"/>
              <w:gridCol w:w="879"/>
              <w:gridCol w:w="823"/>
            </w:tblGrid>
            <w:tr w14:paraId="5E13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noWrap w:val="0"/>
                  <w:vAlign w:val="center"/>
                </w:tcPr>
                <w:p w14:paraId="74D5D7CF">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类型</w:t>
                  </w:r>
                </w:p>
              </w:tc>
              <w:tc>
                <w:tcPr>
                  <w:tcW w:w="945" w:type="dxa"/>
                  <w:noWrap w:val="0"/>
                  <w:vAlign w:val="center"/>
                </w:tcPr>
                <w:p w14:paraId="43E129ED">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1052" w:type="dxa"/>
                  <w:noWrap w:val="0"/>
                  <w:vAlign w:val="center"/>
                </w:tcPr>
                <w:p w14:paraId="21DBCD04">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生态系统特征</w:t>
                  </w:r>
                </w:p>
              </w:tc>
              <w:tc>
                <w:tcPr>
                  <w:tcW w:w="2284" w:type="dxa"/>
                  <w:noWrap w:val="0"/>
                  <w:vAlign w:val="center"/>
                </w:tcPr>
                <w:p w14:paraId="62ADC12B">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保护地名录</w:t>
                  </w:r>
                </w:p>
              </w:tc>
              <w:tc>
                <w:tcPr>
                  <w:tcW w:w="915" w:type="dxa"/>
                  <w:noWrap w:val="0"/>
                  <w:vAlign w:val="center"/>
                </w:tcPr>
                <w:p w14:paraId="55C23731">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所属行政区</w:t>
                  </w:r>
                </w:p>
              </w:tc>
              <w:tc>
                <w:tcPr>
                  <w:tcW w:w="857" w:type="dxa"/>
                  <w:noWrap w:val="0"/>
                  <w:vAlign w:val="center"/>
                </w:tcPr>
                <w:p w14:paraId="3572E3FF">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面积/km</w:t>
                  </w:r>
                  <w:r>
                    <w:rPr>
                      <w:rFonts w:hint="default" w:ascii="Times New Roman" w:hAnsi="Times New Roman" w:eastAsia="宋体" w:cs="Times New Roman"/>
                      <w:b/>
                      <w:bCs/>
                      <w:color w:val="auto"/>
                      <w:kern w:val="0"/>
                      <w:sz w:val="21"/>
                      <w:szCs w:val="21"/>
                      <w:highlight w:val="none"/>
                      <w:vertAlign w:val="superscript"/>
                    </w:rPr>
                    <w:t>2</w:t>
                  </w:r>
                </w:p>
              </w:tc>
            </w:tr>
            <w:tr w14:paraId="3A38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noWrap w:val="0"/>
                  <w:vAlign w:val="center"/>
                </w:tcPr>
                <w:p w14:paraId="40BE5271">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Ⅱ水土保持生态保护红线</w:t>
                  </w:r>
                </w:p>
              </w:tc>
              <w:tc>
                <w:tcPr>
                  <w:tcW w:w="945" w:type="dxa"/>
                  <w:vMerge w:val="restart"/>
                  <w:noWrap w:val="0"/>
                  <w:vAlign w:val="center"/>
                </w:tcPr>
                <w:p w14:paraId="2B2F68E0">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Ⅱ-1淮北河间平原农产品提供及水土保持生态保护红线</w:t>
                  </w:r>
                </w:p>
              </w:tc>
              <w:tc>
                <w:tcPr>
                  <w:tcW w:w="1052" w:type="dxa"/>
                  <w:vMerge w:val="restart"/>
                  <w:noWrap w:val="0"/>
                  <w:vAlign w:val="center"/>
                </w:tcPr>
                <w:p w14:paraId="6F67E077">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暖温带落叶阔叶林带</w:t>
                  </w:r>
                </w:p>
              </w:tc>
              <w:tc>
                <w:tcPr>
                  <w:tcW w:w="2284" w:type="dxa"/>
                  <w:vMerge w:val="restart"/>
                  <w:noWrap w:val="0"/>
                  <w:vAlign w:val="center"/>
                </w:tcPr>
                <w:p w14:paraId="0E8582AC">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宿州大方寺省级自然保护区、泗县沱河省级自然保护区、泗县新汴河省级湿地自然公园、安徽灵璧磬云山国家地质自然公园、泗县沱河省级自然保护区、安徽泗县石龙湖国家湿地公园</w:t>
                  </w:r>
                </w:p>
              </w:tc>
              <w:tc>
                <w:tcPr>
                  <w:tcW w:w="915" w:type="dxa"/>
                  <w:noWrap w:val="0"/>
                  <w:vAlign w:val="center"/>
                </w:tcPr>
                <w:p w14:paraId="7DE1BDFE">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灵璧县</w:t>
                  </w:r>
                </w:p>
              </w:tc>
              <w:tc>
                <w:tcPr>
                  <w:tcW w:w="857" w:type="dxa"/>
                  <w:noWrap w:val="0"/>
                  <w:vAlign w:val="center"/>
                </w:tcPr>
                <w:p w14:paraId="43666266">
                  <w:pPr>
                    <w:autoSpaceDE w:val="0"/>
                    <w:autoSpaceDN w:val="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8.</w:t>
                  </w:r>
                  <w:r>
                    <w:rPr>
                      <w:rFonts w:hint="default" w:ascii="Times New Roman" w:hAnsi="Times New Roman" w:eastAsia="宋体" w:cs="Times New Roman"/>
                      <w:color w:val="auto"/>
                      <w:kern w:val="0"/>
                      <w:sz w:val="21"/>
                      <w:szCs w:val="21"/>
                      <w:highlight w:val="none"/>
                      <w:lang w:val="en-US" w:eastAsia="zh-CN"/>
                    </w:rPr>
                    <w:t>2</w:t>
                  </w:r>
                </w:p>
              </w:tc>
            </w:tr>
            <w:tr w14:paraId="6FE0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noWrap w:val="0"/>
                  <w:vAlign w:val="center"/>
                </w:tcPr>
                <w:p w14:paraId="18502712">
                  <w:pPr>
                    <w:autoSpaceDE w:val="0"/>
                    <w:autoSpaceDN w:val="0"/>
                    <w:jc w:val="center"/>
                    <w:rPr>
                      <w:rFonts w:hint="default" w:ascii="Times New Roman" w:hAnsi="Times New Roman" w:eastAsia="宋体" w:cs="Times New Roman"/>
                      <w:color w:val="auto"/>
                      <w:kern w:val="0"/>
                      <w:sz w:val="21"/>
                      <w:szCs w:val="21"/>
                      <w:highlight w:val="none"/>
                    </w:rPr>
                  </w:pPr>
                </w:p>
              </w:tc>
              <w:tc>
                <w:tcPr>
                  <w:tcW w:w="945" w:type="dxa"/>
                  <w:vMerge w:val="continue"/>
                  <w:noWrap w:val="0"/>
                  <w:vAlign w:val="center"/>
                </w:tcPr>
                <w:p w14:paraId="3B2BC8BD">
                  <w:pPr>
                    <w:autoSpaceDE w:val="0"/>
                    <w:autoSpaceDN w:val="0"/>
                    <w:jc w:val="center"/>
                    <w:rPr>
                      <w:rFonts w:hint="default" w:ascii="Times New Roman" w:hAnsi="Times New Roman" w:eastAsia="宋体" w:cs="Times New Roman"/>
                      <w:color w:val="auto"/>
                      <w:kern w:val="0"/>
                      <w:sz w:val="21"/>
                      <w:szCs w:val="21"/>
                      <w:highlight w:val="none"/>
                    </w:rPr>
                  </w:pPr>
                </w:p>
              </w:tc>
              <w:tc>
                <w:tcPr>
                  <w:tcW w:w="1052" w:type="dxa"/>
                  <w:vMerge w:val="continue"/>
                  <w:noWrap w:val="0"/>
                  <w:vAlign w:val="center"/>
                </w:tcPr>
                <w:p w14:paraId="3C207B4A">
                  <w:pPr>
                    <w:autoSpaceDE w:val="0"/>
                    <w:autoSpaceDN w:val="0"/>
                    <w:jc w:val="center"/>
                    <w:rPr>
                      <w:rFonts w:hint="default" w:ascii="Times New Roman" w:hAnsi="Times New Roman" w:eastAsia="宋体" w:cs="Times New Roman"/>
                      <w:color w:val="auto"/>
                      <w:kern w:val="0"/>
                      <w:sz w:val="21"/>
                      <w:szCs w:val="21"/>
                      <w:highlight w:val="none"/>
                    </w:rPr>
                  </w:pPr>
                </w:p>
              </w:tc>
              <w:tc>
                <w:tcPr>
                  <w:tcW w:w="2284" w:type="dxa"/>
                  <w:vMerge w:val="continue"/>
                  <w:noWrap w:val="0"/>
                  <w:vAlign w:val="center"/>
                </w:tcPr>
                <w:p w14:paraId="5F4C4E28">
                  <w:pPr>
                    <w:autoSpaceDE w:val="0"/>
                    <w:autoSpaceDN w:val="0"/>
                    <w:jc w:val="center"/>
                    <w:rPr>
                      <w:rFonts w:hint="default" w:ascii="Times New Roman" w:hAnsi="Times New Roman" w:eastAsia="宋体" w:cs="Times New Roman"/>
                      <w:color w:val="auto"/>
                      <w:kern w:val="0"/>
                      <w:sz w:val="21"/>
                      <w:szCs w:val="21"/>
                      <w:highlight w:val="none"/>
                    </w:rPr>
                  </w:pPr>
                </w:p>
              </w:tc>
              <w:tc>
                <w:tcPr>
                  <w:tcW w:w="915" w:type="dxa"/>
                  <w:noWrap w:val="0"/>
                  <w:vAlign w:val="center"/>
                </w:tcPr>
                <w:p w14:paraId="66B9E933">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泗</w:t>
                  </w:r>
                  <w:r>
                    <w:rPr>
                      <w:rFonts w:hint="default" w:ascii="Times New Roman" w:hAnsi="Times New Roman" w:eastAsia="宋体" w:cs="Times New Roman"/>
                      <w:color w:val="auto"/>
                      <w:kern w:val="0"/>
                      <w:sz w:val="21"/>
                      <w:szCs w:val="21"/>
                      <w:highlight w:val="none"/>
                    </w:rPr>
                    <w:t>县</w:t>
                  </w:r>
                </w:p>
              </w:tc>
              <w:tc>
                <w:tcPr>
                  <w:tcW w:w="857" w:type="dxa"/>
                  <w:noWrap w:val="0"/>
                  <w:vAlign w:val="center"/>
                </w:tcPr>
                <w:p w14:paraId="7A775BBA">
                  <w:pPr>
                    <w:autoSpaceDE w:val="0"/>
                    <w:autoSpaceDN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28.82</w:t>
                  </w:r>
                </w:p>
              </w:tc>
            </w:tr>
            <w:tr w14:paraId="22A3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noWrap w:val="0"/>
                  <w:vAlign w:val="center"/>
                </w:tcPr>
                <w:p w14:paraId="11109FCC">
                  <w:pPr>
                    <w:autoSpaceDE w:val="0"/>
                    <w:autoSpaceDN w:val="0"/>
                    <w:jc w:val="center"/>
                    <w:rPr>
                      <w:rFonts w:hint="default" w:ascii="Times New Roman" w:hAnsi="Times New Roman" w:eastAsia="宋体" w:cs="Times New Roman"/>
                      <w:color w:val="auto"/>
                      <w:kern w:val="0"/>
                      <w:sz w:val="21"/>
                      <w:szCs w:val="21"/>
                      <w:highlight w:val="none"/>
                    </w:rPr>
                  </w:pPr>
                </w:p>
              </w:tc>
              <w:tc>
                <w:tcPr>
                  <w:tcW w:w="945" w:type="dxa"/>
                  <w:vMerge w:val="continue"/>
                  <w:noWrap w:val="0"/>
                  <w:vAlign w:val="center"/>
                </w:tcPr>
                <w:p w14:paraId="358EB896">
                  <w:pPr>
                    <w:autoSpaceDE w:val="0"/>
                    <w:autoSpaceDN w:val="0"/>
                    <w:jc w:val="center"/>
                    <w:rPr>
                      <w:rFonts w:hint="default" w:ascii="Times New Roman" w:hAnsi="Times New Roman" w:eastAsia="宋体" w:cs="Times New Roman"/>
                      <w:color w:val="auto"/>
                      <w:kern w:val="0"/>
                      <w:sz w:val="21"/>
                      <w:szCs w:val="21"/>
                      <w:highlight w:val="none"/>
                    </w:rPr>
                  </w:pPr>
                </w:p>
              </w:tc>
              <w:tc>
                <w:tcPr>
                  <w:tcW w:w="1052" w:type="dxa"/>
                  <w:vMerge w:val="continue"/>
                  <w:noWrap w:val="0"/>
                  <w:vAlign w:val="center"/>
                </w:tcPr>
                <w:p w14:paraId="52327416">
                  <w:pPr>
                    <w:autoSpaceDE w:val="0"/>
                    <w:autoSpaceDN w:val="0"/>
                    <w:jc w:val="center"/>
                    <w:rPr>
                      <w:rFonts w:hint="default" w:ascii="Times New Roman" w:hAnsi="Times New Roman" w:eastAsia="宋体" w:cs="Times New Roman"/>
                      <w:color w:val="auto"/>
                      <w:kern w:val="0"/>
                      <w:sz w:val="21"/>
                      <w:szCs w:val="21"/>
                      <w:highlight w:val="none"/>
                    </w:rPr>
                  </w:pPr>
                </w:p>
              </w:tc>
              <w:tc>
                <w:tcPr>
                  <w:tcW w:w="2284" w:type="dxa"/>
                  <w:vMerge w:val="continue"/>
                  <w:noWrap w:val="0"/>
                  <w:vAlign w:val="center"/>
                </w:tcPr>
                <w:p w14:paraId="38572C54">
                  <w:pPr>
                    <w:autoSpaceDE w:val="0"/>
                    <w:autoSpaceDN w:val="0"/>
                    <w:jc w:val="center"/>
                    <w:rPr>
                      <w:rFonts w:hint="default" w:ascii="Times New Roman" w:hAnsi="Times New Roman" w:eastAsia="宋体" w:cs="Times New Roman"/>
                      <w:color w:val="auto"/>
                      <w:kern w:val="0"/>
                      <w:sz w:val="21"/>
                      <w:szCs w:val="21"/>
                      <w:highlight w:val="none"/>
                    </w:rPr>
                  </w:pPr>
                </w:p>
              </w:tc>
              <w:tc>
                <w:tcPr>
                  <w:tcW w:w="915" w:type="dxa"/>
                  <w:noWrap w:val="0"/>
                  <w:vAlign w:val="center"/>
                </w:tcPr>
                <w:p w14:paraId="22525129">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埇桥区</w:t>
                  </w:r>
                </w:p>
              </w:tc>
              <w:tc>
                <w:tcPr>
                  <w:tcW w:w="857" w:type="dxa"/>
                  <w:noWrap w:val="0"/>
                  <w:vAlign w:val="center"/>
                </w:tcPr>
                <w:p w14:paraId="2152AE46">
                  <w:pPr>
                    <w:autoSpaceDE w:val="0"/>
                    <w:autoSpaceDN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65.24</w:t>
                  </w:r>
                </w:p>
              </w:tc>
            </w:tr>
            <w:tr w14:paraId="7481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noWrap w:val="0"/>
                  <w:vAlign w:val="center"/>
                </w:tcPr>
                <w:p w14:paraId="3D8AB113">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Ⅲ生物多样性维护生态保护红线</w:t>
                  </w:r>
                </w:p>
              </w:tc>
              <w:tc>
                <w:tcPr>
                  <w:tcW w:w="945" w:type="dxa"/>
                  <w:vMerge w:val="restart"/>
                  <w:noWrap w:val="0"/>
                  <w:vAlign w:val="center"/>
                </w:tcPr>
                <w:p w14:paraId="39A8EF1E">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Ⅲ-1淮北平原北部生物多样性维护及水土保持生态保护红线</w:t>
                  </w:r>
                </w:p>
              </w:tc>
              <w:tc>
                <w:tcPr>
                  <w:tcW w:w="1052" w:type="dxa"/>
                  <w:vMerge w:val="restart"/>
                  <w:noWrap w:val="0"/>
                  <w:vAlign w:val="center"/>
                </w:tcPr>
                <w:p w14:paraId="4762405E">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暖温带落叶阔叶林带</w:t>
                  </w:r>
                </w:p>
              </w:tc>
              <w:tc>
                <w:tcPr>
                  <w:tcW w:w="2284" w:type="dxa"/>
                  <w:vMerge w:val="restart"/>
                  <w:noWrap w:val="0"/>
                  <w:vAlign w:val="center"/>
                </w:tcPr>
                <w:p w14:paraId="6EA95E7A">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915" w:type="dxa"/>
                  <w:noWrap w:val="0"/>
                  <w:vAlign w:val="center"/>
                </w:tcPr>
                <w:p w14:paraId="65EEA37B">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砀山县</w:t>
                  </w:r>
                </w:p>
              </w:tc>
              <w:tc>
                <w:tcPr>
                  <w:tcW w:w="857" w:type="dxa"/>
                  <w:noWrap w:val="0"/>
                  <w:vAlign w:val="center"/>
                </w:tcPr>
                <w:p w14:paraId="126D9C96">
                  <w:pPr>
                    <w:autoSpaceDE w:val="0"/>
                    <w:autoSpaceDN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113.87</w:t>
                  </w:r>
                </w:p>
              </w:tc>
            </w:tr>
            <w:tr w14:paraId="074C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noWrap w:val="0"/>
                  <w:vAlign w:val="center"/>
                </w:tcPr>
                <w:p w14:paraId="303AD354">
                  <w:pPr>
                    <w:autoSpaceDE w:val="0"/>
                    <w:autoSpaceDN w:val="0"/>
                    <w:jc w:val="center"/>
                    <w:rPr>
                      <w:rFonts w:hint="default" w:ascii="Times New Roman" w:hAnsi="Times New Roman" w:eastAsia="宋体" w:cs="Times New Roman"/>
                      <w:color w:val="auto"/>
                      <w:kern w:val="0"/>
                      <w:sz w:val="21"/>
                      <w:szCs w:val="21"/>
                      <w:highlight w:val="none"/>
                    </w:rPr>
                  </w:pPr>
                </w:p>
              </w:tc>
              <w:tc>
                <w:tcPr>
                  <w:tcW w:w="945" w:type="dxa"/>
                  <w:vMerge w:val="continue"/>
                  <w:noWrap w:val="0"/>
                  <w:vAlign w:val="center"/>
                </w:tcPr>
                <w:p w14:paraId="64E66BB9">
                  <w:pPr>
                    <w:autoSpaceDE w:val="0"/>
                    <w:autoSpaceDN w:val="0"/>
                    <w:jc w:val="center"/>
                    <w:rPr>
                      <w:rFonts w:hint="default" w:ascii="Times New Roman" w:hAnsi="Times New Roman" w:eastAsia="宋体" w:cs="Times New Roman"/>
                      <w:color w:val="auto"/>
                      <w:kern w:val="0"/>
                      <w:sz w:val="21"/>
                      <w:szCs w:val="21"/>
                      <w:highlight w:val="none"/>
                    </w:rPr>
                  </w:pPr>
                </w:p>
              </w:tc>
              <w:tc>
                <w:tcPr>
                  <w:tcW w:w="1052" w:type="dxa"/>
                  <w:vMerge w:val="continue"/>
                  <w:noWrap w:val="0"/>
                  <w:vAlign w:val="center"/>
                </w:tcPr>
                <w:p w14:paraId="69CD3B9F">
                  <w:pPr>
                    <w:autoSpaceDE w:val="0"/>
                    <w:autoSpaceDN w:val="0"/>
                    <w:jc w:val="center"/>
                    <w:rPr>
                      <w:rFonts w:hint="default" w:ascii="Times New Roman" w:hAnsi="Times New Roman" w:eastAsia="宋体" w:cs="Times New Roman"/>
                      <w:color w:val="auto"/>
                      <w:kern w:val="0"/>
                      <w:sz w:val="21"/>
                      <w:szCs w:val="21"/>
                      <w:highlight w:val="none"/>
                    </w:rPr>
                  </w:pPr>
                </w:p>
              </w:tc>
              <w:tc>
                <w:tcPr>
                  <w:tcW w:w="2284" w:type="dxa"/>
                  <w:vMerge w:val="continue"/>
                  <w:noWrap w:val="0"/>
                  <w:vAlign w:val="center"/>
                </w:tcPr>
                <w:p w14:paraId="7A8FF21D">
                  <w:pPr>
                    <w:autoSpaceDE w:val="0"/>
                    <w:autoSpaceDN w:val="0"/>
                    <w:jc w:val="center"/>
                    <w:rPr>
                      <w:rFonts w:hint="default" w:ascii="Times New Roman" w:hAnsi="Times New Roman" w:eastAsia="宋体" w:cs="Times New Roman"/>
                      <w:color w:val="auto"/>
                      <w:kern w:val="0"/>
                      <w:sz w:val="21"/>
                      <w:szCs w:val="21"/>
                      <w:highlight w:val="none"/>
                    </w:rPr>
                  </w:pPr>
                </w:p>
              </w:tc>
              <w:tc>
                <w:tcPr>
                  <w:tcW w:w="915" w:type="dxa"/>
                  <w:noWrap w:val="0"/>
                  <w:vAlign w:val="center"/>
                </w:tcPr>
                <w:p w14:paraId="6B1D51C4">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萧县</w:t>
                  </w:r>
                </w:p>
              </w:tc>
              <w:tc>
                <w:tcPr>
                  <w:tcW w:w="857" w:type="dxa"/>
                  <w:noWrap w:val="0"/>
                  <w:vAlign w:val="center"/>
                </w:tcPr>
                <w:p w14:paraId="5C35C70B">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103.45</w:t>
                  </w:r>
                </w:p>
              </w:tc>
            </w:tr>
          </w:tbl>
          <w:p w14:paraId="6FA9DE4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color w:val="auto"/>
                <w:highlight w:val="none"/>
              </w:rPr>
            </w:pPr>
            <w:r>
              <w:rPr>
                <w:rFonts w:hint="eastAsia" w:cs="宋体"/>
                <w:color w:val="auto"/>
                <w:kern w:val="0"/>
                <w:sz w:val="24"/>
                <w:highlight w:val="none"/>
              </w:rPr>
              <w:t>项目位于</w:t>
            </w:r>
            <w:r>
              <w:rPr>
                <w:rFonts w:hint="eastAsia" w:cs="宋体"/>
                <w:color w:val="auto"/>
                <w:kern w:val="0"/>
                <w:sz w:val="24"/>
                <w:highlight w:val="none"/>
                <w:lang w:val="en-US" w:eastAsia="zh-CN"/>
              </w:rPr>
              <w:t>泗县经济开发区内</w:t>
            </w:r>
            <w:r>
              <w:rPr>
                <w:rFonts w:hint="eastAsia" w:cs="宋体"/>
                <w:color w:val="auto"/>
                <w:kern w:val="0"/>
                <w:sz w:val="24"/>
                <w:highlight w:val="none"/>
              </w:rPr>
              <w:t>，所在区域不在生态保护红线区域内，因此，本项目的建设符合宿州市生态保护红线的要求</w:t>
            </w:r>
            <w:r>
              <w:rPr>
                <w:color w:val="auto"/>
                <w:highlight w:val="none"/>
              </w:rPr>
              <w:t>。</w:t>
            </w:r>
          </w:p>
          <w:p w14:paraId="694A736D">
            <w:pPr>
              <w:keepNext w:val="0"/>
              <w:keepLines w:val="0"/>
              <w:pageBreakBefore w:val="0"/>
              <w:widowControl w:val="0"/>
              <w:kinsoku/>
              <w:wordWrap/>
              <w:overflowPunct/>
              <w:topLinePunct w:val="0"/>
              <w:autoSpaceDE/>
              <w:autoSpaceDN/>
              <w:bidi w:val="0"/>
              <w:spacing w:line="360" w:lineRule="auto"/>
              <w:ind w:firstLine="480"/>
              <w:textAlignment w:val="auto"/>
              <w:rPr>
                <w:b/>
                <w:bCs w:val="0"/>
                <w:color w:val="auto"/>
                <w:kern w:val="0"/>
                <w:highlight w:val="none"/>
              </w:rPr>
            </w:pPr>
            <w:r>
              <w:rPr>
                <w:rFonts w:hint="eastAsia"/>
                <w:b/>
                <w:bCs w:val="0"/>
                <w:color w:val="auto"/>
                <w:kern w:val="0"/>
                <w:highlight w:val="none"/>
                <w:lang w:val="en-US" w:eastAsia="zh-CN"/>
              </w:rPr>
              <w:t>3.2</w:t>
            </w:r>
            <w:r>
              <w:rPr>
                <w:rFonts w:hint="eastAsia"/>
                <w:b/>
                <w:bCs w:val="0"/>
                <w:color w:val="auto"/>
                <w:kern w:val="0"/>
                <w:highlight w:val="none"/>
              </w:rPr>
              <w:t>环境质量底线</w:t>
            </w:r>
          </w:p>
          <w:p w14:paraId="5F105D86">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482" w:firstLineChars="200"/>
              <w:jc w:val="left"/>
              <w:textAlignment w:val="auto"/>
              <w:rPr>
                <w:rFonts w:hint="default" w:ascii="Times New Roman" w:hAnsi="Times New Roman" w:eastAsia="宋体" w:cs="宋体"/>
                <w:b/>
                <w:bCs/>
                <w:color w:val="auto"/>
                <w:kern w:val="0"/>
                <w:sz w:val="24"/>
                <w:highlight w:val="none"/>
                <w:lang w:val="en-US" w:eastAsia="zh-CN"/>
              </w:rPr>
            </w:pPr>
            <w:r>
              <w:rPr>
                <w:rFonts w:hint="eastAsia" w:ascii="Times New Roman" w:hAnsi="Times New Roman" w:eastAsia="宋体" w:cs="宋体"/>
                <w:b/>
                <w:bCs/>
                <w:color w:val="auto"/>
                <w:kern w:val="0"/>
                <w:sz w:val="24"/>
                <w:highlight w:val="none"/>
                <w:lang w:val="en-US" w:eastAsia="zh-CN"/>
              </w:rPr>
              <w:t>（1）大气环境质量底线及分区管控</w:t>
            </w:r>
          </w:p>
          <w:p w14:paraId="0073E80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①大气环境质量底线</w:t>
            </w:r>
          </w:p>
          <w:p w14:paraId="1E975C2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rPr>
            </w:pPr>
            <w:r>
              <w:rPr>
                <w:rFonts w:hint="default" w:ascii="Times New Roman" w:hAnsi="Times New Roman" w:eastAsia="宋体" w:cs="宋体"/>
                <w:color w:val="auto"/>
                <w:kern w:val="0"/>
                <w:sz w:val="24"/>
                <w:highlight w:val="none"/>
              </w:rPr>
              <w:t>根据《环境空气质量模型技术支持服务系统》对区域达标情况进行判定，宿州市202</w:t>
            </w:r>
            <w:r>
              <w:rPr>
                <w:rFonts w:hint="eastAsia" w:ascii="Times New Roman" w:hAnsi="Times New Roman" w:eastAsia="宋体" w:cs="宋体"/>
                <w:color w:val="auto"/>
                <w:kern w:val="0"/>
                <w:sz w:val="24"/>
                <w:highlight w:val="none"/>
                <w:lang w:val="en-US" w:eastAsia="zh-CN"/>
              </w:rPr>
              <w:t>4</w:t>
            </w:r>
            <w:r>
              <w:rPr>
                <w:rFonts w:hint="default" w:ascii="Times New Roman" w:hAnsi="Times New Roman" w:eastAsia="宋体" w:cs="宋体"/>
                <w:color w:val="auto"/>
                <w:kern w:val="0"/>
                <w:sz w:val="24"/>
                <w:highlight w:val="none"/>
              </w:rPr>
              <w:t>年SO</w:t>
            </w:r>
            <w:r>
              <w:rPr>
                <w:rFonts w:hint="default" w:ascii="Times New Roman" w:hAnsi="Times New Roman" w:eastAsia="宋体" w:cs="宋体"/>
                <w:color w:val="auto"/>
                <w:kern w:val="0"/>
                <w:sz w:val="24"/>
                <w:highlight w:val="none"/>
                <w:vertAlign w:val="subscript"/>
              </w:rPr>
              <w:t>2</w:t>
            </w:r>
            <w:r>
              <w:rPr>
                <w:rFonts w:hint="default" w:ascii="Times New Roman" w:hAnsi="Times New Roman" w:eastAsia="宋体" w:cs="宋体"/>
                <w:color w:val="auto"/>
                <w:kern w:val="0"/>
                <w:sz w:val="24"/>
                <w:highlight w:val="none"/>
              </w:rPr>
              <w:t>、NO</w:t>
            </w:r>
            <w:r>
              <w:rPr>
                <w:rFonts w:hint="default" w:ascii="Times New Roman" w:hAnsi="Times New Roman" w:eastAsia="宋体" w:cs="宋体"/>
                <w:color w:val="auto"/>
                <w:kern w:val="0"/>
                <w:sz w:val="24"/>
                <w:highlight w:val="none"/>
                <w:vertAlign w:val="subscript"/>
              </w:rPr>
              <w:t>2</w:t>
            </w:r>
            <w:r>
              <w:rPr>
                <w:rFonts w:hint="default" w:ascii="Times New Roman" w:hAnsi="Times New Roman" w:eastAsia="宋体" w:cs="宋体"/>
                <w:color w:val="auto"/>
                <w:kern w:val="0"/>
                <w:sz w:val="24"/>
                <w:highlight w:val="none"/>
              </w:rPr>
              <w:t>、PM</w:t>
            </w:r>
            <w:r>
              <w:rPr>
                <w:rFonts w:hint="default" w:ascii="Times New Roman" w:hAnsi="Times New Roman" w:eastAsia="宋体" w:cs="宋体"/>
                <w:color w:val="auto"/>
                <w:kern w:val="0"/>
                <w:sz w:val="24"/>
                <w:highlight w:val="none"/>
                <w:vertAlign w:val="subscript"/>
              </w:rPr>
              <w:t>10</w:t>
            </w:r>
            <w:r>
              <w:rPr>
                <w:rFonts w:hint="default" w:ascii="Times New Roman" w:hAnsi="Times New Roman" w:eastAsia="宋体" w:cs="宋体"/>
                <w:color w:val="auto"/>
                <w:kern w:val="0"/>
                <w:sz w:val="24"/>
                <w:highlight w:val="none"/>
              </w:rPr>
              <w:t>、PM</w:t>
            </w:r>
            <w:r>
              <w:rPr>
                <w:rFonts w:hint="default" w:ascii="Times New Roman" w:hAnsi="Times New Roman" w:eastAsia="宋体" w:cs="宋体"/>
                <w:color w:val="auto"/>
                <w:kern w:val="0"/>
                <w:sz w:val="24"/>
                <w:highlight w:val="none"/>
                <w:vertAlign w:val="subscript"/>
              </w:rPr>
              <w:t>2.5</w:t>
            </w:r>
            <w:r>
              <w:rPr>
                <w:rFonts w:hint="default" w:ascii="Times New Roman" w:hAnsi="Times New Roman" w:eastAsia="宋体" w:cs="宋体"/>
                <w:color w:val="auto"/>
                <w:kern w:val="0"/>
                <w:sz w:val="24"/>
                <w:highlight w:val="none"/>
              </w:rPr>
              <w:t>年均浓度分别为6</w:t>
            </w:r>
            <w:r>
              <w:rPr>
                <w:rFonts w:hint="default" w:ascii="Times New Roman" w:hAnsi="Times New Roman" w:eastAsia="宋体" w:cs="宋体"/>
                <w:color w:val="auto"/>
                <w:kern w:val="0"/>
                <w:sz w:val="24"/>
                <w:highlight w:val="none"/>
                <w:lang w:eastAsia="zh-CN"/>
              </w:rPr>
              <w:t>μg/m</w:t>
            </w:r>
            <w:r>
              <w:rPr>
                <w:rFonts w:hint="default" w:ascii="Times New Roman" w:hAnsi="Times New Roman" w:eastAsia="宋体" w:cs="宋体"/>
                <w:color w:val="auto"/>
                <w:kern w:val="0"/>
                <w:sz w:val="24"/>
                <w:highlight w:val="none"/>
                <w:vertAlign w:val="superscript"/>
                <w:lang w:eastAsia="zh-CN"/>
              </w:rPr>
              <w:t>3</w:t>
            </w:r>
            <w:r>
              <w:rPr>
                <w:rFonts w:hint="default"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1</w:t>
            </w:r>
            <w:r>
              <w:rPr>
                <w:rFonts w:hint="default" w:ascii="Times New Roman" w:hAnsi="Times New Roman" w:eastAsia="宋体" w:cs="宋体"/>
                <w:color w:val="auto"/>
                <w:kern w:val="0"/>
                <w:sz w:val="24"/>
                <w:highlight w:val="none"/>
              </w:rPr>
              <w:t>8</w:t>
            </w:r>
            <w:r>
              <w:rPr>
                <w:rFonts w:hint="default" w:ascii="Times New Roman" w:hAnsi="Times New Roman" w:eastAsia="宋体" w:cs="宋体"/>
                <w:color w:val="auto"/>
                <w:kern w:val="0"/>
                <w:sz w:val="24"/>
                <w:highlight w:val="none"/>
                <w:lang w:eastAsia="zh-CN"/>
              </w:rPr>
              <w:t>μg/m</w:t>
            </w:r>
            <w:r>
              <w:rPr>
                <w:rFonts w:hint="default" w:ascii="Times New Roman" w:hAnsi="Times New Roman" w:eastAsia="宋体" w:cs="宋体"/>
                <w:color w:val="auto"/>
                <w:kern w:val="0"/>
                <w:sz w:val="24"/>
                <w:highlight w:val="none"/>
                <w:vertAlign w:val="superscript"/>
                <w:lang w:eastAsia="zh-CN"/>
              </w:rPr>
              <w:t>3</w:t>
            </w:r>
            <w:r>
              <w:rPr>
                <w:rFonts w:hint="default"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71</w:t>
            </w:r>
            <w:r>
              <w:rPr>
                <w:rFonts w:hint="default" w:ascii="Times New Roman" w:hAnsi="Times New Roman" w:eastAsia="宋体" w:cs="宋体"/>
                <w:color w:val="auto"/>
                <w:kern w:val="0"/>
                <w:sz w:val="24"/>
                <w:highlight w:val="none"/>
                <w:lang w:eastAsia="zh-CN"/>
              </w:rPr>
              <w:t>μg/m</w:t>
            </w:r>
            <w:r>
              <w:rPr>
                <w:rFonts w:hint="default" w:ascii="Times New Roman" w:hAnsi="Times New Roman" w:eastAsia="宋体" w:cs="宋体"/>
                <w:color w:val="auto"/>
                <w:kern w:val="0"/>
                <w:sz w:val="24"/>
                <w:highlight w:val="none"/>
                <w:vertAlign w:val="superscript"/>
                <w:lang w:eastAsia="zh-CN"/>
              </w:rPr>
              <w:t>3</w:t>
            </w:r>
            <w:r>
              <w:rPr>
                <w:rFonts w:hint="default" w:ascii="Times New Roman" w:hAnsi="Times New Roman" w:eastAsia="宋体" w:cs="宋体"/>
                <w:color w:val="auto"/>
                <w:kern w:val="0"/>
                <w:sz w:val="24"/>
                <w:highlight w:val="none"/>
              </w:rPr>
              <w:t>、4</w:t>
            </w:r>
            <w:r>
              <w:rPr>
                <w:rFonts w:hint="eastAsia" w:ascii="Times New Roman" w:hAnsi="Times New Roman" w:eastAsia="宋体" w:cs="宋体"/>
                <w:color w:val="auto"/>
                <w:kern w:val="0"/>
                <w:sz w:val="24"/>
                <w:highlight w:val="none"/>
                <w:lang w:val="en-US" w:eastAsia="zh-CN"/>
              </w:rPr>
              <w:t>3</w:t>
            </w:r>
            <w:r>
              <w:rPr>
                <w:rFonts w:hint="default" w:ascii="Times New Roman" w:hAnsi="Times New Roman" w:eastAsia="宋体" w:cs="宋体"/>
                <w:color w:val="auto"/>
                <w:kern w:val="0"/>
                <w:sz w:val="24"/>
                <w:highlight w:val="none"/>
                <w:lang w:eastAsia="zh-CN"/>
              </w:rPr>
              <w:t>μg/m</w:t>
            </w:r>
            <w:r>
              <w:rPr>
                <w:rFonts w:hint="default" w:ascii="Times New Roman" w:hAnsi="Times New Roman" w:eastAsia="宋体" w:cs="宋体"/>
                <w:color w:val="auto"/>
                <w:kern w:val="0"/>
                <w:sz w:val="24"/>
                <w:highlight w:val="none"/>
                <w:vertAlign w:val="superscript"/>
                <w:lang w:eastAsia="zh-CN"/>
              </w:rPr>
              <w:t>3</w:t>
            </w:r>
            <w:r>
              <w:rPr>
                <w:rFonts w:hint="default" w:ascii="Times New Roman" w:hAnsi="Times New Roman" w:eastAsia="宋体" w:cs="宋体"/>
                <w:color w:val="auto"/>
                <w:kern w:val="0"/>
                <w:sz w:val="24"/>
                <w:highlight w:val="none"/>
              </w:rPr>
              <w:t>；CO 24小时平均第95百分位数为</w:t>
            </w:r>
            <w:r>
              <w:rPr>
                <w:rFonts w:hint="eastAsia" w:ascii="Times New Roman" w:hAnsi="Times New Roman" w:eastAsia="宋体" w:cs="宋体"/>
                <w:color w:val="auto"/>
                <w:kern w:val="0"/>
                <w:sz w:val="24"/>
                <w:highlight w:val="none"/>
                <w:lang w:val="en-US" w:eastAsia="zh-CN"/>
              </w:rPr>
              <w:t>0.9</w:t>
            </w:r>
            <w:r>
              <w:rPr>
                <w:rFonts w:hint="default" w:ascii="Times New Roman" w:hAnsi="Times New Roman" w:eastAsia="宋体" w:cs="宋体"/>
                <w:color w:val="auto"/>
                <w:kern w:val="0"/>
                <w:sz w:val="24"/>
                <w:highlight w:val="none"/>
              </w:rPr>
              <w:t>mg/m</w:t>
            </w:r>
            <w:r>
              <w:rPr>
                <w:rFonts w:hint="default" w:ascii="Times New Roman" w:hAnsi="Times New Roman" w:eastAsia="宋体" w:cs="宋体"/>
                <w:color w:val="auto"/>
                <w:kern w:val="0"/>
                <w:sz w:val="24"/>
                <w:highlight w:val="none"/>
                <w:vertAlign w:val="superscript"/>
              </w:rPr>
              <w:t>3</w:t>
            </w:r>
            <w:r>
              <w:rPr>
                <w:rFonts w:hint="default" w:ascii="Times New Roman" w:hAnsi="Times New Roman" w:eastAsia="宋体" w:cs="宋体"/>
                <w:color w:val="auto"/>
                <w:kern w:val="0"/>
                <w:sz w:val="24"/>
                <w:highlight w:val="none"/>
              </w:rPr>
              <w:t>，O</w:t>
            </w:r>
            <w:r>
              <w:rPr>
                <w:rFonts w:hint="default" w:ascii="Times New Roman" w:hAnsi="Times New Roman" w:eastAsia="宋体" w:cs="宋体"/>
                <w:color w:val="auto"/>
                <w:kern w:val="0"/>
                <w:sz w:val="24"/>
                <w:highlight w:val="none"/>
                <w:vertAlign w:val="subscript"/>
              </w:rPr>
              <w:t>3</w:t>
            </w:r>
            <w:r>
              <w:rPr>
                <w:rFonts w:hint="default" w:ascii="Times New Roman" w:hAnsi="Times New Roman" w:eastAsia="宋体" w:cs="宋体"/>
                <w:color w:val="auto"/>
                <w:kern w:val="0"/>
                <w:sz w:val="24"/>
                <w:highlight w:val="none"/>
              </w:rPr>
              <w:t>日最大8小时平均第90百分位数为1</w:t>
            </w:r>
            <w:r>
              <w:rPr>
                <w:rFonts w:hint="eastAsia" w:ascii="Times New Roman" w:hAnsi="Times New Roman" w:eastAsia="宋体" w:cs="宋体"/>
                <w:color w:val="auto"/>
                <w:kern w:val="0"/>
                <w:sz w:val="24"/>
                <w:highlight w:val="none"/>
                <w:lang w:val="en-US" w:eastAsia="zh-CN"/>
              </w:rPr>
              <w:t>70</w:t>
            </w:r>
            <w:r>
              <w:rPr>
                <w:rFonts w:hint="default" w:ascii="Times New Roman" w:hAnsi="Times New Roman" w:eastAsia="宋体" w:cs="宋体"/>
                <w:color w:val="auto"/>
                <w:kern w:val="0"/>
                <w:sz w:val="24"/>
                <w:highlight w:val="none"/>
                <w:lang w:eastAsia="zh-CN"/>
              </w:rPr>
              <w:t>μg/m</w:t>
            </w:r>
            <w:r>
              <w:rPr>
                <w:rFonts w:hint="default" w:ascii="Times New Roman" w:hAnsi="Times New Roman" w:eastAsia="宋体" w:cs="宋体"/>
                <w:color w:val="auto"/>
                <w:kern w:val="0"/>
                <w:sz w:val="24"/>
                <w:highlight w:val="none"/>
                <w:vertAlign w:val="superscript"/>
                <w:lang w:eastAsia="zh-CN"/>
              </w:rPr>
              <w:t>3</w:t>
            </w:r>
            <w:r>
              <w:rPr>
                <w:rFonts w:hint="default" w:ascii="Times New Roman" w:hAnsi="Times New Roman" w:eastAsia="宋体" w:cs="宋体"/>
                <w:color w:val="auto"/>
                <w:kern w:val="0"/>
                <w:sz w:val="24"/>
                <w:highlight w:val="none"/>
              </w:rPr>
              <w:t>；超过《环境空气质量标准》（GB3095-2012）中二级标准限值的污染物为PM</w:t>
            </w:r>
            <w:r>
              <w:rPr>
                <w:rFonts w:hint="default" w:ascii="Times New Roman" w:hAnsi="Times New Roman" w:eastAsia="宋体" w:cs="宋体"/>
                <w:color w:val="auto"/>
                <w:kern w:val="0"/>
                <w:sz w:val="24"/>
                <w:highlight w:val="none"/>
                <w:vertAlign w:val="subscript"/>
              </w:rPr>
              <w:t>10</w:t>
            </w:r>
            <w:r>
              <w:rPr>
                <w:rFonts w:hint="default" w:ascii="Times New Roman" w:hAnsi="Times New Roman" w:eastAsia="宋体" w:cs="宋体"/>
                <w:color w:val="auto"/>
                <w:kern w:val="0"/>
                <w:sz w:val="24"/>
                <w:highlight w:val="none"/>
              </w:rPr>
              <w:t>、O</w:t>
            </w:r>
            <w:r>
              <w:rPr>
                <w:rFonts w:hint="default" w:ascii="Times New Roman" w:hAnsi="Times New Roman" w:eastAsia="宋体" w:cs="宋体"/>
                <w:color w:val="auto"/>
                <w:kern w:val="0"/>
                <w:sz w:val="24"/>
                <w:highlight w:val="none"/>
                <w:vertAlign w:val="subscript"/>
              </w:rPr>
              <w:t>3</w:t>
            </w:r>
            <w:r>
              <w:rPr>
                <w:rFonts w:hint="default" w:ascii="Times New Roman" w:hAnsi="Times New Roman" w:eastAsia="宋体" w:cs="宋体"/>
                <w:color w:val="auto"/>
                <w:kern w:val="0"/>
                <w:sz w:val="24"/>
                <w:highlight w:val="none"/>
              </w:rPr>
              <w:t>、PM</w:t>
            </w:r>
            <w:r>
              <w:rPr>
                <w:rFonts w:hint="default" w:ascii="Times New Roman" w:hAnsi="Times New Roman" w:eastAsia="宋体" w:cs="宋体"/>
                <w:color w:val="auto"/>
                <w:kern w:val="0"/>
                <w:sz w:val="24"/>
                <w:highlight w:val="none"/>
                <w:vertAlign w:val="subscript"/>
              </w:rPr>
              <w:t>2.5</w:t>
            </w:r>
            <w:r>
              <w:rPr>
                <w:rFonts w:hint="default"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宿州市为不达标区</w:t>
            </w:r>
            <w:r>
              <w:rPr>
                <w:rFonts w:hint="default" w:ascii="Times New Roman" w:hAnsi="Times New Roman" w:eastAsia="宋体" w:cs="宋体"/>
                <w:color w:val="auto"/>
                <w:kern w:val="0"/>
                <w:sz w:val="24"/>
                <w:highlight w:val="none"/>
                <w:lang w:eastAsia="zh-CN"/>
              </w:rPr>
              <w:t>。</w:t>
            </w:r>
            <w:r>
              <w:rPr>
                <w:rFonts w:hint="eastAsia" w:ascii="Times New Roman" w:hAnsi="Times New Roman" w:eastAsia="宋体" w:cs="宋体"/>
                <w:color w:val="auto"/>
                <w:kern w:val="0"/>
                <w:sz w:val="24"/>
                <w:highlight w:val="none"/>
                <w:lang w:val="en-US" w:eastAsia="zh-CN"/>
              </w:rPr>
              <w:t>根据项目补充监测，TSP满足相应大气环境质量标准限值要求。</w:t>
            </w:r>
          </w:p>
          <w:p w14:paraId="5754BA0E">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color w:val="auto"/>
                <w:kern w:val="0"/>
                <w:sz w:val="24"/>
                <w:highlight w:val="none"/>
                <w:lang w:eastAsia="zh-CN"/>
              </w:rPr>
            </w:pPr>
            <w:r>
              <w:rPr>
                <w:rFonts w:hint="eastAsia" w:ascii="Times New Roman" w:hAnsi="Times New Roman" w:eastAsia="宋体" w:cs="宋体"/>
                <w:color w:val="auto"/>
                <w:kern w:val="0"/>
                <w:sz w:val="24"/>
                <w:highlight w:val="none"/>
                <w:lang w:val="en-US" w:eastAsia="zh-CN"/>
              </w:rPr>
              <w:t>②</w:t>
            </w:r>
            <w:r>
              <w:rPr>
                <w:rFonts w:hint="eastAsia" w:ascii="Times New Roman" w:hAnsi="Times New Roman" w:eastAsia="宋体" w:cs="宋体"/>
                <w:color w:val="auto"/>
                <w:kern w:val="0"/>
                <w:sz w:val="24"/>
                <w:highlight w:val="none"/>
                <w:lang w:eastAsia="zh-CN"/>
              </w:rPr>
              <w:t xml:space="preserve">大气环境分区管控 </w:t>
            </w:r>
          </w:p>
          <w:p w14:paraId="0C3E171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对照</w:t>
            </w:r>
            <w:r>
              <w:rPr>
                <w:rFonts w:hint="eastAsia" w:ascii="Times New Roman" w:hAnsi="Times New Roman" w:eastAsia="宋体" w:cs="宋体"/>
                <w:color w:val="auto"/>
                <w:kern w:val="0"/>
                <w:sz w:val="24"/>
                <w:highlight w:val="none"/>
                <w:lang w:val="en-US" w:eastAsia="zh-CN"/>
              </w:rPr>
              <w:t>宿州</w:t>
            </w:r>
            <w:r>
              <w:rPr>
                <w:rFonts w:hint="eastAsia" w:ascii="Times New Roman" w:hAnsi="Times New Roman" w:eastAsia="宋体" w:cs="宋体"/>
                <w:color w:val="auto"/>
                <w:kern w:val="0"/>
                <w:sz w:val="24"/>
                <w:highlight w:val="none"/>
              </w:rPr>
              <w:t>市大气环境分区管控图，项目位于</w:t>
            </w:r>
            <w:r>
              <w:rPr>
                <w:rFonts w:hint="eastAsia" w:ascii="Times New Roman" w:hAnsi="Times New Roman" w:eastAsia="宋体" w:cs="宋体"/>
                <w:color w:val="auto"/>
                <w:kern w:val="0"/>
                <w:sz w:val="24"/>
                <w:highlight w:val="none"/>
                <w:lang w:val="en-US" w:eastAsia="zh-CN"/>
              </w:rPr>
              <w:t>受体敏感重点</w:t>
            </w:r>
            <w:r>
              <w:rPr>
                <w:rFonts w:hint="eastAsia" w:ascii="Times New Roman" w:hAnsi="Times New Roman" w:eastAsia="宋体" w:cs="宋体"/>
                <w:color w:val="auto"/>
                <w:kern w:val="0"/>
                <w:sz w:val="24"/>
                <w:highlight w:val="none"/>
              </w:rPr>
              <w:t>管控区，管控要求如下：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 节能减排实施方案》严格目标实施计划，加强环境监管，促进生态环境质量好转；新建、改建和扩建项目大气污染物实施“倍量替代”，执行特别排放标准的行业实施提标升级改造。</w:t>
            </w:r>
          </w:p>
          <w:p w14:paraId="36C1FBE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 xml:space="preserve">项目产生的废气经处理后污染物均能够实现达标排放，不会对区域大气环境质量产生明显影响，项目的建设不会降低区域大气环境质量功能，能够满足区域大气环境质量底线要求。综上，本项目建设能够满足大气环境重点管控区要求。 </w:t>
            </w:r>
          </w:p>
          <w:p w14:paraId="4AAA30A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eastAsia" w:ascii="Times New Roman" w:hAnsi="Times New Roman" w:eastAsia="宋体" w:cs="宋体"/>
                <w:b/>
                <w:bCs/>
                <w:color w:val="auto"/>
                <w:kern w:val="0"/>
                <w:sz w:val="24"/>
                <w:highlight w:val="none"/>
                <w:lang w:val="en-US" w:eastAsia="zh-CN"/>
              </w:rPr>
            </w:pPr>
            <w:r>
              <w:rPr>
                <w:rFonts w:hint="eastAsia" w:ascii="Times New Roman" w:hAnsi="Times New Roman" w:eastAsia="宋体" w:cs="宋体"/>
                <w:b/>
                <w:bCs/>
                <w:color w:val="auto"/>
                <w:kern w:val="0"/>
                <w:sz w:val="24"/>
                <w:highlight w:val="none"/>
                <w:lang w:val="en-US" w:eastAsia="zh-CN"/>
              </w:rPr>
              <w:t>（2）水环境质量底线及分区管控</w:t>
            </w:r>
          </w:p>
          <w:p w14:paraId="1820FE3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①水环境质量底线</w:t>
            </w:r>
          </w:p>
          <w:p w14:paraId="7A09F910">
            <w:pPr>
              <w:spacing w:line="360" w:lineRule="auto"/>
              <w:ind w:firstLine="472"/>
              <w:rPr>
                <w:rFonts w:hint="default" w:ascii="Times New Roman" w:hAnsi="Times New Roman" w:eastAsia="宋体" w:cs="Times New Roman"/>
                <w:color w:val="auto"/>
                <w:kern w:val="0"/>
                <w:sz w:val="24"/>
                <w:highlight w:val="none"/>
                <w:lang w:val="en-US" w:eastAsia="zh-CN"/>
              </w:rPr>
            </w:pPr>
            <w:r>
              <w:rPr>
                <w:rFonts w:hint="eastAsia" w:cs="Times New Roman"/>
                <w:color w:val="000000" w:themeColor="text1"/>
                <w:spacing w:val="-2"/>
                <w:kern w:val="0"/>
                <w14:textFill>
                  <w14:solidFill>
                    <w14:schemeClr w14:val="tx1"/>
                  </w14:solidFill>
                </w14:textFill>
              </w:rPr>
              <w:t>石梁河水质不满足《地表水环境质量标准》（GB3838-2002）</w:t>
            </w:r>
            <w:r>
              <w:rPr>
                <w:rFonts w:hint="default" w:ascii="Times New Roman" w:hAnsi="Times New Roman" w:cs="Times New Roman"/>
                <w:color w:val="000000" w:themeColor="text1"/>
                <w:spacing w:val="-2"/>
                <w:kern w:val="0"/>
                <w14:textFill>
                  <w14:solidFill>
                    <w14:schemeClr w14:val="tx1"/>
                  </w14:solidFill>
                </w14:textFill>
              </w:rPr>
              <w:t>Ⅲ</w:t>
            </w:r>
            <w:r>
              <w:rPr>
                <w:rFonts w:hint="eastAsia" w:cs="Times New Roman"/>
                <w:color w:val="000000" w:themeColor="text1"/>
                <w:spacing w:val="-2"/>
                <w:kern w:val="0"/>
                <w14:textFill>
                  <w14:solidFill>
                    <w14:schemeClr w14:val="tx1"/>
                  </w14:solidFill>
                </w14:textFill>
              </w:rPr>
              <w:t>类标准要求；</w:t>
            </w:r>
            <w:r>
              <w:rPr>
                <w:rFonts w:hint="eastAsia" w:cs="Times New Roman"/>
                <w:color w:val="000000" w:themeColor="text1"/>
                <w:spacing w:val="-2"/>
                <w:kern w:val="0"/>
                <w:lang w:val="en-US" w:eastAsia="zh-CN"/>
                <w14:textFill>
                  <w14:solidFill>
                    <w14:schemeClr w14:val="tx1"/>
                  </w14:solidFill>
                </w14:textFill>
              </w:rPr>
              <w:t>泗县工业污水处理厂尾水进入泗县鹏鹞污水处理有限公司（泗县中水处理厂）进一步处理，最终排放至石梁河。根据泗县鹏鹞水处理有限公司（泗县中水处理厂）尾水出水水质要求，COD排入外环境的浓度为30mg/L，氨氮排入外环境的浓度为1.5mg/L，可有效改善纳污水体石梁河水质。</w:t>
            </w:r>
          </w:p>
          <w:p w14:paraId="5F51FFB4">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val="en-US" w:eastAsia="zh-CN"/>
              </w:rPr>
              <w:t>②水</w:t>
            </w:r>
            <w:r>
              <w:rPr>
                <w:rFonts w:hint="default" w:ascii="Times New Roman" w:hAnsi="Times New Roman" w:eastAsia="宋体" w:cs="Times New Roman"/>
                <w:color w:val="auto"/>
                <w:kern w:val="0"/>
                <w:sz w:val="24"/>
                <w:highlight w:val="none"/>
                <w:lang w:eastAsia="zh-CN"/>
              </w:rPr>
              <w:t>环境分区管控</w:t>
            </w:r>
          </w:p>
          <w:p w14:paraId="547DF891">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对照</w:t>
            </w:r>
            <w:r>
              <w:rPr>
                <w:rFonts w:hint="default" w:ascii="Times New Roman" w:hAnsi="Times New Roman" w:eastAsia="宋体" w:cs="Times New Roman"/>
                <w:color w:val="auto"/>
                <w:kern w:val="0"/>
                <w:sz w:val="24"/>
                <w:highlight w:val="none"/>
                <w:lang w:val="en-US" w:eastAsia="zh-CN"/>
              </w:rPr>
              <w:t>宿州</w:t>
            </w:r>
            <w:r>
              <w:rPr>
                <w:rFonts w:hint="default" w:ascii="Times New Roman" w:hAnsi="Times New Roman" w:eastAsia="宋体" w:cs="Times New Roman"/>
                <w:color w:val="auto"/>
                <w:kern w:val="0"/>
                <w:sz w:val="24"/>
                <w:highlight w:val="none"/>
              </w:rPr>
              <w:t>市</w:t>
            </w:r>
            <w:r>
              <w:rPr>
                <w:rFonts w:hint="default" w:ascii="Times New Roman" w:hAnsi="Times New Roman" w:eastAsia="宋体" w:cs="Times New Roman"/>
                <w:color w:val="auto"/>
                <w:kern w:val="0"/>
                <w:sz w:val="24"/>
                <w:highlight w:val="none"/>
                <w:lang w:val="en-US" w:eastAsia="zh-CN"/>
              </w:rPr>
              <w:t>水</w:t>
            </w:r>
            <w:r>
              <w:rPr>
                <w:rFonts w:hint="default" w:ascii="Times New Roman" w:hAnsi="Times New Roman" w:eastAsia="宋体" w:cs="Times New Roman"/>
                <w:color w:val="auto"/>
                <w:kern w:val="0"/>
                <w:sz w:val="24"/>
                <w:highlight w:val="none"/>
              </w:rPr>
              <w:t>环境分区管控图，项目位于</w:t>
            </w:r>
            <w:r>
              <w:rPr>
                <w:rFonts w:hint="default" w:ascii="Times New Roman" w:hAnsi="Times New Roman" w:eastAsia="宋体" w:cs="Times New Roman"/>
                <w:color w:val="auto"/>
                <w:kern w:val="0"/>
                <w:sz w:val="24"/>
                <w:highlight w:val="none"/>
                <w:lang w:val="en-US" w:eastAsia="zh-CN"/>
              </w:rPr>
              <w:t>水环境工业污染重点</w:t>
            </w:r>
            <w:r>
              <w:rPr>
                <w:rFonts w:hint="default" w:ascii="Times New Roman" w:hAnsi="Times New Roman" w:eastAsia="宋体" w:cs="Times New Roman"/>
                <w:color w:val="auto"/>
                <w:kern w:val="0"/>
                <w:sz w:val="24"/>
                <w:highlight w:val="none"/>
              </w:rPr>
              <w:t>管控区，</w:t>
            </w:r>
            <w:r>
              <w:rPr>
                <w:rFonts w:hint="default" w:ascii="Times New Roman" w:hAnsi="Times New Roman" w:eastAsia="宋体" w:cs="Times New Roman"/>
                <w:color w:val="auto"/>
                <w:kern w:val="0"/>
                <w:sz w:val="24"/>
                <w:highlight w:val="none"/>
                <w:lang w:val="en-US" w:eastAsia="zh-CN"/>
              </w:rPr>
              <w:t>具体要求落实《中华人民共和国水污染防治法》《水污染防治行动计划》《安徽省水污染防治工作方案》及各市水污染防治工作方案对重点管控区实施管控；依据开发区规划、规划环评及审查意见相关要求对开发区实施管控；依据《长江经济带工业园区水污染整治专项行动工作方案》、开发区规划、规划环评及审查意见相关要求对开发区实施管控；落实《安徽省“十四五”生态环境保护规划》《安徽省“十四五”节能减排实施方案》；宿州市生态环境保护委员会，关于印发《“十四五”生态环境保护规划》的通知，宿环委会〔2022〕2号；《宿州市水生态环境保护“十四五”规划要点》，宿州市人民政府，2020年11月。</w:t>
            </w:r>
          </w:p>
          <w:p w14:paraId="017572CA">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项目产生的生活污水经厂区化粪池预处理</w:t>
            </w:r>
            <w:r>
              <w:rPr>
                <w:rFonts w:hint="default" w:cs="Times New Roman"/>
                <w:color w:val="auto"/>
                <w:kern w:val="0"/>
                <w:sz w:val="24"/>
                <w:highlight w:val="none"/>
                <w:lang w:val="en-US" w:eastAsia="zh-CN"/>
              </w:rPr>
              <w:t>后进入管网排入泗县工业污水处理厂</w:t>
            </w:r>
            <w:r>
              <w:rPr>
                <w:rFonts w:hint="default" w:ascii="Times New Roman" w:hAnsi="Times New Roman" w:eastAsia="宋体" w:cs="Times New Roman"/>
                <w:color w:val="auto"/>
                <w:kern w:val="0"/>
                <w:sz w:val="24"/>
                <w:highlight w:val="none"/>
                <w:lang w:val="en-US" w:eastAsia="zh-CN"/>
              </w:rPr>
              <w:t>，达标后排入</w:t>
            </w:r>
            <w:r>
              <w:rPr>
                <w:rFonts w:hint="default" w:cs="Times New Roman"/>
                <w:color w:val="auto"/>
                <w:kern w:val="0"/>
                <w:sz w:val="24"/>
                <w:highlight w:val="none"/>
                <w:lang w:val="en-US" w:eastAsia="zh-CN"/>
              </w:rPr>
              <w:t>石梁河</w:t>
            </w:r>
            <w:r>
              <w:rPr>
                <w:rFonts w:hint="default" w:ascii="Times New Roman" w:hAnsi="Times New Roman" w:eastAsia="宋体" w:cs="Times New Roman"/>
                <w:color w:val="auto"/>
                <w:kern w:val="0"/>
                <w:sz w:val="24"/>
                <w:highlight w:val="none"/>
                <w:lang w:val="en-US" w:eastAsia="zh-CN"/>
              </w:rPr>
              <w:t>。项目的建设不会对区域地表水环境质量产生明显影响，不会降低区域地表水环境质量功能，能够满足区域地表水环境质量底线要求。综上，本项目满足水环境工业污染重点管控区要求。</w:t>
            </w:r>
          </w:p>
          <w:p w14:paraId="42189BEE">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eastAsia" w:ascii="Times New Roman" w:hAnsi="Times New Roman" w:eastAsia="宋体" w:cs="宋体"/>
                <w:b/>
                <w:bCs/>
                <w:color w:val="auto"/>
                <w:kern w:val="0"/>
                <w:sz w:val="24"/>
                <w:highlight w:val="none"/>
                <w:lang w:eastAsia="zh-CN"/>
              </w:rPr>
            </w:pPr>
            <w:r>
              <w:rPr>
                <w:rFonts w:hint="eastAsia" w:ascii="Times New Roman" w:hAnsi="Times New Roman" w:eastAsia="宋体" w:cs="宋体"/>
                <w:b/>
                <w:bCs/>
                <w:color w:val="auto"/>
                <w:kern w:val="0"/>
                <w:sz w:val="24"/>
                <w:highlight w:val="none"/>
                <w:lang w:val="en-US" w:eastAsia="zh-CN"/>
              </w:rPr>
              <w:t>（3）土壤环境质量底线及分区管控</w:t>
            </w:r>
          </w:p>
          <w:p w14:paraId="01B49988">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①土壤环境质量底线</w:t>
            </w:r>
          </w:p>
          <w:p w14:paraId="203395FF">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根据《泗县经济开发区环境影响跟踪评价报告书》，</w:t>
            </w:r>
            <w:r>
              <w:rPr>
                <w:color w:val="auto"/>
                <w:szCs w:val="24"/>
              </w:rPr>
              <w:t>土壤质量满足《土壤环境质量建设用地土壤污染风险管控标准（试行）》（GB36600-2018）中表1第二类用地筛选值的要求</w:t>
            </w:r>
            <w:r>
              <w:rPr>
                <w:rFonts w:hint="eastAsia" w:ascii="Times New Roman" w:hAnsi="Times New Roman" w:eastAsia="宋体" w:cs="宋体"/>
                <w:color w:val="auto"/>
                <w:kern w:val="0"/>
                <w:sz w:val="24"/>
                <w:highlight w:val="none"/>
                <w:lang w:eastAsia="zh-CN"/>
              </w:rPr>
              <w:t>。</w:t>
            </w:r>
          </w:p>
          <w:p w14:paraId="1645F27F">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②土壤环境分区管控</w:t>
            </w:r>
          </w:p>
          <w:p w14:paraId="1775CD88">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参照宿州市土壤环境分区管控图，项目位于土壤环境风险一般管控区，落实要求：依据《中华人民共和国土壤污染防治法》《土壤污染防治行动计划》《安徽省土壤污染防治工作方案》《安徽省“十四五” 环境保护规划》《安徽省“十四五”土壤、地下水和农村生态环境保护规划》《安徽省重金属污染防控工作方案》《安徽省“十四五”危险废物工业固体废物污染环境防治规划》《安徽省土壤污染防治工作方案》《宿州市“十四五”生态环境保护规划》对一般管控区实施管控。</w:t>
            </w:r>
          </w:p>
          <w:p w14:paraId="50783AD8">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lang w:val="en-US" w:eastAsia="zh-CN"/>
              </w:rPr>
            </w:pPr>
            <w:r>
              <w:rPr>
                <w:rFonts w:hint="eastAsia" w:ascii="Times New Roman" w:hAnsi="Times New Roman" w:eastAsia="宋体" w:cs="宋体"/>
                <w:color w:val="auto"/>
                <w:kern w:val="0"/>
                <w:sz w:val="24"/>
                <w:highlight w:val="none"/>
                <w:lang w:val="en-US" w:eastAsia="zh-CN"/>
              </w:rPr>
              <w:t>本项目采取分区防渗，容易造成污染的区域采取重点防渗，正常工况下不会对周围土壤环境造成污染。</w:t>
            </w:r>
          </w:p>
          <w:p w14:paraId="454D0B94">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default" w:ascii="Times New Roman" w:hAnsi="Times New Roman" w:eastAsia="宋体" w:cs="宋体"/>
                <w:b/>
                <w:bCs/>
                <w:color w:val="auto"/>
                <w:kern w:val="0"/>
                <w:sz w:val="24"/>
                <w:highlight w:val="none"/>
                <w:lang w:val="en-US" w:eastAsia="zh-CN"/>
              </w:rPr>
            </w:pPr>
            <w:r>
              <w:rPr>
                <w:rFonts w:hint="eastAsia" w:ascii="Times New Roman" w:hAnsi="Times New Roman" w:eastAsia="宋体" w:cs="宋体"/>
                <w:b/>
                <w:bCs/>
                <w:color w:val="auto"/>
                <w:kern w:val="0"/>
                <w:sz w:val="24"/>
                <w:highlight w:val="none"/>
                <w:lang w:val="en-US" w:eastAsia="zh-CN"/>
              </w:rPr>
              <w:t>（4）声环境质量底线</w:t>
            </w:r>
          </w:p>
          <w:p w14:paraId="51E24FF5">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color w:val="auto"/>
                <w:kern w:val="0"/>
                <w:sz w:val="24"/>
                <w:highlight w:val="none"/>
                <w:lang w:eastAsia="zh-CN"/>
              </w:rPr>
            </w:pPr>
            <w:r>
              <w:rPr>
                <w:rFonts w:hint="eastAsia" w:cs="宋体"/>
                <w:color w:val="auto"/>
                <w:kern w:val="0"/>
                <w:sz w:val="24"/>
                <w:highlight w:val="none"/>
                <w:lang w:val="en-US" w:eastAsia="zh-CN"/>
              </w:rPr>
              <w:t>本项目位于泗县经济开发区</w:t>
            </w:r>
            <w:r>
              <w:rPr>
                <w:rFonts w:hint="eastAsia" w:ascii="Times New Roman" w:hAnsi="Times New Roman" w:eastAsia="宋体" w:cs="宋体"/>
                <w:color w:val="auto"/>
                <w:kern w:val="0"/>
                <w:sz w:val="24"/>
                <w:highlight w:val="none"/>
                <w:lang w:eastAsia="zh-CN"/>
              </w:rPr>
              <w:t>，属于</w:t>
            </w:r>
            <w:r>
              <w:rPr>
                <w:rFonts w:hint="eastAsia" w:cs="宋体"/>
                <w:color w:val="auto"/>
                <w:kern w:val="0"/>
                <w:sz w:val="24"/>
                <w:highlight w:val="none"/>
                <w:lang w:val="en-US" w:eastAsia="zh-CN"/>
              </w:rPr>
              <w:t>3</w:t>
            </w:r>
            <w:r>
              <w:rPr>
                <w:rFonts w:hint="eastAsia" w:ascii="Times New Roman" w:hAnsi="Times New Roman" w:eastAsia="宋体" w:cs="宋体"/>
                <w:color w:val="auto"/>
                <w:kern w:val="0"/>
                <w:sz w:val="24"/>
                <w:highlight w:val="none"/>
                <w:lang w:eastAsia="zh-CN"/>
              </w:rPr>
              <w:t>类声环境功能区。</w:t>
            </w:r>
          </w:p>
          <w:p w14:paraId="604857DF">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default"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lang w:val="en-US" w:eastAsia="zh-CN"/>
              </w:rPr>
              <w:t>3.3</w:t>
            </w:r>
            <w:r>
              <w:rPr>
                <w:rFonts w:hint="default" w:ascii="Times New Roman" w:hAnsi="Times New Roman" w:eastAsia="宋体" w:cs="宋体"/>
                <w:b/>
                <w:bCs/>
                <w:color w:val="auto"/>
                <w:kern w:val="0"/>
                <w:sz w:val="24"/>
                <w:highlight w:val="none"/>
              </w:rPr>
              <w:t>资源利用上线及分区管控要求</w:t>
            </w:r>
          </w:p>
          <w:p w14:paraId="28D40AA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lang w:eastAsia="zh-CN"/>
              </w:rPr>
              <w:t>项目</w:t>
            </w:r>
            <w:r>
              <w:rPr>
                <w:rFonts w:hint="default" w:ascii="Times New Roman" w:hAnsi="Times New Roman" w:eastAsia="宋体" w:cs="宋体"/>
                <w:color w:val="auto"/>
                <w:kern w:val="0"/>
                <w:sz w:val="24"/>
                <w:highlight w:val="none"/>
              </w:rPr>
              <w:t>生产过程中所需资源主要为水、电等，在同类型企业中水、电等消耗均处于较低水平；项目不涉及煤炭资源的使用；项目所在地不属于资源、能源紧缺区域，项目运营期间水、电等用量，不会超过划定的资源利用上线。</w:t>
            </w:r>
          </w:p>
          <w:p w14:paraId="7989D70C">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rPr>
            </w:pPr>
            <w:r>
              <w:rPr>
                <w:rFonts w:hint="default" w:ascii="Times New Roman" w:hAnsi="Times New Roman" w:eastAsia="宋体" w:cs="宋体"/>
                <w:color w:val="auto"/>
                <w:kern w:val="0"/>
                <w:sz w:val="24"/>
                <w:highlight w:val="none"/>
                <w:lang w:eastAsia="zh-CN"/>
              </w:rPr>
              <w:t>（</w:t>
            </w:r>
            <w:r>
              <w:rPr>
                <w:rFonts w:hint="default" w:ascii="Times New Roman" w:hAnsi="Times New Roman" w:eastAsia="宋体" w:cs="宋体"/>
                <w:color w:val="auto"/>
                <w:kern w:val="0"/>
                <w:sz w:val="24"/>
                <w:highlight w:val="none"/>
                <w:lang w:val="en-US" w:eastAsia="zh-CN"/>
              </w:rPr>
              <w:t>1</w:t>
            </w:r>
            <w:r>
              <w:rPr>
                <w:rFonts w:hint="default" w:ascii="Times New Roman" w:hAnsi="Times New Roman" w:eastAsia="宋体" w:cs="宋体"/>
                <w:color w:val="auto"/>
                <w:kern w:val="0"/>
                <w:sz w:val="24"/>
                <w:highlight w:val="none"/>
                <w:lang w:eastAsia="zh-CN"/>
              </w:rPr>
              <w:t>）</w:t>
            </w:r>
            <w:r>
              <w:rPr>
                <w:rFonts w:hint="default" w:ascii="Times New Roman" w:hAnsi="Times New Roman" w:eastAsia="宋体" w:cs="宋体"/>
                <w:color w:val="auto"/>
                <w:kern w:val="0"/>
                <w:sz w:val="24"/>
                <w:highlight w:val="none"/>
              </w:rPr>
              <w:t>水资源分区管控要求</w:t>
            </w:r>
          </w:p>
          <w:p w14:paraId="157545BE">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highlight w:val="none"/>
              </w:rPr>
            </w:pPr>
            <w:r>
              <w:rPr>
                <w:rFonts w:hint="default" w:ascii="Times New Roman" w:hAnsi="Times New Roman" w:eastAsia="宋体" w:cs="宋体"/>
                <w:color w:val="auto"/>
                <w:kern w:val="0"/>
                <w:sz w:val="24"/>
                <w:highlight w:val="none"/>
              </w:rPr>
              <w:t>根据《宿州市生态环境分区管控编制文本》，</w:t>
            </w:r>
            <w:r>
              <w:rPr>
                <w:rFonts w:hint="eastAsia" w:ascii="Times New Roman" w:hAnsi="Times New Roman" w:eastAsia="宋体" w:cs="宋体"/>
                <w:color w:val="auto"/>
                <w:kern w:val="0"/>
                <w:sz w:val="24"/>
                <w:highlight w:val="none"/>
                <w:lang w:eastAsia="zh-CN"/>
              </w:rPr>
              <w:t>项目</w:t>
            </w:r>
            <w:r>
              <w:rPr>
                <w:rFonts w:hint="default" w:ascii="Times New Roman" w:hAnsi="Times New Roman" w:eastAsia="宋体" w:cs="宋体"/>
                <w:color w:val="auto"/>
                <w:kern w:val="0"/>
                <w:sz w:val="24"/>
                <w:highlight w:val="none"/>
              </w:rPr>
              <w:t>位于地下水开采重点管控区，与水资源分区管控要求协调性见</w:t>
            </w:r>
            <w:r>
              <w:rPr>
                <w:rFonts w:hint="eastAsia" w:cs="宋体"/>
                <w:color w:val="auto"/>
                <w:kern w:val="0"/>
                <w:sz w:val="24"/>
                <w:highlight w:val="none"/>
                <w:lang w:val="en-US" w:eastAsia="zh-CN"/>
              </w:rPr>
              <w:t>下表</w:t>
            </w:r>
            <w:r>
              <w:rPr>
                <w:rFonts w:hint="default" w:ascii="Times New Roman" w:hAnsi="Times New Roman" w:eastAsia="宋体" w:cs="宋体"/>
                <w:color w:val="auto"/>
                <w:kern w:val="0"/>
                <w:sz w:val="24"/>
                <w:highlight w:val="none"/>
              </w:rPr>
              <w:t>。</w:t>
            </w:r>
          </w:p>
          <w:p w14:paraId="07800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sz w:val="24"/>
                <w:highlight w:val="none"/>
              </w:rPr>
            </w:pPr>
            <w:bookmarkStart w:id="1" w:name="_Ref128316186"/>
            <w:r>
              <w:rPr>
                <w:rFonts w:hint="default" w:ascii="Times New Roman" w:hAnsi="Times New Roman" w:cs="Times New Roman"/>
                <w:b/>
                <w:snapToGrid w:val="0"/>
                <w:color w:val="auto"/>
                <w:sz w:val="24"/>
                <w:highlight w:val="none"/>
              </w:rPr>
              <w:t>表</w:t>
            </w:r>
            <w:bookmarkEnd w:id="1"/>
            <w:r>
              <w:rPr>
                <w:rFonts w:hint="eastAsia" w:ascii="Times New Roman" w:hAnsi="Times New Roman" w:cs="Times New Roman"/>
                <w:b/>
                <w:snapToGrid w:val="0"/>
                <w:color w:val="auto"/>
                <w:sz w:val="24"/>
                <w:highlight w:val="none"/>
                <w:lang w:val="en-US" w:eastAsia="zh-CN"/>
              </w:rPr>
              <w:t>1-</w:t>
            </w:r>
            <w:r>
              <w:rPr>
                <w:rFonts w:hint="eastAsia" w:cs="Times New Roman"/>
                <w:b/>
                <w:snapToGrid w:val="0"/>
                <w:color w:val="auto"/>
                <w:sz w:val="24"/>
                <w:highlight w:val="none"/>
                <w:lang w:val="en-US" w:eastAsia="zh-CN"/>
              </w:rPr>
              <w:t>4</w:t>
            </w:r>
            <w:r>
              <w:rPr>
                <w:rFonts w:hint="default" w:ascii="Times New Roman" w:hAnsi="Times New Roman" w:cs="Times New Roman"/>
                <w:b/>
                <w:snapToGrid w:val="0"/>
                <w:color w:val="auto"/>
                <w:sz w:val="24"/>
                <w:highlight w:val="none"/>
              </w:rPr>
              <w:t xml:space="preserve">  项目与水资源管控要求的协调性分析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4562"/>
              <w:gridCol w:w="1131"/>
            </w:tblGrid>
            <w:tr w14:paraId="0555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2" w:type="dxa"/>
                  <w:noWrap w:val="0"/>
                  <w:vAlign w:val="center"/>
                </w:tcPr>
                <w:p w14:paraId="56303334">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管控单元分类</w:t>
                  </w:r>
                </w:p>
              </w:tc>
              <w:tc>
                <w:tcPr>
                  <w:tcW w:w="6150" w:type="dxa"/>
                  <w:noWrap w:val="0"/>
                  <w:vAlign w:val="center"/>
                </w:tcPr>
                <w:p w14:paraId="7F2FF498">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环境管控要求</w:t>
                  </w:r>
                </w:p>
              </w:tc>
              <w:tc>
                <w:tcPr>
                  <w:tcW w:w="1463" w:type="dxa"/>
                  <w:noWrap w:val="0"/>
                  <w:vAlign w:val="center"/>
                </w:tcPr>
                <w:p w14:paraId="78B6E92D">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协调性分析</w:t>
                  </w:r>
                </w:p>
              </w:tc>
            </w:tr>
            <w:tr w14:paraId="4D20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2" w:type="dxa"/>
                  <w:noWrap w:val="0"/>
                  <w:vAlign w:val="center"/>
                </w:tcPr>
                <w:p w14:paraId="4631D4E8">
                  <w:pPr>
                    <w:pStyle w:val="26"/>
                    <w:spacing w:before="24" w:after="24"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地下水开采重点管控区</w:t>
                  </w:r>
                </w:p>
              </w:tc>
              <w:tc>
                <w:tcPr>
                  <w:tcW w:w="6150" w:type="dxa"/>
                  <w:noWrap w:val="0"/>
                  <w:vAlign w:val="center"/>
                </w:tcPr>
                <w:p w14:paraId="375170BC">
                  <w:pPr>
                    <w:pStyle w:val="26"/>
                    <w:spacing w:before="24" w:after="24" w:line="240" w:lineRule="auto"/>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落实《国务院办公厅关于印发实行最严格水资源管理制度考核办法的通知》、《水利部国家发展改革委关于印发“十四五”用水总量和强度双控目标的通知》（水节约〔2022〕113号）、《关于落实“十四五”用水总量和强度双控目标的通知》（安徽省水利厅2022年8月）、《宿州市水利发展“十四五”规划》（宿州市水利局2021年12月）等要求。</w:t>
                  </w:r>
                </w:p>
              </w:tc>
              <w:tc>
                <w:tcPr>
                  <w:tcW w:w="1463" w:type="dxa"/>
                  <w:noWrap w:val="0"/>
                  <w:vAlign w:val="center"/>
                </w:tcPr>
                <w:p w14:paraId="0400D09C">
                  <w:pPr>
                    <w:pStyle w:val="26"/>
                    <w:spacing w:before="24" w:after="24" w:line="240" w:lineRule="auto"/>
                    <w:ind w:left="0" w:lef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用水为园区集中供水，不开采地下水。</w:t>
                  </w:r>
                </w:p>
              </w:tc>
            </w:tr>
          </w:tbl>
          <w:p w14:paraId="0C2F5E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土地资源管控分区</w:t>
            </w:r>
          </w:p>
          <w:p w14:paraId="39088F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地资源管控区划分为重点管控区和一般管控区，重点管控区一般是指具有一定经济基础、资源环境承载力较强、发展潜力较大、集聚人口和经济条件较好，可重点进行大规模工业化城镇化开发的区域，与《安徽省主体功能区规划》中的国家重点开发区域相符；除重点管控区以外的其他区域为一般管控区。根据《宿州市生态环境分区管控编制文本》，</w:t>
            </w:r>
            <w:r>
              <w:rPr>
                <w:rFonts w:hint="eastAsia" w:ascii="Times New Roman" w:hAnsi="Times New Roman" w:cs="Times New Roman"/>
                <w:color w:val="auto"/>
                <w:sz w:val="24"/>
                <w:highlight w:val="none"/>
                <w:lang w:eastAsia="zh-CN"/>
              </w:rPr>
              <w:t>项目</w:t>
            </w:r>
            <w:r>
              <w:rPr>
                <w:rFonts w:hint="default" w:ascii="Times New Roman" w:hAnsi="Times New Roman" w:cs="Times New Roman"/>
                <w:color w:val="auto"/>
                <w:sz w:val="24"/>
                <w:highlight w:val="none"/>
              </w:rPr>
              <w:t>位于土地资源一般管控区，与土地资源一般分区管控要求协调性见</w:t>
            </w:r>
            <w:r>
              <w:rPr>
                <w:rFonts w:hint="eastAsia" w:ascii="Times New Roman" w:hAnsi="Times New Roman" w:cs="Times New Roman"/>
                <w:color w:val="auto"/>
                <w:sz w:val="24"/>
                <w:highlight w:val="none"/>
                <w:lang w:val="en-US" w:eastAsia="zh-CN"/>
              </w:rPr>
              <w:t>下表</w:t>
            </w:r>
            <w:r>
              <w:rPr>
                <w:rFonts w:hint="default" w:ascii="Times New Roman" w:hAnsi="Times New Roman" w:cs="Times New Roman"/>
                <w:color w:val="auto"/>
                <w:sz w:val="24"/>
                <w:highlight w:val="none"/>
              </w:rPr>
              <w:t>。</w:t>
            </w:r>
          </w:p>
          <w:p w14:paraId="78F2E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4"/>
                <w:highlight w:val="none"/>
              </w:rPr>
            </w:pPr>
            <w:r>
              <w:rPr>
                <w:rFonts w:hint="default" w:ascii="Times New Roman" w:hAnsi="Times New Roman" w:eastAsia="宋体" w:cs="Times New Roman"/>
                <w:b/>
                <w:snapToGrid w:val="0"/>
                <w:color w:val="auto"/>
                <w:sz w:val="24"/>
                <w:highlight w:val="none"/>
              </w:rPr>
              <w:t>表</w:t>
            </w:r>
            <w:r>
              <w:rPr>
                <w:rFonts w:hint="eastAsia" w:ascii="Times New Roman" w:hAnsi="Times New Roman" w:eastAsia="宋体" w:cs="Times New Roman"/>
                <w:b/>
                <w:snapToGrid w:val="0"/>
                <w:color w:val="auto"/>
                <w:sz w:val="24"/>
                <w:highlight w:val="none"/>
                <w:lang w:val="en-US" w:eastAsia="zh-CN"/>
              </w:rPr>
              <w:t>1-</w:t>
            </w:r>
            <w:r>
              <w:rPr>
                <w:rFonts w:hint="eastAsia" w:cs="Times New Roman"/>
                <w:b/>
                <w:snapToGrid w:val="0"/>
                <w:color w:val="auto"/>
                <w:sz w:val="24"/>
                <w:highlight w:val="none"/>
                <w:lang w:val="en-US" w:eastAsia="zh-CN"/>
              </w:rPr>
              <w:t>5</w:t>
            </w:r>
            <w:r>
              <w:rPr>
                <w:rFonts w:hint="default" w:ascii="Times New Roman" w:hAnsi="Times New Roman" w:eastAsia="宋体" w:cs="Times New Roman"/>
                <w:b/>
                <w:snapToGrid w:val="0"/>
                <w:color w:val="auto"/>
                <w:sz w:val="24"/>
                <w:highlight w:val="none"/>
              </w:rPr>
              <w:t xml:space="preserve">  与土地资源分区管控协调性分析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935"/>
              <w:gridCol w:w="2707"/>
            </w:tblGrid>
            <w:tr w14:paraId="1345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829" w:type="dxa"/>
                  <w:noWrap w:val="0"/>
                  <w:vAlign w:val="center"/>
                </w:tcPr>
                <w:p w14:paraId="6EA63376">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管控单元分类</w:t>
                  </w:r>
                </w:p>
              </w:tc>
              <w:tc>
                <w:tcPr>
                  <w:tcW w:w="2935" w:type="dxa"/>
                  <w:noWrap w:val="0"/>
                  <w:vAlign w:val="center"/>
                </w:tcPr>
                <w:p w14:paraId="41C743B4">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环境管控要求</w:t>
                  </w:r>
                </w:p>
              </w:tc>
              <w:tc>
                <w:tcPr>
                  <w:tcW w:w="2707" w:type="dxa"/>
                  <w:noWrap w:val="0"/>
                  <w:vAlign w:val="center"/>
                </w:tcPr>
                <w:p w14:paraId="07439061">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协调性分析</w:t>
                  </w:r>
                </w:p>
              </w:tc>
            </w:tr>
            <w:tr w14:paraId="33F1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29" w:type="dxa"/>
                  <w:noWrap w:val="0"/>
                  <w:vAlign w:val="center"/>
                </w:tcPr>
                <w:p w14:paraId="49066F56">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一般管控区</w:t>
                  </w:r>
                </w:p>
              </w:tc>
              <w:tc>
                <w:tcPr>
                  <w:tcW w:w="2935" w:type="dxa"/>
                  <w:noWrap w:val="0"/>
                  <w:vAlign w:val="center"/>
                </w:tcPr>
                <w:p w14:paraId="645AAE8F">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落实《</w:t>
                  </w:r>
                  <w:r>
                    <w:rPr>
                      <w:rFonts w:hint="eastAsia" w:ascii="Times New Roman" w:cs="Times New Roman"/>
                      <w:color w:val="auto"/>
                      <w:sz w:val="21"/>
                      <w:szCs w:val="21"/>
                      <w:highlight w:val="none"/>
                      <w:lang w:val="en-US" w:eastAsia="zh-CN"/>
                    </w:rPr>
                    <w:t>泗县</w:t>
                  </w:r>
                  <w:r>
                    <w:rPr>
                      <w:rFonts w:hint="default" w:ascii="Times New Roman" w:hAnsi="Times New Roman" w:cs="Times New Roman"/>
                      <w:color w:val="auto"/>
                      <w:sz w:val="21"/>
                      <w:szCs w:val="21"/>
                      <w:highlight w:val="none"/>
                    </w:rPr>
                    <w:t>国土空间总体规划》(2021-2035年)等要求。</w:t>
                  </w:r>
                </w:p>
              </w:tc>
              <w:tc>
                <w:tcPr>
                  <w:tcW w:w="2707" w:type="dxa"/>
                  <w:noWrap w:val="0"/>
                  <w:vAlign w:val="center"/>
                </w:tcPr>
                <w:p w14:paraId="1094514E">
                  <w:pPr>
                    <w:pStyle w:val="26"/>
                    <w:spacing w:before="24" w:after="24" w:line="240" w:lineRule="auto"/>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项目位于</w:t>
                  </w:r>
                  <w:r>
                    <w:rPr>
                      <w:rFonts w:hint="eastAsia" w:ascii="Times New Roman" w:cs="Times New Roman"/>
                      <w:color w:val="auto"/>
                      <w:sz w:val="21"/>
                      <w:szCs w:val="21"/>
                      <w:highlight w:val="none"/>
                      <w:lang w:val="en-US" w:eastAsia="zh-CN"/>
                    </w:rPr>
                    <w:t>泗县</w:t>
                  </w:r>
                  <w:r>
                    <w:rPr>
                      <w:rFonts w:hint="eastAsia" w:ascii="Times New Roman" w:hAnsi="Times New Roman" w:cs="Times New Roman"/>
                      <w:color w:val="auto"/>
                      <w:sz w:val="21"/>
                      <w:szCs w:val="21"/>
                      <w:highlight w:val="none"/>
                      <w:lang w:val="en-US" w:eastAsia="zh-CN"/>
                    </w:rPr>
                    <w:t>经济开发区</w:t>
                  </w:r>
                  <w:r>
                    <w:rPr>
                      <w:rFonts w:hint="default" w:ascii="Times New Roman" w:hAnsi="Times New Roman" w:cs="Times New Roman"/>
                      <w:color w:val="auto"/>
                      <w:sz w:val="21"/>
                      <w:szCs w:val="21"/>
                      <w:highlight w:val="none"/>
                    </w:rPr>
                    <w:t>，项目用地符合园区用地布局规划，相应土地利用等在规划制定阶段已充分考虑。</w:t>
                  </w:r>
                </w:p>
              </w:tc>
            </w:tr>
          </w:tbl>
          <w:p w14:paraId="073EE642">
            <w:pPr>
              <w:spacing w:line="360" w:lineRule="auto"/>
              <w:ind w:firstLine="480"/>
              <w:rPr>
                <w:color w:val="auto"/>
                <w:highlight w:val="none"/>
              </w:rPr>
            </w:pPr>
            <w:r>
              <w:rPr>
                <w:rFonts w:hint="default" w:ascii="Times New Roman" w:hAnsi="Times New Roman" w:cs="Times New Roman"/>
                <w:color w:val="auto"/>
                <w:sz w:val="24"/>
                <w:highlight w:val="none"/>
              </w:rPr>
              <w:t>综上所述，项目的建设符合资源利用上线的要求。</w:t>
            </w:r>
          </w:p>
          <w:p w14:paraId="5B602070">
            <w:pPr>
              <w:spacing w:line="360" w:lineRule="auto"/>
              <w:ind w:left="480" w:leftChars="200"/>
              <w:rPr>
                <w:b/>
                <w:bCs w:val="0"/>
                <w:color w:val="auto"/>
                <w:highlight w:val="none"/>
              </w:rPr>
            </w:pPr>
            <w:r>
              <w:rPr>
                <w:rFonts w:hint="eastAsia"/>
                <w:b/>
                <w:bCs w:val="0"/>
                <w:color w:val="auto"/>
                <w:highlight w:val="none"/>
                <w:lang w:val="en-US" w:eastAsia="zh-CN"/>
              </w:rPr>
              <w:t>3.4</w:t>
            </w:r>
            <w:r>
              <w:rPr>
                <w:rFonts w:hint="eastAsia"/>
                <w:b/>
                <w:bCs w:val="0"/>
                <w:color w:val="auto"/>
                <w:highlight w:val="none"/>
                <w:lang w:eastAsia="zh-CN"/>
              </w:rPr>
              <w:t>生态</w:t>
            </w:r>
            <w:r>
              <w:rPr>
                <w:rFonts w:hint="eastAsia"/>
                <w:b/>
                <w:bCs w:val="0"/>
                <w:color w:val="auto"/>
                <w:highlight w:val="none"/>
              </w:rPr>
              <w:t>环境准入清单</w:t>
            </w:r>
          </w:p>
          <w:p w14:paraId="044F4ED8">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规划环评确定的开发区企业准入制度如下。</w:t>
            </w:r>
          </w:p>
          <w:p w14:paraId="4001E8D0">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bookmarkStart w:id="2" w:name="_Toc163710552"/>
            <w:bookmarkStart w:id="3" w:name="_Toc158085406"/>
            <w:bookmarkStart w:id="4" w:name="_Toc173397761"/>
            <w:bookmarkStart w:id="5" w:name="_Toc294036862"/>
            <w:bookmarkStart w:id="6" w:name="_Toc168755543"/>
            <w:bookmarkStart w:id="7" w:name="_Toc155244497"/>
            <w:bookmarkStart w:id="8" w:name="_Toc292709117"/>
            <w:bookmarkStart w:id="9" w:name="_Toc156035225"/>
            <w:bookmarkStart w:id="10" w:name="_Toc158093506"/>
            <w:bookmarkStart w:id="11" w:name="_Toc343765610"/>
            <w:bookmarkStart w:id="12" w:name="_Toc260685592"/>
            <w:r>
              <w:rPr>
                <w:rFonts w:hint="eastAsia" w:ascii="Times New Roman" w:hAnsi="Times New Roman" w:eastAsia="宋体" w:cs="Times New Roman"/>
                <w:color w:val="auto"/>
                <w:kern w:val="0"/>
                <w:sz w:val="24"/>
                <w:szCs w:val="20"/>
                <w:highlight w:val="none"/>
                <w:lang w:val="en-US" w:eastAsia="zh-CN" w:bidi="ar-SA"/>
              </w:rPr>
              <w:t>1、优先鼓励项目</w:t>
            </w:r>
            <w:bookmarkEnd w:id="2"/>
            <w:bookmarkEnd w:id="3"/>
            <w:bookmarkEnd w:id="4"/>
            <w:bookmarkEnd w:id="5"/>
            <w:bookmarkEnd w:id="6"/>
            <w:bookmarkEnd w:id="7"/>
            <w:bookmarkEnd w:id="8"/>
            <w:bookmarkEnd w:id="9"/>
            <w:bookmarkEnd w:id="10"/>
            <w:bookmarkEnd w:id="11"/>
            <w:bookmarkEnd w:id="12"/>
          </w:p>
          <w:p w14:paraId="771EA021">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（1）与规划主导产业结构相符合的工业项目</w:t>
            </w:r>
          </w:p>
          <w:p w14:paraId="6E1CF91F">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规划区内构建“3+1”的重点产业体系，其中三大主导产业包括：重点做大做强机械电子这一首位主导产业；发展壮大纺织服装业；巩固提升农副产品深加工产业。</w:t>
            </w:r>
          </w:p>
          <w:p w14:paraId="1F724A30">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（2）与开发区现有产业链相配套的企业</w:t>
            </w:r>
          </w:p>
          <w:p w14:paraId="1CCCE9DF">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鼓励开发区基础设施项目建设，如：交通运输、邮电通讯、供水、供气、供热、污水处理等，也应积极招商引资，大力改善开发区投资环境，促进区域经济发展。</w:t>
            </w:r>
          </w:p>
          <w:p w14:paraId="577B3541">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鼓励发展其他规模效益好、能源资源消耗少、排污小的企业。包括清洁生产型企业、高新技术型企业和节水节能型企业。</w:t>
            </w:r>
          </w:p>
          <w:p w14:paraId="6FF1E96E">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bookmarkStart w:id="13" w:name="_Toc158093507"/>
            <w:bookmarkStart w:id="14" w:name="_Toc155244498"/>
            <w:bookmarkStart w:id="15" w:name="_Toc260685593"/>
            <w:bookmarkStart w:id="16" w:name="_Toc163710553"/>
            <w:bookmarkStart w:id="17" w:name="_Toc292709118"/>
            <w:bookmarkStart w:id="18" w:name="_Toc173397762"/>
            <w:bookmarkStart w:id="19" w:name="_Toc343765611"/>
            <w:bookmarkStart w:id="20" w:name="_Toc156035226"/>
            <w:bookmarkStart w:id="21" w:name="_Toc294036863"/>
            <w:bookmarkStart w:id="22" w:name="_Toc168755544"/>
            <w:bookmarkStart w:id="23" w:name="_Toc158085407"/>
            <w:r>
              <w:rPr>
                <w:rFonts w:hint="eastAsia" w:ascii="Times New Roman" w:hAnsi="Times New Roman" w:eastAsia="宋体" w:cs="Times New Roman"/>
                <w:color w:val="auto"/>
                <w:kern w:val="0"/>
                <w:sz w:val="24"/>
                <w:szCs w:val="20"/>
                <w:highlight w:val="none"/>
                <w:lang w:val="en-US" w:eastAsia="zh-CN" w:bidi="ar-SA"/>
              </w:rPr>
              <w:t>2、限制发展项目</w:t>
            </w:r>
            <w:bookmarkEnd w:id="13"/>
            <w:bookmarkEnd w:id="14"/>
            <w:bookmarkEnd w:id="15"/>
            <w:bookmarkEnd w:id="16"/>
            <w:bookmarkEnd w:id="17"/>
            <w:bookmarkEnd w:id="18"/>
            <w:bookmarkEnd w:id="19"/>
            <w:bookmarkEnd w:id="20"/>
            <w:bookmarkEnd w:id="21"/>
            <w:bookmarkEnd w:id="22"/>
            <w:bookmarkEnd w:id="23"/>
          </w:p>
          <w:p w14:paraId="3F9EBD7B">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限制发展能源、资源消耗量或排污量较大但效益相对较好的企业发展；开发区内规划的现代物流业禁止贮存和输送有毒、有害化学品和危险品；食品加工类严格限制酿造类项目。</w:t>
            </w:r>
          </w:p>
          <w:p w14:paraId="05B567A9">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bookmarkStart w:id="24" w:name="_Toc292709119"/>
            <w:bookmarkStart w:id="25" w:name="_Toc163710554"/>
            <w:bookmarkStart w:id="26" w:name="_Toc173397763"/>
            <w:bookmarkStart w:id="27" w:name="_Toc343765612"/>
            <w:bookmarkStart w:id="28" w:name="_Toc294036864"/>
            <w:bookmarkStart w:id="29" w:name="_Toc158093508"/>
            <w:bookmarkStart w:id="30" w:name="_Toc158085408"/>
            <w:bookmarkStart w:id="31" w:name="_Toc168755545"/>
            <w:bookmarkStart w:id="32" w:name="_Toc156035227"/>
            <w:bookmarkStart w:id="33" w:name="_Toc155244499"/>
            <w:bookmarkStart w:id="34" w:name="_Toc260685594"/>
            <w:r>
              <w:rPr>
                <w:rFonts w:hint="eastAsia" w:ascii="Times New Roman" w:hAnsi="Times New Roman" w:eastAsia="宋体" w:cs="Times New Roman"/>
                <w:color w:val="auto"/>
                <w:kern w:val="0"/>
                <w:sz w:val="24"/>
                <w:szCs w:val="20"/>
                <w:highlight w:val="none"/>
                <w:lang w:val="en-US" w:eastAsia="zh-CN" w:bidi="ar-SA"/>
              </w:rPr>
              <w:t>3、禁止发展项目</w:t>
            </w:r>
            <w:bookmarkEnd w:id="24"/>
            <w:bookmarkEnd w:id="25"/>
            <w:bookmarkEnd w:id="26"/>
            <w:bookmarkEnd w:id="27"/>
            <w:bookmarkEnd w:id="28"/>
            <w:bookmarkEnd w:id="29"/>
            <w:bookmarkEnd w:id="30"/>
            <w:bookmarkEnd w:id="31"/>
            <w:bookmarkEnd w:id="32"/>
            <w:bookmarkEnd w:id="33"/>
            <w:bookmarkEnd w:id="34"/>
          </w:p>
          <w:p w14:paraId="463672BD">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bookmarkStart w:id="35" w:name="_Toc343765613"/>
            <w:r>
              <w:rPr>
                <w:rFonts w:hint="eastAsia" w:ascii="Times New Roman" w:hAnsi="Times New Roman" w:eastAsia="宋体" w:cs="Times New Roman"/>
                <w:color w:val="auto"/>
                <w:kern w:val="0"/>
                <w:sz w:val="24"/>
                <w:szCs w:val="20"/>
                <w:highlight w:val="none"/>
                <w:lang w:val="en-US" w:eastAsia="zh-CN" w:bidi="ar-SA"/>
              </w:rPr>
              <w:t>（1）国家明令禁止建设或投资的、不符合《产业结构调整指导目录》要求的建设项目不得进入开发区。</w:t>
            </w:r>
          </w:p>
          <w:p w14:paraId="25A1F055">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（2）规模效益差、能源资源消耗大、环境影响严重的企业，严格控制高污染、高能耗、高水耗项目进入；</w:t>
            </w:r>
          </w:p>
          <w:p w14:paraId="65035172">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（3）纺织服装类片区禁止新建印染和制革类项目；禁止新建每小时20蒸吨及以下燃煤锅炉的项目；</w:t>
            </w:r>
          </w:p>
          <w:bookmarkEnd w:id="35"/>
          <w:p w14:paraId="76B9B6CB">
            <w:pPr>
              <w:pStyle w:val="78"/>
              <w:spacing w:line="360" w:lineRule="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在上述原则的基础上筛选入区项目，规划评价提出的入区行业参考建议见下表。</w:t>
            </w:r>
          </w:p>
          <w:p w14:paraId="7E23721E">
            <w:pPr>
              <w:pStyle w:val="78"/>
              <w:ind w:firstLine="482"/>
              <w:jc w:val="center"/>
              <w:rPr>
                <w:b/>
                <w:bCs/>
                <w:color w:val="auto"/>
              </w:rPr>
            </w:pPr>
            <w:r>
              <w:rPr>
                <w:b/>
                <w:bCs/>
                <w:color w:val="auto"/>
              </w:rPr>
              <w:t>表</w:t>
            </w:r>
            <w:r>
              <w:rPr>
                <w:rFonts w:hint="eastAsia"/>
                <w:b/>
                <w:bCs/>
                <w:color w:val="auto"/>
                <w:lang w:val="en-US" w:eastAsia="zh-CN"/>
              </w:rPr>
              <w:t>1-5</w:t>
            </w:r>
            <w:r>
              <w:rPr>
                <w:rFonts w:hint="eastAsia"/>
                <w:b/>
                <w:bCs/>
                <w:color w:val="auto"/>
              </w:rPr>
              <w:t xml:space="preserve">  </w:t>
            </w:r>
            <w:r>
              <w:rPr>
                <w:b/>
                <w:bCs/>
                <w:color w:val="auto"/>
              </w:rPr>
              <w:t>开发区入区项目行业参考建议一览表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3861"/>
              <w:gridCol w:w="1757"/>
            </w:tblGrid>
            <w:tr w14:paraId="18FE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14:paraId="3848186D">
                  <w:pPr>
                    <w:snapToGrid w:val="0"/>
                    <w:spacing w:line="240" w:lineRule="auto"/>
                    <w:ind w:firstLine="0" w:firstLineChars="0"/>
                    <w:jc w:val="center"/>
                    <w:rPr>
                      <w:color w:val="auto"/>
                      <w:sz w:val="21"/>
                      <w:szCs w:val="21"/>
                    </w:rPr>
                  </w:pPr>
                  <w:r>
                    <w:rPr>
                      <w:color w:val="auto"/>
                      <w:sz w:val="21"/>
                      <w:szCs w:val="21"/>
                    </w:rPr>
                    <w:t>行业门类</w:t>
                  </w:r>
                </w:p>
              </w:tc>
              <w:tc>
                <w:tcPr>
                  <w:tcW w:w="5981" w:type="dxa"/>
                  <w:vAlign w:val="center"/>
                </w:tcPr>
                <w:p w14:paraId="45E07469">
                  <w:pPr>
                    <w:snapToGrid w:val="0"/>
                    <w:spacing w:line="240" w:lineRule="auto"/>
                    <w:ind w:firstLine="0" w:firstLineChars="0"/>
                    <w:jc w:val="center"/>
                    <w:rPr>
                      <w:color w:val="auto"/>
                      <w:sz w:val="21"/>
                      <w:szCs w:val="21"/>
                    </w:rPr>
                  </w:pPr>
                  <w:r>
                    <w:rPr>
                      <w:color w:val="auto"/>
                      <w:sz w:val="21"/>
                      <w:szCs w:val="21"/>
                    </w:rPr>
                    <w:t>行业名称</w:t>
                  </w:r>
                </w:p>
              </w:tc>
              <w:tc>
                <w:tcPr>
                  <w:tcW w:w="2651" w:type="dxa"/>
                  <w:vAlign w:val="center"/>
                </w:tcPr>
                <w:p w14:paraId="44636448">
                  <w:pPr>
                    <w:snapToGrid w:val="0"/>
                    <w:spacing w:line="240" w:lineRule="auto"/>
                    <w:ind w:firstLine="0" w:firstLineChars="0"/>
                    <w:jc w:val="center"/>
                    <w:rPr>
                      <w:color w:val="auto"/>
                      <w:sz w:val="21"/>
                      <w:szCs w:val="21"/>
                    </w:rPr>
                  </w:pPr>
                  <w:r>
                    <w:rPr>
                      <w:color w:val="auto"/>
                      <w:sz w:val="21"/>
                      <w:szCs w:val="21"/>
                    </w:rPr>
                    <w:t>入区建议</w:t>
                  </w:r>
                </w:p>
              </w:tc>
            </w:tr>
            <w:tr w14:paraId="06D1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vAlign w:val="center"/>
                </w:tcPr>
                <w:p w14:paraId="008D9871">
                  <w:pPr>
                    <w:snapToGrid w:val="0"/>
                    <w:spacing w:line="240" w:lineRule="auto"/>
                    <w:ind w:firstLine="0" w:firstLineChars="0"/>
                    <w:jc w:val="center"/>
                    <w:rPr>
                      <w:color w:val="auto"/>
                      <w:sz w:val="21"/>
                      <w:szCs w:val="21"/>
                    </w:rPr>
                  </w:pPr>
                  <w:r>
                    <w:rPr>
                      <w:color w:val="auto"/>
                      <w:sz w:val="21"/>
                      <w:szCs w:val="21"/>
                    </w:rPr>
                    <w:t>机械电子</w:t>
                  </w:r>
                </w:p>
              </w:tc>
              <w:tc>
                <w:tcPr>
                  <w:tcW w:w="5981" w:type="dxa"/>
                  <w:vAlign w:val="center"/>
                </w:tcPr>
                <w:p w14:paraId="06C5D740">
                  <w:pPr>
                    <w:snapToGrid w:val="0"/>
                    <w:spacing w:line="240" w:lineRule="auto"/>
                    <w:ind w:firstLine="0" w:firstLineChars="0"/>
                    <w:jc w:val="center"/>
                    <w:rPr>
                      <w:color w:val="auto"/>
                      <w:sz w:val="21"/>
                      <w:szCs w:val="21"/>
                    </w:rPr>
                  </w:pPr>
                  <w:r>
                    <w:rPr>
                      <w:color w:val="auto"/>
                      <w:sz w:val="21"/>
                      <w:szCs w:val="21"/>
                    </w:rPr>
                    <w:t>通用、专用设备制造；铁路运输设备制造；汽车、摩托车制造（发动机、零部件）；自行车制造；船舶及浮动装置制造；交通器材及其他交通运输设备制造；电气机械及器材制造（不含电池制造）；仪器仪表及文化、办公用机械制造；电子配件组装；金属制品加工制造</w:t>
                  </w:r>
                </w:p>
              </w:tc>
              <w:tc>
                <w:tcPr>
                  <w:tcW w:w="2651" w:type="dxa"/>
                  <w:vAlign w:val="center"/>
                </w:tcPr>
                <w:p w14:paraId="740F6A9A">
                  <w:pPr>
                    <w:snapToGrid w:val="0"/>
                    <w:spacing w:line="240" w:lineRule="auto"/>
                    <w:ind w:firstLine="0" w:firstLineChars="0"/>
                    <w:jc w:val="center"/>
                    <w:rPr>
                      <w:color w:val="auto"/>
                      <w:sz w:val="21"/>
                      <w:szCs w:val="21"/>
                    </w:rPr>
                  </w:pPr>
                  <w:r>
                    <w:rPr>
                      <w:color w:val="auto"/>
                      <w:sz w:val="21"/>
                      <w:szCs w:val="21"/>
                    </w:rPr>
                    <w:t>（无电镀、喷漆工艺的）优先入区</w:t>
                  </w:r>
                </w:p>
              </w:tc>
            </w:tr>
            <w:tr w14:paraId="6C1D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vAlign w:val="center"/>
                </w:tcPr>
                <w:p w14:paraId="7E77E60D">
                  <w:pPr>
                    <w:snapToGrid w:val="0"/>
                    <w:spacing w:line="240" w:lineRule="auto"/>
                    <w:ind w:firstLine="0" w:firstLineChars="0"/>
                    <w:jc w:val="center"/>
                    <w:rPr>
                      <w:color w:val="auto"/>
                      <w:sz w:val="21"/>
                      <w:szCs w:val="21"/>
                    </w:rPr>
                  </w:pPr>
                </w:p>
              </w:tc>
              <w:tc>
                <w:tcPr>
                  <w:tcW w:w="5981" w:type="dxa"/>
                  <w:vAlign w:val="center"/>
                </w:tcPr>
                <w:p w14:paraId="4603798B">
                  <w:pPr>
                    <w:snapToGrid w:val="0"/>
                    <w:spacing w:line="240" w:lineRule="auto"/>
                    <w:ind w:firstLine="0" w:firstLineChars="0"/>
                    <w:jc w:val="center"/>
                    <w:rPr>
                      <w:color w:val="auto"/>
                      <w:sz w:val="21"/>
                      <w:szCs w:val="21"/>
                    </w:rPr>
                  </w:pPr>
                  <w:r>
                    <w:rPr>
                      <w:color w:val="auto"/>
                      <w:sz w:val="21"/>
                      <w:szCs w:val="21"/>
                    </w:rPr>
                    <w:t>集成电路生产，半导体器件生产；印刷电路板，电真空器件</w:t>
                  </w:r>
                </w:p>
              </w:tc>
              <w:tc>
                <w:tcPr>
                  <w:tcW w:w="2651" w:type="dxa"/>
                  <w:vAlign w:val="center"/>
                </w:tcPr>
                <w:p w14:paraId="5784ADA8">
                  <w:pPr>
                    <w:snapToGrid w:val="0"/>
                    <w:spacing w:line="240" w:lineRule="auto"/>
                    <w:ind w:firstLine="0" w:firstLineChars="0"/>
                    <w:jc w:val="center"/>
                    <w:rPr>
                      <w:color w:val="auto"/>
                      <w:sz w:val="21"/>
                      <w:szCs w:val="21"/>
                    </w:rPr>
                  </w:pPr>
                  <w:r>
                    <w:rPr>
                      <w:color w:val="auto"/>
                      <w:sz w:val="21"/>
                      <w:szCs w:val="21"/>
                    </w:rPr>
                    <w:t>限制进入</w:t>
                  </w:r>
                </w:p>
              </w:tc>
            </w:tr>
            <w:tr w14:paraId="0F01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vAlign w:val="center"/>
                </w:tcPr>
                <w:p w14:paraId="35EB077B">
                  <w:pPr>
                    <w:snapToGrid w:val="0"/>
                    <w:spacing w:line="240" w:lineRule="auto"/>
                    <w:ind w:firstLine="0" w:firstLineChars="0"/>
                    <w:jc w:val="center"/>
                    <w:rPr>
                      <w:color w:val="auto"/>
                      <w:sz w:val="21"/>
                      <w:szCs w:val="21"/>
                    </w:rPr>
                  </w:pPr>
                  <w:r>
                    <w:rPr>
                      <w:bCs/>
                      <w:color w:val="auto"/>
                      <w:sz w:val="21"/>
                      <w:szCs w:val="21"/>
                    </w:rPr>
                    <w:t>纺织服装</w:t>
                  </w:r>
                </w:p>
              </w:tc>
              <w:tc>
                <w:tcPr>
                  <w:tcW w:w="5981" w:type="dxa"/>
                  <w:vAlign w:val="center"/>
                </w:tcPr>
                <w:p w14:paraId="7E143B8B">
                  <w:pPr>
                    <w:snapToGrid w:val="0"/>
                    <w:spacing w:line="240" w:lineRule="auto"/>
                    <w:ind w:firstLine="0" w:firstLineChars="0"/>
                    <w:jc w:val="center"/>
                    <w:rPr>
                      <w:color w:val="auto"/>
                      <w:sz w:val="21"/>
                      <w:szCs w:val="21"/>
                    </w:rPr>
                  </w:pPr>
                  <w:r>
                    <w:rPr>
                      <w:color w:val="auto"/>
                      <w:sz w:val="21"/>
                      <w:szCs w:val="21"/>
                    </w:rPr>
                    <w:t>棉纺纱加工、棉织造加工；毛条和毛纱线加工、毛织造加工；麻纺织；家用纺织制成品制造、非家用纺织制成成品制造；纺织服装、服饰业</w:t>
                  </w:r>
                </w:p>
              </w:tc>
              <w:tc>
                <w:tcPr>
                  <w:tcW w:w="2651" w:type="dxa"/>
                  <w:vAlign w:val="center"/>
                </w:tcPr>
                <w:p w14:paraId="36D37D5B">
                  <w:pPr>
                    <w:snapToGrid w:val="0"/>
                    <w:spacing w:line="240" w:lineRule="auto"/>
                    <w:ind w:firstLine="0" w:firstLineChars="0"/>
                    <w:jc w:val="center"/>
                    <w:rPr>
                      <w:color w:val="auto"/>
                      <w:sz w:val="21"/>
                      <w:szCs w:val="21"/>
                    </w:rPr>
                  </w:pPr>
                  <w:r>
                    <w:rPr>
                      <w:color w:val="auto"/>
                      <w:sz w:val="21"/>
                      <w:szCs w:val="21"/>
                    </w:rPr>
                    <w:t>优先入区</w:t>
                  </w:r>
                </w:p>
              </w:tc>
            </w:tr>
            <w:tr w14:paraId="5515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vAlign w:val="center"/>
                </w:tcPr>
                <w:p w14:paraId="13921EF2">
                  <w:pPr>
                    <w:snapToGrid w:val="0"/>
                    <w:spacing w:line="240" w:lineRule="auto"/>
                    <w:ind w:firstLine="0" w:firstLineChars="0"/>
                    <w:jc w:val="center"/>
                    <w:rPr>
                      <w:bCs/>
                      <w:color w:val="auto"/>
                      <w:sz w:val="21"/>
                      <w:szCs w:val="21"/>
                    </w:rPr>
                  </w:pPr>
                </w:p>
              </w:tc>
              <w:tc>
                <w:tcPr>
                  <w:tcW w:w="5981" w:type="dxa"/>
                  <w:vAlign w:val="center"/>
                </w:tcPr>
                <w:p w14:paraId="41F5250B">
                  <w:pPr>
                    <w:snapToGrid w:val="0"/>
                    <w:spacing w:line="240" w:lineRule="auto"/>
                    <w:ind w:firstLine="0" w:firstLineChars="0"/>
                    <w:jc w:val="center"/>
                    <w:rPr>
                      <w:color w:val="auto"/>
                      <w:sz w:val="21"/>
                      <w:szCs w:val="21"/>
                    </w:rPr>
                  </w:pPr>
                  <w:r>
                    <w:rPr>
                      <w:color w:val="auto"/>
                      <w:sz w:val="21"/>
                      <w:szCs w:val="21"/>
                    </w:rPr>
                    <w:t>棉印染精加工、毛染整精加工</w:t>
                  </w:r>
                </w:p>
              </w:tc>
              <w:tc>
                <w:tcPr>
                  <w:tcW w:w="2651" w:type="dxa"/>
                  <w:vAlign w:val="center"/>
                </w:tcPr>
                <w:p w14:paraId="5C6A1367">
                  <w:pPr>
                    <w:snapToGrid w:val="0"/>
                    <w:spacing w:line="240" w:lineRule="auto"/>
                    <w:ind w:firstLine="0" w:firstLineChars="0"/>
                    <w:jc w:val="center"/>
                    <w:rPr>
                      <w:color w:val="auto"/>
                      <w:sz w:val="21"/>
                      <w:szCs w:val="21"/>
                    </w:rPr>
                  </w:pPr>
                  <w:r>
                    <w:rPr>
                      <w:color w:val="auto"/>
                      <w:sz w:val="21"/>
                      <w:szCs w:val="21"/>
                    </w:rPr>
                    <w:t>禁止入区</w:t>
                  </w:r>
                </w:p>
              </w:tc>
            </w:tr>
            <w:tr w14:paraId="29DF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vAlign w:val="center"/>
                </w:tcPr>
                <w:p w14:paraId="32578A99">
                  <w:pPr>
                    <w:snapToGrid w:val="0"/>
                    <w:spacing w:line="240" w:lineRule="auto"/>
                    <w:ind w:firstLine="0" w:firstLineChars="0"/>
                    <w:jc w:val="center"/>
                    <w:rPr>
                      <w:color w:val="auto"/>
                      <w:sz w:val="21"/>
                      <w:szCs w:val="21"/>
                    </w:rPr>
                  </w:pPr>
                  <w:r>
                    <w:rPr>
                      <w:color w:val="auto"/>
                      <w:sz w:val="21"/>
                      <w:szCs w:val="21"/>
                    </w:rPr>
                    <w:t>农副产品深加工产业</w:t>
                  </w:r>
                </w:p>
              </w:tc>
              <w:tc>
                <w:tcPr>
                  <w:tcW w:w="5981" w:type="dxa"/>
                  <w:vAlign w:val="center"/>
                </w:tcPr>
                <w:p w14:paraId="6539B7BC">
                  <w:pPr>
                    <w:snapToGrid w:val="0"/>
                    <w:spacing w:line="240" w:lineRule="auto"/>
                    <w:ind w:firstLine="0" w:firstLineChars="0"/>
                    <w:jc w:val="center"/>
                    <w:rPr>
                      <w:color w:val="auto"/>
                      <w:sz w:val="21"/>
                      <w:szCs w:val="21"/>
                    </w:rPr>
                  </w:pPr>
                  <w:r>
                    <w:rPr>
                      <w:color w:val="auto"/>
                      <w:sz w:val="21"/>
                      <w:szCs w:val="21"/>
                    </w:rPr>
                    <w:t>谷物磨制，饲料加工，蔬菜、水果和坚果加工，肉禽类加工，蛋品加工；焙烤食品制造，糖果，巧克力及蜜饯制造，方便食品制造</w:t>
                  </w:r>
                </w:p>
              </w:tc>
              <w:tc>
                <w:tcPr>
                  <w:tcW w:w="2651" w:type="dxa"/>
                  <w:vAlign w:val="center"/>
                </w:tcPr>
                <w:p w14:paraId="192C185B">
                  <w:pPr>
                    <w:snapToGrid w:val="0"/>
                    <w:spacing w:line="240" w:lineRule="auto"/>
                    <w:ind w:firstLine="0" w:firstLineChars="0"/>
                    <w:jc w:val="center"/>
                    <w:rPr>
                      <w:color w:val="auto"/>
                      <w:sz w:val="21"/>
                      <w:szCs w:val="21"/>
                    </w:rPr>
                  </w:pPr>
                  <w:r>
                    <w:rPr>
                      <w:color w:val="auto"/>
                      <w:sz w:val="21"/>
                      <w:szCs w:val="21"/>
                    </w:rPr>
                    <w:t>优先入区</w:t>
                  </w:r>
                </w:p>
              </w:tc>
            </w:tr>
            <w:tr w14:paraId="4698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vAlign w:val="center"/>
                </w:tcPr>
                <w:p w14:paraId="3DF159BF">
                  <w:pPr>
                    <w:snapToGrid w:val="0"/>
                    <w:spacing w:line="240" w:lineRule="auto"/>
                    <w:ind w:firstLine="0" w:firstLineChars="0"/>
                    <w:jc w:val="center"/>
                    <w:rPr>
                      <w:color w:val="auto"/>
                      <w:sz w:val="21"/>
                      <w:szCs w:val="21"/>
                    </w:rPr>
                  </w:pPr>
                </w:p>
              </w:tc>
              <w:tc>
                <w:tcPr>
                  <w:tcW w:w="5981" w:type="dxa"/>
                  <w:vAlign w:val="center"/>
                </w:tcPr>
                <w:p w14:paraId="6893B5A7">
                  <w:pPr>
                    <w:snapToGrid w:val="0"/>
                    <w:spacing w:line="240" w:lineRule="auto"/>
                    <w:ind w:firstLine="0" w:firstLineChars="0"/>
                    <w:jc w:val="center"/>
                    <w:rPr>
                      <w:color w:val="auto"/>
                      <w:sz w:val="21"/>
                      <w:szCs w:val="21"/>
                    </w:rPr>
                  </w:pPr>
                  <w:r>
                    <w:rPr>
                      <w:color w:val="auto"/>
                      <w:sz w:val="21"/>
                      <w:szCs w:val="21"/>
                    </w:rPr>
                    <w:t>植物油加工、制糖业、屠宰</w:t>
                  </w:r>
                </w:p>
              </w:tc>
              <w:tc>
                <w:tcPr>
                  <w:tcW w:w="2651" w:type="dxa"/>
                  <w:vAlign w:val="center"/>
                </w:tcPr>
                <w:p w14:paraId="13122BF8">
                  <w:pPr>
                    <w:snapToGrid w:val="0"/>
                    <w:spacing w:line="240" w:lineRule="auto"/>
                    <w:ind w:firstLine="0" w:firstLineChars="0"/>
                    <w:jc w:val="center"/>
                    <w:rPr>
                      <w:color w:val="auto"/>
                      <w:sz w:val="21"/>
                      <w:szCs w:val="21"/>
                    </w:rPr>
                  </w:pPr>
                  <w:r>
                    <w:rPr>
                      <w:color w:val="auto"/>
                      <w:sz w:val="21"/>
                      <w:szCs w:val="21"/>
                    </w:rPr>
                    <w:t>限制入区</w:t>
                  </w:r>
                </w:p>
              </w:tc>
            </w:tr>
            <w:tr w14:paraId="6004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14:paraId="060A68A9">
                  <w:pPr>
                    <w:snapToGrid w:val="0"/>
                    <w:spacing w:line="240" w:lineRule="auto"/>
                    <w:ind w:firstLine="0" w:firstLineChars="0"/>
                    <w:jc w:val="center"/>
                    <w:rPr>
                      <w:color w:val="auto"/>
                      <w:sz w:val="21"/>
                      <w:szCs w:val="21"/>
                    </w:rPr>
                  </w:pPr>
                  <w:r>
                    <w:rPr>
                      <w:color w:val="auto"/>
                      <w:sz w:val="21"/>
                      <w:szCs w:val="21"/>
                    </w:rPr>
                    <w:t>现代服务业</w:t>
                  </w:r>
                </w:p>
              </w:tc>
              <w:tc>
                <w:tcPr>
                  <w:tcW w:w="5981" w:type="dxa"/>
                  <w:vAlign w:val="center"/>
                </w:tcPr>
                <w:p w14:paraId="4C580E9E">
                  <w:pPr>
                    <w:snapToGrid w:val="0"/>
                    <w:spacing w:line="240" w:lineRule="auto"/>
                    <w:ind w:firstLine="0" w:firstLineChars="0"/>
                    <w:jc w:val="center"/>
                    <w:rPr>
                      <w:color w:val="auto"/>
                      <w:sz w:val="21"/>
                      <w:szCs w:val="21"/>
                    </w:rPr>
                  </w:pPr>
                  <w:r>
                    <w:rPr>
                      <w:color w:val="auto"/>
                      <w:sz w:val="21"/>
                      <w:szCs w:val="21"/>
                    </w:rPr>
                    <w:t>现代物流（无危险化学品托运）；金融服务业；研发创意；商贸（零售）、餐饮住宿、休闲娱乐、社区服务等生活性服务业</w:t>
                  </w:r>
                </w:p>
              </w:tc>
              <w:tc>
                <w:tcPr>
                  <w:tcW w:w="2651" w:type="dxa"/>
                  <w:vAlign w:val="center"/>
                </w:tcPr>
                <w:p w14:paraId="50051EC4">
                  <w:pPr>
                    <w:snapToGrid w:val="0"/>
                    <w:spacing w:line="240" w:lineRule="auto"/>
                    <w:ind w:firstLine="0" w:firstLineChars="0"/>
                    <w:jc w:val="center"/>
                    <w:rPr>
                      <w:color w:val="auto"/>
                      <w:sz w:val="21"/>
                      <w:szCs w:val="21"/>
                    </w:rPr>
                  </w:pPr>
                  <w:r>
                    <w:rPr>
                      <w:color w:val="auto"/>
                      <w:sz w:val="21"/>
                      <w:szCs w:val="21"/>
                    </w:rPr>
                    <w:t>优先入区</w:t>
                  </w:r>
                </w:p>
              </w:tc>
            </w:tr>
            <w:tr w14:paraId="0006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4" w:type="dxa"/>
                  <w:gridSpan w:val="3"/>
                  <w:vAlign w:val="center"/>
                </w:tcPr>
                <w:p w14:paraId="441CA71F">
                  <w:pPr>
                    <w:snapToGrid w:val="0"/>
                    <w:spacing w:line="240" w:lineRule="auto"/>
                    <w:ind w:firstLine="0" w:firstLineChars="0"/>
                    <w:jc w:val="center"/>
                    <w:rPr>
                      <w:color w:val="auto"/>
                      <w:sz w:val="21"/>
                      <w:szCs w:val="21"/>
                    </w:rPr>
                  </w:pPr>
                  <w:r>
                    <w:rPr>
                      <w:color w:val="auto"/>
                      <w:sz w:val="21"/>
                      <w:szCs w:val="21"/>
                    </w:rPr>
                    <w:t>高能耗、高污染型行业禁止入区，其他行业选择性入区；新建20蒸吨以下锅炉禁止入区；食品加工类严格限制酿造类；纺织服装禁止新建印染类和制革类项目</w:t>
                  </w:r>
                </w:p>
              </w:tc>
            </w:tr>
            <w:tr w14:paraId="1BEA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4" w:type="dxa"/>
                  <w:gridSpan w:val="3"/>
                  <w:vAlign w:val="center"/>
                </w:tcPr>
                <w:p w14:paraId="7ACB83C9">
                  <w:pPr>
                    <w:snapToGrid w:val="0"/>
                    <w:spacing w:line="240" w:lineRule="auto"/>
                    <w:ind w:firstLine="0" w:firstLineChars="0"/>
                    <w:jc w:val="center"/>
                    <w:rPr>
                      <w:color w:val="auto"/>
                      <w:sz w:val="21"/>
                      <w:szCs w:val="21"/>
                    </w:rPr>
                  </w:pPr>
                  <w:r>
                    <w:rPr>
                      <w:color w:val="auto"/>
                      <w:sz w:val="21"/>
                      <w:szCs w:val="21"/>
                    </w:rPr>
                    <w:t>与主导产业不完全相符，但是低能耗、轻污染型周边产业，可以适度入区</w:t>
                  </w:r>
                </w:p>
              </w:tc>
            </w:tr>
          </w:tbl>
          <w:p w14:paraId="1099B130">
            <w:pPr>
              <w:pStyle w:val="11"/>
              <w:keepNext w:val="0"/>
              <w:keepLines w:val="0"/>
              <w:pageBreakBefore w:val="0"/>
              <w:widowControl/>
              <w:kinsoku w:val="0"/>
              <w:wordWrap/>
              <w:overflowPunct/>
              <w:topLinePunct w:val="0"/>
              <w:autoSpaceDE/>
              <w:autoSpaceDN/>
              <w:bidi w:val="0"/>
              <w:adjustRightInd w:val="0"/>
              <w:snapToGrid w:val="0"/>
              <w:spacing w:before="157" w:beforeLines="50" w:after="0" w:line="360" w:lineRule="auto"/>
              <w:ind w:right="0" w:firstLine="480" w:firstLineChars="200"/>
              <w:textAlignment w:val="auto"/>
              <w:rPr>
                <w:rFonts w:hint="default" w:eastAsia="宋体"/>
                <w:color w:val="auto"/>
                <w:sz w:val="24"/>
                <w:highlight w:val="none"/>
                <w:lang w:eastAsia="zh-CN"/>
              </w:rPr>
            </w:pPr>
            <w:r>
              <w:rPr>
                <w:rFonts w:hint="default"/>
                <w:color w:val="auto"/>
                <w:sz w:val="24"/>
                <w:highlight w:val="none"/>
              </w:rPr>
              <w:t>项目属于</w:t>
            </w:r>
            <w:r>
              <w:rPr>
                <w:rFonts w:hint="default"/>
                <w:color w:val="auto"/>
                <w:sz w:val="24"/>
                <w:highlight w:val="none"/>
                <w:lang w:val="en-US" w:eastAsia="zh-CN"/>
              </w:rPr>
              <w:t>C2929塑料零件及其他塑料制品制造，根据泗县</w:t>
            </w:r>
            <w:r>
              <w:rPr>
                <w:color w:val="auto"/>
                <w:sz w:val="24"/>
                <w:highlight w:val="none"/>
              </w:rPr>
              <w:t>经济技术开发区范围内禁止准入及限制准入的环境负面清单</w:t>
            </w:r>
            <w:r>
              <w:rPr>
                <w:rFonts w:hint="default"/>
                <w:color w:val="auto"/>
                <w:sz w:val="24"/>
                <w:highlight w:val="none"/>
                <w:lang w:eastAsia="zh-CN"/>
              </w:rPr>
              <w:t>，</w:t>
            </w:r>
            <w:r>
              <w:rPr>
                <w:rFonts w:hint="default"/>
                <w:color w:val="auto"/>
                <w:sz w:val="24"/>
                <w:highlight w:val="none"/>
                <w:lang w:val="en-US" w:eastAsia="zh-CN"/>
              </w:rPr>
              <w:t>项目不属于禁止或者限制入园行业</w:t>
            </w:r>
            <w:r>
              <w:rPr>
                <w:color w:val="auto"/>
                <w:sz w:val="24"/>
                <w:highlight w:val="none"/>
              </w:rPr>
              <w:t>。且对照中华人民共和国国家发展和改革委员会令第</w:t>
            </w:r>
            <w:r>
              <w:rPr>
                <w:rFonts w:hint="default"/>
                <w:color w:val="auto"/>
                <w:sz w:val="24"/>
                <w:highlight w:val="none"/>
                <w:lang w:val="en-US" w:eastAsia="zh-CN"/>
              </w:rPr>
              <w:t>7</w:t>
            </w:r>
            <w:r>
              <w:rPr>
                <w:color w:val="auto"/>
                <w:sz w:val="24"/>
                <w:highlight w:val="none"/>
              </w:rPr>
              <w:t>号《产业结构调整指导目录（20</w:t>
            </w:r>
            <w:r>
              <w:rPr>
                <w:rFonts w:hint="default"/>
                <w:color w:val="auto"/>
                <w:sz w:val="24"/>
                <w:highlight w:val="none"/>
                <w:lang w:val="en-US" w:eastAsia="zh-CN"/>
              </w:rPr>
              <w:t>24</w:t>
            </w:r>
            <w:r>
              <w:rPr>
                <w:color w:val="auto"/>
                <w:sz w:val="24"/>
                <w:highlight w:val="none"/>
              </w:rPr>
              <w:t>年本）》有关条款的决定，</w:t>
            </w:r>
            <w:r>
              <w:rPr>
                <w:rFonts w:hint="default"/>
                <w:color w:val="auto"/>
                <w:sz w:val="24"/>
                <w:highlight w:val="none"/>
              </w:rPr>
              <w:t>本项目不属于鼓励类、限制类和淘汰类项目</w:t>
            </w:r>
            <w:r>
              <w:rPr>
                <w:rFonts w:hint="default"/>
                <w:color w:val="auto"/>
                <w:sz w:val="24"/>
                <w:highlight w:val="none"/>
                <w:lang w:eastAsia="zh-CN"/>
              </w:rPr>
              <w:t>。</w:t>
            </w:r>
            <w:r>
              <w:rPr>
                <w:color w:val="auto"/>
                <w:sz w:val="24"/>
                <w:szCs w:val="24"/>
                <w:highlight w:val="none"/>
              </w:rPr>
              <w:t>项目已取得</w:t>
            </w:r>
            <w:r>
              <w:rPr>
                <w:rFonts w:hint="default"/>
                <w:color w:val="auto"/>
                <w:sz w:val="24"/>
                <w:szCs w:val="24"/>
                <w:highlight w:val="none"/>
                <w:lang w:val="en-US" w:eastAsia="zh-CN"/>
              </w:rPr>
              <w:t>宿州经开区经发局</w:t>
            </w:r>
            <w:r>
              <w:rPr>
                <w:color w:val="auto"/>
                <w:sz w:val="24"/>
                <w:szCs w:val="24"/>
                <w:highlight w:val="none"/>
              </w:rPr>
              <w:t>出具的</w:t>
            </w:r>
            <w:r>
              <w:rPr>
                <w:rFonts w:hint="default"/>
                <w:color w:val="auto"/>
                <w:sz w:val="24"/>
                <w:szCs w:val="24"/>
                <w:highlight w:val="none"/>
              </w:rPr>
              <w:t>项目备案表</w:t>
            </w:r>
            <w:r>
              <w:rPr>
                <w:color w:val="auto"/>
                <w:sz w:val="24"/>
                <w:szCs w:val="24"/>
                <w:highlight w:val="none"/>
              </w:rPr>
              <w:t>（</w:t>
            </w:r>
            <w:r>
              <w:rPr>
                <w:rFonts w:hint="default"/>
                <w:color w:val="auto"/>
                <w:sz w:val="24"/>
                <w:szCs w:val="24"/>
                <w:highlight w:val="none"/>
                <w:lang w:val="en-US" w:eastAsia="zh-CN"/>
              </w:rPr>
              <w:t>宿开经审批【2025】31</w:t>
            </w:r>
            <w:r>
              <w:rPr>
                <w:color w:val="auto"/>
                <w:sz w:val="24"/>
                <w:szCs w:val="24"/>
                <w:highlight w:val="none"/>
              </w:rPr>
              <w:t>号）</w:t>
            </w:r>
            <w:r>
              <w:rPr>
                <w:rFonts w:hint="default"/>
                <w:color w:val="auto"/>
                <w:sz w:val="24"/>
                <w:szCs w:val="24"/>
                <w:highlight w:val="none"/>
                <w:lang w:eastAsia="zh-CN"/>
              </w:rPr>
              <w:t>，</w:t>
            </w:r>
            <w:r>
              <w:rPr>
                <w:color w:val="auto"/>
                <w:sz w:val="24"/>
                <w:highlight w:val="none"/>
              </w:rPr>
              <w:t>因此项目的建设符合园区规划</w:t>
            </w:r>
            <w:r>
              <w:rPr>
                <w:rFonts w:hint="default"/>
                <w:color w:val="auto"/>
                <w:sz w:val="24"/>
                <w:highlight w:val="none"/>
                <w:lang w:eastAsia="zh-CN"/>
              </w:rPr>
              <w:t>。</w:t>
            </w:r>
          </w:p>
          <w:p w14:paraId="35B29500">
            <w:pPr>
              <w:bidi w:val="0"/>
              <w:spacing w:line="360" w:lineRule="auto"/>
              <w:ind w:firstLine="480" w:firstLineChars="200"/>
              <w:rPr>
                <w:b/>
                <w:bCs/>
                <w:color w:val="auto"/>
                <w:szCs w:val="24"/>
                <w:highlight w:val="none"/>
              </w:rPr>
            </w:pPr>
            <w:r>
              <w:rPr>
                <w:rFonts w:cs="Times New Roman"/>
                <w:color w:val="auto"/>
                <w:highlight w:val="none"/>
              </w:rPr>
              <w:t>对照《宿州市“三线一单”生态环境准入清单》中环境管控单元划分，项目所在地大气环境、水环境均属于重点管控单元</w:t>
            </w:r>
            <w:r>
              <w:rPr>
                <w:rFonts w:hint="default" w:cs="Times New Roman"/>
                <w:color w:val="auto"/>
                <w:highlight w:val="none"/>
                <w:lang w:eastAsia="zh-CN"/>
              </w:rPr>
              <w:t>，土壤环境属于一般管控单元</w:t>
            </w:r>
            <w:r>
              <w:rPr>
                <w:rFonts w:cs="Times New Roman"/>
                <w:color w:val="auto"/>
                <w:highlight w:val="none"/>
              </w:rPr>
              <w:t>。项目与宿州市</w:t>
            </w:r>
            <w:r>
              <w:rPr>
                <w:rFonts w:hint="default" w:cs="Times New Roman"/>
                <w:color w:val="auto"/>
                <w:highlight w:val="none"/>
                <w:lang w:eastAsia="zh-CN"/>
              </w:rPr>
              <w:t>“</w:t>
            </w:r>
            <w:r>
              <w:rPr>
                <w:rFonts w:cs="Times New Roman"/>
                <w:color w:val="auto"/>
                <w:highlight w:val="none"/>
              </w:rPr>
              <w:t>三线一单</w:t>
            </w:r>
            <w:r>
              <w:rPr>
                <w:rFonts w:hint="default" w:cs="Times New Roman"/>
                <w:color w:val="auto"/>
                <w:highlight w:val="none"/>
                <w:lang w:eastAsia="zh-CN"/>
              </w:rPr>
              <w:t>”</w:t>
            </w:r>
            <w:r>
              <w:rPr>
                <w:rFonts w:cs="Times New Roman"/>
                <w:color w:val="auto"/>
                <w:highlight w:val="none"/>
              </w:rPr>
              <w:t>分区管控符合性分析见</w:t>
            </w:r>
            <w:r>
              <w:rPr>
                <w:rFonts w:hint="default" w:cs="Times New Roman"/>
                <w:color w:val="auto"/>
                <w:highlight w:val="none"/>
                <w:lang w:val="en-US" w:eastAsia="zh-CN"/>
              </w:rPr>
              <w:t>下表</w:t>
            </w:r>
            <w:r>
              <w:rPr>
                <w:rFonts w:cs="Times New Roman"/>
                <w:color w:val="auto"/>
                <w:highlight w:val="none"/>
              </w:rPr>
              <w:t>。</w:t>
            </w:r>
            <w:r>
              <w:rPr>
                <w:rFonts w:hint="default" w:cs="Times New Roman"/>
                <w:color w:val="auto"/>
                <w:highlight w:val="none"/>
                <w:lang w:val="en-US" w:eastAsia="zh-CN"/>
              </w:rPr>
              <w:t>依据</w:t>
            </w:r>
            <w:r>
              <w:rPr>
                <w:rFonts w:hint="default" w:cs="Times New Roman"/>
                <w:color w:val="auto"/>
                <w:highlight w:val="none"/>
              </w:rPr>
              <w:t>安徽省</w:t>
            </w:r>
            <w:r>
              <w:rPr>
                <w:rFonts w:hint="default" w:cs="Times New Roman"/>
                <w:color w:val="auto"/>
                <w:highlight w:val="none"/>
                <w:lang w:eastAsia="zh-CN"/>
              </w:rPr>
              <w:t>“</w:t>
            </w:r>
            <w:r>
              <w:rPr>
                <w:rFonts w:hint="default" w:cs="Times New Roman"/>
                <w:color w:val="auto"/>
                <w:highlight w:val="none"/>
              </w:rPr>
              <w:t>三线一单</w:t>
            </w:r>
            <w:r>
              <w:rPr>
                <w:rFonts w:hint="default" w:cs="Times New Roman"/>
                <w:color w:val="auto"/>
                <w:highlight w:val="none"/>
                <w:lang w:eastAsia="zh-CN"/>
              </w:rPr>
              <w:t>”</w:t>
            </w:r>
            <w:r>
              <w:rPr>
                <w:rFonts w:hint="default" w:cs="Times New Roman"/>
                <w:color w:val="auto"/>
                <w:highlight w:val="none"/>
              </w:rPr>
              <w:t>公众服务平台</w:t>
            </w:r>
            <w:r>
              <w:rPr>
                <w:rFonts w:hint="default" w:cs="Times New Roman"/>
                <w:color w:val="auto"/>
                <w:highlight w:val="none"/>
                <w:lang w:eastAsia="zh-CN"/>
              </w:rPr>
              <w:t>，</w:t>
            </w:r>
            <w:r>
              <w:rPr>
                <w:rFonts w:hint="default" w:cs="Times New Roman"/>
                <w:color w:val="auto"/>
                <w:highlight w:val="none"/>
                <w:lang w:val="en-US" w:eastAsia="zh-CN"/>
              </w:rPr>
              <w:t>项目生态环境管控单元分布图见附图</w:t>
            </w:r>
            <w:r>
              <w:rPr>
                <w:rFonts w:hint="eastAsia"/>
                <w:color w:val="auto"/>
                <w:highlight w:val="none"/>
                <w:lang w:bidi="ar"/>
              </w:rPr>
              <w:t>。</w:t>
            </w:r>
          </w:p>
          <w:p w14:paraId="0A705A1C">
            <w:pPr>
              <w:spacing w:line="240" w:lineRule="auto"/>
              <w:jc w:val="center"/>
              <w:outlineLvl w:val="0"/>
              <w:rPr>
                <w:b/>
                <w:bCs/>
                <w:color w:val="auto"/>
                <w:highlight w:val="none"/>
              </w:rPr>
            </w:pPr>
            <w:r>
              <w:rPr>
                <w:b/>
                <w:bCs/>
                <w:color w:val="auto"/>
                <w:highlight w:val="none"/>
              </w:rPr>
              <w:t>表</w:t>
            </w:r>
            <w:r>
              <w:rPr>
                <w:rFonts w:hint="eastAsia"/>
                <w:b/>
                <w:bCs/>
                <w:color w:val="auto"/>
                <w:highlight w:val="none"/>
              </w:rPr>
              <w:t>1</w:t>
            </w:r>
            <w:r>
              <w:rPr>
                <w:rFonts w:hint="eastAsia"/>
                <w:b/>
                <w:bCs/>
                <w:color w:val="auto"/>
                <w:highlight w:val="none"/>
                <w:lang w:val="en-US" w:eastAsia="zh-CN"/>
              </w:rPr>
              <w:t>-6</w:t>
            </w:r>
            <w:r>
              <w:rPr>
                <w:b/>
                <w:bCs/>
                <w:color w:val="auto"/>
                <w:highlight w:val="none"/>
              </w:rPr>
              <w:t xml:space="preserve"> </w:t>
            </w:r>
            <w:r>
              <w:rPr>
                <w:rFonts w:hint="eastAsia"/>
                <w:b/>
                <w:bCs/>
                <w:color w:val="auto"/>
                <w:highlight w:val="none"/>
              </w:rPr>
              <w:t xml:space="preserve"> </w:t>
            </w:r>
            <w:r>
              <w:rPr>
                <w:rFonts w:hint="eastAsia"/>
                <w:b/>
                <w:bCs/>
                <w:color w:val="auto"/>
                <w:highlight w:val="none"/>
                <w:lang w:bidi="ar"/>
              </w:rPr>
              <w:t>项目与宿州市“三线一单”生态环境准入清单符合性分析表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436"/>
              <w:gridCol w:w="3"/>
              <w:gridCol w:w="382"/>
              <w:gridCol w:w="83"/>
              <w:gridCol w:w="352"/>
              <w:gridCol w:w="2552"/>
              <w:gridCol w:w="1866"/>
              <w:gridCol w:w="419"/>
            </w:tblGrid>
            <w:tr w14:paraId="3A5B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noWrap w:val="0"/>
                  <w:vAlign w:val="center"/>
                </w:tcPr>
                <w:p w14:paraId="6D84331E">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分类</w:t>
                  </w:r>
                </w:p>
              </w:tc>
              <w:tc>
                <w:tcPr>
                  <w:tcW w:w="698" w:type="pct"/>
                  <w:gridSpan w:val="4"/>
                  <w:noWrap w:val="0"/>
                  <w:vAlign w:val="center"/>
                </w:tcPr>
                <w:p w14:paraId="49718F3F">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管控</w:t>
                  </w:r>
                </w:p>
              </w:tc>
              <w:tc>
                <w:tcPr>
                  <w:tcW w:w="2243" w:type="pct"/>
                  <w:gridSpan w:val="2"/>
                  <w:noWrap w:val="0"/>
                  <w:vAlign w:val="center"/>
                </w:tcPr>
                <w:p w14:paraId="5FA6CC5D">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管控要求</w:t>
                  </w:r>
                </w:p>
              </w:tc>
              <w:tc>
                <w:tcPr>
                  <w:tcW w:w="1441" w:type="pct"/>
                  <w:noWrap w:val="0"/>
                  <w:vAlign w:val="center"/>
                </w:tcPr>
                <w:p w14:paraId="72856C2F">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项目情况</w:t>
                  </w:r>
                </w:p>
              </w:tc>
              <w:tc>
                <w:tcPr>
                  <w:tcW w:w="323" w:type="pct"/>
                  <w:noWrap w:val="0"/>
                  <w:vAlign w:val="center"/>
                </w:tcPr>
                <w:p w14:paraId="0D375853">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符合性</w:t>
                  </w:r>
                </w:p>
              </w:tc>
            </w:tr>
            <w:tr w14:paraId="6EA7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restart"/>
                  <w:noWrap w:val="0"/>
                  <w:vAlign w:val="center"/>
                </w:tcPr>
                <w:p w14:paraId="6CF879C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大气重点管控区</w:t>
                  </w:r>
                </w:p>
              </w:tc>
              <w:tc>
                <w:tcPr>
                  <w:tcW w:w="339" w:type="pct"/>
                  <w:gridSpan w:val="2"/>
                  <w:vMerge w:val="restart"/>
                  <w:noWrap w:val="0"/>
                  <w:vAlign w:val="center"/>
                </w:tcPr>
                <w:p w14:paraId="2AD1D30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空间布局约束</w:t>
                  </w:r>
                </w:p>
              </w:tc>
              <w:tc>
                <w:tcPr>
                  <w:tcW w:w="359" w:type="pct"/>
                  <w:gridSpan w:val="2"/>
                  <w:vMerge w:val="restart"/>
                  <w:noWrap w:val="0"/>
                  <w:vAlign w:val="center"/>
                </w:tcPr>
                <w:p w14:paraId="6F84ED7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禁止开发建设活动的要求</w:t>
                  </w:r>
                </w:p>
              </w:tc>
              <w:tc>
                <w:tcPr>
                  <w:tcW w:w="2243" w:type="pct"/>
                  <w:gridSpan w:val="2"/>
                  <w:noWrap w:val="0"/>
                  <w:vAlign w:val="center"/>
                </w:tcPr>
                <w:p w14:paraId="3838D53B">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在城市城区及其近郊禁止新建、扩建钢铁、有色、石化、水泥、化工等重污染企业。</w:t>
                  </w:r>
                </w:p>
              </w:tc>
              <w:tc>
                <w:tcPr>
                  <w:tcW w:w="1441" w:type="pct"/>
                  <w:noWrap w:val="0"/>
                  <w:vAlign w:val="center"/>
                </w:tcPr>
                <w:p w14:paraId="7E8DCE68">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，不在城市城区及其近郊</w:t>
                  </w:r>
                </w:p>
              </w:tc>
              <w:tc>
                <w:tcPr>
                  <w:tcW w:w="323" w:type="pct"/>
                  <w:noWrap w:val="0"/>
                  <w:vAlign w:val="center"/>
                </w:tcPr>
                <w:p w14:paraId="76A9F2E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B4E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2FBFA3D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4487350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7F2ADC8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43DC76B5">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禁止新建燃料类煤气发生炉（园区现有企业统一建设的清洁煤制气中心除外）。</w:t>
                  </w:r>
                </w:p>
              </w:tc>
              <w:tc>
                <w:tcPr>
                  <w:tcW w:w="1441" w:type="pct"/>
                  <w:noWrap w:val="0"/>
                  <w:vAlign w:val="center"/>
                </w:tcPr>
                <w:p w14:paraId="2191301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本</w:t>
                  </w:r>
                  <w:r>
                    <w:rPr>
                      <w:rFonts w:hint="default" w:ascii="Times New Roman" w:hAnsi="Times New Roman" w:eastAsia="宋体" w:cs="Times New Roman"/>
                      <w:color w:val="auto"/>
                      <w:kern w:val="0"/>
                      <w:sz w:val="21"/>
                      <w:szCs w:val="21"/>
                      <w:highlight w:val="none"/>
                    </w:rPr>
                    <w:t>项目</w:t>
                  </w:r>
                  <w:r>
                    <w:rPr>
                      <w:rFonts w:hint="eastAsia"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新建燃料类煤气发生炉</w:t>
                  </w:r>
                </w:p>
              </w:tc>
              <w:tc>
                <w:tcPr>
                  <w:tcW w:w="323" w:type="pct"/>
                  <w:noWrap w:val="0"/>
                  <w:vAlign w:val="center"/>
                </w:tcPr>
                <w:p w14:paraId="7F7A0A9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2715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3BB1B82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3BB7DD8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3A0D5BF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43372AB1">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严格执行国家关于“两高”产业准入目录和产能总量控制政策措施。严禁新增钢铁、焦化、电解铝、铸造、水泥和平板玻璃等产能；新、改、扩建涉及大宗物料运输的建设项目，原则上不得采用公路运输。</w:t>
                  </w:r>
                </w:p>
              </w:tc>
              <w:tc>
                <w:tcPr>
                  <w:tcW w:w="1441" w:type="pct"/>
                  <w:noWrap w:val="0"/>
                  <w:vAlign w:val="center"/>
                </w:tcPr>
                <w:p w14:paraId="5A1A53DB">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对照</w:t>
                  </w:r>
                  <w:r>
                    <w:rPr>
                      <w:rFonts w:hint="default" w:ascii="Times New Roman" w:hAnsi="Times New Roman" w:eastAsia="宋体" w:cs="Times New Roman"/>
                      <w:color w:val="auto"/>
                      <w:kern w:val="0"/>
                      <w:sz w:val="21"/>
                      <w:szCs w:val="21"/>
                      <w:highlight w:val="none"/>
                    </w:rPr>
                    <w:t>《安徽省</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两高</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项目管理目录（试行）》，本项目不属于其中两高产业</w:t>
                  </w:r>
                </w:p>
              </w:tc>
              <w:tc>
                <w:tcPr>
                  <w:tcW w:w="323" w:type="pct"/>
                  <w:noWrap w:val="0"/>
                  <w:vAlign w:val="center"/>
                </w:tcPr>
                <w:p w14:paraId="213A628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8AE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60821F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3427330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4EF7887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1BE2A5EC">
                  <w:pPr>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color w:val="auto"/>
                      <w:kern w:val="0"/>
                      <w:sz w:val="21"/>
                      <w:szCs w:val="21"/>
                      <w:highlight w:val="none"/>
                    </w:rPr>
                    <w:t>禁止建设生产和使用高VOCs含量的溶剂型涂料、油墨、胶粘剂等项目。</w:t>
                  </w:r>
                </w:p>
              </w:tc>
              <w:tc>
                <w:tcPr>
                  <w:tcW w:w="1441" w:type="pct"/>
                  <w:noWrap w:val="0"/>
                  <w:vAlign w:val="center"/>
                </w:tcPr>
                <w:p w14:paraId="54C1321E">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default" w:eastAsia="宋体"/>
                      <w:color w:val="auto"/>
                      <w:sz w:val="21"/>
                      <w:szCs w:val="21"/>
                      <w:highlight w:val="none"/>
                      <w:lang w:val="en-US" w:eastAsia="zh-CN" w:bidi="ar"/>
                    </w:rPr>
                    <w:t>项目为C2929塑料零件及其他塑料制品制造，项目使用的油漆VO</w:t>
                  </w:r>
                  <w:r>
                    <w:rPr>
                      <w:rFonts w:hint="default" w:ascii="Times New Roman" w:hAnsi="Times New Roman" w:eastAsia="宋体" w:cs="Times New Roman"/>
                      <w:b w:val="0"/>
                      <w:bCs/>
                      <w:color w:val="auto"/>
                      <w:kern w:val="2"/>
                      <w:sz w:val="21"/>
                      <w:szCs w:val="21"/>
                      <w:highlight w:val="none"/>
                      <w:lang w:val="en-US" w:eastAsia="zh-CN" w:bidi="ar-SA"/>
                    </w:rPr>
                    <w:t>Cs含量为</w:t>
                  </w:r>
                  <w:r>
                    <w:rPr>
                      <w:rFonts w:hint="eastAsia"/>
                      <w:color w:val="auto"/>
                      <w:kern w:val="0"/>
                      <w:sz w:val="21"/>
                      <w:szCs w:val="21"/>
                      <w:highlight w:val="none"/>
                      <w:lang w:val="en-US" w:eastAsia="zh-CN"/>
                    </w:rPr>
                    <w:t>401.28</w:t>
                  </w:r>
                  <w:r>
                    <w:rPr>
                      <w:rFonts w:hint="default" w:ascii="Times New Roman" w:hAnsi="Times New Roman" w:eastAsia="宋体" w:cs="Times New Roman"/>
                      <w:b w:val="0"/>
                      <w:bCs/>
                      <w:color w:val="auto"/>
                      <w:kern w:val="2"/>
                      <w:sz w:val="21"/>
                      <w:szCs w:val="21"/>
                      <w:highlight w:val="none"/>
                      <w:lang w:val="en-US" w:eastAsia="zh-CN" w:bidi="ar-SA"/>
                    </w:rPr>
                    <w:t>g/L，满足《低挥发性有机化</w:t>
                  </w:r>
                  <w:r>
                    <w:rPr>
                      <w:rFonts w:hint="default" w:eastAsia="宋体"/>
                      <w:color w:val="auto"/>
                      <w:sz w:val="21"/>
                      <w:szCs w:val="21"/>
                      <w:highlight w:val="none"/>
                      <w:lang w:val="en-US" w:eastAsia="zh-CN" w:bidi="ar"/>
                    </w:rPr>
                    <w:t>合物含量涂料产品技术要求》（GB/T 38597-2020）表2中玩具涂料VOCs≤420g/L的要求</w:t>
                  </w:r>
                  <w:r>
                    <w:rPr>
                      <w:rFonts w:hint="eastAsia" w:eastAsia="宋体"/>
                      <w:color w:val="auto"/>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不涉及建设生产和使用高VOCs含量的溶剂型涂料、油墨、胶黏剂等项目</w:t>
                  </w:r>
                </w:p>
              </w:tc>
              <w:tc>
                <w:tcPr>
                  <w:tcW w:w="323" w:type="pct"/>
                  <w:noWrap w:val="0"/>
                  <w:vAlign w:val="center"/>
                </w:tcPr>
                <w:p w14:paraId="77B4529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D0E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236ABA2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49F5F51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2EC98D3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52B1A3AB">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非电行业新建项目，禁止配套建设自备纯凝、抽凝燃煤电站。</w:t>
                  </w:r>
                </w:p>
              </w:tc>
              <w:tc>
                <w:tcPr>
                  <w:tcW w:w="1441" w:type="pct"/>
                  <w:noWrap w:val="0"/>
                  <w:vAlign w:val="center"/>
                </w:tcPr>
                <w:p w14:paraId="0A0D842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本项目不建设自备纯凝、抽凝燃煤电站</w:t>
                  </w:r>
                </w:p>
              </w:tc>
              <w:tc>
                <w:tcPr>
                  <w:tcW w:w="323" w:type="pct"/>
                  <w:noWrap w:val="0"/>
                  <w:vAlign w:val="center"/>
                </w:tcPr>
                <w:p w14:paraId="6252BD6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40B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47DF6BF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2589822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6BC0C80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5E0D5CA6">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在城市规划区内禁止新建、扩建大气污染严重的建设项目。</w:t>
                  </w:r>
                </w:p>
              </w:tc>
              <w:tc>
                <w:tcPr>
                  <w:tcW w:w="1441" w:type="pct"/>
                  <w:noWrap w:val="0"/>
                  <w:vAlign w:val="center"/>
                </w:tcPr>
                <w:p w14:paraId="0003E4B6">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，项目废气经有效治理后对环境的影响较小，不属于严重污染的企业</w:t>
                  </w:r>
                </w:p>
              </w:tc>
              <w:tc>
                <w:tcPr>
                  <w:tcW w:w="323" w:type="pct"/>
                  <w:noWrap w:val="0"/>
                  <w:vAlign w:val="center"/>
                </w:tcPr>
                <w:p w14:paraId="343CE7A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F4A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9F319A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35E693C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2C70D39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2517A221">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禁止在人口集中地区、机场周围、交通干线附近以及当地人民政府划定的区域露天焚烧秸秆、落叶、垃圾等产生烟尘污染的物质。</w:t>
                  </w:r>
                </w:p>
              </w:tc>
              <w:tc>
                <w:tcPr>
                  <w:tcW w:w="1441" w:type="pct"/>
                  <w:noWrap w:val="0"/>
                  <w:vAlign w:val="center"/>
                </w:tcPr>
                <w:p w14:paraId="2E090509">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项目位于</w:t>
                  </w:r>
                  <w:r>
                    <w:rPr>
                      <w:rFonts w:hint="eastAsia" w:ascii="Times New Roman" w:hAnsi="Times New Roman" w:eastAsia="宋体" w:cs="Times New Roman"/>
                      <w:color w:val="auto"/>
                      <w:kern w:val="0"/>
                      <w:sz w:val="21"/>
                      <w:szCs w:val="21"/>
                      <w:highlight w:val="none"/>
                      <w:lang w:eastAsia="zh-CN"/>
                    </w:rPr>
                    <w:t>泗县经济开发区，</w:t>
                  </w:r>
                  <w:r>
                    <w:rPr>
                      <w:rFonts w:hint="eastAsia" w:ascii="Times New Roman" w:hAnsi="Times New Roman" w:eastAsia="宋体" w:cs="Times New Roman"/>
                      <w:color w:val="auto"/>
                      <w:kern w:val="0"/>
                      <w:sz w:val="21"/>
                      <w:szCs w:val="21"/>
                      <w:highlight w:val="none"/>
                      <w:lang w:val="en-US" w:eastAsia="zh-CN"/>
                    </w:rPr>
                    <w:t>为工业生产，不涉及上述活动</w:t>
                  </w:r>
                </w:p>
              </w:tc>
              <w:tc>
                <w:tcPr>
                  <w:tcW w:w="323" w:type="pct"/>
                  <w:noWrap w:val="0"/>
                  <w:vAlign w:val="center"/>
                </w:tcPr>
                <w:p w14:paraId="14B86FC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254E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8CFD27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2D54FB8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210B74E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79102C06">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在燃气管网和集中供热管网覆盖的区域，不得新建、扩建、改建燃烧煤炭、重油、渣油的供热设施；原有分散的中小型燃煤供热锅炉应当限期拆除。</w:t>
                  </w:r>
                </w:p>
              </w:tc>
              <w:tc>
                <w:tcPr>
                  <w:tcW w:w="1441" w:type="pct"/>
                  <w:noWrap w:val="0"/>
                  <w:vAlign w:val="center"/>
                </w:tcPr>
                <w:p w14:paraId="3C53F3E6">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本项目不设燃烧煤炭、重油、渣油的供热设施</w:t>
                  </w:r>
                </w:p>
              </w:tc>
              <w:tc>
                <w:tcPr>
                  <w:tcW w:w="323" w:type="pct"/>
                  <w:noWrap w:val="0"/>
                  <w:vAlign w:val="center"/>
                </w:tcPr>
                <w:p w14:paraId="4B128AE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14E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032A5D5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19E02B4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77DFFB3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1A9B3222">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在机关、学校、医院、居民住宅区等人口集中地区和其他依法需要特殊保护的区域内，禁止从事下列生产活动：</w:t>
                  </w:r>
                </w:p>
                <w:p w14:paraId="1F8D3791">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（1）橡胶制品生产、经营性喷漆、制骨胶、制骨粉、屠宰、畜禽养殖、生物发酵等产生恶臭、有毒有害气体的生产经营活动；</w:t>
                  </w:r>
                </w:p>
                <w:p w14:paraId="0A400E3F">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（2）露天焚烧油毡、沥青、橡胶、塑料、皮革、垃圾或者其他可能产生恶臭、有毒有害气体的活动。</w:t>
                  </w:r>
                </w:p>
              </w:tc>
              <w:tc>
                <w:tcPr>
                  <w:tcW w:w="1441" w:type="pct"/>
                  <w:noWrap w:val="0"/>
                  <w:vAlign w:val="center"/>
                </w:tcPr>
                <w:p w14:paraId="7A3FD360">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，不存在其中所述活动</w:t>
                  </w:r>
                </w:p>
              </w:tc>
              <w:tc>
                <w:tcPr>
                  <w:tcW w:w="323" w:type="pct"/>
                  <w:noWrap w:val="0"/>
                  <w:vAlign w:val="center"/>
                </w:tcPr>
                <w:p w14:paraId="677A23E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3394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3FDFE52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09062C5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16095C7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308EC029">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在城市建成区，禁止新建 VOCs高污染企业。</w:t>
                  </w:r>
                </w:p>
              </w:tc>
              <w:tc>
                <w:tcPr>
                  <w:tcW w:w="1441" w:type="pct"/>
                  <w:noWrap w:val="0"/>
                  <w:vAlign w:val="center"/>
                </w:tcPr>
                <w:p w14:paraId="69FA7974">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，项目废气经有效治理后达标排放</w:t>
                  </w:r>
                </w:p>
              </w:tc>
              <w:tc>
                <w:tcPr>
                  <w:tcW w:w="323" w:type="pct"/>
                  <w:noWrap w:val="0"/>
                  <w:vAlign w:val="center"/>
                </w:tcPr>
                <w:p w14:paraId="103A281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B24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F3F2B7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350C896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restart"/>
                  <w:noWrap w:val="0"/>
                  <w:vAlign w:val="center"/>
                </w:tcPr>
                <w:p w14:paraId="1B0207E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限制开发建设活动的要求</w:t>
                  </w:r>
                </w:p>
              </w:tc>
              <w:tc>
                <w:tcPr>
                  <w:tcW w:w="2243" w:type="pct"/>
                  <w:gridSpan w:val="2"/>
                  <w:noWrap w:val="0"/>
                  <w:vAlign w:val="center"/>
                </w:tcPr>
                <w:p w14:paraId="509FD9D6">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加大钢铁、铸造、炼焦、建材、电解铝等产能压减力度。</w:t>
                  </w:r>
                </w:p>
              </w:tc>
              <w:tc>
                <w:tcPr>
                  <w:tcW w:w="1441" w:type="pct"/>
                  <w:noWrap w:val="0"/>
                  <w:vAlign w:val="center"/>
                </w:tcPr>
                <w:p w14:paraId="1D767567">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w:t>
                  </w:r>
                  <w:r>
                    <w:rPr>
                      <w:rFonts w:hint="eastAsia" w:cs="Times New Roman"/>
                      <w:color w:val="auto"/>
                      <w:kern w:val="0"/>
                      <w:sz w:val="21"/>
                      <w:szCs w:val="21"/>
                      <w:highlight w:val="none"/>
                      <w:lang w:val="en-US" w:eastAsia="zh-CN"/>
                    </w:rPr>
                    <w:t>属于C2929塑料零件及其他塑料制品制造</w:t>
                  </w:r>
                  <w:r>
                    <w:rPr>
                      <w:rFonts w:hint="default" w:ascii="Times New Roman" w:hAnsi="Times New Roman" w:eastAsia="宋体" w:cs="Times New Roman"/>
                      <w:color w:val="auto"/>
                      <w:kern w:val="0"/>
                      <w:sz w:val="21"/>
                      <w:szCs w:val="21"/>
                      <w:highlight w:val="none"/>
                    </w:rPr>
                    <w:t>，不属于其中所列行业</w:t>
                  </w:r>
                </w:p>
              </w:tc>
              <w:tc>
                <w:tcPr>
                  <w:tcW w:w="323" w:type="pct"/>
                  <w:noWrap w:val="0"/>
                  <w:vAlign w:val="center"/>
                </w:tcPr>
                <w:p w14:paraId="12DC6E4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5AD6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0B694D1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065A4F8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6276D9F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0DBC6215">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严格资源节约和环保准入门槛，转入项目必须符合国家产业政策、资源节约和污染物排放强度要求，避免产业转移中的资源浪费和污染扩散。</w:t>
                  </w:r>
                </w:p>
              </w:tc>
              <w:tc>
                <w:tcPr>
                  <w:tcW w:w="1441" w:type="pct"/>
                  <w:noWrap w:val="0"/>
                  <w:vAlign w:val="center"/>
                </w:tcPr>
                <w:p w14:paraId="24BC65BF">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项目符合国家产业政策要求</w:t>
                  </w:r>
                </w:p>
              </w:tc>
              <w:tc>
                <w:tcPr>
                  <w:tcW w:w="323" w:type="pct"/>
                  <w:noWrap w:val="0"/>
                  <w:vAlign w:val="center"/>
                </w:tcPr>
                <w:p w14:paraId="140A00F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ACC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1546003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67C7826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restart"/>
                  <w:noWrap w:val="0"/>
                  <w:vAlign w:val="center"/>
                </w:tcPr>
                <w:p w14:paraId="03A143B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不符合空间布局要求活动的退出要求</w:t>
                  </w:r>
                </w:p>
              </w:tc>
              <w:tc>
                <w:tcPr>
                  <w:tcW w:w="2243" w:type="pct"/>
                  <w:gridSpan w:val="2"/>
                  <w:noWrap w:val="0"/>
                  <w:vAlign w:val="center"/>
                </w:tcPr>
                <w:p w14:paraId="78651A98">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坚决关停用地、工商手续不全并难以通过改造达标的企业，限期治理可以达标改造的企业，逾期依法一律关停。到2020年，具备改造条件的燃煤电厂全部完成超低排放改造，重点区域不具备改造条件的高污染燃煤电厂逐步关停。</w:t>
                  </w:r>
                </w:p>
              </w:tc>
              <w:tc>
                <w:tcPr>
                  <w:tcW w:w="1441" w:type="pct"/>
                  <w:noWrap w:val="0"/>
                  <w:vAlign w:val="center"/>
                </w:tcPr>
                <w:p w14:paraId="59B9CCF1">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项目用地、工商手续齐全</w:t>
                  </w:r>
                </w:p>
              </w:tc>
              <w:tc>
                <w:tcPr>
                  <w:tcW w:w="323" w:type="pct"/>
                  <w:noWrap w:val="0"/>
                  <w:vAlign w:val="center"/>
                </w:tcPr>
                <w:p w14:paraId="6CD863F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3470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0EF980B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4C5FC58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244BE72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0F412DEC">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加快城市建成区、重点流域的重污染企业和危险化学品企业搬迁改造，加快推进危险化学品生产企业搬迁改造工程。</w:t>
                  </w:r>
                </w:p>
              </w:tc>
              <w:tc>
                <w:tcPr>
                  <w:tcW w:w="1441" w:type="pct"/>
                  <w:noWrap w:val="0"/>
                  <w:vAlign w:val="center"/>
                </w:tcPr>
                <w:p w14:paraId="409937E9">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，不属于需要搬迁改造的企业</w:t>
                  </w:r>
                </w:p>
              </w:tc>
              <w:tc>
                <w:tcPr>
                  <w:tcW w:w="323" w:type="pct"/>
                  <w:noWrap w:val="0"/>
                  <w:vAlign w:val="center"/>
                </w:tcPr>
                <w:p w14:paraId="58BE220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5BB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45C3AAF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70ADFFC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4F53AA4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0EC588C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城市规划区内已建的大气污染严重的建设项目应当搬迁、改造，城市建成区应当在规定的时间内完成重污染企业搬迁、改造或者关闭退出。</w:t>
                  </w:r>
                </w:p>
              </w:tc>
              <w:tc>
                <w:tcPr>
                  <w:tcW w:w="1441" w:type="pct"/>
                  <w:noWrap w:val="0"/>
                  <w:vAlign w:val="center"/>
                </w:tcPr>
                <w:p w14:paraId="351453AC">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本项目不属于大气污染严重的项目</w:t>
                  </w:r>
                </w:p>
              </w:tc>
              <w:tc>
                <w:tcPr>
                  <w:tcW w:w="323" w:type="pct"/>
                  <w:noWrap w:val="0"/>
                  <w:vAlign w:val="center"/>
                </w:tcPr>
                <w:p w14:paraId="041B2E8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6CC2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4C62FD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52DA743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036DD0E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58FB30B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全面开展</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企业及集群综合整治行动。细化</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企业及集群整治标准。列入整合搬迁类的，要按照产业发展规模化、现代化的原则，搬迁至合规工业园区并实施升级改造。</w:t>
                  </w:r>
                </w:p>
              </w:tc>
              <w:tc>
                <w:tcPr>
                  <w:tcW w:w="1441" w:type="pct"/>
                  <w:noWrap w:val="0"/>
                  <w:vAlign w:val="center"/>
                </w:tcPr>
                <w:p w14:paraId="29A0BDB8">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，不属于</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w:t>
                  </w:r>
                </w:p>
              </w:tc>
              <w:tc>
                <w:tcPr>
                  <w:tcW w:w="323" w:type="pct"/>
                  <w:noWrap w:val="0"/>
                  <w:vAlign w:val="center"/>
                </w:tcPr>
                <w:p w14:paraId="6D53AE0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194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5F47CD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04683ED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569DD07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60B702D8">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对城市建成区和重要生态功能区内现有重污染企业结合产业布局调整实施搬迁或改造，积极推动VOCs排放重点行业企业向园区集中。</w:t>
                  </w:r>
                </w:p>
              </w:tc>
              <w:tc>
                <w:tcPr>
                  <w:tcW w:w="1441" w:type="pct"/>
                  <w:noWrap w:val="0"/>
                  <w:vAlign w:val="center"/>
                </w:tcPr>
                <w:p w14:paraId="496DFC95">
                  <w:pPr>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p>
              </w:tc>
              <w:tc>
                <w:tcPr>
                  <w:tcW w:w="323" w:type="pct"/>
                  <w:noWrap w:val="0"/>
                  <w:vAlign w:val="center"/>
                </w:tcPr>
                <w:p w14:paraId="1F5E523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2C57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3EAED92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66CF97B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restart"/>
                  <w:noWrap w:val="0"/>
                  <w:vAlign w:val="center"/>
                </w:tcPr>
                <w:p w14:paraId="1AF670A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其他空间布局约束要求</w:t>
                  </w:r>
                </w:p>
              </w:tc>
              <w:tc>
                <w:tcPr>
                  <w:tcW w:w="2243" w:type="pct"/>
                  <w:gridSpan w:val="2"/>
                  <w:noWrap w:val="0"/>
                  <w:vAlign w:val="center"/>
                </w:tcPr>
                <w:p w14:paraId="7D9B62DD">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强化</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企业综合整治。全面开展“散乱污”企业及集群综合整治行动。根据产业政策、产业布局规划，以及土地、环保、质量、安全、能耗等要求，制定</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企业及集群整治标准。按照“先停后治”的原则，实施分类处置。</w:t>
                  </w:r>
                </w:p>
              </w:tc>
              <w:tc>
                <w:tcPr>
                  <w:tcW w:w="1441" w:type="pct"/>
                  <w:noWrap w:val="0"/>
                  <w:vAlign w:val="center"/>
                </w:tcPr>
                <w:p w14:paraId="3CD0018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，不属于</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w:t>
                  </w:r>
                </w:p>
              </w:tc>
              <w:tc>
                <w:tcPr>
                  <w:tcW w:w="323" w:type="pct"/>
                  <w:noWrap w:val="0"/>
                  <w:vAlign w:val="center"/>
                </w:tcPr>
                <w:p w14:paraId="3624152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2F31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15A6B2B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2ED3486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7F3B98C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789149E7">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441" w:type="pct"/>
                  <w:noWrap w:val="0"/>
                  <w:vAlign w:val="center"/>
                </w:tcPr>
                <w:p w14:paraId="7952CC51">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污染物经</w:t>
                  </w:r>
                  <w:r>
                    <w:rPr>
                      <w:rFonts w:hint="eastAsia" w:ascii="Times New Roman" w:hAnsi="Times New Roman" w:eastAsia="宋体" w:cs="Times New Roman"/>
                      <w:color w:val="auto"/>
                      <w:kern w:val="0"/>
                      <w:sz w:val="21"/>
                      <w:szCs w:val="21"/>
                      <w:highlight w:val="none"/>
                      <w:lang w:val="en-US" w:eastAsia="zh-CN"/>
                    </w:rPr>
                    <w:t>一级水喷淋、二级活性炭吸附装置、</w:t>
                  </w:r>
                  <w:r>
                    <w:rPr>
                      <w:rFonts w:hint="eastAsia" w:cs="Times New Roman"/>
                      <w:color w:val="auto"/>
                      <w:kern w:val="0"/>
                      <w:sz w:val="21"/>
                      <w:szCs w:val="21"/>
                      <w:highlight w:val="none"/>
                      <w:lang w:val="en-US" w:eastAsia="zh-CN"/>
                    </w:rPr>
                    <w:t>活性炭吸/脱附+</w:t>
                  </w:r>
                  <w:r>
                    <w:rPr>
                      <w:rFonts w:hint="eastAsia" w:ascii="Times New Roman" w:hAnsi="Times New Roman" w:eastAsia="宋体" w:cs="Times New Roman"/>
                      <w:color w:val="auto"/>
                      <w:kern w:val="0"/>
                      <w:sz w:val="21"/>
                      <w:szCs w:val="21"/>
                      <w:highlight w:val="none"/>
                      <w:lang w:val="en-US" w:eastAsia="zh-CN"/>
                    </w:rPr>
                    <w:t>RCO装置</w:t>
                  </w:r>
                  <w:r>
                    <w:rPr>
                      <w:rFonts w:hint="default" w:ascii="Times New Roman" w:hAnsi="Times New Roman" w:eastAsia="宋体" w:cs="Times New Roman"/>
                      <w:color w:val="auto"/>
                      <w:kern w:val="0"/>
                      <w:sz w:val="21"/>
                      <w:szCs w:val="21"/>
                      <w:highlight w:val="none"/>
                    </w:rPr>
                    <w:t>处理后能够达标排放</w:t>
                  </w:r>
                </w:p>
              </w:tc>
              <w:tc>
                <w:tcPr>
                  <w:tcW w:w="323" w:type="pct"/>
                  <w:noWrap w:val="0"/>
                  <w:vAlign w:val="center"/>
                </w:tcPr>
                <w:p w14:paraId="7C34AA3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50E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2473641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73FCCD0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09C71D7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6A6A938B">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全面开展“散乱污”企业及集群综合整治行动。细化“散乱污”企业及集群整治标准。列入升级改造类的，树立行业标杆，实施清洁生产技术改造，全面提升污染治理水平。</w:t>
                  </w:r>
                </w:p>
              </w:tc>
              <w:tc>
                <w:tcPr>
                  <w:tcW w:w="1441" w:type="pct"/>
                  <w:noWrap w:val="0"/>
                  <w:vAlign w:val="center"/>
                </w:tcPr>
                <w:p w14:paraId="072D2445">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，不属于</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散乱污</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企业</w:t>
                  </w:r>
                </w:p>
              </w:tc>
              <w:tc>
                <w:tcPr>
                  <w:tcW w:w="323" w:type="pct"/>
                  <w:noWrap w:val="0"/>
                  <w:vAlign w:val="center"/>
                </w:tcPr>
                <w:p w14:paraId="3F908E4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2139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658663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restart"/>
                  <w:noWrap w:val="0"/>
                  <w:vAlign w:val="center"/>
                </w:tcPr>
                <w:p w14:paraId="476C68C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污染物排放管控</w:t>
                  </w:r>
                </w:p>
              </w:tc>
              <w:tc>
                <w:tcPr>
                  <w:tcW w:w="359" w:type="pct"/>
                  <w:gridSpan w:val="2"/>
                  <w:noWrap w:val="0"/>
                  <w:vAlign w:val="center"/>
                </w:tcPr>
                <w:p w14:paraId="2E43469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允许排放量要求</w:t>
                  </w:r>
                </w:p>
              </w:tc>
              <w:tc>
                <w:tcPr>
                  <w:tcW w:w="2243" w:type="pct"/>
                  <w:gridSpan w:val="2"/>
                  <w:noWrap w:val="0"/>
                  <w:vAlign w:val="center"/>
                </w:tcPr>
                <w:p w14:paraId="1CAC8760">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新建、改建、扩建排放重点大气污染物的项目不符合总量控制要求的，不得通过环境影响评价。</w:t>
                  </w:r>
                </w:p>
              </w:tc>
              <w:tc>
                <w:tcPr>
                  <w:tcW w:w="1441" w:type="pct"/>
                  <w:noWrap w:val="0"/>
                  <w:vAlign w:val="center"/>
                </w:tcPr>
                <w:p w14:paraId="1976C743">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宿州市生态环境局以《建设项目主要污染物排放总量指标核定表（试行）》通过项目总量</w:t>
                  </w:r>
                </w:p>
              </w:tc>
              <w:tc>
                <w:tcPr>
                  <w:tcW w:w="323" w:type="pct"/>
                  <w:noWrap w:val="0"/>
                  <w:vAlign w:val="center"/>
                </w:tcPr>
                <w:p w14:paraId="4EB6BD9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29A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2D2CF36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63E7B35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restart"/>
                  <w:noWrap w:val="0"/>
                  <w:vAlign w:val="center"/>
                </w:tcPr>
                <w:p w14:paraId="6CC8F62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区域大气污染物削减/替代要求</w:t>
                  </w:r>
                </w:p>
              </w:tc>
              <w:tc>
                <w:tcPr>
                  <w:tcW w:w="2243" w:type="pct"/>
                  <w:gridSpan w:val="2"/>
                  <w:noWrap w:val="0"/>
                  <w:vAlign w:val="center"/>
                </w:tcPr>
                <w:p w14:paraId="677AAE74">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441" w:type="pct"/>
                  <w:noWrap w:val="0"/>
                  <w:vAlign w:val="center"/>
                </w:tcPr>
                <w:p w14:paraId="3FACCC54">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本项目VOCs</w:t>
                  </w:r>
                  <w:r>
                    <w:rPr>
                      <w:rFonts w:hint="eastAsia" w:ascii="Times New Roman" w:hAnsi="Times New Roman" w:eastAsia="宋体" w:cs="Times New Roman"/>
                      <w:color w:val="auto"/>
                      <w:kern w:val="0"/>
                      <w:sz w:val="21"/>
                      <w:szCs w:val="21"/>
                      <w:highlight w:val="none"/>
                      <w:lang w:val="en-US" w:eastAsia="zh-CN"/>
                    </w:rPr>
                    <w:t>主要是：注塑工艺</w:t>
                  </w:r>
                  <w:r>
                    <w:rPr>
                      <w:rFonts w:hint="eastAsia" w:cs="Times New Roman"/>
                      <w:color w:val="auto"/>
                      <w:kern w:val="0"/>
                      <w:sz w:val="21"/>
                      <w:szCs w:val="21"/>
                      <w:highlight w:val="none"/>
                      <w:lang w:val="en-US" w:eastAsia="zh-CN"/>
                    </w:rPr>
                    <w:t>废气</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采用二级活性炭吸附装置处理，喷漆工艺</w:t>
                  </w:r>
                  <w:r>
                    <w:rPr>
                      <w:rFonts w:hint="eastAsia" w:cs="Times New Roman"/>
                      <w:color w:val="auto"/>
                      <w:kern w:val="0"/>
                      <w:sz w:val="21"/>
                      <w:szCs w:val="21"/>
                      <w:highlight w:val="none"/>
                      <w:lang w:val="en-US" w:eastAsia="zh-CN"/>
                    </w:rPr>
                    <w:t>废气</w:t>
                  </w:r>
                  <w:r>
                    <w:rPr>
                      <w:rFonts w:hint="eastAsia" w:ascii="Times New Roman" w:hAnsi="Times New Roman" w:eastAsia="宋体" w:cs="Times New Roman"/>
                      <w:color w:val="auto"/>
                      <w:kern w:val="0"/>
                      <w:sz w:val="21"/>
                      <w:szCs w:val="21"/>
                      <w:highlight w:val="none"/>
                      <w:lang w:val="en-US" w:eastAsia="zh-CN"/>
                    </w:rPr>
                    <w:t>，采用一级水喷淋+</w:t>
                  </w:r>
                  <w:r>
                    <w:rPr>
                      <w:rFonts w:hint="eastAsia" w:cs="Times New Roman"/>
                      <w:color w:val="auto"/>
                      <w:kern w:val="0"/>
                      <w:sz w:val="21"/>
                      <w:szCs w:val="21"/>
                      <w:highlight w:val="none"/>
                      <w:lang w:val="en-US" w:eastAsia="zh-CN"/>
                    </w:rPr>
                    <w:t>活性炭吸附/脱附</w:t>
                  </w:r>
                  <w:r>
                    <w:rPr>
                      <w:rFonts w:hint="eastAsia" w:ascii="Times New Roman" w:hAnsi="Times New Roman" w:eastAsia="宋体" w:cs="Times New Roman"/>
                      <w:color w:val="auto"/>
                      <w:kern w:val="0"/>
                      <w:sz w:val="21"/>
                      <w:szCs w:val="21"/>
                      <w:highlight w:val="none"/>
                      <w:lang w:val="en-US" w:eastAsia="zh-CN"/>
                    </w:rPr>
                    <w:t>+RCO装置，废气</w:t>
                  </w:r>
                  <w:r>
                    <w:rPr>
                      <w:rFonts w:hint="eastAsia" w:cs="Times New Roman"/>
                      <w:color w:val="auto"/>
                      <w:kern w:val="0"/>
                      <w:sz w:val="21"/>
                      <w:szCs w:val="21"/>
                      <w:highlight w:val="none"/>
                      <w:lang w:val="en-US" w:eastAsia="zh-CN"/>
                    </w:rPr>
                    <w:t>处理效率为90%以上</w:t>
                  </w:r>
                </w:p>
              </w:tc>
              <w:tc>
                <w:tcPr>
                  <w:tcW w:w="323" w:type="pct"/>
                  <w:noWrap w:val="0"/>
                  <w:vAlign w:val="center"/>
                </w:tcPr>
                <w:p w14:paraId="4BB4669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55A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0FB3726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564C7EF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2C30EA5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518CC39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441" w:type="pct"/>
                  <w:noWrap w:val="0"/>
                  <w:vAlign w:val="center"/>
                </w:tcPr>
                <w:p w14:paraId="78C0134B">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default" w:eastAsia="宋体"/>
                      <w:color w:val="auto"/>
                      <w:sz w:val="21"/>
                      <w:szCs w:val="21"/>
                      <w:highlight w:val="none"/>
                      <w:lang w:val="en-US" w:eastAsia="zh-CN" w:bidi="ar"/>
                    </w:rPr>
                    <w:t>项目为C2929塑料零件及其他塑料制品制造，项目使用的油漆VO</w:t>
                  </w:r>
                  <w:r>
                    <w:rPr>
                      <w:rFonts w:hint="default" w:ascii="Times New Roman" w:hAnsi="Times New Roman" w:eastAsia="宋体" w:cs="Times New Roman"/>
                      <w:b w:val="0"/>
                      <w:bCs/>
                      <w:color w:val="auto"/>
                      <w:kern w:val="2"/>
                      <w:sz w:val="21"/>
                      <w:szCs w:val="21"/>
                      <w:highlight w:val="none"/>
                      <w:lang w:val="en-US" w:eastAsia="zh-CN" w:bidi="ar-SA"/>
                    </w:rPr>
                    <w:t>Cs含量为</w:t>
                  </w:r>
                  <w:r>
                    <w:rPr>
                      <w:rFonts w:hint="eastAsia" w:ascii="Times New Roman" w:hAnsi="Times New Roman" w:eastAsia="宋体" w:cs="Times New Roman"/>
                      <w:b w:val="0"/>
                      <w:bCs/>
                      <w:color w:val="auto"/>
                      <w:kern w:val="2"/>
                      <w:sz w:val="21"/>
                      <w:szCs w:val="21"/>
                      <w:highlight w:val="none"/>
                      <w:lang w:val="en-US" w:eastAsia="zh-CN" w:bidi="ar-SA"/>
                    </w:rPr>
                    <w:t>401</w:t>
                  </w:r>
                  <w:r>
                    <w:rPr>
                      <w:rFonts w:hint="default" w:ascii="Times New Roman" w:hAnsi="Times New Roman" w:eastAsia="宋体" w:cs="Times New Roman"/>
                      <w:b w:val="0"/>
                      <w:bCs/>
                      <w:color w:val="auto"/>
                      <w:kern w:val="2"/>
                      <w:sz w:val="21"/>
                      <w:szCs w:val="21"/>
                      <w:highlight w:val="none"/>
                      <w:lang w:val="en-US" w:eastAsia="zh-CN" w:bidi="ar-SA"/>
                    </w:rPr>
                    <w:t>g/L</w:t>
                  </w:r>
                  <w:r>
                    <w:rPr>
                      <w:rFonts w:hint="eastAsia" w:ascii="Times New Roman" w:hAnsi="Times New Roman" w:eastAsia="宋体" w:cs="Times New Roman"/>
                      <w:b w:val="0"/>
                      <w:bCs/>
                      <w:color w:val="auto"/>
                      <w:kern w:val="2"/>
                      <w:sz w:val="21"/>
                      <w:szCs w:val="21"/>
                      <w:highlight w:val="none"/>
                      <w:lang w:val="en-US" w:eastAsia="zh-CN" w:bidi="ar-SA"/>
                    </w:rPr>
                    <w:t>和381.81</w:t>
                  </w:r>
                  <w:r>
                    <w:rPr>
                      <w:rFonts w:hint="default" w:ascii="Times New Roman" w:hAnsi="Times New Roman" w:eastAsia="宋体" w:cs="Times New Roman"/>
                      <w:b w:val="0"/>
                      <w:bCs/>
                      <w:color w:val="auto"/>
                      <w:kern w:val="2"/>
                      <w:sz w:val="21"/>
                      <w:szCs w:val="21"/>
                      <w:highlight w:val="none"/>
                      <w:lang w:val="en-US" w:eastAsia="zh-CN" w:bidi="ar-SA"/>
                    </w:rPr>
                    <w:t>g/L，满足《低挥发性有机化</w:t>
                  </w:r>
                  <w:r>
                    <w:rPr>
                      <w:rFonts w:hint="default" w:eastAsia="宋体"/>
                      <w:color w:val="auto"/>
                      <w:sz w:val="21"/>
                      <w:szCs w:val="21"/>
                      <w:highlight w:val="none"/>
                      <w:lang w:val="en-US" w:eastAsia="zh-CN" w:bidi="ar"/>
                    </w:rPr>
                    <w:t>合物含量涂料产品技术要求》（GB/T38597-2020）表2中玩具涂料VOCs≤420g/L的要求</w:t>
                  </w:r>
                  <w:r>
                    <w:rPr>
                      <w:rFonts w:hint="eastAsia" w:eastAsia="宋体"/>
                      <w:color w:val="auto"/>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不涉及建设生产和使用高VOCs含量的溶剂型涂料、油墨、胶黏剂等项目</w:t>
                  </w:r>
                </w:p>
              </w:tc>
              <w:tc>
                <w:tcPr>
                  <w:tcW w:w="323" w:type="pct"/>
                  <w:noWrap w:val="0"/>
                  <w:vAlign w:val="center"/>
                </w:tcPr>
                <w:p w14:paraId="0BA779F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58CC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13AC88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12278C8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0984564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515AB783">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将控制挥发性有机物排放列入建设项目环境影响评价重要内容，严格环境准入，严控“两高”行业新增产能。建立VOCs排放总量控制制度。重点行业建设项目报批环评文件时应附VOCs等量替代的来源说明，并落实相应的有机废气治理措施。</w:t>
                  </w:r>
                </w:p>
              </w:tc>
              <w:tc>
                <w:tcPr>
                  <w:tcW w:w="1441" w:type="pct"/>
                  <w:noWrap w:val="0"/>
                  <w:vAlign w:val="center"/>
                </w:tcPr>
                <w:p w14:paraId="70FD024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宿州市生态环境局以《建设项目主要污染物排放总量指标核定表（试行）》通过项目总量</w:t>
                  </w:r>
                </w:p>
              </w:tc>
              <w:tc>
                <w:tcPr>
                  <w:tcW w:w="323" w:type="pct"/>
                  <w:noWrap w:val="0"/>
                  <w:vAlign w:val="center"/>
                </w:tcPr>
                <w:p w14:paraId="750C5A6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29C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C90933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716ABF3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43F134A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7056241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新建、迁建VOCs排放量大的企业应入工业园区并符合规划要求，必须建设挥发性有机物污染治理施，安装废气收集、回收或净化装置，原则上总净化效率不得低于90%。</w:t>
                  </w:r>
                </w:p>
              </w:tc>
              <w:tc>
                <w:tcPr>
                  <w:tcW w:w="1441" w:type="pct"/>
                  <w:noWrap w:val="0"/>
                  <w:vAlign w:val="center"/>
                </w:tcPr>
                <w:p w14:paraId="5424B265">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，项目</w:t>
                  </w:r>
                  <w:r>
                    <w:rPr>
                      <w:rFonts w:hint="eastAsia" w:cs="Times New Roman"/>
                      <w:color w:val="auto"/>
                      <w:kern w:val="0"/>
                      <w:sz w:val="21"/>
                      <w:szCs w:val="21"/>
                      <w:highlight w:val="none"/>
                      <w:lang w:val="en-US" w:eastAsia="zh-CN"/>
                    </w:rPr>
                    <w:t>产生的有机废气净化效率为90%</w:t>
                  </w:r>
                </w:p>
              </w:tc>
              <w:tc>
                <w:tcPr>
                  <w:tcW w:w="323" w:type="pct"/>
                  <w:noWrap w:val="0"/>
                  <w:vAlign w:val="center"/>
                </w:tcPr>
                <w:p w14:paraId="5B1A1DB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539E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D28FCE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13CBC91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restart"/>
                  <w:noWrap w:val="0"/>
                  <w:vAlign w:val="center"/>
                </w:tcPr>
                <w:p w14:paraId="3417B08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其他污染物排放管控要求</w:t>
                  </w:r>
                </w:p>
              </w:tc>
              <w:tc>
                <w:tcPr>
                  <w:tcW w:w="2243" w:type="pct"/>
                  <w:gridSpan w:val="2"/>
                  <w:noWrap w:val="0"/>
                  <w:vAlign w:val="center"/>
                </w:tcPr>
                <w:p w14:paraId="2AC2F8C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强化工业企业无组织排放管理，推进挥发性有机物排放综合整治，开展大气氨排放控制试点。</w:t>
                  </w:r>
                </w:p>
              </w:tc>
              <w:tc>
                <w:tcPr>
                  <w:tcW w:w="1441" w:type="pct"/>
                  <w:noWrap w:val="0"/>
                  <w:vAlign w:val="center"/>
                </w:tcPr>
                <w:p w14:paraId="761313CD">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采取车间密闭</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设备密闭等措施降低无组织污染物排放</w:t>
                  </w:r>
                </w:p>
              </w:tc>
              <w:tc>
                <w:tcPr>
                  <w:tcW w:w="323" w:type="pct"/>
                  <w:noWrap w:val="0"/>
                  <w:vAlign w:val="center"/>
                </w:tcPr>
                <w:p w14:paraId="7FC2CB1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396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4A73492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9" w:type="pct"/>
                  <w:gridSpan w:val="2"/>
                  <w:vMerge w:val="continue"/>
                  <w:noWrap w:val="0"/>
                  <w:vAlign w:val="center"/>
                </w:tcPr>
                <w:p w14:paraId="25D7988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59" w:type="pct"/>
                  <w:gridSpan w:val="2"/>
                  <w:vMerge w:val="continue"/>
                  <w:noWrap w:val="0"/>
                  <w:vAlign w:val="center"/>
                </w:tcPr>
                <w:p w14:paraId="6FB6E7F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43" w:type="pct"/>
                  <w:gridSpan w:val="2"/>
                  <w:noWrap w:val="0"/>
                  <w:vAlign w:val="center"/>
                </w:tcPr>
                <w:p w14:paraId="5E567459">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深化工业污染治理，工业污染源全面达标排放，未达标排放的企业一律依法停产整治。</w:t>
                  </w:r>
                </w:p>
              </w:tc>
              <w:tc>
                <w:tcPr>
                  <w:tcW w:w="1441" w:type="pct"/>
                  <w:noWrap w:val="0"/>
                  <w:vAlign w:val="center"/>
                </w:tcPr>
                <w:p w14:paraId="62669C4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项目产生的污染物经治理后能够达标排放</w:t>
                  </w:r>
                </w:p>
              </w:tc>
              <w:tc>
                <w:tcPr>
                  <w:tcW w:w="323" w:type="pct"/>
                  <w:noWrap w:val="0"/>
                  <w:vAlign w:val="center"/>
                </w:tcPr>
                <w:p w14:paraId="5CD36C4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63DB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restart"/>
                  <w:noWrap w:val="0"/>
                  <w:vAlign w:val="center"/>
                </w:tcPr>
                <w:p w14:paraId="5D10BEC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水重点管控区</w:t>
                  </w:r>
                </w:p>
              </w:tc>
              <w:tc>
                <w:tcPr>
                  <w:tcW w:w="336" w:type="pct"/>
                  <w:vMerge w:val="restart"/>
                  <w:noWrap w:val="0"/>
                  <w:vAlign w:val="center"/>
                </w:tcPr>
                <w:p w14:paraId="6DB83E4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工业重点管控区</w:t>
                  </w:r>
                </w:p>
              </w:tc>
              <w:tc>
                <w:tcPr>
                  <w:tcW w:w="297" w:type="pct"/>
                  <w:gridSpan w:val="2"/>
                  <w:vMerge w:val="restart"/>
                  <w:noWrap w:val="0"/>
                  <w:vAlign w:val="center"/>
                </w:tcPr>
                <w:p w14:paraId="6424B7B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空间布局约束</w:t>
                  </w:r>
                </w:p>
              </w:tc>
              <w:tc>
                <w:tcPr>
                  <w:tcW w:w="336" w:type="pct"/>
                  <w:gridSpan w:val="2"/>
                  <w:vMerge w:val="restart"/>
                  <w:noWrap w:val="0"/>
                  <w:vAlign w:val="center"/>
                </w:tcPr>
                <w:p w14:paraId="2146A9D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禁止开发建设活动的要求</w:t>
                  </w:r>
                </w:p>
              </w:tc>
              <w:tc>
                <w:tcPr>
                  <w:tcW w:w="1971" w:type="pct"/>
                  <w:noWrap w:val="0"/>
                  <w:vAlign w:val="center"/>
                </w:tcPr>
                <w:p w14:paraId="4FB9C3A4">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取缔“十小”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1441" w:type="pct"/>
                  <w:noWrap w:val="0"/>
                  <w:vAlign w:val="center"/>
                </w:tcPr>
                <w:p w14:paraId="3BE799EE">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，不属于其中所列行业</w:t>
                  </w:r>
                </w:p>
              </w:tc>
              <w:tc>
                <w:tcPr>
                  <w:tcW w:w="323" w:type="pct"/>
                  <w:noWrap w:val="0"/>
                  <w:vAlign w:val="center"/>
                </w:tcPr>
                <w:p w14:paraId="4D07E66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5EC7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D074D0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67EFBF6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5F08AB8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3AEA373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31A461B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严格城市规划蓝线管理，城市规划区范围内应保留一定比例的水域面积，现有水域面积不得减少。新建项目一律不得违规占用水域。</w:t>
                  </w:r>
                </w:p>
              </w:tc>
              <w:tc>
                <w:tcPr>
                  <w:tcW w:w="1441" w:type="pct"/>
                  <w:noWrap w:val="0"/>
                  <w:vAlign w:val="center"/>
                </w:tcPr>
                <w:p w14:paraId="32DF7BB3">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本项目不涉及水域面积的违规占用</w:t>
                  </w:r>
                </w:p>
              </w:tc>
              <w:tc>
                <w:tcPr>
                  <w:tcW w:w="323" w:type="pct"/>
                  <w:noWrap w:val="0"/>
                  <w:vAlign w:val="center"/>
                </w:tcPr>
                <w:p w14:paraId="3D96032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BE0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1A065EB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7A5A196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283EE7D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noWrap w:val="0"/>
                  <w:vAlign w:val="center"/>
                </w:tcPr>
                <w:p w14:paraId="7F9A6E4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允许开发建设活动的特殊要求</w:t>
                  </w:r>
                </w:p>
              </w:tc>
              <w:tc>
                <w:tcPr>
                  <w:tcW w:w="1971" w:type="pct"/>
                  <w:noWrap w:val="0"/>
                  <w:vAlign w:val="center"/>
                </w:tcPr>
                <w:p w14:paraId="6E51E15F">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1441" w:type="pct"/>
                  <w:noWrap w:val="0"/>
                  <w:vAlign w:val="center"/>
                </w:tcPr>
                <w:p w14:paraId="4B8D2B29">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eastAsia" w:ascii="Times New Roman" w:hAnsi="Times New Roman" w:eastAsia="宋体" w:cs="Times New Roman"/>
                      <w:color w:val="auto"/>
                      <w:kern w:val="0"/>
                      <w:sz w:val="21"/>
                      <w:szCs w:val="21"/>
                      <w:highlight w:val="none"/>
                      <w:lang w:val="en-US" w:eastAsia="zh-CN"/>
                    </w:rPr>
                    <w:t>，不新征用地</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项目所在地属于工业用地，</w:t>
                  </w:r>
                  <w:r>
                    <w:rPr>
                      <w:rFonts w:hint="default" w:ascii="Times New Roman" w:hAnsi="Times New Roman" w:eastAsia="宋体" w:cs="Times New Roman"/>
                      <w:color w:val="auto"/>
                      <w:kern w:val="0"/>
                      <w:sz w:val="21"/>
                      <w:szCs w:val="21"/>
                      <w:highlight w:val="none"/>
                    </w:rPr>
                    <w:t>符合城乡用地规划和产业规划要求</w:t>
                  </w:r>
                </w:p>
              </w:tc>
              <w:tc>
                <w:tcPr>
                  <w:tcW w:w="323" w:type="pct"/>
                  <w:noWrap w:val="0"/>
                  <w:vAlign w:val="center"/>
                </w:tcPr>
                <w:p w14:paraId="3C1F004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3FB4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5B9C150E">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5E552D1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7C54FCE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restart"/>
                  <w:noWrap w:val="0"/>
                  <w:vAlign w:val="center"/>
                </w:tcPr>
                <w:p w14:paraId="02DBFD0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不符合空间布局要求活动的退出要求</w:t>
                  </w:r>
                </w:p>
              </w:tc>
              <w:tc>
                <w:tcPr>
                  <w:tcW w:w="1971" w:type="pct"/>
                  <w:noWrap w:val="0"/>
                  <w:vAlign w:val="center"/>
                </w:tcPr>
                <w:p w14:paraId="40177FF0">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调整产业结构。依法淘汰落后产能。各地要制定实施分年度的落后产能淘汰方案，未完成淘汰任务的地区，暂停审批和核准其相关行业新建项目。</w:t>
                  </w:r>
                </w:p>
              </w:tc>
              <w:tc>
                <w:tcPr>
                  <w:tcW w:w="1441" w:type="pct"/>
                  <w:noWrap w:val="0"/>
                  <w:vAlign w:val="center"/>
                </w:tcPr>
                <w:p w14:paraId="6E23E47B">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本项目不属于落后产能，不在落后产能淘汰方案中</w:t>
                  </w:r>
                </w:p>
              </w:tc>
              <w:tc>
                <w:tcPr>
                  <w:tcW w:w="323" w:type="pct"/>
                  <w:noWrap w:val="0"/>
                  <w:vAlign w:val="center"/>
                </w:tcPr>
                <w:p w14:paraId="45765A3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F78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185BD89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7C1641A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3B305A0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5E5F13D4">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03D85822">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推动污染企业退出。城市建成区内现有钢铁、有色金属、造纸、印染、原料药制造、化工等污染较重的企业应有序搬迁改造或依法关闭。</w:t>
                  </w:r>
                </w:p>
              </w:tc>
              <w:tc>
                <w:tcPr>
                  <w:tcW w:w="1441" w:type="pct"/>
                  <w:noWrap w:val="0"/>
                  <w:vAlign w:val="center"/>
                </w:tcPr>
                <w:p w14:paraId="2AE6A5D8">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泗县经济开发区</w:t>
                  </w:r>
                  <w:r>
                    <w:rPr>
                      <w:rFonts w:hint="default" w:ascii="Times New Roman" w:hAnsi="Times New Roman" w:eastAsia="宋体" w:cs="Times New Roman"/>
                      <w:color w:val="auto"/>
                      <w:kern w:val="0"/>
                      <w:sz w:val="21"/>
                      <w:szCs w:val="21"/>
                      <w:highlight w:val="none"/>
                    </w:rPr>
                    <w:t>，</w:t>
                  </w:r>
                  <w:r>
                    <w:rPr>
                      <w:rFonts w:hint="eastAsia"/>
                      <w:color w:val="auto"/>
                      <w:sz w:val="21"/>
                      <w:szCs w:val="21"/>
                      <w:highlight w:val="none"/>
                      <w:lang w:val="en-US" w:eastAsia="zh-CN" w:bidi="ar"/>
                    </w:rPr>
                    <w:t>C2929塑料零件及其他塑料制品制造</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不属于上述产业，</w:t>
                  </w:r>
                  <w:r>
                    <w:rPr>
                      <w:rFonts w:hint="default" w:ascii="Times New Roman" w:hAnsi="Times New Roman" w:eastAsia="宋体" w:cs="Times New Roman"/>
                      <w:color w:val="auto"/>
                      <w:kern w:val="0"/>
                      <w:sz w:val="21"/>
                      <w:szCs w:val="21"/>
                      <w:highlight w:val="none"/>
                    </w:rPr>
                    <w:t>产生的污染物均处理达标后排放</w:t>
                  </w:r>
                </w:p>
              </w:tc>
              <w:tc>
                <w:tcPr>
                  <w:tcW w:w="323" w:type="pct"/>
                  <w:noWrap w:val="0"/>
                  <w:vAlign w:val="center"/>
                </w:tcPr>
                <w:p w14:paraId="4D1A07E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1E0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993699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2E90B32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2269594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1EE3FF4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260FE283">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严格水域岸线用途管制，土地开发利用应按照有关法律法规和技术标准要求，留足河道、湖泊的管理和保护范围，非法挤占的应限期退出。</w:t>
                  </w:r>
                </w:p>
              </w:tc>
              <w:tc>
                <w:tcPr>
                  <w:tcW w:w="1441" w:type="pct"/>
                  <w:noWrap w:val="0"/>
                  <w:vAlign w:val="center"/>
                </w:tcPr>
                <w:p w14:paraId="0FAD133C">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项目不占用水域</w:t>
                  </w:r>
                </w:p>
              </w:tc>
              <w:tc>
                <w:tcPr>
                  <w:tcW w:w="323" w:type="pct"/>
                  <w:noWrap w:val="0"/>
                  <w:vAlign w:val="center"/>
                </w:tcPr>
                <w:p w14:paraId="0EA750F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8F9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25BA1CF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31BFFE5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75E2DC1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7E397B3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19309652">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国家禁止新建不符合国家产业政策的小型造纸、制革、印染、染料、炼焦、炼硫、炼砷、炼汞、炼油、电镀、农药、石棉、水泥、玻璃、钢铁、火电以及其他严重污染水环境的生产项目。</w:t>
                  </w:r>
                </w:p>
              </w:tc>
              <w:tc>
                <w:tcPr>
                  <w:tcW w:w="1441" w:type="pct"/>
                  <w:noWrap w:val="0"/>
                  <w:vAlign w:val="center"/>
                </w:tcPr>
                <w:p w14:paraId="0B8401C6">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w:t>
                  </w:r>
                  <w:r>
                    <w:rPr>
                      <w:rFonts w:hint="eastAsia"/>
                      <w:color w:val="auto"/>
                      <w:sz w:val="21"/>
                      <w:szCs w:val="21"/>
                      <w:highlight w:val="none"/>
                      <w:lang w:val="en-US" w:eastAsia="zh-CN" w:bidi="ar"/>
                    </w:rPr>
                    <w:t>C2929塑料零件及其他塑料制品制造</w:t>
                  </w:r>
                  <w:r>
                    <w:rPr>
                      <w:rFonts w:hint="default" w:ascii="Times New Roman" w:hAnsi="Times New Roman" w:eastAsia="宋体" w:cs="Times New Roman"/>
                      <w:color w:val="auto"/>
                      <w:kern w:val="0"/>
                      <w:sz w:val="21"/>
                      <w:szCs w:val="21"/>
                      <w:highlight w:val="none"/>
                    </w:rPr>
                    <w:t>，不属于其中所列行业</w:t>
                  </w:r>
                </w:p>
              </w:tc>
              <w:tc>
                <w:tcPr>
                  <w:tcW w:w="323" w:type="pct"/>
                  <w:noWrap w:val="0"/>
                  <w:vAlign w:val="center"/>
                </w:tcPr>
                <w:p w14:paraId="106A7BB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216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6BEBC3D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77D20EC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restart"/>
                  <w:noWrap w:val="0"/>
                  <w:vAlign w:val="center"/>
                </w:tcPr>
                <w:p w14:paraId="38F532E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污染物排放管控</w:t>
                  </w:r>
                </w:p>
              </w:tc>
              <w:tc>
                <w:tcPr>
                  <w:tcW w:w="336" w:type="pct"/>
                  <w:gridSpan w:val="2"/>
                  <w:vMerge w:val="restart"/>
                  <w:noWrap w:val="0"/>
                  <w:vAlign w:val="center"/>
                </w:tcPr>
                <w:p w14:paraId="1C431A5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区域水污染物削减/替代要求</w:t>
                  </w:r>
                </w:p>
              </w:tc>
              <w:tc>
                <w:tcPr>
                  <w:tcW w:w="1971" w:type="pct"/>
                  <w:noWrap w:val="0"/>
                  <w:vAlign w:val="center"/>
                </w:tcPr>
                <w:p w14:paraId="18F85D4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441" w:type="pct"/>
                  <w:noWrap w:val="0"/>
                  <w:vAlign w:val="center"/>
                </w:tcPr>
                <w:p w14:paraId="74F277DC">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项目建设完成后污染物排放满足污染物排放标准和总量控制要求</w:t>
                  </w:r>
                </w:p>
              </w:tc>
              <w:tc>
                <w:tcPr>
                  <w:tcW w:w="323" w:type="pct"/>
                  <w:noWrap w:val="0"/>
                  <w:vAlign w:val="center"/>
                </w:tcPr>
                <w:p w14:paraId="303F437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E11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68651C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376DF0C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10C18C3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50F593C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2B80F27B">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严格控制缺水地区、水污染严重地区和敏感区域高耗水、高污染行业发展，新建、改建、扩建重点行业建设项目实行主要污染物排放减量置换。</w:t>
                  </w:r>
                </w:p>
              </w:tc>
              <w:tc>
                <w:tcPr>
                  <w:tcW w:w="1441" w:type="pct"/>
                  <w:vMerge w:val="restart"/>
                  <w:noWrap w:val="0"/>
                  <w:vAlign w:val="center"/>
                </w:tcPr>
                <w:p w14:paraId="27E49EC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项目水污染物排放总量纳入</w:t>
                  </w:r>
                  <w:r>
                    <w:rPr>
                      <w:rFonts w:hint="eastAsia" w:ascii="Times New Roman" w:hAnsi="Times New Roman" w:eastAsia="宋体" w:cs="Times New Roman"/>
                      <w:color w:val="auto"/>
                      <w:kern w:val="0"/>
                      <w:sz w:val="21"/>
                      <w:szCs w:val="21"/>
                      <w:highlight w:val="none"/>
                      <w:lang w:val="en-US" w:eastAsia="zh-CN"/>
                    </w:rPr>
                    <w:t>宿州经济开发区污水处理厂</w:t>
                  </w:r>
                  <w:r>
                    <w:rPr>
                      <w:rFonts w:hint="default" w:ascii="Times New Roman" w:hAnsi="Times New Roman" w:eastAsia="宋体" w:cs="Times New Roman"/>
                      <w:color w:val="auto"/>
                      <w:kern w:val="0"/>
                      <w:sz w:val="21"/>
                      <w:szCs w:val="21"/>
                      <w:highlight w:val="none"/>
                    </w:rPr>
                    <w:t>总量指标内</w:t>
                  </w:r>
                </w:p>
              </w:tc>
              <w:tc>
                <w:tcPr>
                  <w:tcW w:w="323" w:type="pct"/>
                  <w:noWrap w:val="0"/>
                  <w:vAlign w:val="center"/>
                </w:tcPr>
                <w:p w14:paraId="7363499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45F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142975D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75BD7E5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1EDDB0A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224B09B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5C02F2CA">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新建、改建、扩建造纸、焦化、氮肥、有色金属、印染、农副食品加工、原料药制造、制革、农药、电镀等行业建设项目实行主要污染物排放等量或减量置换。</w:t>
                  </w:r>
                </w:p>
              </w:tc>
              <w:tc>
                <w:tcPr>
                  <w:tcW w:w="1441" w:type="pct"/>
                  <w:vMerge w:val="continue"/>
                  <w:noWrap w:val="0"/>
                  <w:vAlign w:val="center"/>
                </w:tcPr>
                <w:p w14:paraId="0FF3E137">
                  <w:pPr>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23" w:type="pct"/>
                  <w:noWrap w:val="0"/>
                  <w:vAlign w:val="center"/>
                </w:tcPr>
                <w:p w14:paraId="2C69ED1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621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7BCF099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241F0F2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38C9A9D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restart"/>
                  <w:noWrap w:val="0"/>
                  <w:vAlign w:val="center"/>
                </w:tcPr>
                <w:p w14:paraId="6361E0B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水污染控制措施要求</w:t>
                  </w:r>
                </w:p>
              </w:tc>
              <w:tc>
                <w:tcPr>
                  <w:tcW w:w="1971" w:type="pct"/>
                  <w:noWrap w:val="0"/>
                  <w:vAlign w:val="center"/>
                </w:tcPr>
                <w:p w14:paraId="1936A852">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1441" w:type="pct"/>
                  <w:noWrap w:val="0"/>
                  <w:vAlign w:val="center"/>
                </w:tcPr>
                <w:p w14:paraId="0B292872">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color w:val="auto"/>
                      <w:sz w:val="21"/>
                      <w:szCs w:val="21"/>
                      <w:highlight w:val="none"/>
                    </w:rPr>
                    <w:t>采用雨污分流，</w:t>
                  </w:r>
                  <w:r>
                    <w:rPr>
                      <w:rFonts w:hint="eastAsia"/>
                      <w:color w:val="auto"/>
                      <w:sz w:val="21"/>
                      <w:szCs w:val="21"/>
                      <w:highlight w:val="none"/>
                      <w:lang w:val="en-US" w:eastAsia="zh-CN"/>
                    </w:rPr>
                    <w:t>依托安徽好派文化体育用品股份有限公司</w:t>
                  </w:r>
                  <w:r>
                    <w:rPr>
                      <w:rFonts w:hint="eastAsia"/>
                      <w:bCs/>
                      <w:color w:val="auto"/>
                      <w:sz w:val="21"/>
                      <w:szCs w:val="21"/>
                      <w:highlight w:val="none"/>
                      <w:lang w:val="en-US" w:eastAsia="zh-CN"/>
                    </w:rPr>
                    <w:t>已建成</w:t>
                  </w:r>
                  <w:r>
                    <w:rPr>
                      <w:rFonts w:hint="eastAsia"/>
                      <w:color w:val="auto"/>
                      <w:sz w:val="21"/>
                      <w:szCs w:val="21"/>
                      <w:highlight w:val="none"/>
                      <w:lang w:val="en-US" w:eastAsia="zh-CN"/>
                    </w:rPr>
                    <w:t>雨污管网，</w:t>
                  </w:r>
                  <w:r>
                    <w:rPr>
                      <w:color w:val="auto"/>
                      <w:sz w:val="21"/>
                      <w:szCs w:val="21"/>
                      <w:highlight w:val="none"/>
                    </w:rPr>
                    <w:t>雨水经雨水管网外排；生活污水</w:t>
                  </w:r>
                  <w:r>
                    <w:rPr>
                      <w:rFonts w:hint="eastAsia"/>
                      <w:color w:val="auto"/>
                      <w:sz w:val="21"/>
                      <w:szCs w:val="21"/>
                      <w:highlight w:val="none"/>
                      <w:lang w:val="en-US" w:eastAsia="zh-CN"/>
                    </w:rPr>
                    <w:t>依托厂区</w:t>
                  </w:r>
                  <w:r>
                    <w:rPr>
                      <w:color w:val="auto"/>
                      <w:sz w:val="21"/>
                      <w:szCs w:val="21"/>
                      <w:highlight w:val="none"/>
                    </w:rPr>
                    <w:t>化粪池预处理</w:t>
                  </w:r>
                  <w:r>
                    <w:rPr>
                      <w:rFonts w:hint="eastAsia"/>
                      <w:color w:val="auto"/>
                      <w:sz w:val="21"/>
                      <w:szCs w:val="21"/>
                      <w:highlight w:val="none"/>
                      <w:lang w:val="en-US" w:eastAsia="zh-CN"/>
                    </w:rPr>
                    <w:t>后经过厂区管网</w:t>
                  </w:r>
                  <w:r>
                    <w:rPr>
                      <w:color w:val="auto"/>
                      <w:sz w:val="21"/>
                      <w:szCs w:val="21"/>
                      <w:highlight w:val="none"/>
                    </w:rPr>
                    <w:t>进入</w:t>
                  </w:r>
                  <w:r>
                    <w:rPr>
                      <w:rFonts w:hint="eastAsia"/>
                      <w:color w:val="auto"/>
                      <w:sz w:val="21"/>
                      <w:szCs w:val="21"/>
                      <w:highlight w:val="none"/>
                      <w:lang w:val="en-US" w:eastAsia="zh-CN"/>
                    </w:rPr>
                    <w:t>泗县工业</w:t>
                  </w:r>
                  <w:r>
                    <w:rPr>
                      <w:color w:val="auto"/>
                      <w:sz w:val="21"/>
                      <w:szCs w:val="21"/>
                      <w:highlight w:val="none"/>
                    </w:rPr>
                    <w:t>污水处理</w:t>
                  </w:r>
                  <w:r>
                    <w:rPr>
                      <w:rFonts w:hint="eastAsia"/>
                      <w:color w:val="auto"/>
                      <w:sz w:val="21"/>
                      <w:szCs w:val="21"/>
                      <w:highlight w:val="none"/>
                    </w:rPr>
                    <w:t>厂</w:t>
                  </w:r>
                  <w:r>
                    <w:rPr>
                      <w:color w:val="auto"/>
                      <w:sz w:val="21"/>
                      <w:szCs w:val="21"/>
                      <w:highlight w:val="none"/>
                    </w:rPr>
                    <w:t>进一步处理</w:t>
                  </w:r>
                  <w:r>
                    <w:rPr>
                      <w:rFonts w:hint="eastAsia"/>
                      <w:color w:val="auto"/>
                      <w:sz w:val="21"/>
                      <w:szCs w:val="21"/>
                      <w:highlight w:val="none"/>
                    </w:rPr>
                    <w:t>，达标排放至</w:t>
                  </w:r>
                  <w:r>
                    <w:rPr>
                      <w:rFonts w:hint="eastAsia"/>
                      <w:color w:val="auto"/>
                      <w:sz w:val="21"/>
                      <w:szCs w:val="21"/>
                      <w:highlight w:val="none"/>
                      <w:lang w:val="en-US" w:eastAsia="zh-CN"/>
                    </w:rPr>
                    <w:t>石梁河</w:t>
                  </w:r>
                </w:p>
              </w:tc>
              <w:tc>
                <w:tcPr>
                  <w:tcW w:w="323" w:type="pct"/>
                  <w:noWrap w:val="0"/>
                  <w:vAlign w:val="center"/>
                </w:tcPr>
                <w:p w14:paraId="359C99B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6C0F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noWrap w:val="0"/>
                  <w:vAlign w:val="center"/>
                </w:tcPr>
                <w:p w14:paraId="11276637">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vMerge w:val="continue"/>
                  <w:noWrap w:val="0"/>
                  <w:vAlign w:val="center"/>
                </w:tcPr>
                <w:p w14:paraId="722EF91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97" w:type="pct"/>
                  <w:gridSpan w:val="2"/>
                  <w:vMerge w:val="continue"/>
                  <w:noWrap w:val="0"/>
                  <w:vAlign w:val="center"/>
                </w:tcPr>
                <w:p w14:paraId="0D1C55A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336" w:type="pct"/>
                  <w:gridSpan w:val="2"/>
                  <w:vMerge w:val="continue"/>
                  <w:noWrap w:val="0"/>
                  <w:vAlign w:val="center"/>
                </w:tcPr>
                <w:p w14:paraId="0822345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971" w:type="pct"/>
                  <w:noWrap w:val="0"/>
                  <w:vAlign w:val="center"/>
                </w:tcPr>
                <w:p w14:paraId="65503D6F">
                  <w:pPr>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441" w:type="pct"/>
                  <w:noWrap w:val="0"/>
                  <w:vAlign w:val="center"/>
                </w:tcPr>
                <w:p w14:paraId="4B2CB756">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color w:val="auto"/>
                      <w:sz w:val="21"/>
                      <w:szCs w:val="21"/>
                      <w:highlight w:val="none"/>
                    </w:rPr>
                    <w:t>采用雨污分流</w:t>
                  </w:r>
                  <w:r>
                    <w:rPr>
                      <w:rFonts w:hint="eastAsia"/>
                      <w:color w:val="auto"/>
                      <w:sz w:val="21"/>
                      <w:szCs w:val="21"/>
                      <w:highlight w:val="none"/>
                      <w:lang w:val="en-US" w:eastAsia="zh-CN"/>
                    </w:rPr>
                    <w:t>制</w:t>
                  </w:r>
                  <w:r>
                    <w:rPr>
                      <w:color w:val="auto"/>
                      <w:sz w:val="21"/>
                      <w:szCs w:val="21"/>
                      <w:highlight w:val="none"/>
                    </w:rPr>
                    <w:t>，</w:t>
                  </w:r>
                  <w:r>
                    <w:rPr>
                      <w:rFonts w:hint="eastAsia"/>
                      <w:color w:val="auto"/>
                      <w:sz w:val="21"/>
                      <w:szCs w:val="21"/>
                      <w:highlight w:val="none"/>
                      <w:lang w:val="en-US" w:eastAsia="zh-CN"/>
                    </w:rPr>
                    <w:t>依托安徽好派文化体育用品股份有限公司</w:t>
                  </w:r>
                  <w:r>
                    <w:rPr>
                      <w:rFonts w:hint="eastAsia"/>
                      <w:bCs/>
                      <w:color w:val="auto"/>
                      <w:sz w:val="21"/>
                      <w:szCs w:val="21"/>
                      <w:highlight w:val="none"/>
                      <w:lang w:val="en-US" w:eastAsia="zh-CN"/>
                    </w:rPr>
                    <w:t>已建成</w:t>
                  </w:r>
                  <w:r>
                    <w:rPr>
                      <w:rFonts w:hint="eastAsia"/>
                      <w:color w:val="auto"/>
                      <w:sz w:val="21"/>
                      <w:szCs w:val="21"/>
                      <w:highlight w:val="none"/>
                      <w:lang w:val="en-US" w:eastAsia="zh-CN"/>
                    </w:rPr>
                    <w:t>雨污管网，</w:t>
                  </w:r>
                  <w:r>
                    <w:rPr>
                      <w:color w:val="auto"/>
                      <w:sz w:val="21"/>
                      <w:szCs w:val="21"/>
                      <w:highlight w:val="none"/>
                    </w:rPr>
                    <w:t>雨水经雨水管网外排；生活污水</w:t>
                  </w:r>
                  <w:r>
                    <w:rPr>
                      <w:rFonts w:hint="eastAsia"/>
                      <w:color w:val="auto"/>
                      <w:sz w:val="21"/>
                      <w:szCs w:val="21"/>
                      <w:highlight w:val="none"/>
                      <w:lang w:val="en-US" w:eastAsia="zh-CN"/>
                    </w:rPr>
                    <w:t>依托厂区</w:t>
                  </w:r>
                  <w:r>
                    <w:rPr>
                      <w:color w:val="auto"/>
                      <w:sz w:val="21"/>
                      <w:szCs w:val="21"/>
                      <w:highlight w:val="none"/>
                    </w:rPr>
                    <w:t>化粪池预处理</w:t>
                  </w:r>
                  <w:r>
                    <w:rPr>
                      <w:rFonts w:hint="eastAsia"/>
                      <w:color w:val="auto"/>
                      <w:sz w:val="21"/>
                      <w:szCs w:val="21"/>
                      <w:highlight w:val="none"/>
                      <w:lang w:val="en-US" w:eastAsia="zh-CN"/>
                    </w:rPr>
                    <w:t>后经过厂区管网</w:t>
                  </w:r>
                  <w:r>
                    <w:rPr>
                      <w:color w:val="auto"/>
                      <w:sz w:val="21"/>
                      <w:szCs w:val="21"/>
                      <w:highlight w:val="none"/>
                    </w:rPr>
                    <w:t>进入</w:t>
                  </w:r>
                  <w:r>
                    <w:rPr>
                      <w:rFonts w:hint="eastAsia"/>
                      <w:color w:val="auto"/>
                      <w:sz w:val="21"/>
                      <w:szCs w:val="21"/>
                      <w:highlight w:val="none"/>
                      <w:lang w:val="en-US" w:eastAsia="zh-CN"/>
                    </w:rPr>
                    <w:t>泗县工业</w:t>
                  </w:r>
                  <w:r>
                    <w:rPr>
                      <w:color w:val="auto"/>
                      <w:sz w:val="21"/>
                      <w:szCs w:val="21"/>
                      <w:highlight w:val="none"/>
                    </w:rPr>
                    <w:t>污水处理</w:t>
                  </w:r>
                  <w:r>
                    <w:rPr>
                      <w:rFonts w:hint="eastAsia"/>
                      <w:color w:val="auto"/>
                      <w:sz w:val="21"/>
                      <w:szCs w:val="21"/>
                      <w:highlight w:val="none"/>
                    </w:rPr>
                    <w:t>厂</w:t>
                  </w:r>
                  <w:r>
                    <w:rPr>
                      <w:color w:val="auto"/>
                      <w:sz w:val="21"/>
                      <w:szCs w:val="21"/>
                      <w:highlight w:val="none"/>
                    </w:rPr>
                    <w:t>进一步处理</w:t>
                  </w:r>
                  <w:r>
                    <w:rPr>
                      <w:rFonts w:hint="eastAsia"/>
                      <w:color w:val="auto"/>
                      <w:sz w:val="21"/>
                      <w:szCs w:val="21"/>
                      <w:highlight w:val="none"/>
                    </w:rPr>
                    <w:t>，达标排放至</w:t>
                  </w:r>
                  <w:r>
                    <w:rPr>
                      <w:rFonts w:hint="eastAsia"/>
                      <w:color w:val="auto"/>
                      <w:sz w:val="21"/>
                      <w:szCs w:val="21"/>
                      <w:highlight w:val="none"/>
                      <w:lang w:val="en-US" w:eastAsia="zh-CN"/>
                    </w:rPr>
                    <w:t>石梁河</w:t>
                  </w:r>
                </w:p>
              </w:tc>
              <w:tc>
                <w:tcPr>
                  <w:tcW w:w="323" w:type="pct"/>
                  <w:noWrap w:val="0"/>
                  <w:vAlign w:val="center"/>
                </w:tcPr>
                <w:p w14:paraId="76D4F3B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5228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pct"/>
                  <w:gridSpan w:val="6"/>
                  <w:shd w:val="clear" w:color="auto" w:fill="auto"/>
                  <w:noWrap w:val="0"/>
                  <w:vAlign w:val="center"/>
                </w:tcPr>
                <w:p w14:paraId="039785C5">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土壤一般管控区</w:t>
                  </w:r>
                </w:p>
              </w:tc>
              <w:tc>
                <w:tcPr>
                  <w:tcW w:w="1971" w:type="pct"/>
                  <w:shd w:val="clear" w:color="auto" w:fill="auto"/>
                  <w:noWrap w:val="0"/>
                  <w:vAlign w:val="center"/>
                </w:tcPr>
                <w:p w14:paraId="71552C95">
                  <w:pPr>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依据《中华人民共和国土壤污染防治法》《土壤污染防治行动计划》《安徽省土壤污染防治工作方案》《安徽省“十三五”环境保护规划》《宿州市土壤污染防治工作方案》等要求对一般管控区实施管控。</w:t>
                  </w:r>
                </w:p>
              </w:tc>
              <w:tc>
                <w:tcPr>
                  <w:tcW w:w="1441" w:type="pct"/>
                  <w:shd w:val="clear" w:color="auto" w:fill="auto"/>
                  <w:noWrap w:val="0"/>
                  <w:vAlign w:val="center"/>
                </w:tcPr>
                <w:p w14:paraId="224E3A29">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项目的建设和生产均符合现有法律法规和政策文件</w:t>
                  </w:r>
                </w:p>
              </w:tc>
              <w:tc>
                <w:tcPr>
                  <w:tcW w:w="323" w:type="pct"/>
                  <w:shd w:val="clear" w:color="auto" w:fill="auto"/>
                  <w:noWrap w:val="0"/>
                  <w:vAlign w:val="center"/>
                </w:tcPr>
                <w:p w14:paraId="2A6BC2A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符合</w:t>
                  </w:r>
                </w:p>
              </w:tc>
            </w:tr>
            <w:tr w14:paraId="4950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pct"/>
                  <w:gridSpan w:val="6"/>
                  <w:shd w:val="clear" w:color="auto" w:fill="auto"/>
                  <w:noWrap w:val="0"/>
                  <w:vAlign w:val="center"/>
                </w:tcPr>
                <w:p w14:paraId="3CAFA06C">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其他一般管控单元</w:t>
                  </w:r>
                </w:p>
              </w:tc>
              <w:tc>
                <w:tcPr>
                  <w:tcW w:w="1971" w:type="pct"/>
                  <w:shd w:val="clear" w:color="auto" w:fill="auto"/>
                  <w:noWrap w:val="0"/>
                  <w:vAlign w:val="center"/>
                </w:tcPr>
                <w:p w14:paraId="67A4D1A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一般管控单元内，执行现有法律法规和政策文件。</w:t>
                  </w:r>
                </w:p>
              </w:tc>
              <w:tc>
                <w:tcPr>
                  <w:tcW w:w="1441" w:type="pct"/>
                  <w:shd w:val="clear" w:color="auto" w:fill="auto"/>
                  <w:noWrap w:val="0"/>
                  <w:vAlign w:val="center"/>
                </w:tcPr>
                <w:p w14:paraId="58CF30FF">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项目的建设和生产均符合现有法律法规和政策文件</w:t>
                  </w:r>
                </w:p>
              </w:tc>
              <w:tc>
                <w:tcPr>
                  <w:tcW w:w="323" w:type="pct"/>
                  <w:shd w:val="clear" w:color="auto" w:fill="auto"/>
                  <w:noWrap w:val="0"/>
                  <w:vAlign w:val="center"/>
                </w:tcPr>
                <w:p w14:paraId="5BB1B369">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符合</w:t>
                  </w:r>
                </w:p>
              </w:tc>
            </w:tr>
          </w:tbl>
          <w:p w14:paraId="024C6C9F">
            <w:pPr>
              <w:pStyle w:val="52"/>
              <w:keepNext w:val="0"/>
              <w:keepLines w:val="0"/>
              <w:pageBreakBefore w:val="0"/>
              <w:wordWrap/>
              <w:overflowPunct/>
              <w:topLinePunct w:val="0"/>
              <w:bidi w:val="0"/>
              <w:adjustRightInd w:val="0"/>
              <w:snapToGrid w:val="0"/>
              <w:spacing w:line="360" w:lineRule="auto"/>
              <w:ind w:right="0" w:firstLine="480"/>
              <w:textAlignment w:val="auto"/>
              <w:rPr>
                <w:rFonts w:cs="Times New Roman"/>
                <w:color w:val="auto"/>
                <w:sz w:val="24"/>
                <w:szCs w:val="24"/>
                <w:highlight w:val="none"/>
              </w:rPr>
            </w:pPr>
            <w:r>
              <w:rPr>
                <w:rFonts w:cs="Times New Roman"/>
                <w:color w:val="auto"/>
                <w:sz w:val="24"/>
                <w:szCs w:val="24"/>
                <w:highlight w:val="none"/>
              </w:rPr>
              <w:t>综上，本项目的建设符合</w:t>
            </w:r>
            <w:r>
              <w:rPr>
                <w:rFonts w:hint="eastAsia" w:cs="Times New Roman"/>
                <w:color w:val="auto"/>
                <w:sz w:val="24"/>
                <w:szCs w:val="24"/>
                <w:highlight w:val="none"/>
                <w:lang w:eastAsia="zh-CN"/>
              </w:rPr>
              <w:t>“</w:t>
            </w:r>
            <w:r>
              <w:rPr>
                <w:rFonts w:cs="Times New Roman"/>
                <w:color w:val="auto"/>
                <w:sz w:val="24"/>
                <w:szCs w:val="24"/>
                <w:highlight w:val="none"/>
              </w:rPr>
              <w:t>三线一单</w:t>
            </w:r>
            <w:r>
              <w:rPr>
                <w:rFonts w:hint="eastAsia" w:cs="Times New Roman"/>
                <w:color w:val="auto"/>
                <w:sz w:val="24"/>
                <w:szCs w:val="24"/>
                <w:highlight w:val="none"/>
                <w:lang w:eastAsia="zh-CN"/>
              </w:rPr>
              <w:t>”</w:t>
            </w:r>
            <w:r>
              <w:rPr>
                <w:rFonts w:cs="Times New Roman"/>
                <w:color w:val="auto"/>
                <w:sz w:val="24"/>
                <w:szCs w:val="24"/>
                <w:highlight w:val="none"/>
              </w:rPr>
              <w:t>控制性要求。</w:t>
            </w:r>
          </w:p>
          <w:p w14:paraId="09125BE1">
            <w:pPr>
              <w:keepNext w:val="0"/>
              <w:keepLines w:val="0"/>
              <w:pageBreakBefore w:val="0"/>
              <w:widowControl w:val="0"/>
              <w:kinsoku/>
              <w:wordWrap/>
              <w:overflowPunct/>
              <w:topLinePunct w:val="0"/>
              <w:bidi w:val="0"/>
              <w:spacing w:line="360" w:lineRule="auto"/>
              <w:textAlignment w:val="auto"/>
              <w:rPr>
                <w:b/>
                <w:color w:val="auto"/>
                <w:kern w:val="0"/>
                <w:highlight w:val="none"/>
              </w:rPr>
            </w:pPr>
            <w:r>
              <w:rPr>
                <w:rFonts w:hint="eastAsia"/>
                <w:b/>
                <w:color w:val="auto"/>
                <w:highlight w:val="none"/>
              </w:rPr>
              <w:t>4、</w:t>
            </w:r>
            <w:r>
              <w:rPr>
                <w:rFonts w:hint="eastAsia"/>
                <w:b/>
                <w:color w:val="auto"/>
                <w:kern w:val="0"/>
                <w:highlight w:val="none"/>
              </w:rPr>
              <w:t>与相关政策相符性</w:t>
            </w:r>
          </w:p>
          <w:p w14:paraId="44834D69">
            <w:pPr>
              <w:autoSpaceDE w:val="0"/>
              <w:autoSpaceDN w:val="0"/>
              <w:adjustRightInd w:val="0"/>
              <w:snapToGrid w:val="0"/>
              <w:spacing w:line="360" w:lineRule="auto"/>
              <w:ind w:firstLine="480" w:firstLineChars="200"/>
              <w:rPr>
                <w:b w:val="0"/>
                <w:bCs/>
                <w:color w:val="auto"/>
                <w:kern w:val="0"/>
                <w:highlight w:val="none"/>
              </w:rPr>
            </w:pPr>
            <w:r>
              <w:rPr>
                <w:rFonts w:hint="eastAsia"/>
                <w:b w:val="0"/>
                <w:bCs/>
                <w:color w:val="auto"/>
                <w:kern w:val="0"/>
                <w:highlight w:val="none"/>
              </w:rPr>
              <w:t>（1）与《宿州市“十四五”生态环境保护规划（宿环委会【2022】2号）》的相符性</w:t>
            </w:r>
          </w:p>
          <w:p w14:paraId="770371E8">
            <w:pPr>
              <w:pStyle w:val="4"/>
              <w:numPr>
                <w:ilvl w:val="2"/>
                <w:numId w:val="0"/>
              </w:numPr>
              <w:adjustRightInd w:val="0"/>
              <w:snapToGrid w:val="0"/>
              <w:spacing w:before="0" w:after="0" w:line="240" w:lineRule="auto"/>
              <w:jc w:val="center"/>
              <w:rPr>
                <w:color w:val="auto"/>
                <w:kern w:val="0"/>
                <w:sz w:val="24"/>
                <w:szCs w:val="24"/>
                <w:highlight w:val="none"/>
              </w:rPr>
            </w:pPr>
            <w:r>
              <w:rPr>
                <w:color w:val="auto"/>
                <w:sz w:val="24"/>
                <w:szCs w:val="24"/>
                <w:highlight w:val="none"/>
              </w:rPr>
              <w:t>表1</w:t>
            </w:r>
            <w:r>
              <w:rPr>
                <w:rFonts w:hint="eastAsia"/>
                <w:color w:val="auto"/>
                <w:sz w:val="24"/>
                <w:szCs w:val="24"/>
                <w:highlight w:val="none"/>
                <w:lang w:val="en-US" w:eastAsia="zh-CN"/>
              </w:rPr>
              <w:t>-7</w:t>
            </w:r>
            <w:r>
              <w:rPr>
                <w:rFonts w:hint="eastAsia"/>
                <w:color w:val="auto"/>
                <w:sz w:val="24"/>
                <w:szCs w:val="24"/>
                <w:highlight w:val="none"/>
              </w:rPr>
              <w:t xml:space="preserve"> </w:t>
            </w:r>
            <w:r>
              <w:rPr>
                <w:color w:val="auto"/>
                <w:sz w:val="24"/>
                <w:szCs w:val="24"/>
                <w:highlight w:val="none"/>
              </w:rPr>
              <w:t xml:space="preserve"> 与</w:t>
            </w:r>
            <w:r>
              <w:rPr>
                <w:rFonts w:hint="eastAsia"/>
                <w:color w:val="auto"/>
                <w:kern w:val="0"/>
                <w:sz w:val="24"/>
                <w:szCs w:val="24"/>
                <w:highlight w:val="none"/>
              </w:rPr>
              <w:t>《宿州市“十四五”生态环境保护规划》的相符性</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3464"/>
              <w:gridCol w:w="1909"/>
              <w:gridCol w:w="698"/>
            </w:tblGrid>
            <w:tr w14:paraId="4B6E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noWrap w:val="0"/>
                  <w:vAlign w:val="center"/>
                </w:tcPr>
                <w:p w14:paraId="0B3E3CA1">
                  <w:pPr>
                    <w:jc w:val="center"/>
                    <w:rPr>
                      <w:b/>
                      <w:bCs/>
                      <w:color w:val="auto"/>
                      <w:sz w:val="21"/>
                      <w:szCs w:val="21"/>
                      <w:highlight w:val="none"/>
                      <w:lang w:bidi="ar"/>
                    </w:rPr>
                  </w:pPr>
                  <w:r>
                    <w:rPr>
                      <w:b/>
                      <w:bCs/>
                      <w:color w:val="auto"/>
                      <w:sz w:val="21"/>
                      <w:szCs w:val="21"/>
                      <w:highlight w:val="none"/>
                      <w:lang w:bidi="ar"/>
                    </w:rPr>
                    <w:t>序号</w:t>
                  </w:r>
                </w:p>
              </w:tc>
              <w:tc>
                <w:tcPr>
                  <w:tcW w:w="3464" w:type="dxa"/>
                  <w:noWrap w:val="0"/>
                  <w:vAlign w:val="center"/>
                </w:tcPr>
                <w:p w14:paraId="5892A39A">
                  <w:pPr>
                    <w:jc w:val="center"/>
                    <w:rPr>
                      <w:b/>
                      <w:bCs/>
                      <w:color w:val="auto"/>
                      <w:sz w:val="21"/>
                      <w:szCs w:val="21"/>
                      <w:highlight w:val="none"/>
                      <w:lang w:bidi="ar"/>
                    </w:rPr>
                  </w:pPr>
                  <w:r>
                    <w:rPr>
                      <w:rFonts w:hint="eastAsia"/>
                      <w:b/>
                      <w:bCs/>
                      <w:color w:val="auto"/>
                      <w:sz w:val="21"/>
                      <w:szCs w:val="21"/>
                      <w:highlight w:val="none"/>
                      <w:lang w:bidi="ar"/>
                    </w:rPr>
                    <w:t>方案内容</w:t>
                  </w:r>
                </w:p>
              </w:tc>
              <w:tc>
                <w:tcPr>
                  <w:tcW w:w="1909" w:type="dxa"/>
                  <w:noWrap w:val="0"/>
                  <w:vAlign w:val="center"/>
                </w:tcPr>
                <w:p w14:paraId="257AFC02">
                  <w:pPr>
                    <w:jc w:val="center"/>
                    <w:rPr>
                      <w:b/>
                      <w:bCs/>
                      <w:color w:val="auto"/>
                      <w:sz w:val="21"/>
                      <w:szCs w:val="21"/>
                      <w:highlight w:val="none"/>
                      <w:lang w:bidi="ar"/>
                    </w:rPr>
                  </w:pPr>
                  <w:r>
                    <w:rPr>
                      <w:b/>
                      <w:bCs/>
                      <w:color w:val="auto"/>
                      <w:sz w:val="21"/>
                      <w:szCs w:val="21"/>
                      <w:highlight w:val="none"/>
                      <w:lang w:bidi="ar"/>
                    </w:rPr>
                    <w:t>项目情况</w:t>
                  </w:r>
                </w:p>
              </w:tc>
              <w:tc>
                <w:tcPr>
                  <w:tcW w:w="698" w:type="dxa"/>
                  <w:noWrap w:val="0"/>
                  <w:vAlign w:val="center"/>
                </w:tcPr>
                <w:p w14:paraId="76365A25">
                  <w:pPr>
                    <w:jc w:val="center"/>
                    <w:rPr>
                      <w:b/>
                      <w:bCs/>
                      <w:color w:val="auto"/>
                      <w:sz w:val="21"/>
                      <w:szCs w:val="21"/>
                      <w:highlight w:val="none"/>
                      <w:lang w:bidi="ar"/>
                    </w:rPr>
                  </w:pPr>
                  <w:r>
                    <w:rPr>
                      <w:b/>
                      <w:bCs/>
                      <w:color w:val="auto"/>
                      <w:sz w:val="21"/>
                      <w:szCs w:val="21"/>
                      <w:highlight w:val="none"/>
                      <w:lang w:bidi="ar"/>
                    </w:rPr>
                    <w:t>相符性</w:t>
                  </w:r>
                </w:p>
              </w:tc>
            </w:tr>
            <w:tr w14:paraId="613B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noWrap w:val="0"/>
                  <w:vAlign w:val="center"/>
                </w:tcPr>
                <w:p w14:paraId="0A6B9EF2">
                  <w:pPr>
                    <w:jc w:val="center"/>
                    <w:rPr>
                      <w:color w:val="auto"/>
                      <w:sz w:val="21"/>
                      <w:szCs w:val="21"/>
                      <w:highlight w:val="none"/>
                      <w:lang w:bidi="ar"/>
                    </w:rPr>
                  </w:pPr>
                  <w:r>
                    <w:rPr>
                      <w:rFonts w:hint="eastAsia"/>
                      <w:color w:val="auto"/>
                      <w:sz w:val="21"/>
                      <w:szCs w:val="21"/>
                      <w:highlight w:val="none"/>
                      <w:lang w:bidi="ar"/>
                    </w:rPr>
                    <w:t>1</w:t>
                  </w:r>
                </w:p>
              </w:tc>
              <w:tc>
                <w:tcPr>
                  <w:tcW w:w="3464" w:type="dxa"/>
                  <w:noWrap w:val="0"/>
                  <w:vAlign w:val="center"/>
                </w:tcPr>
                <w:p w14:paraId="4FF1E57B">
                  <w:pPr>
                    <w:autoSpaceDE w:val="0"/>
                    <w:autoSpaceDN w:val="0"/>
                    <w:adjustRightInd w:val="0"/>
                    <w:jc w:val="center"/>
                    <w:rPr>
                      <w:color w:val="auto"/>
                      <w:sz w:val="21"/>
                      <w:szCs w:val="21"/>
                      <w:highlight w:val="none"/>
                      <w:lang w:bidi="ar"/>
                    </w:rPr>
                  </w:pPr>
                  <w:r>
                    <w:rPr>
                      <w:rFonts w:hint="eastAsia"/>
                      <w:color w:val="auto"/>
                      <w:sz w:val="21"/>
                      <w:szCs w:val="21"/>
                      <w:highlight w:val="none"/>
                      <w:lang w:bidi="ar"/>
                    </w:rPr>
                    <w:t>强化重点行业企业综合治理。加强重点行业脱硫脱硝、除尘设施运行监管，持续开展水泥、制药等重点行业废气排放提标改造，鼓励企业实施超低排放改造，推广多污染物协同控制技术。深入开展锅炉、炉窑综合整治。实施重点涉工业炉窑企业深度治理或清洁能源替代，完成65蒸吨及以上燃煤锅炉节能改造。持续开展散煤污染治理行动，严格查处非法销售、使用非清洁散煤等行为</w:t>
                  </w:r>
                </w:p>
              </w:tc>
              <w:tc>
                <w:tcPr>
                  <w:tcW w:w="1909" w:type="dxa"/>
                  <w:noWrap w:val="0"/>
                  <w:vAlign w:val="center"/>
                </w:tcPr>
                <w:p w14:paraId="4A2C6C90">
                  <w:pPr>
                    <w:jc w:val="center"/>
                    <w:rPr>
                      <w:color w:val="auto"/>
                      <w:sz w:val="21"/>
                      <w:szCs w:val="21"/>
                      <w:highlight w:val="none"/>
                      <w:lang w:bidi="ar"/>
                    </w:rPr>
                  </w:pPr>
                  <w:r>
                    <w:rPr>
                      <w:rFonts w:hint="eastAsia"/>
                      <w:color w:val="auto"/>
                      <w:sz w:val="21"/>
                      <w:szCs w:val="21"/>
                      <w:highlight w:val="none"/>
                      <w:lang w:bidi="ar"/>
                    </w:rPr>
                    <w:t>本项目为</w:t>
                  </w:r>
                  <w:r>
                    <w:rPr>
                      <w:rFonts w:hint="default" w:eastAsia="宋体"/>
                      <w:color w:val="auto"/>
                      <w:sz w:val="21"/>
                      <w:szCs w:val="21"/>
                      <w:highlight w:val="none"/>
                      <w:lang w:val="en-US" w:eastAsia="zh-CN" w:bidi="ar"/>
                    </w:rPr>
                    <w:t>C2929塑料零件及其他塑料制品制造</w:t>
                  </w:r>
                  <w:r>
                    <w:rPr>
                      <w:rFonts w:hint="eastAsia"/>
                      <w:color w:val="auto"/>
                      <w:sz w:val="21"/>
                      <w:szCs w:val="21"/>
                      <w:highlight w:val="none"/>
                      <w:lang w:bidi="ar"/>
                    </w:rPr>
                    <w:t>，项目不新建锅炉、炉窑等燃煤设施，</w:t>
                  </w:r>
                  <w:r>
                    <w:rPr>
                      <w:rFonts w:hint="eastAsia"/>
                      <w:color w:val="auto"/>
                      <w:sz w:val="21"/>
                      <w:szCs w:val="21"/>
                      <w:highlight w:val="none"/>
                      <w:lang w:val="en-US" w:eastAsia="zh-CN" w:bidi="ar"/>
                    </w:rPr>
                    <w:t>产生的注塑</w:t>
                  </w:r>
                  <w:r>
                    <w:rPr>
                      <w:rFonts w:hint="eastAsia" w:ascii="Times New Roman" w:hAnsi="Times New Roman" w:eastAsia="宋体" w:cs="Times New Roman"/>
                      <w:b w:val="0"/>
                      <w:bCs/>
                      <w:color w:val="auto"/>
                      <w:kern w:val="2"/>
                      <w:sz w:val="21"/>
                      <w:szCs w:val="21"/>
                      <w:highlight w:val="none"/>
                      <w:lang w:val="en-US" w:eastAsia="zh-CN" w:bidi="ar-SA"/>
                    </w:rPr>
                    <w:t>废气经</w:t>
                  </w:r>
                  <w:r>
                    <w:rPr>
                      <w:rFonts w:hint="eastAsia" w:cs="Times New Roman"/>
                      <w:b w:val="0"/>
                      <w:bCs/>
                      <w:color w:val="auto"/>
                      <w:kern w:val="2"/>
                      <w:sz w:val="21"/>
                      <w:szCs w:val="21"/>
                      <w:highlight w:val="none"/>
                      <w:lang w:val="en-US" w:eastAsia="zh-CN" w:bidi="ar-SA"/>
                    </w:rPr>
                    <w:t>二级活性炭吸附装置，调漆喷漆及烘干废气经</w:t>
                  </w:r>
                  <w:r>
                    <w:rPr>
                      <w:rFonts w:hint="default" w:ascii="Times New Roman" w:hAnsi="Times New Roman" w:eastAsia="宋体" w:cs="Times New Roman"/>
                      <w:color w:val="auto"/>
                      <w:sz w:val="21"/>
                      <w:szCs w:val="21"/>
                      <w:highlight w:val="none"/>
                      <w:lang w:val="en-US" w:eastAsia="zh-CN" w:bidi="ar"/>
                    </w:rPr>
                    <w:t>一级水喷淋+</w:t>
                  </w:r>
                  <w:r>
                    <w:rPr>
                      <w:rFonts w:hint="eastAsia" w:cs="Times New Roman"/>
                      <w:color w:val="auto"/>
                      <w:sz w:val="21"/>
                      <w:szCs w:val="21"/>
                      <w:highlight w:val="none"/>
                      <w:lang w:val="en-US" w:eastAsia="zh-CN" w:bidi="ar"/>
                    </w:rPr>
                    <w:t>活性炭吸附/脱附</w:t>
                  </w:r>
                  <w:r>
                    <w:rPr>
                      <w:rFonts w:hint="eastAsia" w:ascii="Times New Roman" w:hAnsi="Times New Roman" w:eastAsia="宋体" w:cs="Times New Roman"/>
                      <w:color w:val="auto"/>
                      <w:sz w:val="21"/>
                      <w:szCs w:val="21"/>
                      <w:highlight w:val="none"/>
                      <w:lang w:val="en-US" w:eastAsia="zh-CN" w:bidi="ar"/>
                    </w:rPr>
                    <w:t>+RCO</w:t>
                  </w:r>
                  <w:r>
                    <w:rPr>
                      <w:rFonts w:hint="default" w:ascii="Times New Roman" w:hAnsi="Times New Roman" w:eastAsia="宋体" w:cs="Times New Roman"/>
                      <w:color w:val="auto"/>
                      <w:sz w:val="21"/>
                      <w:szCs w:val="21"/>
                      <w:highlight w:val="none"/>
                      <w:lang w:val="en-US" w:eastAsia="zh-CN" w:bidi="ar"/>
                    </w:rPr>
                    <w:t>装置处理，废气</w:t>
                  </w:r>
                  <w:r>
                    <w:rPr>
                      <w:rFonts w:hint="eastAsia" w:ascii="Times New Roman" w:hAnsi="Times New Roman" w:eastAsia="宋体" w:cs="Times New Roman"/>
                      <w:color w:val="auto"/>
                      <w:sz w:val="21"/>
                      <w:szCs w:val="21"/>
                      <w:highlight w:val="none"/>
                      <w:lang w:val="en-US" w:eastAsia="zh-CN" w:bidi="ar"/>
                    </w:rPr>
                    <w:t>处理</w:t>
                  </w:r>
                  <w:r>
                    <w:rPr>
                      <w:rFonts w:hint="eastAsia" w:ascii="Times New Roman" w:hAnsi="Times New Roman" w:eastAsia="宋体" w:cs="Times New Roman"/>
                      <w:b w:val="0"/>
                      <w:bCs/>
                      <w:color w:val="auto"/>
                      <w:kern w:val="2"/>
                      <w:sz w:val="21"/>
                      <w:szCs w:val="21"/>
                      <w:highlight w:val="none"/>
                      <w:lang w:val="en-US" w:eastAsia="zh-CN" w:bidi="ar-SA"/>
                    </w:rPr>
                    <w:t>后达标排放</w:t>
                  </w:r>
                </w:p>
              </w:tc>
              <w:tc>
                <w:tcPr>
                  <w:tcW w:w="698" w:type="dxa"/>
                  <w:noWrap w:val="0"/>
                  <w:vAlign w:val="center"/>
                </w:tcPr>
                <w:p w14:paraId="30BA6303">
                  <w:pPr>
                    <w:jc w:val="center"/>
                    <w:rPr>
                      <w:color w:val="auto"/>
                      <w:sz w:val="21"/>
                      <w:szCs w:val="21"/>
                      <w:highlight w:val="none"/>
                      <w:lang w:bidi="ar"/>
                    </w:rPr>
                  </w:pPr>
                  <w:r>
                    <w:rPr>
                      <w:rFonts w:hint="eastAsia"/>
                      <w:color w:val="auto"/>
                      <w:sz w:val="21"/>
                      <w:szCs w:val="21"/>
                      <w:highlight w:val="none"/>
                      <w:lang w:bidi="ar"/>
                    </w:rPr>
                    <w:t>相符</w:t>
                  </w:r>
                </w:p>
              </w:tc>
            </w:tr>
            <w:tr w14:paraId="35EA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noWrap w:val="0"/>
                  <w:vAlign w:val="center"/>
                </w:tcPr>
                <w:p w14:paraId="7C323922">
                  <w:pPr>
                    <w:jc w:val="center"/>
                    <w:rPr>
                      <w:color w:val="auto"/>
                      <w:sz w:val="21"/>
                      <w:szCs w:val="21"/>
                      <w:highlight w:val="none"/>
                      <w:lang w:bidi="ar"/>
                    </w:rPr>
                  </w:pPr>
                  <w:r>
                    <w:rPr>
                      <w:rFonts w:hint="eastAsia"/>
                      <w:color w:val="auto"/>
                      <w:sz w:val="21"/>
                      <w:szCs w:val="21"/>
                      <w:highlight w:val="none"/>
                      <w:lang w:bidi="ar"/>
                    </w:rPr>
                    <w:t>2</w:t>
                  </w:r>
                </w:p>
              </w:tc>
              <w:tc>
                <w:tcPr>
                  <w:tcW w:w="3464" w:type="dxa"/>
                  <w:noWrap w:val="0"/>
                  <w:vAlign w:val="center"/>
                </w:tcPr>
                <w:p w14:paraId="5381D9EA">
                  <w:pPr>
                    <w:autoSpaceDE w:val="0"/>
                    <w:autoSpaceDN w:val="0"/>
                    <w:adjustRightInd w:val="0"/>
                    <w:jc w:val="center"/>
                    <w:rPr>
                      <w:color w:val="auto"/>
                      <w:kern w:val="0"/>
                      <w:sz w:val="21"/>
                      <w:szCs w:val="21"/>
                      <w:highlight w:val="none"/>
                      <w:lang w:bidi="ar"/>
                    </w:rPr>
                  </w:pPr>
                  <w:r>
                    <w:rPr>
                      <w:rFonts w:hint="eastAsia"/>
                      <w:color w:val="auto"/>
                      <w:kern w:val="0"/>
                      <w:sz w:val="21"/>
                      <w:szCs w:val="21"/>
                      <w:highlight w:val="none"/>
                      <w:lang w:bidi="ar"/>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1909" w:type="dxa"/>
                  <w:noWrap w:val="0"/>
                  <w:vAlign w:val="center"/>
                </w:tcPr>
                <w:p w14:paraId="328BCA3E">
                  <w:pPr>
                    <w:jc w:val="center"/>
                    <w:rPr>
                      <w:rFonts w:hint="default" w:eastAsia="宋体"/>
                      <w:color w:val="auto"/>
                      <w:sz w:val="21"/>
                      <w:szCs w:val="21"/>
                      <w:highlight w:val="none"/>
                      <w:lang w:val="en-US" w:eastAsia="zh-CN" w:bidi="ar"/>
                    </w:rPr>
                  </w:pPr>
                  <w:r>
                    <w:rPr>
                      <w:rFonts w:hint="default" w:eastAsia="宋体"/>
                      <w:color w:val="auto"/>
                      <w:sz w:val="21"/>
                      <w:szCs w:val="21"/>
                      <w:highlight w:val="none"/>
                      <w:lang w:val="en-US" w:eastAsia="zh-CN" w:bidi="ar"/>
                    </w:rPr>
                    <w:t>项目为C2929塑料零件及其他塑料制品制造，项目使用的油漆VO</w:t>
                  </w:r>
                  <w:r>
                    <w:rPr>
                      <w:rFonts w:hint="default" w:ascii="Times New Roman" w:hAnsi="Times New Roman" w:eastAsia="宋体" w:cs="Times New Roman"/>
                      <w:b w:val="0"/>
                      <w:bCs/>
                      <w:color w:val="auto"/>
                      <w:kern w:val="2"/>
                      <w:sz w:val="21"/>
                      <w:szCs w:val="21"/>
                      <w:highlight w:val="none"/>
                      <w:lang w:val="en-US" w:eastAsia="zh-CN" w:bidi="ar-SA"/>
                    </w:rPr>
                    <w:t>Cs含量为</w:t>
                  </w:r>
                  <w:r>
                    <w:rPr>
                      <w:rFonts w:hint="eastAsia" w:ascii="Times New Roman" w:hAnsi="Times New Roman" w:eastAsia="宋体" w:cs="Times New Roman"/>
                      <w:b w:val="0"/>
                      <w:bCs/>
                      <w:color w:val="auto"/>
                      <w:kern w:val="2"/>
                      <w:sz w:val="21"/>
                      <w:szCs w:val="21"/>
                      <w:highlight w:val="none"/>
                      <w:lang w:val="en-US" w:eastAsia="zh-CN" w:bidi="ar-SA"/>
                    </w:rPr>
                    <w:t>401</w:t>
                  </w:r>
                  <w:r>
                    <w:rPr>
                      <w:rFonts w:hint="default" w:ascii="Times New Roman" w:hAnsi="Times New Roman" w:eastAsia="宋体" w:cs="Times New Roman"/>
                      <w:b w:val="0"/>
                      <w:bCs/>
                      <w:color w:val="auto"/>
                      <w:kern w:val="2"/>
                      <w:sz w:val="21"/>
                      <w:szCs w:val="21"/>
                      <w:highlight w:val="none"/>
                      <w:lang w:val="en-US" w:eastAsia="zh-CN" w:bidi="ar-SA"/>
                    </w:rPr>
                    <w:t>g/L</w:t>
                  </w:r>
                  <w:r>
                    <w:rPr>
                      <w:rFonts w:hint="eastAsia" w:ascii="Times New Roman" w:hAnsi="Times New Roman" w:eastAsia="宋体" w:cs="Times New Roman"/>
                      <w:b w:val="0"/>
                      <w:bCs/>
                      <w:color w:val="auto"/>
                      <w:kern w:val="2"/>
                      <w:sz w:val="21"/>
                      <w:szCs w:val="21"/>
                      <w:highlight w:val="none"/>
                      <w:lang w:val="en-US" w:eastAsia="zh-CN" w:bidi="ar-SA"/>
                    </w:rPr>
                    <w:t>和381.81</w:t>
                  </w:r>
                  <w:r>
                    <w:rPr>
                      <w:rFonts w:hint="default" w:ascii="Times New Roman" w:hAnsi="Times New Roman" w:eastAsia="宋体" w:cs="Times New Roman"/>
                      <w:b w:val="0"/>
                      <w:bCs/>
                      <w:color w:val="auto"/>
                      <w:kern w:val="2"/>
                      <w:sz w:val="21"/>
                      <w:szCs w:val="21"/>
                      <w:highlight w:val="none"/>
                      <w:lang w:val="en-US" w:eastAsia="zh-CN" w:bidi="ar-SA"/>
                    </w:rPr>
                    <w:t>g/L，满足《低挥发性有机化</w:t>
                  </w:r>
                  <w:r>
                    <w:rPr>
                      <w:rFonts w:hint="default" w:eastAsia="宋体"/>
                      <w:color w:val="auto"/>
                      <w:sz w:val="21"/>
                      <w:szCs w:val="21"/>
                      <w:highlight w:val="none"/>
                      <w:lang w:val="en-US" w:eastAsia="zh-CN" w:bidi="ar"/>
                    </w:rPr>
                    <w:t>合物含量涂料产品技术要求》（GB/T38597-2020）表2中玩具涂料VOCs≤420g/L的要求</w:t>
                  </w:r>
                  <w:r>
                    <w:rPr>
                      <w:rFonts w:hint="eastAsia" w:eastAsia="宋体"/>
                      <w:color w:val="auto"/>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不涉及建设生产和使用高VOCs含量的溶剂型涂料、油墨、胶黏剂等项目</w:t>
                  </w:r>
                </w:p>
              </w:tc>
              <w:tc>
                <w:tcPr>
                  <w:tcW w:w="698" w:type="dxa"/>
                  <w:noWrap w:val="0"/>
                  <w:vAlign w:val="center"/>
                </w:tcPr>
                <w:p w14:paraId="65162F12">
                  <w:pPr>
                    <w:jc w:val="center"/>
                    <w:rPr>
                      <w:color w:val="auto"/>
                      <w:sz w:val="21"/>
                      <w:szCs w:val="21"/>
                      <w:highlight w:val="none"/>
                      <w:lang w:bidi="ar"/>
                    </w:rPr>
                  </w:pPr>
                  <w:r>
                    <w:rPr>
                      <w:rFonts w:hint="eastAsia"/>
                      <w:color w:val="auto"/>
                      <w:sz w:val="21"/>
                      <w:szCs w:val="21"/>
                      <w:highlight w:val="none"/>
                      <w:lang w:bidi="ar"/>
                    </w:rPr>
                    <w:t>相符</w:t>
                  </w:r>
                </w:p>
              </w:tc>
            </w:tr>
          </w:tbl>
          <w:p w14:paraId="69E6B7D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b w:val="0"/>
                <w:bCs/>
                <w:color w:val="auto"/>
                <w:kern w:val="0"/>
                <w:highlight w:val="none"/>
              </w:rPr>
            </w:pPr>
            <w:r>
              <w:rPr>
                <w:rFonts w:hint="eastAsia"/>
                <w:b w:val="0"/>
                <w:bCs/>
                <w:color w:val="auto"/>
                <w:kern w:val="0"/>
                <w:highlight w:val="none"/>
              </w:rPr>
              <w:t>（</w:t>
            </w:r>
            <w:r>
              <w:rPr>
                <w:rFonts w:hint="eastAsia"/>
                <w:b w:val="0"/>
                <w:bCs/>
                <w:color w:val="auto"/>
                <w:kern w:val="0"/>
                <w:highlight w:val="none"/>
                <w:lang w:val="en-US" w:eastAsia="zh-CN"/>
              </w:rPr>
              <w:t>2</w:t>
            </w:r>
            <w:r>
              <w:rPr>
                <w:rFonts w:hint="eastAsia"/>
                <w:b w:val="0"/>
                <w:bCs/>
                <w:color w:val="auto"/>
                <w:kern w:val="0"/>
                <w:highlight w:val="none"/>
              </w:rPr>
              <w:t>）与《国务院关于印发“十四五”节能减排综合工作方案的通知》的相符性</w:t>
            </w:r>
          </w:p>
          <w:p w14:paraId="3BA61179">
            <w:pPr>
              <w:pStyle w:val="4"/>
              <w:numPr>
                <w:ilvl w:val="2"/>
                <w:numId w:val="0"/>
              </w:numPr>
              <w:adjustRightInd w:val="0"/>
              <w:snapToGrid w:val="0"/>
              <w:spacing w:before="0" w:after="0" w:line="240" w:lineRule="auto"/>
              <w:jc w:val="center"/>
              <w:rPr>
                <w:color w:val="auto"/>
                <w:sz w:val="24"/>
                <w:szCs w:val="24"/>
                <w:highlight w:val="none"/>
              </w:rPr>
            </w:pPr>
            <w:r>
              <w:rPr>
                <w:color w:val="auto"/>
                <w:sz w:val="24"/>
                <w:szCs w:val="24"/>
                <w:highlight w:val="none"/>
              </w:rPr>
              <w:t>表1</w:t>
            </w:r>
            <w:r>
              <w:rPr>
                <w:rFonts w:hint="eastAsia"/>
                <w:color w:val="auto"/>
                <w:sz w:val="24"/>
                <w:szCs w:val="24"/>
                <w:highlight w:val="none"/>
                <w:lang w:val="en-US" w:eastAsia="zh-CN"/>
              </w:rPr>
              <w:t>-8</w:t>
            </w:r>
            <w:r>
              <w:rPr>
                <w:rFonts w:hint="eastAsia"/>
                <w:color w:val="auto"/>
                <w:sz w:val="24"/>
                <w:szCs w:val="24"/>
                <w:highlight w:val="none"/>
              </w:rPr>
              <w:t xml:space="preserve"> </w:t>
            </w:r>
            <w:r>
              <w:rPr>
                <w:color w:val="auto"/>
                <w:sz w:val="24"/>
                <w:szCs w:val="24"/>
                <w:highlight w:val="none"/>
              </w:rPr>
              <w:t xml:space="preserve"> 与</w:t>
            </w:r>
            <w:r>
              <w:rPr>
                <w:rFonts w:hint="eastAsia"/>
                <w:color w:val="auto"/>
                <w:sz w:val="24"/>
                <w:szCs w:val="24"/>
                <w:highlight w:val="none"/>
              </w:rPr>
              <w:t>《国务院关于印发“十四五”节能减排综合工作方案的通知》的相符性</w:t>
            </w:r>
          </w:p>
          <w:tbl>
            <w:tblPr>
              <w:tblStyle w:val="21"/>
              <w:tblW w:w="6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568"/>
              <w:gridCol w:w="2253"/>
              <w:gridCol w:w="924"/>
            </w:tblGrid>
            <w:tr w14:paraId="4868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16A46E43">
                  <w:pPr>
                    <w:jc w:val="center"/>
                    <w:rPr>
                      <w:b/>
                      <w:bCs/>
                      <w:color w:val="auto"/>
                      <w:sz w:val="21"/>
                      <w:szCs w:val="21"/>
                      <w:highlight w:val="none"/>
                      <w:lang w:bidi="ar"/>
                    </w:rPr>
                  </w:pPr>
                  <w:r>
                    <w:rPr>
                      <w:b/>
                      <w:bCs/>
                      <w:color w:val="auto"/>
                      <w:sz w:val="21"/>
                      <w:szCs w:val="21"/>
                      <w:highlight w:val="none"/>
                      <w:lang w:bidi="ar"/>
                    </w:rPr>
                    <w:t>序号</w:t>
                  </w:r>
                </w:p>
              </w:tc>
              <w:tc>
                <w:tcPr>
                  <w:tcW w:w="2568" w:type="dxa"/>
                  <w:vAlign w:val="center"/>
                </w:tcPr>
                <w:p w14:paraId="3817FBBB">
                  <w:pPr>
                    <w:jc w:val="center"/>
                    <w:rPr>
                      <w:b/>
                      <w:bCs/>
                      <w:color w:val="auto"/>
                      <w:sz w:val="21"/>
                      <w:szCs w:val="21"/>
                      <w:highlight w:val="none"/>
                      <w:lang w:bidi="ar"/>
                    </w:rPr>
                  </w:pPr>
                  <w:r>
                    <w:rPr>
                      <w:rFonts w:hint="eastAsia"/>
                      <w:b/>
                      <w:bCs/>
                      <w:color w:val="auto"/>
                      <w:sz w:val="21"/>
                      <w:szCs w:val="21"/>
                      <w:highlight w:val="none"/>
                      <w:lang w:bidi="ar"/>
                    </w:rPr>
                    <w:t>方案内容</w:t>
                  </w:r>
                </w:p>
              </w:tc>
              <w:tc>
                <w:tcPr>
                  <w:tcW w:w="2253" w:type="dxa"/>
                  <w:vAlign w:val="center"/>
                </w:tcPr>
                <w:p w14:paraId="39C0A2AF">
                  <w:pPr>
                    <w:jc w:val="center"/>
                    <w:rPr>
                      <w:b/>
                      <w:bCs/>
                      <w:color w:val="auto"/>
                      <w:sz w:val="21"/>
                      <w:szCs w:val="21"/>
                      <w:highlight w:val="none"/>
                      <w:lang w:bidi="ar"/>
                    </w:rPr>
                  </w:pPr>
                  <w:r>
                    <w:rPr>
                      <w:b/>
                      <w:bCs/>
                      <w:color w:val="auto"/>
                      <w:sz w:val="21"/>
                      <w:szCs w:val="21"/>
                      <w:highlight w:val="none"/>
                      <w:lang w:bidi="ar"/>
                    </w:rPr>
                    <w:t>项目情况</w:t>
                  </w:r>
                </w:p>
              </w:tc>
              <w:tc>
                <w:tcPr>
                  <w:tcW w:w="924" w:type="dxa"/>
                  <w:vAlign w:val="center"/>
                </w:tcPr>
                <w:p w14:paraId="58380788">
                  <w:pPr>
                    <w:jc w:val="center"/>
                    <w:rPr>
                      <w:b/>
                      <w:bCs/>
                      <w:color w:val="auto"/>
                      <w:sz w:val="21"/>
                      <w:szCs w:val="21"/>
                      <w:highlight w:val="none"/>
                      <w:lang w:bidi="ar"/>
                    </w:rPr>
                  </w:pPr>
                  <w:r>
                    <w:rPr>
                      <w:b/>
                      <w:bCs/>
                      <w:color w:val="auto"/>
                      <w:sz w:val="21"/>
                      <w:szCs w:val="21"/>
                      <w:highlight w:val="none"/>
                      <w:lang w:bidi="ar"/>
                    </w:rPr>
                    <w:t>相符性</w:t>
                  </w:r>
                </w:p>
              </w:tc>
            </w:tr>
            <w:tr w14:paraId="574F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669C880E">
                  <w:pPr>
                    <w:jc w:val="center"/>
                    <w:rPr>
                      <w:color w:val="auto"/>
                      <w:sz w:val="21"/>
                      <w:szCs w:val="21"/>
                      <w:highlight w:val="none"/>
                      <w:lang w:bidi="ar"/>
                    </w:rPr>
                  </w:pPr>
                  <w:r>
                    <w:rPr>
                      <w:color w:val="auto"/>
                      <w:sz w:val="21"/>
                      <w:szCs w:val="21"/>
                      <w:highlight w:val="none"/>
                      <w:lang w:bidi="ar"/>
                    </w:rPr>
                    <w:t>1</w:t>
                  </w:r>
                </w:p>
              </w:tc>
              <w:tc>
                <w:tcPr>
                  <w:tcW w:w="2568" w:type="dxa"/>
                  <w:vAlign w:val="center"/>
                </w:tcPr>
                <w:p w14:paraId="741C1E32">
                  <w:pPr>
                    <w:autoSpaceDE w:val="0"/>
                    <w:autoSpaceDN w:val="0"/>
                    <w:adjustRightInd w:val="0"/>
                    <w:jc w:val="center"/>
                    <w:rPr>
                      <w:color w:val="auto"/>
                      <w:sz w:val="21"/>
                      <w:szCs w:val="21"/>
                      <w:highlight w:val="none"/>
                      <w:lang w:bidi="ar"/>
                    </w:rPr>
                  </w:pPr>
                  <w:r>
                    <w:rPr>
                      <w:color w:val="auto"/>
                      <w:sz w:val="21"/>
                      <w:szCs w:val="21"/>
                      <w:highlight w:val="none"/>
                      <w:lang w:bidi="ar"/>
                    </w:rPr>
                    <w:t>重点行业绿色升级工程。以钢铁、有色金属、建材、石化化工等行业为重点，推进节能改造和污染物深度治理。推广高效精馏系统、高温高压干熄焦、富氧强化熔炼等节能技术，鼓励将高炉—转炉长流程炼钢转型为电炉短流程炼钢。推进钢铁、水泥、焦化行业及燃煤锅炉超低排放改造，到2025年，完成5.3亿吨钢铁产能超低排放改造，大气污染防治重点区域燃煤锅炉全面实现超低排放</w:t>
                  </w:r>
                </w:p>
              </w:tc>
              <w:tc>
                <w:tcPr>
                  <w:tcW w:w="2253" w:type="dxa"/>
                  <w:vAlign w:val="center"/>
                </w:tcPr>
                <w:p w14:paraId="0AFD88CB">
                  <w:pPr>
                    <w:jc w:val="center"/>
                    <w:rPr>
                      <w:rFonts w:hint="default" w:eastAsia="宋体"/>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项目</w:t>
                  </w:r>
                  <w:r>
                    <w:rPr>
                      <w:rFonts w:hint="eastAsia" w:ascii="Times New Roman" w:hAnsi="Times New Roman" w:eastAsia="宋体" w:cs="Times New Roman"/>
                      <w:color w:val="auto"/>
                      <w:sz w:val="21"/>
                      <w:szCs w:val="21"/>
                      <w:highlight w:val="none"/>
                      <w:lang w:val="en-US" w:eastAsia="zh-CN" w:bidi="ar"/>
                    </w:rPr>
                    <w:t>属于</w:t>
                  </w:r>
                  <w:r>
                    <w:rPr>
                      <w:rFonts w:hint="default" w:eastAsia="宋体"/>
                      <w:color w:val="auto"/>
                      <w:sz w:val="21"/>
                      <w:szCs w:val="21"/>
                      <w:highlight w:val="none"/>
                      <w:lang w:val="en-US" w:eastAsia="zh-CN" w:bidi="ar"/>
                    </w:rPr>
                    <w:t>C2929塑料零件及其他塑料制品制造</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项目不使用燃煤锅炉</w:t>
                  </w:r>
                </w:p>
              </w:tc>
              <w:tc>
                <w:tcPr>
                  <w:tcW w:w="924" w:type="dxa"/>
                  <w:vAlign w:val="center"/>
                </w:tcPr>
                <w:p w14:paraId="1F2D719E">
                  <w:pPr>
                    <w:jc w:val="center"/>
                    <w:rPr>
                      <w:color w:val="auto"/>
                      <w:sz w:val="21"/>
                      <w:szCs w:val="21"/>
                      <w:highlight w:val="none"/>
                      <w:lang w:bidi="ar"/>
                    </w:rPr>
                  </w:pPr>
                  <w:r>
                    <w:rPr>
                      <w:rFonts w:hint="eastAsia"/>
                      <w:color w:val="auto"/>
                      <w:sz w:val="21"/>
                      <w:szCs w:val="21"/>
                      <w:highlight w:val="none"/>
                      <w:lang w:bidi="ar"/>
                    </w:rPr>
                    <w:t>相符</w:t>
                  </w:r>
                </w:p>
              </w:tc>
            </w:tr>
            <w:tr w14:paraId="5E7F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1F687155">
                  <w:pPr>
                    <w:jc w:val="center"/>
                    <w:rPr>
                      <w:color w:val="auto"/>
                      <w:sz w:val="21"/>
                      <w:szCs w:val="21"/>
                      <w:highlight w:val="none"/>
                      <w:lang w:bidi="ar"/>
                    </w:rPr>
                  </w:pPr>
                  <w:r>
                    <w:rPr>
                      <w:rFonts w:hint="eastAsia"/>
                      <w:color w:val="auto"/>
                      <w:sz w:val="21"/>
                      <w:szCs w:val="21"/>
                      <w:highlight w:val="none"/>
                      <w:lang w:bidi="ar"/>
                    </w:rPr>
                    <w:t>2</w:t>
                  </w:r>
                </w:p>
              </w:tc>
              <w:tc>
                <w:tcPr>
                  <w:tcW w:w="2568" w:type="dxa"/>
                  <w:vAlign w:val="center"/>
                </w:tcPr>
                <w:p w14:paraId="59A6DAEB">
                  <w:pPr>
                    <w:autoSpaceDE w:val="0"/>
                    <w:autoSpaceDN w:val="0"/>
                    <w:adjustRightInd w:val="0"/>
                    <w:jc w:val="center"/>
                    <w:rPr>
                      <w:color w:val="auto"/>
                      <w:kern w:val="0"/>
                      <w:sz w:val="21"/>
                      <w:szCs w:val="21"/>
                      <w:highlight w:val="none"/>
                      <w:lang w:bidi="ar"/>
                    </w:rPr>
                  </w:pPr>
                  <w:r>
                    <w:rPr>
                      <w:color w:val="auto"/>
                      <w:kern w:val="0"/>
                      <w:sz w:val="21"/>
                      <w:szCs w:val="21"/>
                      <w:highlight w:val="none"/>
                      <w:lang w:bidi="ar"/>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w:t>
                  </w:r>
                  <w:r>
                    <w:rPr>
                      <w:rFonts w:hint="eastAsia"/>
                      <w:color w:val="auto"/>
                      <w:kern w:val="0"/>
                      <w:sz w:val="21"/>
                      <w:szCs w:val="21"/>
                      <w:highlight w:val="none"/>
                      <w:lang w:eastAsia="zh-CN" w:bidi="ar"/>
                    </w:rPr>
                    <w:t>“</w:t>
                  </w:r>
                  <w:r>
                    <w:rPr>
                      <w:color w:val="auto"/>
                      <w:kern w:val="0"/>
                      <w:sz w:val="21"/>
                      <w:szCs w:val="21"/>
                      <w:highlight w:val="none"/>
                      <w:lang w:bidi="ar"/>
                    </w:rPr>
                    <w:t>绿岛</w:t>
                  </w:r>
                  <w:r>
                    <w:rPr>
                      <w:rFonts w:hint="eastAsia"/>
                      <w:color w:val="auto"/>
                      <w:kern w:val="0"/>
                      <w:sz w:val="21"/>
                      <w:szCs w:val="21"/>
                      <w:highlight w:val="none"/>
                      <w:lang w:eastAsia="zh-CN" w:bidi="ar"/>
                    </w:rPr>
                    <w:t>”</w:t>
                  </w:r>
                  <w:r>
                    <w:rPr>
                      <w:color w:val="auto"/>
                      <w:kern w:val="0"/>
                      <w:sz w:val="21"/>
                      <w:szCs w:val="21"/>
                      <w:highlight w:val="none"/>
                      <w:lang w:bidi="ar"/>
                    </w:rPr>
                    <w:t>项目建设。到2025年，建成一批节能环保示范园区</w:t>
                  </w:r>
                </w:p>
              </w:tc>
              <w:tc>
                <w:tcPr>
                  <w:tcW w:w="2253" w:type="dxa"/>
                  <w:vAlign w:val="center"/>
                </w:tcPr>
                <w:p w14:paraId="069E307B">
                  <w:pPr>
                    <w:jc w:val="center"/>
                    <w:rPr>
                      <w:rFonts w:hint="default" w:eastAsia="宋体"/>
                      <w:color w:val="auto"/>
                      <w:sz w:val="21"/>
                      <w:szCs w:val="21"/>
                      <w:highlight w:val="none"/>
                      <w:lang w:val="en-US" w:eastAsia="zh-CN" w:bidi="ar"/>
                    </w:rPr>
                  </w:pPr>
                  <w:r>
                    <w:rPr>
                      <w:color w:val="auto"/>
                      <w:sz w:val="21"/>
                      <w:szCs w:val="21"/>
                      <w:highlight w:val="none"/>
                      <w:lang w:bidi="ar"/>
                    </w:rPr>
                    <w:t>项目位于</w:t>
                  </w:r>
                  <w:r>
                    <w:rPr>
                      <w:rFonts w:hint="eastAsia"/>
                      <w:color w:val="auto"/>
                      <w:sz w:val="21"/>
                      <w:szCs w:val="21"/>
                      <w:highlight w:val="none"/>
                      <w:lang w:val="en-US" w:eastAsia="zh-CN" w:bidi="ar"/>
                    </w:rPr>
                    <w:t>泗县</w:t>
                  </w:r>
                  <w:r>
                    <w:rPr>
                      <w:color w:val="auto"/>
                      <w:sz w:val="21"/>
                      <w:szCs w:val="21"/>
                      <w:highlight w:val="none"/>
                      <w:lang w:bidi="ar"/>
                    </w:rPr>
                    <w:t>经济开发区</w:t>
                  </w:r>
                  <w:r>
                    <w:rPr>
                      <w:rFonts w:hint="eastAsia"/>
                      <w:color w:val="auto"/>
                      <w:sz w:val="21"/>
                      <w:szCs w:val="21"/>
                      <w:highlight w:val="none"/>
                      <w:lang w:bidi="ar"/>
                    </w:rPr>
                    <w:t>内</w:t>
                  </w:r>
                  <w:r>
                    <w:rPr>
                      <w:color w:val="auto"/>
                      <w:sz w:val="21"/>
                      <w:szCs w:val="21"/>
                      <w:highlight w:val="none"/>
                      <w:lang w:bidi="ar"/>
                    </w:rPr>
                    <w:t>，不属于</w:t>
                  </w:r>
                  <w:r>
                    <w:rPr>
                      <w:rFonts w:hint="eastAsia"/>
                      <w:color w:val="auto"/>
                      <w:sz w:val="21"/>
                      <w:szCs w:val="21"/>
                      <w:highlight w:val="none"/>
                      <w:lang w:bidi="ar"/>
                    </w:rPr>
                    <w:t>“</w:t>
                  </w:r>
                  <w:r>
                    <w:rPr>
                      <w:color w:val="auto"/>
                      <w:sz w:val="21"/>
                      <w:szCs w:val="21"/>
                      <w:highlight w:val="none"/>
                      <w:lang w:bidi="ar"/>
                    </w:rPr>
                    <w:t>散乱污</w:t>
                  </w:r>
                  <w:r>
                    <w:rPr>
                      <w:rFonts w:hint="eastAsia"/>
                      <w:color w:val="auto"/>
                      <w:sz w:val="21"/>
                      <w:szCs w:val="21"/>
                      <w:highlight w:val="none"/>
                      <w:lang w:bidi="ar"/>
                    </w:rPr>
                    <w:t>”</w:t>
                  </w:r>
                  <w:r>
                    <w:rPr>
                      <w:color w:val="auto"/>
                      <w:sz w:val="21"/>
                      <w:szCs w:val="21"/>
                      <w:highlight w:val="none"/>
                      <w:lang w:bidi="ar"/>
                    </w:rPr>
                    <w:t>企业</w:t>
                  </w:r>
                  <w:r>
                    <w:rPr>
                      <w:rFonts w:hint="eastAsia"/>
                      <w:color w:val="auto"/>
                      <w:sz w:val="21"/>
                      <w:szCs w:val="21"/>
                      <w:highlight w:val="none"/>
                      <w:lang w:bidi="ar"/>
                    </w:rPr>
                    <w:t>，</w:t>
                  </w:r>
                  <w:r>
                    <w:rPr>
                      <w:rFonts w:hint="eastAsia"/>
                      <w:color w:val="auto"/>
                      <w:sz w:val="21"/>
                      <w:szCs w:val="21"/>
                      <w:highlight w:val="none"/>
                      <w:lang w:val="en-US" w:eastAsia="zh-CN" w:bidi="ar"/>
                    </w:rPr>
                    <w:t>项目生活污水经厂区化粪池处理后</w:t>
                  </w:r>
                  <w:r>
                    <w:rPr>
                      <w:rFonts w:hint="eastAsia"/>
                      <w:color w:val="auto"/>
                      <w:sz w:val="21"/>
                      <w:szCs w:val="21"/>
                      <w:highlight w:val="none"/>
                      <w:lang w:bidi="ar"/>
                    </w:rPr>
                    <w:t>达到《污水综合排放标准》（GB8978-1996）中三级标准并满足污水处理厂接管标准后，通过废水总排放口排入</w:t>
                  </w:r>
                  <w:r>
                    <w:rPr>
                      <w:rFonts w:hint="eastAsia"/>
                      <w:color w:val="auto"/>
                      <w:sz w:val="21"/>
                      <w:szCs w:val="21"/>
                      <w:highlight w:val="none"/>
                      <w:lang w:val="en-US" w:eastAsia="zh-CN" w:bidi="ar"/>
                    </w:rPr>
                    <w:t>泗县工业</w:t>
                  </w:r>
                  <w:r>
                    <w:rPr>
                      <w:rFonts w:hint="eastAsia"/>
                      <w:color w:val="auto"/>
                      <w:sz w:val="21"/>
                      <w:szCs w:val="21"/>
                      <w:highlight w:val="none"/>
                      <w:lang w:bidi="ar"/>
                    </w:rPr>
                    <w:t>污水处理厂进一步处理</w:t>
                  </w:r>
                </w:p>
              </w:tc>
              <w:tc>
                <w:tcPr>
                  <w:tcW w:w="924" w:type="dxa"/>
                  <w:vAlign w:val="center"/>
                </w:tcPr>
                <w:p w14:paraId="258BBAA4">
                  <w:pPr>
                    <w:jc w:val="center"/>
                    <w:rPr>
                      <w:color w:val="auto"/>
                      <w:sz w:val="21"/>
                      <w:szCs w:val="21"/>
                      <w:highlight w:val="none"/>
                      <w:lang w:bidi="ar"/>
                    </w:rPr>
                  </w:pPr>
                  <w:r>
                    <w:rPr>
                      <w:rFonts w:hint="eastAsia"/>
                      <w:color w:val="auto"/>
                      <w:sz w:val="21"/>
                      <w:szCs w:val="21"/>
                      <w:highlight w:val="none"/>
                      <w:lang w:bidi="ar"/>
                    </w:rPr>
                    <w:t>相符</w:t>
                  </w:r>
                </w:p>
              </w:tc>
            </w:tr>
            <w:tr w14:paraId="5582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34B7AE9D">
                  <w:pPr>
                    <w:jc w:val="center"/>
                    <w:rPr>
                      <w:color w:val="auto"/>
                      <w:sz w:val="21"/>
                      <w:szCs w:val="21"/>
                      <w:highlight w:val="none"/>
                      <w:lang w:bidi="ar"/>
                    </w:rPr>
                  </w:pPr>
                  <w:r>
                    <w:rPr>
                      <w:rFonts w:hint="eastAsia"/>
                      <w:color w:val="auto"/>
                      <w:sz w:val="21"/>
                      <w:szCs w:val="21"/>
                      <w:highlight w:val="none"/>
                      <w:lang w:bidi="ar"/>
                    </w:rPr>
                    <w:t>3</w:t>
                  </w:r>
                </w:p>
              </w:tc>
              <w:tc>
                <w:tcPr>
                  <w:tcW w:w="2568" w:type="dxa"/>
                  <w:vAlign w:val="center"/>
                </w:tcPr>
                <w:p w14:paraId="29424D6F">
                  <w:pPr>
                    <w:autoSpaceDE w:val="0"/>
                    <w:autoSpaceDN w:val="0"/>
                    <w:adjustRightInd w:val="0"/>
                    <w:jc w:val="center"/>
                    <w:rPr>
                      <w:color w:val="auto"/>
                      <w:kern w:val="0"/>
                      <w:sz w:val="21"/>
                      <w:szCs w:val="21"/>
                      <w:highlight w:val="none"/>
                      <w:lang w:bidi="ar"/>
                    </w:rPr>
                  </w:pPr>
                  <w:r>
                    <w:rPr>
                      <w:color w:val="auto"/>
                      <w:kern w:val="0"/>
                      <w:sz w:val="21"/>
                      <w:szCs w:val="21"/>
                      <w:highlight w:val="none"/>
                      <w:lang w:bidi="ar"/>
                    </w:rPr>
                    <w:t>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w:t>
                  </w:r>
                </w:p>
              </w:tc>
              <w:tc>
                <w:tcPr>
                  <w:tcW w:w="2253" w:type="dxa"/>
                  <w:vAlign w:val="center"/>
                </w:tcPr>
                <w:p w14:paraId="0A0DD4BB">
                  <w:pPr>
                    <w:autoSpaceDE w:val="0"/>
                    <w:autoSpaceDN w:val="0"/>
                    <w:adjustRightInd w:val="0"/>
                    <w:jc w:val="center"/>
                    <w:rPr>
                      <w:rFonts w:hint="eastAsia" w:eastAsia="宋体"/>
                      <w:color w:val="auto"/>
                      <w:sz w:val="21"/>
                      <w:szCs w:val="21"/>
                      <w:highlight w:val="none"/>
                      <w:lang w:val="en-US" w:eastAsia="zh-CN" w:bidi="ar"/>
                    </w:rPr>
                  </w:pPr>
                  <w:r>
                    <w:rPr>
                      <w:rFonts w:hint="default" w:eastAsia="宋体"/>
                      <w:color w:val="auto"/>
                      <w:sz w:val="21"/>
                      <w:szCs w:val="21"/>
                      <w:highlight w:val="none"/>
                      <w:lang w:val="en-US" w:eastAsia="zh-CN" w:bidi="ar"/>
                    </w:rPr>
                    <w:t>项目为C2929塑料零件及其他塑料制品制造，项目使用的油漆VO</w:t>
                  </w:r>
                  <w:r>
                    <w:rPr>
                      <w:rFonts w:hint="default" w:ascii="Times New Roman" w:hAnsi="Times New Roman" w:eastAsia="宋体" w:cs="Times New Roman"/>
                      <w:b w:val="0"/>
                      <w:bCs/>
                      <w:color w:val="auto"/>
                      <w:kern w:val="2"/>
                      <w:sz w:val="21"/>
                      <w:szCs w:val="21"/>
                      <w:highlight w:val="none"/>
                      <w:lang w:val="en-US" w:eastAsia="zh-CN" w:bidi="ar-SA"/>
                    </w:rPr>
                    <w:t>Cs含量为</w:t>
                  </w:r>
                  <w:r>
                    <w:rPr>
                      <w:rFonts w:hint="eastAsia" w:ascii="Times New Roman" w:hAnsi="Times New Roman" w:eastAsia="宋体" w:cs="Times New Roman"/>
                      <w:b w:val="0"/>
                      <w:bCs/>
                      <w:color w:val="auto"/>
                      <w:kern w:val="2"/>
                      <w:sz w:val="21"/>
                      <w:szCs w:val="21"/>
                      <w:highlight w:val="none"/>
                      <w:lang w:val="en-US" w:eastAsia="zh-CN" w:bidi="ar-SA"/>
                    </w:rPr>
                    <w:t>401</w:t>
                  </w:r>
                  <w:r>
                    <w:rPr>
                      <w:rFonts w:hint="default" w:ascii="Times New Roman" w:hAnsi="Times New Roman" w:eastAsia="宋体" w:cs="Times New Roman"/>
                      <w:b w:val="0"/>
                      <w:bCs/>
                      <w:color w:val="auto"/>
                      <w:kern w:val="2"/>
                      <w:sz w:val="21"/>
                      <w:szCs w:val="21"/>
                      <w:highlight w:val="none"/>
                      <w:lang w:val="en-US" w:eastAsia="zh-CN" w:bidi="ar-SA"/>
                    </w:rPr>
                    <w:t>g/L</w:t>
                  </w:r>
                  <w:r>
                    <w:rPr>
                      <w:rFonts w:hint="eastAsia" w:ascii="Times New Roman" w:hAnsi="Times New Roman" w:eastAsia="宋体" w:cs="Times New Roman"/>
                      <w:b w:val="0"/>
                      <w:bCs/>
                      <w:color w:val="auto"/>
                      <w:kern w:val="2"/>
                      <w:sz w:val="21"/>
                      <w:szCs w:val="21"/>
                      <w:highlight w:val="none"/>
                      <w:lang w:val="en-US" w:eastAsia="zh-CN" w:bidi="ar-SA"/>
                    </w:rPr>
                    <w:t>和381.81</w:t>
                  </w:r>
                  <w:r>
                    <w:rPr>
                      <w:rFonts w:hint="default" w:ascii="Times New Roman" w:hAnsi="Times New Roman" w:eastAsia="宋体" w:cs="Times New Roman"/>
                      <w:b w:val="0"/>
                      <w:bCs/>
                      <w:color w:val="auto"/>
                      <w:kern w:val="2"/>
                      <w:sz w:val="21"/>
                      <w:szCs w:val="21"/>
                      <w:highlight w:val="none"/>
                      <w:lang w:val="en-US" w:eastAsia="zh-CN" w:bidi="ar-SA"/>
                    </w:rPr>
                    <w:t>g/L，满足《低挥发性有机化</w:t>
                  </w:r>
                  <w:r>
                    <w:rPr>
                      <w:rFonts w:hint="default" w:eastAsia="宋体"/>
                      <w:color w:val="auto"/>
                      <w:sz w:val="21"/>
                      <w:szCs w:val="21"/>
                      <w:highlight w:val="none"/>
                      <w:lang w:val="en-US" w:eastAsia="zh-CN" w:bidi="ar"/>
                    </w:rPr>
                    <w:t>合物含量涂料产品技术要求》（GB/T38597-2020）表2中玩具涂料VOCs≤420g/L的要求</w:t>
                  </w:r>
                  <w:r>
                    <w:rPr>
                      <w:rFonts w:hint="eastAsia" w:eastAsia="宋体"/>
                      <w:color w:val="auto"/>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不涉及建设生产和使用高VOCs含量的溶剂型涂料、油墨、胶黏剂等项目</w:t>
                  </w:r>
                  <w:r>
                    <w:rPr>
                      <w:rFonts w:hint="eastAsia" w:eastAsia="宋体"/>
                      <w:color w:val="auto"/>
                      <w:sz w:val="21"/>
                      <w:szCs w:val="21"/>
                      <w:highlight w:val="none"/>
                      <w:lang w:val="en-US" w:eastAsia="zh-CN" w:bidi="ar"/>
                    </w:rPr>
                    <w:t>。</w:t>
                  </w:r>
                  <w:r>
                    <w:rPr>
                      <w:rFonts w:hint="eastAsia"/>
                      <w:color w:val="auto"/>
                      <w:sz w:val="21"/>
                      <w:szCs w:val="21"/>
                      <w:highlight w:val="none"/>
                      <w:lang w:val="en-US" w:eastAsia="zh-CN" w:bidi="ar"/>
                    </w:rPr>
                    <w:t>项目生活污水经厂区化粪池处理后</w:t>
                  </w:r>
                  <w:r>
                    <w:rPr>
                      <w:rFonts w:hint="eastAsia"/>
                      <w:color w:val="auto"/>
                      <w:sz w:val="21"/>
                      <w:szCs w:val="21"/>
                      <w:highlight w:val="none"/>
                      <w:lang w:bidi="ar"/>
                    </w:rPr>
                    <w:t>达到《污水综合排放标准》（GB8978-1996）中三级标准并满足污水处理厂接管标准后，通过废水总排放口排入</w:t>
                  </w:r>
                  <w:r>
                    <w:rPr>
                      <w:rFonts w:hint="eastAsia"/>
                      <w:color w:val="auto"/>
                      <w:sz w:val="21"/>
                      <w:szCs w:val="21"/>
                      <w:highlight w:val="none"/>
                      <w:lang w:val="en-US" w:eastAsia="zh-CN" w:bidi="ar"/>
                    </w:rPr>
                    <w:t>泗县工业</w:t>
                  </w:r>
                  <w:r>
                    <w:rPr>
                      <w:rFonts w:hint="eastAsia"/>
                      <w:color w:val="auto"/>
                      <w:sz w:val="21"/>
                      <w:szCs w:val="21"/>
                      <w:highlight w:val="none"/>
                      <w:lang w:bidi="ar"/>
                    </w:rPr>
                    <w:t>污水处理厂进一步处理</w:t>
                  </w:r>
                  <w:r>
                    <w:rPr>
                      <w:rFonts w:hint="eastAsia"/>
                      <w:color w:val="auto"/>
                      <w:sz w:val="21"/>
                      <w:szCs w:val="21"/>
                      <w:highlight w:val="none"/>
                      <w:lang w:eastAsia="zh-CN" w:bidi="ar"/>
                    </w:rPr>
                    <w:t>。</w:t>
                  </w:r>
                </w:p>
              </w:tc>
              <w:tc>
                <w:tcPr>
                  <w:tcW w:w="924" w:type="dxa"/>
                  <w:vAlign w:val="center"/>
                </w:tcPr>
                <w:p w14:paraId="0F36CDD2">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相符</w:t>
                  </w:r>
                </w:p>
              </w:tc>
            </w:tr>
          </w:tbl>
          <w:p w14:paraId="7F55A5E0">
            <w:pPr>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w:t>
            </w:r>
            <w:r>
              <w:rPr>
                <w:rFonts w:hint="eastAsia" w:cs="Times New Roman"/>
                <w:b w:val="0"/>
                <w:bCs w:val="0"/>
                <w:color w:val="auto"/>
                <w:kern w:val="0"/>
                <w:sz w:val="24"/>
                <w:szCs w:val="24"/>
                <w:highlight w:val="none"/>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项目与关于印发《安徽</w:t>
            </w:r>
            <w:r>
              <w:rPr>
                <w:rFonts w:hint="eastAsia" w:asciiTheme="minorEastAsia" w:hAnsiTheme="minorEastAsia" w:eastAsiaTheme="minorEastAsia" w:cstheme="minorEastAsia"/>
                <w:b w:val="0"/>
                <w:bCs w:val="0"/>
                <w:color w:val="auto"/>
                <w:kern w:val="0"/>
                <w:sz w:val="24"/>
                <w:szCs w:val="24"/>
                <w:highlight w:val="none"/>
                <w:lang w:val="en-US" w:eastAsia="zh-CN"/>
              </w:rPr>
              <w:t>省“十四五”生</w:t>
            </w:r>
            <w:r>
              <w:rPr>
                <w:rFonts w:hint="default" w:ascii="Times New Roman" w:hAnsi="Times New Roman" w:eastAsia="宋体" w:cs="Times New Roman"/>
                <w:b w:val="0"/>
                <w:bCs w:val="0"/>
                <w:color w:val="auto"/>
                <w:kern w:val="0"/>
                <w:sz w:val="24"/>
                <w:szCs w:val="24"/>
                <w:highlight w:val="none"/>
                <w:lang w:val="en-US" w:eastAsia="zh-CN"/>
              </w:rPr>
              <w:t>态环境保护规划》的通知（皖环发</w:t>
            </w:r>
            <w:r>
              <w:rPr>
                <w:rFonts w:hint="eastAsia" w:ascii="Times New Roman" w:hAnsi="Times New Roman" w:eastAsia="宋体" w:cs="Times New Roman"/>
                <w:b w:val="0"/>
                <w:bCs w:val="0"/>
                <w:color w:val="auto"/>
                <w:kern w:val="0"/>
                <w:sz w:val="24"/>
                <w:szCs w:val="24"/>
                <w:highlight w:val="none"/>
                <w:lang w:val="en-US" w:eastAsia="zh-CN"/>
              </w:rPr>
              <w:t>【2022】</w:t>
            </w:r>
            <w:r>
              <w:rPr>
                <w:rFonts w:hint="default" w:ascii="Times New Roman" w:hAnsi="Times New Roman" w:eastAsia="宋体" w:cs="Times New Roman"/>
                <w:b w:val="0"/>
                <w:bCs w:val="0"/>
                <w:color w:val="auto"/>
                <w:kern w:val="0"/>
                <w:sz w:val="24"/>
                <w:szCs w:val="24"/>
                <w:highlight w:val="none"/>
                <w:lang w:val="en-US" w:eastAsia="zh-CN"/>
              </w:rPr>
              <w:t>8号）相符性分析</w:t>
            </w:r>
          </w:p>
          <w:p w14:paraId="5E6BE581">
            <w:pPr>
              <w:pStyle w:val="33"/>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与关于印发《安徽</w:t>
            </w:r>
            <w:r>
              <w:rPr>
                <w:rFonts w:hint="eastAsia" w:asciiTheme="minorEastAsia" w:hAnsiTheme="minorEastAsia" w:eastAsiaTheme="minorEastAsia" w:cstheme="minorEastAsia"/>
                <w:b/>
                <w:bCs/>
                <w:color w:val="auto"/>
                <w:sz w:val="24"/>
                <w:szCs w:val="24"/>
                <w:highlight w:val="none"/>
                <w:lang w:val="en-US" w:eastAsia="zh-CN"/>
              </w:rPr>
              <w:t>省“十四五”生</w:t>
            </w:r>
            <w:r>
              <w:rPr>
                <w:rFonts w:hint="default" w:ascii="Times New Roman" w:hAnsi="Times New Roman" w:eastAsia="宋体" w:cs="Times New Roman"/>
                <w:b/>
                <w:bCs/>
                <w:color w:val="auto"/>
                <w:sz w:val="24"/>
                <w:szCs w:val="24"/>
                <w:highlight w:val="none"/>
                <w:lang w:val="en-US" w:eastAsia="zh-CN"/>
              </w:rPr>
              <w:t>态环境保护规划》的通知（皖环发</w:t>
            </w:r>
            <w:r>
              <w:rPr>
                <w:rFonts w:hint="eastAsia" w:ascii="Times New Roman" w:hAnsi="Times New Roman" w:eastAsia="宋体" w:cs="Times New Roman"/>
                <w:b/>
                <w:bCs/>
                <w:color w:val="auto"/>
                <w:sz w:val="24"/>
                <w:szCs w:val="24"/>
                <w:highlight w:val="none"/>
                <w:lang w:val="en-US" w:eastAsia="zh-CN"/>
              </w:rPr>
              <w:t>【2022】</w:t>
            </w:r>
            <w:r>
              <w:rPr>
                <w:rFonts w:hint="default" w:ascii="Times New Roman" w:hAnsi="Times New Roman" w:eastAsia="宋体" w:cs="Times New Roman"/>
                <w:b/>
                <w:bCs/>
                <w:color w:val="auto"/>
                <w:sz w:val="24"/>
                <w:szCs w:val="24"/>
                <w:highlight w:val="none"/>
                <w:lang w:val="en-US" w:eastAsia="zh-CN"/>
              </w:rPr>
              <w:t>8号）相符性分析一览表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92"/>
              <w:gridCol w:w="2260"/>
              <w:gridCol w:w="792"/>
            </w:tblGrid>
            <w:tr w14:paraId="156E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noWrap w:val="0"/>
                  <w:vAlign w:val="center"/>
                </w:tcPr>
                <w:p w14:paraId="0EBF5D2F">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80" w:type="pct"/>
                  <w:noWrap w:val="0"/>
                  <w:vAlign w:val="center"/>
                </w:tcPr>
                <w:p w14:paraId="05EA3B0E">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文件内容</w:t>
                  </w:r>
                </w:p>
              </w:tc>
              <w:tc>
                <w:tcPr>
                  <w:tcW w:w="1746" w:type="pct"/>
                  <w:noWrap w:val="0"/>
                  <w:vAlign w:val="center"/>
                </w:tcPr>
                <w:p w14:paraId="0DF6DD7C">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612" w:type="pct"/>
                  <w:noWrap w:val="0"/>
                  <w:vAlign w:val="center"/>
                </w:tcPr>
                <w:p w14:paraId="55C4E17C">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3440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noWrap w:val="0"/>
                  <w:vAlign w:val="center"/>
                </w:tcPr>
                <w:p w14:paraId="618DD541">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80" w:type="pct"/>
                  <w:noWrap w:val="0"/>
                  <w:vAlign w:val="center"/>
                </w:tcPr>
                <w:p w14:paraId="2F46CF09">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zh-CN"/>
                    </w:rPr>
                    <w:t>强化重点行业企业综合治理。加强重点行业脱硫脱硝、除尘设施运行监管，持续开展水泥、制药等重点行业废气排放提标改造，鼓励企业实施超低排放改造，推广多污染物协同控制技术</w:t>
                  </w:r>
                </w:p>
              </w:tc>
              <w:tc>
                <w:tcPr>
                  <w:tcW w:w="1746" w:type="pct"/>
                  <w:noWrap w:val="0"/>
                  <w:vAlign w:val="center"/>
                </w:tcPr>
                <w:p w14:paraId="0766B33F">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不属于上述行业</w:t>
                  </w:r>
                </w:p>
              </w:tc>
              <w:tc>
                <w:tcPr>
                  <w:tcW w:w="612" w:type="pct"/>
                  <w:noWrap w:val="0"/>
                  <w:vAlign w:val="center"/>
                </w:tcPr>
                <w:p w14:paraId="1855CA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eastAsia="zh-CN"/>
                    </w:rPr>
                    <w:t>符合</w:t>
                  </w:r>
                </w:p>
              </w:tc>
            </w:tr>
            <w:tr w14:paraId="1309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noWrap w:val="0"/>
                  <w:vAlign w:val="center"/>
                </w:tcPr>
                <w:p w14:paraId="0632F758">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80" w:type="pct"/>
                  <w:noWrap w:val="0"/>
                  <w:vAlign w:val="center"/>
                </w:tcPr>
                <w:p w14:paraId="65AB612C">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深入开展锅炉、炉窑综合整治。实施重点涉工业炉窑企业深度治理或清洁能源替代，完成65蒸吨及以上燃煤锅炉节能改造。持续开展散煤污染治理行动，严格查处非法销售、使用非清洁散煤等行为</w:t>
                  </w:r>
                </w:p>
              </w:tc>
              <w:tc>
                <w:tcPr>
                  <w:tcW w:w="1746" w:type="pct"/>
                  <w:noWrap w:val="0"/>
                  <w:vAlign w:val="center"/>
                </w:tcPr>
                <w:p w14:paraId="32263D50">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项目不涉及锅炉及炉窑</w:t>
                  </w:r>
                  <w:r>
                    <w:rPr>
                      <w:rFonts w:hint="default" w:ascii="Times New Roman" w:hAnsi="Times New Roman" w:eastAsia="宋体" w:cs="Times New Roman"/>
                      <w:color w:val="auto"/>
                      <w:sz w:val="21"/>
                      <w:szCs w:val="21"/>
                      <w:highlight w:val="none"/>
                      <w:lang w:eastAsia="zh-CN"/>
                    </w:rPr>
                    <w:t>的使用</w:t>
                  </w:r>
                </w:p>
              </w:tc>
              <w:tc>
                <w:tcPr>
                  <w:tcW w:w="612" w:type="pct"/>
                  <w:noWrap w:val="0"/>
                  <w:vAlign w:val="center"/>
                </w:tcPr>
                <w:p w14:paraId="7A8011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eastAsia="zh-CN"/>
                    </w:rPr>
                    <w:t>符合</w:t>
                  </w:r>
                </w:p>
              </w:tc>
            </w:tr>
            <w:tr w14:paraId="6D80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noWrap w:val="0"/>
                  <w:vAlign w:val="center"/>
                </w:tcPr>
                <w:p w14:paraId="1CECD769">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080" w:type="pct"/>
                  <w:noWrap w:val="0"/>
                  <w:vAlign w:val="center"/>
                </w:tcPr>
                <w:p w14:paraId="47162B80">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1746" w:type="pct"/>
                  <w:noWrap w:val="0"/>
                  <w:vAlign w:val="center"/>
                </w:tcPr>
                <w:p w14:paraId="1A7903CD">
                  <w:pPr>
                    <w:pStyle w:val="3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eastAsia="宋体"/>
                      <w:color w:val="auto"/>
                      <w:sz w:val="21"/>
                      <w:szCs w:val="21"/>
                      <w:highlight w:val="none"/>
                      <w:lang w:val="en-US" w:eastAsia="zh-CN" w:bidi="ar"/>
                    </w:rPr>
                    <w:t>项目为C2929塑料零件及其他塑料制品制造，项目使用的油漆VO</w:t>
                  </w:r>
                  <w:r>
                    <w:rPr>
                      <w:rFonts w:hint="default" w:ascii="Times New Roman" w:hAnsi="Times New Roman" w:eastAsia="宋体" w:cs="Times New Roman"/>
                      <w:b w:val="0"/>
                      <w:bCs/>
                      <w:color w:val="auto"/>
                      <w:kern w:val="2"/>
                      <w:sz w:val="21"/>
                      <w:szCs w:val="21"/>
                      <w:highlight w:val="none"/>
                      <w:lang w:val="en-US" w:eastAsia="zh-CN" w:bidi="ar-SA"/>
                    </w:rPr>
                    <w:t>Cs含量为</w:t>
                  </w:r>
                  <w:r>
                    <w:rPr>
                      <w:rFonts w:hint="eastAsia" w:ascii="Times New Roman" w:hAnsi="Times New Roman" w:eastAsia="宋体" w:cs="Times New Roman"/>
                      <w:b w:val="0"/>
                      <w:bCs/>
                      <w:color w:val="auto"/>
                      <w:kern w:val="2"/>
                      <w:sz w:val="21"/>
                      <w:szCs w:val="21"/>
                      <w:highlight w:val="none"/>
                      <w:lang w:val="en-US" w:eastAsia="zh-CN" w:bidi="ar-SA"/>
                    </w:rPr>
                    <w:t>401</w:t>
                  </w:r>
                  <w:r>
                    <w:rPr>
                      <w:rFonts w:hint="default" w:ascii="Times New Roman" w:hAnsi="Times New Roman" w:eastAsia="宋体" w:cs="Times New Roman"/>
                      <w:b w:val="0"/>
                      <w:bCs/>
                      <w:color w:val="auto"/>
                      <w:kern w:val="2"/>
                      <w:sz w:val="21"/>
                      <w:szCs w:val="21"/>
                      <w:highlight w:val="none"/>
                      <w:lang w:val="en-US" w:eastAsia="zh-CN" w:bidi="ar-SA"/>
                    </w:rPr>
                    <w:t>g/L</w:t>
                  </w:r>
                  <w:r>
                    <w:rPr>
                      <w:rFonts w:hint="eastAsia" w:ascii="Times New Roman" w:hAnsi="Times New Roman" w:eastAsia="宋体" w:cs="Times New Roman"/>
                      <w:b w:val="0"/>
                      <w:bCs/>
                      <w:color w:val="auto"/>
                      <w:kern w:val="2"/>
                      <w:sz w:val="21"/>
                      <w:szCs w:val="21"/>
                      <w:highlight w:val="none"/>
                      <w:lang w:val="en-US" w:eastAsia="zh-CN" w:bidi="ar-SA"/>
                    </w:rPr>
                    <w:t>和381.81</w:t>
                  </w:r>
                  <w:r>
                    <w:rPr>
                      <w:rFonts w:hint="default" w:ascii="Times New Roman" w:hAnsi="Times New Roman" w:eastAsia="宋体" w:cs="Times New Roman"/>
                      <w:b w:val="0"/>
                      <w:bCs/>
                      <w:color w:val="auto"/>
                      <w:kern w:val="2"/>
                      <w:sz w:val="21"/>
                      <w:szCs w:val="21"/>
                      <w:highlight w:val="none"/>
                      <w:lang w:val="en-US" w:eastAsia="zh-CN" w:bidi="ar-SA"/>
                    </w:rPr>
                    <w:t>g/L，满足《低挥发性有机化</w:t>
                  </w:r>
                  <w:r>
                    <w:rPr>
                      <w:rFonts w:hint="default" w:eastAsia="宋体"/>
                      <w:color w:val="auto"/>
                      <w:sz w:val="21"/>
                      <w:szCs w:val="21"/>
                      <w:highlight w:val="none"/>
                      <w:lang w:val="en-US" w:eastAsia="zh-CN" w:bidi="ar"/>
                    </w:rPr>
                    <w:t>合物含量涂料产品技术要求》（GB/T38597-2020）表2中玩具涂料VOCs≤420g/L的要求</w:t>
                  </w:r>
                  <w:r>
                    <w:rPr>
                      <w:rFonts w:hint="eastAsia" w:eastAsia="宋体"/>
                      <w:color w:val="auto"/>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不涉及建设生产和使用高VOCs含量的溶剂型涂料、油墨、胶黏剂等项目</w:t>
                  </w:r>
                  <w:r>
                    <w:rPr>
                      <w:rFonts w:hint="eastAsia" w:eastAsia="宋体"/>
                      <w:color w:val="auto"/>
                      <w:sz w:val="21"/>
                      <w:szCs w:val="21"/>
                      <w:highlight w:val="none"/>
                      <w:lang w:val="en-US" w:eastAsia="zh-CN" w:bidi="ar"/>
                    </w:rPr>
                    <w:t>。</w:t>
                  </w:r>
                  <w:r>
                    <w:rPr>
                      <w:rFonts w:hint="eastAsia"/>
                      <w:color w:val="auto"/>
                      <w:sz w:val="21"/>
                      <w:szCs w:val="21"/>
                      <w:highlight w:val="none"/>
                      <w:lang w:val="en-US" w:eastAsia="zh-CN" w:bidi="ar"/>
                    </w:rPr>
                    <w:t>项目生活污水经厂区化粪池处理后</w:t>
                  </w:r>
                  <w:r>
                    <w:rPr>
                      <w:rFonts w:hint="eastAsia"/>
                      <w:color w:val="auto"/>
                      <w:sz w:val="21"/>
                      <w:szCs w:val="21"/>
                      <w:highlight w:val="none"/>
                      <w:lang w:bidi="ar"/>
                    </w:rPr>
                    <w:t>达到《污水综合排放标准》（GB8978-1996）中三级标准并满足污水处理厂接管标准后，通过废水总排放口排入</w:t>
                  </w:r>
                  <w:r>
                    <w:rPr>
                      <w:rFonts w:hint="eastAsia"/>
                      <w:color w:val="auto"/>
                      <w:sz w:val="21"/>
                      <w:szCs w:val="21"/>
                      <w:highlight w:val="none"/>
                      <w:lang w:val="en-US" w:eastAsia="zh-CN" w:bidi="ar"/>
                    </w:rPr>
                    <w:t>泗县工业</w:t>
                  </w:r>
                  <w:r>
                    <w:rPr>
                      <w:rFonts w:hint="eastAsia"/>
                      <w:color w:val="auto"/>
                      <w:sz w:val="21"/>
                      <w:szCs w:val="21"/>
                      <w:highlight w:val="none"/>
                      <w:lang w:bidi="ar"/>
                    </w:rPr>
                    <w:t>污水处理厂进一步处理</w:t>
                  </w:r>
                  <w:r>
                    <w:rPr>
                      <w:rFonts w:hint="eastAsia"/>
                      <w:color w:val="auto"/>
                      <w:sz w:val="21"/>
                      <w:szCs w:val="21"/>
                      <w:highlight w:val="none"/>
                      <w:lang w:eastAsia="zh-CN" w:bidi="ar"/>
                    </w:rPr>
                    <w:t>。</w:t>
                  </w:r>
                </w:p>
              </w:tc>
              <w:tc>
                <w:tcPr>
                  <w:tcW w:w="612" w:type="pct"/>
                  <w:noWrap w:val="0"/>
                  <w:vAlign w:val="center"/>
                </w:tcPr>
                <w:p w14:paraId="269C05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eastAsia="zh-CN"/>
                    </w:rPr>
                    <w:t>符合</w:t>
                  </w:r>
                </w:p>
              </w:tc>
            </w:tr>
          </w:tbl>
          <w:p w14:paraId="1E4A1438">
            <w:pPr>
              <w:autoSpaceDE w:val="0"/>
              <w:autoSpaceDN w:val="0"/>
              <w:adjustRightInd w:val="0"/>
              <w:snapToGrid w:val="0"/>
              <w:spacing w:before="120" w:beforeLines="50" w:line="360" w:lineRule="auto"/>
              <w:ind w:firstLine="482" w:firstLineChars="200"/>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4</w:t>
            </w:r>
            <w:r>
              <w:rPr>
                <w:rFonts w:hint="default" w:ascii="Times New Roman" w:hAnsi="Times New Roman" w:cs="Times New Roman"/>
                <w:b/>
                <w:color w:val="auto"/>
                <w:kern w:val="0"/>
                <w:highlight w:val="none"/>
              </w:rPr>
              <w:t>）与《</w:t>
            </w:r>
            <w:r>
              <w:rPr>
                <w:rFonts w:hint="default" w:ascii="Times New Roman" w:hAnsi="Times New Roman" w:cs="Times New Roman"/>
                <w:b/>
                <w:bCs/>
                <w:color w:val="auto"/>
                <w:szCs w:val="21"/>
                <w:highlight w:val="none"/>
                <w:lang w:bidi="ar"/>
              </w:rPr>
              <w:t>挥发性有机物（VOCs）污染防治技术政策</w:t>
            </w:r>
            <w:r>
              <w:rPr>
                <w:rFonts w:hint="default" w:ascii="Times New Roman" w:hAnsi="Times New Roman" w:cs="Times New Roman"/>
                <w:b/>
                <w:color w:val="auto"/>
                <w:kern w:val="0"/>
                <w:highlight w:val="none"/>
              </w:rPr>
              <w:t>》的相符性</w:t>
            </w:r>
          </w:p>
          <w:p w14:paraId="53C8B345">
            <w:pPr>
              <w:pStyle w:val="4"/>
              <w:numPr>
                <w:ilvl w:val="2"/>
                <w:numId w:val="0"/>
              </w:numPr>
              <w:adjustRightInd w:val="0"/>
              <w:snapToGrid w:val="0"/>
              <w:spacing w:before="0" w:after="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 xml:space="preserve">  与挥发性有机物（VOCs）污染防治技术政策相符性</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3250"/>
              <w:gridCol w:w="1576"/>
              <w:gridCol w:w="928"/>
            </w:tblGrid>
            <w:tr w14:paraId="2AE4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4" w:type="dxa"/>
                  <w:vAlign w:val="center"/>
                </w:tcPr>
                <w:p w14:paraId="777B403A">
                  <w:pPr>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序号</w:t>
                  </w:r>
                </w:p>
              </w:tc>
              <w:tc>
                <w:tcPr>
                  <w:tcW w:w="3145" w:type="dxa"/>
                  <w:vAlign w:val="center"/>
                </w:tcPr>
                <w:p w14:paraId="6CEFCBC8">
                  <w:pPr>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方案内容</w:t>
                  </w:r>
                </w:p>
              </w:tc>
              <w:tc>
                <w:tcPr>
                  <w:tcW w:w="1525" w:type="dxa"/>
                  <w:vAlign w:val="center"/>
                </w:tcPr>
                <w:p w14:paraId="288FC182">
                  <w:pPr>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项目情况</w:t>
                  </w:r>
                </w:p>
              </w:tc>
              <w:tc>
                <w:tcPr>
                  <w:tcW w:w="898" w:type="dxa"/>
                  <w:vAlign w:val="center"/>
                </w:tcPr>
                <w:p w14:paraId="29581F68">
                  <w:pPr>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相符性</w:t>
                  </w:r>
                </w:p>
              </w:tc>
            </w:tr>
            <w:tr w14:paraId="14E5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4" w:type="dxa"/>
                  <w:vAlign w:val="center"/>
                </w:tcPr>
                <w:p w14:paraId="653498CF">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1</w:t>
                  </w:r>
                </w:p>
              </w:tc>
              <w:tc>
                <w:tcPr>
                  <w:tcW w:w="3145" w:type="dxa"/>
                  <w:vAlign w:val="center"/>
                </w:tcPr>
                <w:p w14:paraId="346FC234">
                  <w:pPr>
                    <w:autoSpaceDE w:val="0"/>
                    <w:autoSpaceDN w:val="0"/>
                    <w:adjustRightIn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鼓励使用通过环境标志产品认证的环保型涂料、水性油墨、胶粘剂和清洗剂</w:t>
                  </w:r>
                </w:p>
              </w:tc>
              <w:tc>
                <w:tcPr>
                  <w:tcW w:w="1525" w:type="dxa"/>
                  <w:vMerge w:val="restart"/>
                  <w:vAlign w:val="center"/>
                </w:tcPr>
                <w:p w14:paraId="5CFF23B5">
                  <w:pPr>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bidi="ar"/>
                    </w:rPr>
                    <w:t>企业采用的</w:t>
                  </w:r>
                  <w:r>
                    <w:rPr>
                      <w:rFonts w:hint="default" w:ascii="Times New Roman" w:hAnsi="Times New Roman" w:cs="Times New Roman"/>
                      <w:color w:val="auto"/>
                      <w:sz w:val="21"/>
                      <w:szCs w:val="21"/>
                      <w:highlight w:val="none"/>
                      <w:lang w:val="en-US" w:eastAsia="zh-CN" w:bidi="ar"/>
                    </w:rPr>
                    <w:t>涂料为</w:t>
                  </w:r>
                  <w:r>
                    <w:rPr>
                      <w:rFonts w:hint="eastAsia" w:cs="Times New Roman"/>
                      <w:color w:val="auto"/>
                      <w:sz w:val="21"/>
                      <w:szCs w:val="21"/>
                      <w:highlight w:val="none"/>
                      <w:lang w:val="en-US" w:eastAsia="zh-CN" w:bidi="ar"/>
                    </w:rPr>
                    <w:t>高固分</w:t>
                  </w:r>
                  <w:r>
                    <w:rPr>
                      <w:rFonts w:hint="default" w:ascii="Times New Roman" w:hAnsi="Times New Roman" w:cs="Times New Roman"/>
                      <w:color w:val="auto"/>
                      <w:sz w:val="21"/>
                      <w:szCs w:val="21"/>
                      <w:highlight w:val="none"/>
                      <w:lang w:val="en-US" w:eastAsia="zh-CN" w:bidi="ar"/>
                    </w:rPr>
                    <w:t>涂料</w:t>
                  </w:r>
                  <w:r>
                    <w:rPr>
                      <w:rFonts w:hint="default" w:ascii="Times New Roman" w:hAnsi="Times New Roman" w:cs="Times New Roman"/>
                      <w:color w:val="auto"/>
                      <w:sz w:val="21"/>
                      <w:szCs w:val="21"/>
                      <w:highlight w:val="none"/>
                      <w:lang w:bidi="ar"/>
                    </w:rPr>
                    <w:t>；</w:t>
                  </w:r>
                  <w:r>
                    <w:rPr>
                      <w:rFonts w:hint="eastAsia" w:cs="Times New Roman"/>
                      <w:color w:val="auto"/>
                      <w:sz w:val="21"/>
                      <w:szCs w:val="21"/>
                      <w:highlight w:val="none"/>
                      <w:lang w:val="en-US" w:eastAsia="zh-CN" w:bidi="ar"/>
                    </w:rPr>
                    <w:t>工序产生废气</w:t>
                  </w:r>
                  <w:r>
                    <w:rPr>
                      <w:rFonts w:hint="default" w:ascii="Times New Roman" w:hAnsi="Times New Roman" w:cs="Times New Roman"/>
                      <w:color w:val="auto"/>
                      <w:sz w:val="21"/>
                      <w:szCs w:val="21"/>
                      <w:highlight w:val="none"/>
                      <w:lang w:bidi="ar"/>
                    </w:rPr>
                    <w:t>经</w:t>
                  </w:r>
                  <w:r>
                    <w:rPr>
                      <w:rFonts w:hint="eastAsia" w:cs="Times New Roman"/>
                      <w:color w:val="auto"/>
                      <w:sz w:val="21"/>
                      <w:szCs w:val="21"/>
                      <w:highlight w:val="none"/>
                      <w:lang w:val="en-US" w:eastAsia="zh-CN" w:bidi="ar"/>
                    </w:rPr>
                    <w:t>管道收集</w:t>
                  </w:r>
                  <w:r>
                    <w:rPr>
                      <w:rFonts w:hint="default" w:ascii="Times New Roman" w:hAnsi="Times New Roman" w:cs="Times New Roman"/>
                      <w:color w:val="auto"/>
                      <w:sz w:val="21"/>
                      <w:szCs w:val="21"/>
                      <w:highlight w:val="none"/>
                      <w:lang w:bidi="ar"/>
                    </w:rPr>
                    <w:t>，收集效率可达9</w:t>
                  </w:r>
                  <w:r>
                    <w:rPr>
                      <w:rFonts w:hint="eastAsia" w:cs="Times New Roman"/>
                      <w:color w:val="auto"/>
                      <w:sz w:val="21"/>
                      <w:szCs w:val="21"/>
                      <w:highlight w:val="none"/>
                      <w:lang w:val="en-US" w:eastAsia="zh-CN" w:bidi="ar"/>
                    </w:rPr>
                    <w:t>0</w:t>
                  </w:r>
                  <w:r>
                    <w:rPr>
                      <w:rFonts w:hint="default" w:ascii="Times New Roman" w:hAnsi="Times New Roman" w:cs="Times New Roman"/>
                      <w:color w:val="auto"/>
                      <w:sz w:val="21"/>
                      <w:szCs w:val="21"/>
                      <w:highlight w:val="none"/>
                      <w:lang w:bidi="ar"/>
                    </w:rPr>
                    <w:t>%</w:t>
                  </w:r>
                  <w:r>
                    <w:rPr>
                      <w:rFonts w:hint="eastAsia" w:ascii="Times New Roman" w:hAnsi="Times New Roman" w:cs="Times New Roman"/>
                      <w:color w:val="auto"/>
                      <w:sz w:val="21"/>
                      <w:szCs w:val="21"/>
                      <w:highlight w:val="none"/>
                      <w:lang w:val="en-US" w:eastAsia="zh-CN" w:bidi="ar"/>
                    </w:rPr>
                    <w:t>以上</w:t>
                  </w:r>
                  <w:r>
                    <w:rPr>
                      <w:rFonts w:hint="default"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bidi="ar"/>
                    </w:rPr>
                    <w:t>采取</w:t>
                  </w:r>
                  <w:r>
                    <w:rPr>
                      <w:rFonts w:hint="eastAsia" w:cs="Times New Roman"/>
                      <w:color w:val="auto"/>
                      <w:sz w:val="21"/>
                      <w:szCs w:val="21"/>
                      <w:highlight w:val="none"/>
                      <w:lang w:val="en-US" w:eastAsia="zh-CN" w:bidi="ar"/>
                    </w:rPr>
                    <w:t>一级水喷淋+活性炭吸附/脱附+RCO装置</w:t>
                  </w:r>
                  <w:r>
                    <w:rPr>
                      <w:rFonts w:hint="default" w:ascii="Times New Roman" w:hAnsi="Times New Roman" w:cs="Times New Roman"/>
                      <w:color w:val="auto"/>
                      <w:sz w:val="21"/>
                      <w:szCs w:val="21"/>
                      <w:highlight w:val="none"/>
                      <w:lang w:bidi="ar"/>
                    </w:rPr>
                    <w:t>处理有机废气</w:t>
                  </w:r>
                  <w:r>
                    <w:rPr>
                      <w:rFonts w:hint="eastAsia" w:cs="Times New Roman"/>
                      <w:color w:val="auto"/>
                      <w:sz w:val="21"/>
                      <w:szCs w:val="21"/>
                      <w:highlight w:val="none"/>
                      <w:lang w:eastAsia="zh-CN" w:bidi="ar"/>
                    </w:rPr>
                    <w:t>，</w:t>
                  </w:r>
                  <w:r>
                    <w:rPr>
                      <w:rFonts w:hint="eastAsia" w:cs="Times New Roman"/>
                      <w:color w:val="auto"/>
                      <w:sz w:val="21"/>
                      <w:szCs w:val="21"/>
                      <w:highlight w:val="none"/>
                      <w:lang w:val="en-US" w:eastAsia="zh-CN" w:bidi="ar"/>
                    </w:rPr>
                    <w:t>注塑工序采用二级活性炭吸附装置处理</w:t>
                  </w:r>
                </w:p>
              </w:tc>
              <w:tc>
                <w:tcPr>
                  <w:tcW w:w="898" w:type="dxa"/>
                  <w:vMerge w:val="restart"/>
                  <w:vAlign w:val="center"/>
                </w:tcPr>
                <w:p w14:paraId="340C8B0A">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相符</w:t>
                  </w:r>
                </w:p>
              </w:tc>
            </w:tr>
            <w:tr w14:paraId="37B7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4" w:type="dxa"/>
                  <w:vAlign w:val="center"/>
                </w:tcPr>
                <w:p w14:paraId="63CB96B2">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2</w:t>
                  </w:r>
                </w:p>
              </w:tc>
              <w:tc>
                <w:tcPr>
                  <w:tcW w:w="3145" w:type="dxa"/>
                  <w:vAlign w:val="center"/>
                </w:tcPr>
                <w:p w14:paraId="1E93CBFA">
                  <w:pPr>
                    <w:autoSpaceDE w:val="0"/>
                    <w:autoSpaceDN w:val="0"/>
                    <w:adjustRightIn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1525" w:type="dxa"/>
                  <w:vMerge w:val="continue"/>
                  <w:vAlign w:val="center"/>
                </w:tcPr>
                <w:p w14:paraId="2E17BBA9">
                  <w:pPr>
                    <w:jc w:val="center"/>
                    <w:rPr>
                      <w:rFonts w:hint="default" w:ascii="Times New Roman" w:hAnsi="Times New Roman" w:cs="Times New Roman"/>
                      <w:color w:val="auto"/>
                      <w:sz w:val="21"/>
                      <w:szCs w:val="21"/>
                      <w:highlight w:val="none"/>
                      <w:lang w:bidi="ar"/>
                    </w:rPr>
                  </w:pPr>
                </w:p>
              </w:tc>
              <w:tc>
                <w:tcPr>
                  <w:tcW w:w="898" w:type="dxa"/>
                  <w:vMerge w:val="continue"/>
                  <w:vAlign w:val="center"/>
                </w:tcPr>
                <w:p w14:paraId="5E565B02">
                  <w:pPr>
                    <w:jc w:val="center"/>
                    <w:rPr>
                      <w:rFonts w:hint="default" w:ascii="Times New Roman" w:hAnsi="Times New Roman" w:cs="Times New Roman"/>
                      <w:color w:val="auto"/>
                      <w:sz w:val="21"/>
                      <w:szCs w:val="21"/>
                      <w:highlight w:val="none"/>
                      <w:lang w:bidi="ar"/>
                    </w:rPr>
                  </w:pPr>
                </w:p>
              </w:tc>
            </w:tr>
            <w:tr w14:paraId="6513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4" w:type="dxa"/>
                  <w:vAlign w:val="center"/>
                </w:tcPr>
                <w:p w14:paraId="5F5B33D9">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3</w:t>
                  </w:r>
                </w:p>
              </w:tc>
              <w:tc>
                <w:tcPr>
                  <w:tcW w:w="3145" w:type="dxa"/>
                  <w:vAlign w:val="center"/>
                </w:tcPr>
                <w:p w14:paraId="65145B4B">
                  <w:pPr>
                    <w:autoSpaceDE w:val="0"/>
                    <w:autoSpaceDN w:val="0"/>
                    <w:adjustRightInd w:val="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含VOCs产品的使用过程中，应采取废气收集措施，提高废气收集效率，减少废气的无组织排放与逸散，并对收集后的废气进行回收或处理后达标排放</w:t>
                  </w:r>
                </w:p>
              </w:tc>
              <w:tc>
                <w:tcPr>
                  <w:tcW w:w="1525" w:type="dxa"/>
                  <w:vMerge w:val="continue"/>
                  <w:vAlign w:val="center"/>
                </w:tcPr>
                <w:p w14:paraId="7329DF79">
                  <w:pPr>
                    <w:jc w:val="center"/>
                    <w:rPr>
                      <w:rFonts w:hint="default" w:ascii="Times New Roman" w:hAnsi="Times New Roman" w:cs="Times New Roman"/>
                      <w:color w:val="auto"/>
                      <w:sz w:val="21"/>
                      <w:szCs w:val="21"/>
                      <w:highlight w:val="none"/>
                      <w:lang w:bidi="ar"/>
                    </w:rPr>
                  </w:pPr>
                </w:p>
              </w:tc>
              <w:tc>
                <w:tcPr>
                  <w:tcW w:w="898" w:type="dxa"/>
                  <w:vMerge w:val="continue"/>
                  <w:vAlign w:val="center"/>
                </w:tcPr>
                <w:p w14:paraId="0AEA52FB">
                  <w:pPr>
                    <w:jc w:val="center"/>
                    <w:rPr>
                      <w:rFonts w:hint="default" w:ascii="Times New Roman" w:hAnsi="Times New Roman" w:cs="Times New Roman"/>
                      <w:color w:val="auto"/>
                      <w:sz w:val="21"/>
                      <w:szCs w:val="21"/>
                      <w:highlight w:val="none"/>
                      <w:lang w:bidi="ar"/>
                    </w:rPr>
                  </w:pPr>
                </w:p>
              </w:tc>
            </w:tr>
          </w:tbl>
          <w:p w14:paraId="42AB110C">
            <w:pPr>
              <w:adjustRightInd w:val="0"/>
              <w:snapToGrid w:val="0"/>
              <w:spacing w:before="120" w:beforeLines="5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）与《重点行业挥发性有机物综合治理方案》的相符性分析</w:t>
            </w:r>
          </w:p>
          <w:p w14:paraId="4895887B">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11</w:t>
            </w:r>
            <w:r>
              <w:rPr>
                <w:rFonts w:hint="default" w:ascii="Times New Roman" w:hAnsi="Times New Roman" w:cs="Times New Roman"/>
                <w:b/>
                <w:bCs/>
                <w:color w:val="auto"/>
                <w:highlight w:val="none"/>
              </w:rPr>
              <w:t xml:space="preserve">  与《重点行业挥发性有机物综合治理方案》相符性分析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273"/>
              <w:gridCol w:w="1734"/>
              <w:gridCol w:w="736"/>
            </w:tblGrid>
            <w:tr w14:paraId="2513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5" w:type="dxa"/>
                  <w:vAlign w:val="center"/>
                </w:tcPr>
                <w:p w14:paraId="33CC7C2B">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序号</w:t>
                  </w:r>
                </w:p>
              </w:tc>
              <w:tc>
                <w:tcPr>
                  <w:tcW w:w="3167" w:type="dxa"/>
                  <w:vAlign w:val="center"/>
                </w:tcPr>
                <w:p w14:paraId="644D0E24">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重点行业挥发性有机物综合治理方案</w:t>
                  </w:r>
                </w:p>
              </w:tc>
              <w:tc>
                <w:tcPr>
                  <w:tcW w:w="1678" w:type="dxa"/>
                  <w:vAlign w:val="center"/>
                </w:tcPr>
                <w:p w14:paraId="32BEB040">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项目情况</w:t>
                  </w:r>
                </w:p>
              </w:tc>
              <w:tc>
                <w:tcPr>
                  <w:tcW w:w="712" w:type="dxa"/>
                  <w:vAlign w:val="center"/>
                </w:tcPr>
                <w:p w14:paraId="460ACB01">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相符性</w:t>
                  </w:r>
                </w:p>
              </w:tc>
            </w:tr>
            <w:tr w14:paraId="771E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5" w:type="dxa"/>
                  <w:vAlign w:val="center"/>
                </w:tcPr>
                <w:p w14:paraId="1F90EE2F">
                  <w:pPr>
                    <w:jc w:val="center"/>
                    <w:rPr>
                      <w:rFonts w:hint="default" w:ascii="Times New Roman" w:hAnsi="Times New Roman" w:cs="Times New Roman"/>
                      <w:b/>
                      <w:bCs/>
                      <w:color w:val="auto"/>
                      <w:highlight w:val="none"/>
                    </w:rPr>
                  </w:pPr>
                  <w:r>
                    <w:rPr>
                      <w:rFonts w:hint="default" w:ascii="Times New Roman" w:hAnsi="Times New Roman" w:cs="Times New Roman"/>
                      <w:color w:val="auto"/>
                      <w:sz w:val="21"/>
                      <w:szCs w:val="21"/>
                      <w:highlight w:val="none"/>
                    </w:rPr>
                    <w:t>1</w:t>
                  </w:r>
                </w:p>
              </w:tc>
              <w:tc>
                <w:tcPr>
                  <w:tcW w:w="3167" w:type="dxa"/>
                  <w:vAlign w:val="center"/>
                </w:tcPr>
                <w:p w14:paraId="2305E6EB">
                  <w:pPr>
                    <w:jc w:val="center"/>
                    <w:rPr>
                      <w:rFonts w:hint="default" w:ascii="Times New Roman" w:hAnsi="Times New Roman" w:cs="Times New Roman"/>
                      <w:b/>
                      <w:bCs/>
                      <w:color w:val="auto"/>
                      <w:highlight w:val="none"/>
                    </w:rPr>
                  </w:pPr>
                  <w:r>
                    <w:rPr>
                      <w:rFonts w:hint="default" w:ascii="Times New Roman" w:hAnsi="Times New Roman" w:cs="Times New Roman"/>
                      <w:color w:val="auto"/>
                      <w:sz w:val="21"/>
                      <w:szCs w:val="21"/>
                      <w:highlight w:val="none"/>
                      <w:shd w:val="clear" w:color="auto" w:fill="FFFFFF"/>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678" w:type="dxa"/>
                  <w:vAlign w:val="center"/>
                </w:tcPr>
                <w:p w14:paraId="0CB518C8">
                  <w:pPr>
                    <w:jc w:val="center"/>
                    <w:rPr>
                      <w:rFonts w:hint="default" w:ascii="Times New Roman" w:hAnsi="Times New Roman" w:cs="Times New Roman"/>
                      <w:b/>
                      <w:bCs/>
                      <w:color w:val="auto"/>
                      <w:highlight w:val="none"/>
                    </w:rPr>
                  </w:pPr>
                  <w:r>
                    <w:rPr>
                      <w:rFonts w:hint="default" w:ascii="Times New Roman" w:hAnsi="Times New Roman" w:cs="Times New Roman"/>
                      <w:color w:val="auto"/>
                      <w:sz w:val="18"/>
                      <w:szCs w:val="18"/>
                      <w:highlight w:val="none"/>
                      <w:lang w:bidi="ar"/>
                    </w:rPr>
                    <w:t>项目使用低VOCs含量的原辅材料，且设废气收集和处理装置，其中挥发性有机物的收集效率为90%以</w:t>
                  </w:r>
                  <w:r>
                    <w:rPr>
                      <w:rFonts w:hint="default" w:ascii="Times New Roman" w:hAnsi="Times New Roman" w:cs="Times New Roman"/>
                      <w:color w:val="auto"/>
                      <w:sz w:val="21"/>
                      <w:szCs w:val="21"/>
                      <w:highlight w:val="none"/>
                      <w:lang w:bidi="ar"/>
                    </w:rPr>
                    <w:t>上</w:t>
                  </w:r>
                </w:p>
              </w:tc>
              <w:tc>
                <w:tcPr>
                  <w:tcW w:w="712" w:type="dxa"/>
                  <w:vAlign w:val="center"/>
                </w:tcPr>
                <w:p w14:paraId="07C779F1">
                  <w:pPr>
                    <w:jc w:val="center"/>
                    <w:rPr>
                      <w:rFonts w:hint="default" w:ascii="Times New Roman" w:hAnsi="Times New Roman" w:cs="Times New Roman"/>
                      <w:b/>
                      <w:bCs/>
                      <w:color w:val="auto"/>
                      <w:highlight w:val="none"/>
                    </w:rPr>
                  </w:pPr>
                  <w:r>
                    <w:rPr>
                      <w:rFonts w:hint="default" w:ascii="Times New Roman" w:hAnsi="Times New Roman" w:cs="Times New Roman"/>
                      <w:color w:val="auto"/>
                      <w:sz w:val="21"/>
                      <w:szCs w:val="21"/>
                      <w:highlight w:val="none"/>
                    </w:rPr>
                    <w:t>相符</w:t>
                  </w:r>
                </w:p>
              </w:tc>
            </w:tr>
            <w:tr w14:paraId="505B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5" w:type="dxa"/>
                  <w:vAlign w:val="center"/>
                </w:tcPr>
                <w:p w14:paraId="675DF27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167" w:type="dxa"/>
                  <w:vAlign w:val="center"/>
                </w:tcPr>
                <w:p w14:paraId="4745081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678" w:type="dxa"/>
                  <w:vAlign w:val="center"/>
                </w:tcPr>
                <w:p w14:paraId="41E7C065">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shd w:val="clear" w:color="auto" w:fill="FFFFFF"/>
                    </w:rPr>
                    <w:t>项目含VOCs物料储存于密闭容器、包装袋中；含VOCs物料生产和使用过程，</w:t>
                  </w:r>
                  <w:r>
                    <w:rPr>
                      <w:rFonts w:hint="eastAsia" w:cs="Times New Roman"/>
                      <w:color w:val="auto"/>
                      <w:sz w:val="21"/>
                      <w:szCs w:val="21"/>
                      <w:highlight w:val="none"/>
                      <w:shd w:val="clear" w:color="auto" w:fill="FFFFFF"/>
                      <w:lang w:val="en-US" w:eastAsia="zh-CN"/>
                    </w:rPr>
                    <w:t>本项目</w:t>
                  </w:r>
                  <w:r>
                    <w:rPr>
                      <w:rFonts w:hint="default" w:ascii="Times New Roman" w:hAnsi="Times New Roman" w:cs="Times New Roman"/>
                      <w:color w:val="auto"/>
                      <w:sz w:val="21"/>
                      <w:szCs w:val="21"/>
                      <w:highlight w:val="none"/>
                      <w:shd w:val="clear" w:color="auto" w:fill="FFFFFF"/>
                    </w:rPr>
                    <w:t>采取</w:t>
                  </w:r>
                  <w:r>
                    <w:rPr>
                      <w:rFonts w:hint="eastAsia" w:cs="Times New Roman"/>
                      <w:color w:val="auto"/>
                      <w:sz w:val="21"/>
                      <w:szCs w:val="21"/>
                      <w:highlight w:val="none"/>
                      <w:shd w:val="clear" w:color="auto" w:fill="FFFFFF"/>
                      <w:lang w:val="en-US" w:eastAsia="zh-CN"/>
                    </w:rPr>
                    <w:t>密闭区域生产</w:t>
                  </w:r>
                </w:p>
              </w:tc>
              <w:tc>
                <w:tcPr>
                  <w:tcW w:w="712" w:type="dxa"/>
                  <w:vAlign w:val="center"/>
                </w:tcPr>
                <w:p w14:paraId="4DF9FF3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bl>
          <w:p w14:paraId="1F0C53C0">
            <w:pPr>
              <w:numPr>
                <w:ilvl w:val="0"/>
                <w:numId w:val="0"/>
              </w:numPr>
              <w:adjustRightInd w:val="0"/>
              <w:snapToGrid w:val="0"/>
              <w:spacing w:before="120" w:beforeLines="50" w:line="360" w:lineRule="auto"/>
              <w:ind w:firstLine="482" w:firstLineChars="200"/>
              <w:jc w:val="left"/>
              <w:rPr>
                <w:rFonts w:hint="eastAsia" w:cs="Times New Roman"/>
                <w:b/>
                <w:bCs/>
                <w:color w:val="auto"/>
                <w:highlight w:val="none"/>
                <w:lang w:val="en-US" w:eastAsia="zh-CN"/>
              </w:rPr>
            </w:pPr>
            <w:r>
              <w:rPr>
                <w:rFonts w:hint="eastAsia" w:cs="Times New Roman"/>
                <w:b/>
                <w:bCs/>
                <w:color w:val="auto"/>
                <w:highlight w:val="none"/>
                <w:lang w:val="en-US" w:eastAsia="zh-CN"/>
              </w:rPr>
              <w:t>（6）与《安徽省低挥发性有机物含量原辅材料替代工作方案》相符性分析</w:t>
            </w:r>
          </w:p>
          <w:p w14:paraId="653D3203">
            <w:pPr>
              <w:jc w:val="center"/>
              <w:outlineLvl w:val="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表1-1</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与《安徽省低挥发性有机物含量原辅材料替代工作方案》相符性分析</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5"/>
              <w:gridCol w:w="1989"/>
              <w:gridCol w:w="726"/>
            </w:tblGrid>
            <w:tr w14:paraId="1838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01" w:type="pct"/>
                  <w:noWrap w:val="0"/>
                  <w:vAlign w:val="center"/>
                </w:tcPr>
                <w:p w14:paraId="0C053D80">
                  <w:pPr>
                    <w:jc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文件内容</w:t>
                  </w:r>
                </w:p>
              </w:tc>
              <w:tc>
                <w:tcPr>
                  <w:tcW w:w="1537" w:type="pct"/>
                  <w:noWrap w:val="0"/>
                  <w:vAlign w:val="center"/>
                </w:tcPr>
                <w:p w14:paraId="579D6F7E">
                  <w:pPr>
                    <w:jc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本项目情况</w:t>
                  </w:r>
                </w:p>
              </w:tc>
              <w:tc>
                <w:tcPr>
                  <w:tcW w:w="561" w:type="pct"/>
                  <w:noWrap w:val="0"/>
                  <w:vAlign w:val="center"/>
                </w:tcPr>
                <w:p w14:paraId="1FE3C366">
                  <w:pPr>
                    <w:jc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相符性</w:t>
                  </w:r>
                </w:p>
              </w:tc>
            </w:tr>
            <w:tr w14:paraId="4FDA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01" w:type="pct"/>
                  <w:noWrap w:val="0"/>
                  <w:vAlign w:val="center"/>
                </w:tcPr>
                <w:p w14:paraId="16189471">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1537" w:type="pct"/>
                  <w:noWrap w:val="0"/>
                  <w:vAlign w:val="center"/>
                </w:tcPr>
                <w:p w14:paraId="3312D12F">
                  <w:pPr>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本项目为</w:t>
                  </w:r>
                  <w:r>
                    <w:rPr>
                      <w:rFonts w:hint="default" w:ascii="Times New Roman" w:hAnsi="Times New Roman" w:eastAsia="宋体" w:cs="Times New Roman"/>
                      <w:color w:val="auto"/>
                      <w:sz w:val="21"/>
                      <w:szCs w:val="21"/>
                      <w:highlight w:val="none"/>
                      <w:lang w:val="en-US" w:eastAsia="zh-CN" w:bidi="ar"/>
                    </w:rPr>
                    <w:t>C2929塑料零件及其他塑料制品制造</w:t>
                  </w:r>
                  <w:r>
                    <w:rPr>
                      <w:rFonts w:hint="default"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项目使用</w:t>
                  </w:r>
                  <w:r>
                    <w:rPr>
                      <w:rFonts w:hint="eastAsia" w:cs="Times New Roman"/>
                      <w:color w:val="auto"/>
                      <w:sz w:val="21"/>
                      <w:szCs w:val="21"/>
                      <w:highlight w:val="none"/>
                      <w:lang w:val="en-US" w:eastAsia="zh-CN" w:bidi="ar"/>
                    </w:rPr>
                    <w:t>油性漆</w:t>
                  </w:r>
                  <w:r>
                    <w:rPr>
                      <w:rFonts w:hint="eastAsia" w:ascii="Times New Roman" w:hAnsi="Times New Roman" w:eastAsia="宋体" w:cs="Times New Roman"/>
                      <w:color w:val="auto"/>
                      <w:sz w:val="21"/>
                      <w:szCs w:val="21"/>
                      <w:highlight w:val="none"/>
                      <w:lang w:val="en-US" w:eastAsia="zh-CN" w:bidi="ar"/>
                    </w:rPr>
                    <w:t>，已按照《低挥发性有机物含量原辅材料源头替代技术指引（试行）》要求，开展低VOCs原辅材料的使用</w:t>
                  </w:r>
                  <w:r>
                    <w:rPr>
                      <w:rFonts w:hint="eastAsia" w:cs="Times New Roman"/>
                      <w:color w:val="auto"/>
                      <w:sz w:val="21"/>
                      <w:szCs w:val="21"/>
                      <w:highlight w:val="none"/>
                      <w:lang w:val="en-US" w:eastAsia="zh-CN" w:bidi="ar"/>
                    </w:rPr>
                    <w:t>，按照产品需求，建议使用耐腐蚀性较强的油性漆，故无法替代</w:t>
                  </w:r>
                </w:p>
              </w:tc>
              <w:tc>
                <w:tcPr>
                  <w:tcW w:w="561" w:type="pct"/>
                  <w:noWrap w:val="0"/>
                  <w:vAlign w:val="center"/>
                </w:tcPr>
                <w:p w14:paraId="14287940">
                  <w:pP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1717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01" w:type="pct"/>
                  <w:noWrap w:val="0"/>
                  <w:vAlign w:val="center"/>
                </w:tcPr>
                <w:p w14:paraId="0C45FBA1">
                  <w:pPr>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严格项目准入。根据《低挥发性有机化合物含量涂料产品技术要求》（GB/T 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537" w:type="pct"/>
                  <w:noWrap w:val="0"/>
                  <w:vAlign w:val="center"/>
                </w:tcPr>
                <w:p w14:paraId="79AEF413">
                  <w:pPr>
                    <w:jc w:val="center"/>
                    <w:rPr>
                      <w:rFonts w:hint="default" w:ascii="Times New Roman" w:hAnsi="Times New Roman" w:eastAsia="宋体" w:cs="Times New Roman"/>
                      <w:color w:val="auto"/>
                      <w:sz w:val="21"/>
                      <w:szCs w:val="21"/>
                      <w:highlight w:val="none"/>
                      <w:lang w:val="en-US" w:eastAsia="zh-CN" w:bidi="ar"/>
                    </w:rPr>
                  </w:pPr>
                  <w:r>
                    <w:rPr>
                      <w:rFonts w:hint="default" w:eastAsia="宋体"/>
                      <w:color w:val="auto"/>
                      <w:sz w:val="21"/>
                      <w:szCs w:val="21"/>
                      <w:highlight w:val="none"/>
                      <w:lang w:val="en-US" w:eastAsia="zh-CN" w:bidi="ar"/>
                    </w:rPr>
                    <w:t>项目为C2929塑料零件及其他塑料制品制造，项目使用的油漆VO</w:t>
                  </w:r>
                  <w:r>
                    <w:rPr>
                      <w:rFonts w:hint="default" w:ascii="Times New Roman" w:hAnsi="Times New Roman" w:eastAsia="宋体" w:cs="Times New Roman"/>
                      <w:b w:val="0"/>
                      <w:bCs/>
                      <w:color w:val="auto"/>
                      <w:kern w:val="2"/>
                      <w:sz w:val="21"/>
                      <w:szCs w:val="21"/>
                      <w:highlight w:val="none"/>
                      <w:lang w:val="en-US" w:eastAsia="zh-CN" w:bidi="ar-SA"/>
                    </w:rPr>
                    <w:t>Cs含量为</w:t>
                  </w:r>
                  <w:r>
                    <w:rPr>
                      <w:rFonts w:hint="eastAsia" w:ascii="Times New Roman" w:hAnsi="Times New Roman" w:eastAsia="宋体" w:cs="Times New Roman"/>
                      <w:b w:val="0"/>
                      <w:bCs/>
                      <w:color w:val="auto"/>
                      <w:kern w:val="2"/>
                      <w:sz w:val="21"/>
                      <w:szCs w:val="21"/>
                      <w:highlight w:val="none"/>
                      <w:lang w:val="en-US" w:eastAsia="zh-CN" w:bidi="ar-SA"/>
                    </w:rPr>
                    <w:t>401</w:t>
                  </w:r>
                  <w:r>
                    <w:rPr>
                      <w:rFonts w:hint="default" w:ascii="Times New Roman" w:hAnsi="Times New Roman" w:eastAsia="宋体" w:cs="Times New Roman"/>
                      <w:b w:val="0"/>
                      <w:bCs/>
                      <w:color w:val="auto"/>
                      <w:kern w:val="2"/>
                      <w:sz w:val="21"/>
                      <w:szCs w:val="21"/>
                      <w:highlight w:val="none"/>
                      <w:lang w:val="en-US" w:eastAsia="zh-CN" w:bidi="ar-SA"/>
                    </w:rPr>
                    <w:t>g/L</w:t>
                  </w:r>
                  <w:r>
                    <w:rPr>
                      <w:rFonts w:hint="eastAsia" w:ascii="Times New Roman" w:hAnsi="Times New Roman" w:eastAsia="宋体" w:cs="Times New Roman"/>
                      <w:b w:val="0"/>
                      <w:bCs/>
                      <w:color w:val="auto"/>
                      <w:kern w:val="2"/>
                      <w:sz w:val="21"/>
                      <w:szCs w:val="21"/>
                      <w:highlight w:val="none"/>
                      <w:lang w:val="en-US" w:eastAsia="zh-CN" w:bidi="ar-SA"/>
                    </w:rPr>
                    <w:t>和381.81</w:t>
                  </w:r>
                  <w:r>
                    <w:rPr>
                      <w:rFonts w:hint="default" w:ascii="Times New Roman" w:hAnsi="Times New Roman" w:eastAsia="宋体" w:cs="Times New Roman"/>
                      <w:b w:val="0"/>
                      <w:bCs/>
                      <w:color w:val="auto"/>
                      <w:kern w:val="2"/>
                      <w:sz w:val="21"/>
                      <w:szCs w:val="21"/>
                      <w:highlight w:val="none"/>
                      <w:lang w:val="en-US" w:eastAsia="zh-CN" w:bidi="ar-SA"/>
                    </w:rPr>
                    <w:t>g/L，满足《低挥发性有机化</w:t>
                  </w:r>
                  <w:r>
                    <w:rPr>
                      <w:rFonts w:hint="default" w:eastAsia="宋体"/>
                      <w:color w:val="auto"/>
                      <w:sz w:val="21"/>
                      <w:szCs w:val="21"/>
                      <w:highlight w:val="none"/>
                      <w:lang w:val="en-US" w:eastAsia="zh-CN" w:bidi="ar"/>
                    </w:rPr>
                    <w:t>合物含量涂料产品技术要求》（GB/T38597-2020）表2中玩具涂料VOCs≤420g/L的要求</w:t>
                  </w:r>
                  <w:r>
                    <w:rPr>
                      <w:rFonts w:hint="eastAsia" w:eastAsia="宋体"/>
                      <w:color w:val="auto"/>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bidi="ar"/>
                    </w:rPr>
                    <w:t>不涉及建设生产和使用高VOCs含量的溶剂型涂料、油墨、胶黏剂等项目</w:t>
                  </w:r>
                </w:p>
              </w:tc>
              <w:tc>
                <w:tcPr>
                  <w:tcW w:w="561" w:type="pct"/>
                  <w:noWrap w:val="0"/>
                  <w:vAlign w:val="center"/>
                </w:tcPr>
                <w:p w14:paraId="7175921F">
                  <w:pP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14:paraId="7CCE2AA7">
            <w:pPr>
              <w:adjustRightInd w:val="0"/>
              <w:snapToGrid w:val="0"/>
              <w:spacing w:before="120" w:beforeLines="50" w:line="360" w:lineRule="auto"/>
              <w:ind w:firstLine="482" w:firstLineChars="20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w:t>
            </w:r>
            <w:r>
              <w:rPr>
                <w:rFonts w:hint="eastAsia" w:cs="Times New Roman"/>
                <w:b/>
                <w:bCs/>
                <w:color w:val="auto"/>
                <w:highlight w:val="none"/>
                <w:lang w:val="en-US" w:eastAsia="zh-CN"/>
              </w:rPr>
              <w:t>7</w:t>
            </w:r>
            <w:r>
              <w:rPr>
                <w:rFonts w:hint="eastAsia" w:ascii="Times New Roman" w:hAnsi="Times New Roman" w:cs="Times New Roman"/>
                <w:b/>
                <w:bCs/>
                <w:color w:val="auto"/>
                <w:highlight w:val="none"/>
                <w:lang w:val="en-US" w:eastAsia="zh-CN"/>
              </w:rPr>
              <w:t>）与《重点行业挥发性有机物治理环境管理技术规范 第一部分 通则》DB34/T 4230.1-2022相符性分析</w:t>
            </w:r>
          </w:p>
          <w:p w14:paraId="2C4A7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pacing w:val="0"/>
                <w:sz w:val="24"/>
                <w:highlight w:val="none"/>
                <w:lang w:val="en-US" w:eastAsia="zh-CN" w:bidi="ar"/>
              </w:rPr>
            </w:pPr>
            <w:r>
              <w:rPr>
                <w:rFonts w:hint="eastAsia" w:ascii="Times New Roman" w:hAnsi="Times New Roman" w:cs="Times New Roman"/>
                <w:b/>
                <w:bCs/>
                <w:color w:val="auto"/>
                <w:spacing w:val="0"/>
                <w:sz w:val="24"/>
                <w:highlight w:val="none"/>
                <w:lang w:val="en-US" w:eastAsia="zh-CN" w:bidi="ar"/>
              </w:rPr>
              <w:t>表1-1</w:t>
            </w:r>
            <w:r>
              <w:rPr>
                <w:rFonts w:hint="eastAsia" w:cs="Times New Roman"/>
                <w:b/>
                <w:bCs/>
                <w:color w:val="auto"/>
                <w:spacing w:val="0"/>
                <w:sz w:val="24"/>
                <w:highlight w:val="none"/>
                <w:lang w:val="en-US" w:eastAsia="zh-CN" w:bidi="ar"/>
              </w:rPr>
              <w:t>3</w:t>
            </w:r>
            <w:r>
              <w:rPr>
                <w:rFonts w:hint="default" w:ascii="Times New Roman" w:hAnsi="Times New Roman" w:cs="Times New Roman"/>
                <w:b/>
                <w:bCs/>
                <w:color w:val="auto"/>
                <w:spacing w:val="0"/>
                <w:sz w:val="24"/>
                <w:highlight w:val="none"/>
              </w:rPr>
              <w:t>本项目与</w:t>
            </w:r>
            <w:r>
              <w:rPr>
                <w:rFonts w:hint="default" w:ascii="Times New Roman" w:hAnsi="Times New Roman" w:eastAsia="Times New Roman" w:cs="Times New Roman"/>
                <w:b/>
                <w:bCs/>
                <w:color w:val="auto"/>
                <w:spacing w:val="0"/>
                <w:sz w:val="24"/>
                <w:highlight w:val="none"/>
                <w:lang w:val="zh-CN"/>
              </w:rPr>
              <w:t>《重点行业挥发性有机物治理环境管理技术规范</w:t>
            </w:r>
            <w:r>
              <w:rPr>
                <w:rFonts w:hint="eastAsia" w:ascii="Times New Roman" w:hAnsi="Times New Roman" w:cs="Times New Roman"/>
                <w:b/>
                <w:bCs/>
                <w:color w:val="auto"/>
                <w:spacing w:val="0"/>
                <w:sz w:val="24"/>
                <w:highlight w:val="none"/>
                <w:lang w:val="en-US" w:eastAsia="zh-CN" w:bidi="ar"/>
              </w:rPr>
              <w:t xml:space="preserve"> 第一部分 通则》DB34/T 4230.1-2022</w:t>
            </w:r>
            <w:r>
              <w:rPr>
                <w:rFonts w:hint="default" w:ascii="Times New Roman" w:hAnsi="Times New Roman" w:cs="Times New Roman"/>
                <w:b/>
                <w:bCs/>
                <w:color w:val="auto"/>
                <w:spacing w:val="0"/>
                <w:sz w:val="24"/>
                <w:highlight w:val="none"/>
              </w:rPr>
              <w:t>相符性分析情况一览表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238"/>
              <w:gridCol w:w="707"/>
            </w:tblGrid>
            <w:tr w14:paraId="7A7E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503B16B1">
                  <w:pPr>
                    <w:pStyle w:val="15"/>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firstLine="0" w:firstLineChars="0"/>
                    <w:jc w:val="center"/>
                    <w:textAlignment w:val="auto"/>
                    <w:outlineLvl w:val="9"/>
                    <w:rPr>
                      <w:rFonts w:hint="default" w:ascii="Times New Roman" w:hAnsi="Times New Roman" w:cs="Times New Roman"/>
                      <w:b/>
                      <w:bCs/>
                      <w:color w:val="auto"/>
                      <w:spacing w:val="0"/>
                      <w:kern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文件要求</w:t>
                  </w:r>
                </w:p>
              </w:tc>
              <w:tc>
                <w:tcPr>
                  <w:tcW w:w="1729" w:type="pct"/>
                  <w:noWrap w:val="0"/>
                  <w:vAlign w:val="center"/>
                </w:tcPr>
                <w:p w14:paraId="047B1E44">
                  <w:pPr>
                    <w:pStyle w:val="15"/>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firstLine="0" w:firstLineChars="0"/>
                    <w:jc w:val="center"/>
                    <w:textAlignment w:val="auto"/>
                    <w:outlineLvl w:val="9"/>
                    <w:rPr>
                      <w:rFonts w:hint="default" w:ascii="Times New Roman" w:hAnsi="Times New Roman" w:cs="Times New Roman"/>
                      <w:b/>
                      <w:bCs/>
                      <w:color w:val="auto"/>
                      <w:spacing w:val="0"/>
                      <w:kern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本工程情况</w:t>
                  </w:r>
                </w:p>
              </w:tc>
              <w:tc>
                <w:tcPr>
                  <w:tcW w:w="546" w:type="pct"/>
                  <w:noWrap w:val="0"/>
                  <w:vAlign w:val="center"/>
                </w:tcPr>
                <w:p w14:paraId="485D1149">
                  <w:pPr>
                    <w:pStyle w:val="15"/>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firstLine="0" w:firstLineChars="0"/>
                    <w:jc w:val="center"/>
                    <w:textAlignment w:val="auto"/>
                    <w:outlineLvl w:val="9"/>
                    <w:rPr>
                      <w:rFonts w:hint="default" w:ascii="Times New Roman" w:hAnsi="Times New Roman" w:cs="Times New Roman"/>
                      <w:b/>
                      <w:bCs/>
                      <w:color w:val="auto"/>
                      <w:spacing w:val="0"/>
                      <w:kern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相符性</w:t>
                  </w:r>
                </w:p>
              </w:tc>
            </w:tr>
            <w:tr w14:paraId="6003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73CEB645">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4.2涂料、油墨、颜料及类似产品制造业、制鞋工业、家具制造工业、汽车制造业、其他工业涂装行业、包装印刷业、印刷和记录媒介复制业等溶剂使用的，优先采用源头削减替代，且溶剂使用应满足GB19340、GB/T30779、GB30981、GB33372、GB38507和GB38508的要求；石油化学工业、石油炼制工业、合成树脂工业、炼焦化学工业、专用化学产品制造工业、日用化学产品制造工业、橡胶制品工业、医药制造工业、农药制造工业、化学纤维制造业等应强化过程控制；无法实施源头削减和过程控制的，宜采用吸附、焚烧等高效治理技术。</w:t>
                  </w:r>
                </w:p>
              </w:tc>
              <w:tc>
                <w:tcPr>
                  <w:tcW w:w="1729" w:type="pct"/>
                  <w:noWrap w:val="0"/>
                  <w:vAlign w:val="center"/>
                </w:tcPr>
                <w:p w14:paraId="361104BE">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color w:val="auto"/>
                      <w:sz w:val="21"/>
                      <w:szCs w:val="21"/>
                      <w:highlight w:val="none"/>
                      <w:lang w:val="en-US" w:eastAsia="zh-CN" w:bidi="ar"/>
                    </w:rPr>
                    <w:t>项目设置两个喷漆房进行密闭喷漆，喷漆方式采用人工喷涂；</w:t>
                  </w:r>
                  <w:r>
                    <w:rPr>
                      <w:rFonts w:hint="eastAsia"/>
                      <w:color w:val="auto"/>
                      <w:sz w:val="21"/>
                      <w:szCs w:val="21"/>
                      <w:highlight w:val="none"/>
                      <w:lang w:bidi="ar"/>
                    </w:rPr>
                    <w:t>项目使用</w:t>
                  </w:r>
                  <w:r>
                    <w:rPr>
                      <w:rFonts w:hint="eastAsia"/>
                      <w:color w:val="auto"/>
                      <w:sz w:val="21"/>
                      <w:szCs w:val="21"/>
                      <w:highlight w:val="none"/>
                      <w:lang w:val="en-US" w:eastAsia="zh-CN" w:bidi="ar"/>
                    </w:rPr>
                    <w:t>油漆</w:t>
                  </w:r>
                  <w:r>
                    <w:rPr>
                      <w:rFonts w:hint="eastAsia"/>
                      <w:color w:val="auto"/>
                      <w:sz w:val="21"/>
                      <w:szCs w:val="21"/>
                      <w:highlight w:val="none"/>
                      <w:lang w:bidi="ar"/>
                    </w:rPr>
                    <w:t>满足《低挥发性有机化合物含量涂料产品技术要求》（GBT38597-2020）低V</w:t>
                  </w:r>
                  <w:r>
                    <w:rPr>
                      <w:color w:val="auto"/>
                      <w:sz w:val="21"/>
                      <w:szCs w:val="21"/>
                      <w:highlight w:val="none"/>
                      <w:lang w:bidi="ar"/>
                    </w:rPr>
                    <w:t>OCs</w:t>
                  </w:r>
                  <w:r>
                    <w:rPr>
                      <w:rFonts w:hint="eastAsia"/>
                      <w:color w:val="auto"/>
                      <w:sz w:val="21"/>
                      <w:szCs w:val="21"/>
                      <w:highlight w:val="none"/>
                      <w:lang w:bidi="ar"/>
                    </w:rPr>
                    <w:t>含量限值要求，</w:t>
                  </w:r>
                  <w:r>
                    <w:rPr>
                      <w:rFonts w:hint="eastAsia"/>
                      <w:color w:val="auto"/>
                      <w:kern w:val="0"/>
                      <w:sz w:val="21"/>
                      <w:szCs w:val="21"/>
                      <w:highlight w:val="none"/>
                      <w:lang w:val="en-US" w:eastAsia="zh-CN"/>
                    </w:rPr>
                    <w:t>喷漆房密闭，废气通过管道收</w:t>
                  </w:r>
                  <w:r>
                    <w:rPr>
                      <w:rFonts w:hint="eastAsia"/>
                      <w:color w:val="auto"/>
                      <w:kern w:val="0"/>
                      <w:sz w:val="21"/>
                      <w:szCs w:val="21"/>
                      <w:highlight w:val="none"/>
                    </w:rPr>
                    <w:t>集后经</w:t>
                  </w:r>
                  <w:r>
                    <w:rPr>
                      <w:rFonts w:hint="eastAsia"/>
                      <w:color w:val="auto"/>
                      <w:kern w:val="0"/>
                      <w:sz w:val="21"/>
                      <w:szCs w:val="21"/>
                      <w:highlight w:val="none"/>
                      <w:lang w:val="en-US" w:eastAsia="zh-CN"/>
                    </w:rPr>
                    <w:t>一级水喷淋</w:t>
                  </w:r>
                  <w:r>
                    <w:rPr>
                      <w:rFonts w:hint="eastAsia"/>
                      <w:color w:val="auto"/>
                      <w:kern w:val="0"/>
                      <w:sz w:val="21"/>
                      <w:szCs w:val="21"/>
                      <w:highlight w:val="none"/>
                    </w:rPr>
                    <w:t>+</w:t>
                  </w:r>
                  <w:r>
                    <w:rPr>
                      <w:rFonts w:hint="eastAsia"/>
                      <w:color w:val="auto"/>
                      <w:kern w:val="0"/>
                      <w:sz w:val="21"/>
                      <w:szCs w:val="21"/>
                      <w:highlight w:val="none"/>
                      <w:lang w:val="en-US" w:eastAsia="zh-CN"/>
                    </w:rPr>
                    <w:t>活性炭吸附/脱附+RCO装置</w:t>
                  </w:r>
                  <w:r>
                    <w:rPr>
                      <w:rFonts w:hint="eastAsia"/>
                      <w:color w:val="auto"/>
                      <w:kern w:val="0"/>
                      <w:sz w:val="21"/>
                      <w:szCs w:val="21"/>
                      <w:highlight w:val="none"/>
                    </w:rPr>
                    <w:t>处理后经一根</w:t>
                  </w:r>
                  <w:r>
                    <w:rPr>
                      <w:rFonts w:hint="eastAsia"/>
                      <w:color w:val="auto"/>
                      <w:kern w:val="0"/>
                      <w:sz w:val="21"/>
                      <w:szCs w:val="21"/>
                      <w:highlight w:val="none"/>
                      <w:lang w:val="en-US" w:eastAsia="zh-CN"/>
                    </w:rPr>
                    <w:t>15</w:t>
                  </w:r>
                  <w:r>
                    <w:rPr>
                      <w:rFonts w:hint="eastAsia"/>
                      <w:color w:val="auto"/>
                      <w:kern w:val="0"/>
                      <w:sz w:val="21"/>
                      <w:szCs w:val="21"/>
                      <w:highlight w:val="none"/>
                    </w:rPr>
                    <w:t>m高排气筒（DA00</w:t>
                  </w:r>
                  <w:r>
                    <w:rPr>
                      <w:rFonts w:hint="eastAsia"/>
                      <w:color w:val="auto"/>
                      <w:kern w:val="0"/>
                      <w:sz w:val="21"/>
                      <w:szCs w:val="21"/>
                      <w:highlight w:val="none"/>
                      <w:lang w:val="en-US" w:eastAsia="zh-CN"/>
                    </w:rPr>
                    <w:t>2</w:t>
                  </w:r>
                  <w:r>
                    <w:rPr>
                      <w:rFonts w:hint="eastAsia"/>
                      <w:color w:val="auto"/>
                      <w:kern w:val="0"/>
                      <w:sz w:val="21"/>
                      <w:szCs w:val="21"/>
                      <w:highlight w:val="none"/>
                    </w:rPr>
                    <w:t>）排放</w:t>
                  </w:r>
                </w:p>
              </w:tc>
              <w:tc>
                <w:tcPr>
                  <w:tcW w:w="546" w:type="pct"/>
                  <w:noWrap w:val="0"/>
                  <w:vAlign w:val="center"/>
                </w:tcPr>
                <w:p w14:paraId="5EE90507">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相符</w:t>
                  </w:r>
                </w:p>
              </w:tc>
            </w:tr>
            <w:tr w14:paraId="4E67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2A375F57">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含VOCs物料（包括含VOCs原辅材料、产品、废料等）储存、转移和输送、设备与管线组件泄漏、敞开液面逸散以及工艺过程等五类排放源应实施有效管控。宜使用先进生产工艺，采用全密闭、连续化、自动化等生产技术以及高效工艺与设备等，减少工艺过程无组织排放。4.4提高VOCs收集效率，科学设计废气收集系统，将无组织排放转变为有组织排放进行控制。</w:t>
                  </w:r>
                </w:p>
              </w:tc>
              <w:tc>
                <w:tcPr>
                  <w:tcW w:w="1729" w:type="pct"/>
                  <w:noWrap w:val="0"/>
                  <w:vAlign w:val="center"/>
                </w:tcPr>
                <w:p w14:paraId="6595AC30">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项目所用含VOC</w:t>
                  </w:r>
                  <w:r>
                    <w:rPr>
                      <w:rFonts w:hint="eastAsia" w:ascii="Times New Roman" w:hAnsi="Times New Roman" w:eastAsia="宋体" w:cs="Times New Roman"/>
                      <w:color w:val="auto"/>
                      <w:spacing w:val="0"/>
                      <w:kern w:val="0"/>
                      <w:sz w:val="21"/>
                      <w:szCs w:val="21"/>
                      <w:highlight w:val="none"/>
                      <w:vertAlign w:val="baseline"/>
                      <w:lang w:val="en-US" w:eastAsia="zh-CN"/>
                    </w:rPr>
                    <w:t>s</w:t>
                  </w:r>
                  <w:r>
                    <w:rPr>
                      <w:rFonts w:hint="default" w:ascii="Times New Roman" w:hAnsi="Times New Roman" w:eastAsia="宋体" w:cs="Times New Roman"/>
                      <w:color w:val="auto"/>
                      <w:spacing w:val="0"/>
                      <w:kern w:val="0"/>
                      <w:sz w:val="21"/>
                      <w:szCs w:val="21"/>
                      <w:highlight w:val="none"/>
                      <w:vertAlign w:val="baseline"/>
                      <w:lang w:val="en-US" w:eastAsia="zh-CN"/>
                    </w:rPr>
                    <w:t>物料以</w:t>
                  </w:r>
                  <w:r>
                    <w:rPr>
                      <w:rFonts w:hint="eastAsia" w:ascii="Times New Roman" w:hAnsi="Times New Roman" w:eastAsia="宋体" w:cs="Times New Roman"/>
                      <w:color w:val="auto"/>
                      <w:spacing w:val="0"/>
                      <w:kern w:val="0"/>
                      <w:sz w:val="21"/>
                      <w:szCs w:val="21"/>
                      <w:highlight w:val="none"/>
                      <w:vertAlign w:val="baseline"/>
                      <w:lang w:val="en-US" w:eastAsia="zh-CN"/>
                    </w:rPr>
                    <w:t>铁</w:t>
                  </w:r>
                  <w:r>
                    <w:rPr>
                      <w:rFonts w:hint="default" w:ascii="Times New Roman" w:hAnsi="Times New Roman" w:eastAsia="宋体" w:cs="Times New Roman"/>
                      <w:color w:val="auto"/>
                      <w:spacing w:val="0"/>
                      <w:kern w:val="0"/>
                      <w:sz w:val="21"/>
                      <w:szCs w:val="21"/>
                      <w:highlight w:val="none"/>
                      <w:vertAlign w:val="baseline"/>
                      <w:lang w:val="en-US" w:eastAsia="zh-CN"/>
                    </w:rPr>
                    <w:t>桶包装，密闭储存</w:t>
                  </w:r>
                  <w:r>
                    <w:rPr>
                      <w:rFonts w:hint="eastAsia" w:ascii="Times New Roman" w:hAnsi="Times New Roman" w:eastAsia="宋体" w:cs="Times New Roman"/>
                      <w:color w:val="auto"/>
                      <w:spacing w:val="0"/>
                      <w:kern w:val="0"/>
                      <w:sz w:val="21"/>
                      <w:szCs w:val="21"/>
                      <w:highlight w:val="none"/>
                      <w:vertAlign w:val="baseline"/>
                      <w:lang w:val="en-US" w:eastAsia="zh-CN"/>
                    </w:rPr>
                    <w:t>在</w:t>
                  </w:r>
                  <w:r>
                    <w:rPr>
                      <w:rFonts w:hint="eastAsia" w:cs="Times New Roman"/>
                      <w:color w:val="auto"/>
                      <w:spacing w:val="0"/>
                      <w:kern w:val="0"/>
                      <w:sz w:val="21"/>
                      <w:szCs w:val="21"/>
                      <w:highlight w:val="none"/>
                      <w:vertAlign w:val="baseline"/>
                      <w:lang w:val="en-US" w:eastAsia="zh-CN"/>
                    </w:rPr>
                    <w:t>调漆房内</w:t>
                  </w:r>
                  <w:r>
                    <w:rPr>
                      <w:rFonts w:hint="default" w:ascii="Times New Roman" w:hAnsi="Times New Roman" w:eastAsia="宋体" w:cs="Times New Roman"/>
                      <w:color w:val="auto"/>
                      <w:spacing w:val="0"/>
                      <w:kern w:val="0"/>
                      <w:sz w:val="21"/>
                      <w:szCs w:val="21"/>
                      <w:highlight w:val="none"/>
                      <w:vertAlign w:val="baseline"/>
                      <w:lang w:val="en-US" w:eastAsia="zh-CN"/>
                    </w:rPr>
                    <w:t>，非取用状态时加盖、封口，保持密闭。含VOCs危险废物密封储存于危废储存间。</w:t>
                  </w:r>
                  <w:r>
                    <w:rPr>
                      <w:rFonts w:hint="eastAsia" w:ascii="Times New Roman" w:hAnsi="Times New Roman" w:cs="Times New Roman"/>
                      <w:color w:val="auto"/>
                      <w:sz w:val="21"/>
                      <w:szCs w:val="21"/>
                      <w:highlight w:val="none"/>
                      <w:vertAlign w:val="baseline"/>
                      <w:lang w:val="en-US" w:eastAsia="zh-CN"/>
                    </w:rPr>
                    <w:t>项目生产使用过程采用全密闭</w:t>
                  </w:r>
                  <w:r>
                    <w:rPr>
                      <w:rFonts w:hint="eastAsia" w:cs="Times New Roman"/>
                      <w:color w:val="auto"/>
                      <w:sz w:val="21"/>
                      <w:szCs w:val="21"/>
                      <w:highlight w:val="none"/>
                      <w:vertAlign w:val="baseline"/>
                      <w:lang w:val="en-US" w:eastAsia="zh-CN"/>
                    </w:rPr>
                    <w:t>空间</w:t>
                  </w:r>
                  <w:r>
                    <w:rPr>
                      <w:rFonts w:hint="eastAsia" w:ascii="Times New Roman" w:hAnsi="Times New Roman" w:cs="Times New Roman"/>
                      <w:color w:val="auto"/>
                      <w:sz w:val="21"/>
                      <w:szCs w:val="21"/>
                      <w:highlight w:val="none"/>
                      <w:vertAlign w:val="baseline"/>
                      <w:lang w:val="en-US" w:eastAsia="zh-CN"/>
                    </w:rPr>
                    <w:t>，产生的</w:t>
                  </w:r>
                  <w:r>
                    <w:rPr>
                      <w:rFonts w:hint="default" w:ascii="Times New Roman" w:hAnsi="Times New Roman" w:cs="Times New Roman"/>
                      <w:color w:val="auto"/>
                      <w:sz w:val="21"/>
                      <w:szCs w:val="21"/>
                      <w:highlight w:val="none"/>
                      <w:vertAlign w:val="baseline"/>
                      <w:lang w:val="en-US" w:eastAsia="zh-CN"/>
                    </w:rPr>
                    <w:t>有机废气经收集后通过</w:t>
                  </w:r>
                  <w:r>
                    <w:rPr>
                      <w:rFonts w:hint="eastAsia"/>
                      <w:color w:val="auto"/>
                      <w:kern w:val="0"/>
                      <w:sz w:val="21"/>
                      <w:szCs w:val="21"/>
                      <w:highlight w:val="none"/>
                      <w:lang w:val="en-US" w:eastAsia="zh-CN"/>
                    </w:rPr>
                    <w:t>一级水喷淋</w:t>
                  </w:r>
                  <w:r>
                    <w:rPr>
                      <w:rFonts w:hint="eastAsia"/>
                      <w:color w:val="auto"/>
                      <w:kern w:val="0"/>
                      <w:sz w:val="21"/>
                      <w:szCs w:val="21"/>
                      <w:highlight w:val="none"/>
                    </w:rPr>
                    <w:t>+</w:t>
                  </w:r>
                  <w:r>
                    <w:rPr>
                      <w:rFonts w:hint="eastAsia"/>
                      <w:color w:val="auto"/>
                      <w:kern w:val="0"/>
                      <w:sz w:val="21"/>
                      <w:szCs w:val="21"/>
                      <w:highlight w:val="none"/>
                      <w:lang w:val="en-US" w:eastAsia="zh-CN"/>
                    </w:rPr>
                    <w:t>活性炭吸附/脱附+RCO装置</w:t>
                  </w:r>
                  <w:r>
                    <w:rPr>
                      <w:rFonts w:hint="eastAsia" w:ascii="Times New Roman" w:hAnsi="Times New Roman" w:cs="Times New Roman"/>
                      <w:color w:val="auto"/>
                      <w:sz w:val="21"/>
                      <w:szCs w:val="21"/>
                      <w:highlight w:val="none"/>
                      <w:vertAlign w:val="baseline"/>
                      <w:lang w:val="en-US" w:eastAsia="zh-CN"/>
                    </w:rPr>
                    <w:t>处理</w:t>
                  </w:r>
                </w:p>
              </w:tc>
              <w:tc>
                <w:tcPr>
                  <w:tcW w:w="546" w:type="pct"/>
                  <w:noWrap w:val="0"/>
                  <w:vAlign w:val="center"/>
                </w:tcPr>
                <w:p w14:paraId="37A96DFB">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相符</w:t>
                  </w:r>
                </w:p>
              </w:tc>
            </w:tr>
          </w:tbl>
          <w:p w14:paraId="2CF7B3E1">
            <w:pPr>
              <w:adjustRightInd w:val="0"/>
              <w:snapToGrid w:val="0"/>
              <w:spacing w:before="120" w:beforeLines="50" w:line="360" w:lineRule="auto"/>
              <w:ind w:firstLine="48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8</w:t>
            </w:r>
            <w:r>
              <w:rPr>
                <w:rFonts w:hint="eastAsia" w:ascii="Times New Roman" w:hAnsi="Times New Roman" w:eastAsia="宋体" w:cs="Times New Roman"/>
                <w:b/>
                <w:bCs/>
                <w:color w:val="auto"/>
                <w:highlight w:val="none"/>
                <w:lang w:val="en-US" w:eastAsia="zh-CN"/>
              </w:rPr>
              <w:t>）与《重点行业挥发性有机物治理环境管理技术规范 第11部分：其他工业涂装行业》DB34/T 4230.11-2022相符性分析</w:t>
            </w:r>
          </w:p>
          <w:p w14:paraId="028549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imes New Roman" w:cs="Times New Roman"/>
                <w:b/>
                <w:bCs/>
                <w:color w:val="auto"/>
                <w:spacing w:val="0"/>
                <w:sz w:val="24"/>
                <w:highlight w:val="none"/>
                <w:lang w:val="zh-CN"/>
              </w:rPr>
            </w:pPr>
            <w:r>
              <w:rPr>
                <w:rFonts w:hint="eastAsia" w:ascii="Times New Roman" w:hAnsi="Times New Roman" w:cs="Times New Roman"/>
                <w:b/>
                <w:bCs/>
                <w:color w:val="auto"/>
                <w:spacing w:val="0"/>
                <w:sz w:val="24"/>
                <w:highlight w:val="none"/>
                <w:lang w:val="en-US" w:eastAsia="zh-CN" w:bidi="ar"/>
              </w:rPr>
              <w:t>表1-1</w:t>
            </w:r>
            <w:r>
              <w:rPr>
                <w:rFonts w:hint="eastAsia" w:cs="Times New Roman"/>
                <w:b/>
                <w:bCs/>
                <w:color w:val="auto"/>
                <w:spacing w:val="0"/>
                <w:sz w:val="24"/>
                <w:highlight w:val="none"/>
                <w:lang w:val="en-US" w:eastAsia="zh-CN" w:bidi="ar"/>
              </w:rPr>
              <w:t>4</w:t>
            </w:r>
            <w:r>
              <w:rPr>
                <w:rFonts w:hint="default" w:ascii="Times New Roman" w:hAnsi="Times New Roman" w:cs="Times New Roman"/>
                <w:b/>
                <w:bCs/>
                <w:color w:val="auto"/>
                <w:spacing w:val="0"/>
                <w:sz w:val="24"/>
                <w:highlight w:val="none"/>
              </w:rPr>
              <w:t>本项目与</w:t>
            </w:r>
            <w:r>
              <w:rPr>
                <w:rFonts w:hint="default" w:ascii="Times New Roman" w:hAnsi="Times New Roman" w:eastAsia="Times New Roman" w:cs="Times New Roman"/>
                <w:b/>
                <w:bCs/>
                <w:color w:val="auto"/>
                <w:spacing w:val="0"/>
                <w:sz w:val="24"/>
                <w:highlight w:val="none"/>
                <w:lang w:val="zh-CN"/>
              </w:rPr>
              <w:t>《重点行业挥发性有机物治理环境管理技术规范 第11部分：其他工业涂装行业》DB34/T 4230.11-2022</w:t>
            </w:r>
          </w:p>
          <w:p w14:paraId="5D604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pacing w:val="0"/>
                <w:sz w:val="24"/>
                <w:highlight w:val="none"/>
                <w:lang w:val="en-US" w:eastAsia="zh-CN" w:bidi="ar"/>
              </w:rPr>
            </w:pPr>
            <w:r>
              <w:rPr>
                <w:rFonts w:hint="default" w:ascii="Times New Roman" w:hAnsi="Times New Roman" w:cs="Times New Roman"/>
                <w:b/>
                <w:bCs/>
                <w:color w:val="auto"/>
                <w:spacing w:val="0"/>
                <w:sz w:val="24"/>
                <w:highlight w:val="none"/>
              </w:rPr>
              <w:t>相符性分析情况一览表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238"/>
              <w:gridCol w:w="707"/>
            </w:tblGrid>
            <w:tr w14:paraId="32DF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13321AD0">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
                      <w:bCs/>
                      <w:color w:val="auto"/>
                      <w:spacing w:val="0"/>
                      <w:kern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文件要求</w:t>
                  </w:r>
                </w:p>
              </w:tc>
              <w:tc>
                <w:tcPr>
                  <w:tcW w:w="1729" w:type="pct"/>
                  <w:noWrap w:val="0"/>
                  <w:vAlign w:val="center"/>
                </w:tcPr>
                <w:p w14:paraId="146D86A7">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
                      <w:bCs/>
                      <w:color w:val="auto"/>
                      <w:spacing w:val="0"/>
                      <w:kern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本工程情况</w:t>
                  </w:r>
                </w:p>
              </w:tc>
              <w:tc>
                <w:tcPr>
                  <w:tcW w:w="546" w:type="pct"/>
                  <w:noWrap w:val="0"/>
                  <w:vAlign w:val="center"/>
                </w:tcPr>
                <w:p w14:paraId="0C76E05A">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
                      <w:bCs/>
                      <w:color w:val="auto"/>
                      <w:spacing w:val="0"/>
                      <w:kern w:val="0"/>
                      <w:sz w:val="21"/>
                      <w:szCs w:val="21"/>
                      <w:highlight w:val="none"/>
                      <w:lang w:val="en-US" w:eastAsia="zh-CN" w:bidi="ar-SA"/>
                    </w:rPr>
                  </w:pPr>
                  <w:r>
                    <w:rPr>
                      <w:rFonts w:hint="default" w:ascii="Times New Roman" w:hAnsi="Times New Roman" w:cs="Times New Roman"/>
                      <w:b/>
                      <w:bCs/>
                      <w:color w:val="auto"/>
                      <w:spacing w:val="0"/>
                      <w:sz w:val="21"/>
                      <w:szCs w:val="21"/>
                      <w:highlight w:val="none"/>
                    </w:rPr>
                    <w:t>相符性</w:t>
                  </w:r>
                </w:p>
              </w:tc>
            </w:tr>
            <w:tr w14:paraId="104A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37556B30">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4.1源头削减</w:t>
                  </w:r>
                </w:p>
                <w:p w14:paraId="7B4BE089">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4.1.1涂料、胶粘剂、清洗剂中VOCs含量限值应符合GB18581、GB24409、GB30981、GB33372、GB38469和GB38508的要求。</w:t>
                  </w:r>
                </w:p>
                <w:p w14:paraId="708B20F0">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4.1.2在同一个工序内，同时使用符合GB/T38597规定的粉末、水性、无溶剂、辐射固化涂料产品，符合GB38508规定的水基、半水基清洗剂产品，符合GB33372规定的水基型、本体型胶粘剂产品时，排放浓度稳定达标的，相应生产工序可不执行末端治理设施处理效率不应低于80%的要求。</w:t>
                  </w:r>
                </w:p>
                <w:p w14:paraId="565377AC">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4.1.3除大型工件特殊作业（例如，船舶制造行业的分段总组、船台、船坞、造船码头等涂装工序</w:t>
                  </w:r>
                  <w:r>
                    <w:rPr>
                      <w:rFonts w:hint="eastAsia" w:cs="Times New Roman"/>
                      <w:color w:val="auto"/>
                      <w:spacing w:val="0"/>
                      <w:kern w:val="0"/>
                      <w:sz w:val="21"/>
                      <w:szCs w:val="21"/>
                      <w:highlight w:val="none"/>
                      <w:vertAlign w:val="baseline"/>
                      <w:lang w:val="en-US" w:eastAsia="zh-CN"/>
                    </w:rPr>
                    <w:t>）</w:t>
                  </w:r>
                  <w:r>
                    <w:rPr>
                      <w:rFonts w:hint="eastAsia" w:ascii="Times New Roman" w:hAnsi="Times New Roman" w:eastAsia="宋体" w:cs="Times New Roman"/>
                      <w:color w:val="auto"/>
                      <w:spacing w:val="0"/>
                      <w:kern w:val="0"/>
                      <w:sz w:val="21"/>
                      <w:szCs w:val="21"/>
                      <w:highlight w:val="none"/>
                      <w:vertAlign w:val="baseline"/>
                      <w:lang w:val="en-US" w:eastAsia="zh-CN"/>
                    </w:rPr>
                    <w:t>外，禁止敞开式喷涂、晾（风）干作业。</w:t>
                  </w:r>
                </w:p>
                <w:p w14:paraId="5A12B845">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4.1.4大件喷涂可采用组件拆分、分段喷涂方式，兼用滑轨运输、可移动喷涂房等装备。</w:t>
                  </w:r>
                </w:p>
                <w:p w14:paraId="7BD9B7C2">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4.1.5宜采用静电喷涂、自动喷涂、高压无气喷涂或高流量低压力</w:t>
                  </w:r>
                  <w:r>
                    <w:rPr>
                      <w:rFonts w:hint="eastAsia" w:cs="Times New Roman"/>
                      <w:color w:val="auto"/>
                      <w:spacing w:val="0"/>
                      <w:kern w:val="0"/>
                      <w:sz w:val="21"/>
                      <w:szCs w:val="21"/>
                      <w:highlight w:val="none"/>
                      <w:vertAlign w:val="baseline"/>
                      <w:lang w:val="en-US" w:eastAsia="zh-CN"/>
                    </w:rPr>
                    <w:t>（</w:t>
                  </w:r>
                  <w:r>
                    <w:rPr>
                      <w:rFonts w:hint="eastAsia" w:ascii="Times New Roman" w:hAnsi="Times New Roman" w:eastAsia="宋体" w:cs="Times New Roman"/>
                      <w:color w:val="auto"/>
                      <w:spacing w:val="0"/>
                      <w:kern w:val="0"/>
                      <w:sz w:val="21"/>
                      <w:szCs w:val="21"/>
                      <w:highlight w:val="none"/>
                      <w:vertAlign w:val="baseline"/>
                      <w:lang w:val="en-US" w:eastAsia="zh-CN"/>
                    </w:rPr>
                    <w:t>HVLP</w:t>
                  </w:r>
                  <w:r>
                    <w:rPr>
                      <w:rFonts w:hint="eastAsia" w:cs="Times New Roman"/>
                      <w:color w:val="auto"/>
                      <w:spacing w:val="0"/>
                      <w:kern w:val="0"/>
                      <w:sz w:val="21"/>
                      <w:szCs w:val="21"/>
                      <w:highlight w:val="none"/>
                      <w:vertAlign w:val="baseline"/>
                      <w:lang w:val="en-US" w:eastAsia="zh-CN"/>
                    </w:rPr>
                    <w:t>）</w:t>
                  </w:r>
                  <w:r>
                    <w:rPr>
                      <w:rFonts w:hint="eastAsia" w:ascii="Times New Roman" w:hAnsi="Times New Roman" w:eastAsia="宋体" w:cs="Times New Roman"/>
                      <w:color w:val="auto"/>
                      <w:spacing w:val="0"/>
                      <w:kern w:val="0"/>
                      <w:sz w:val="21"/>
                      <w:szCs w:val="21"/>
                      <w:highlight w:val="none"/>
                      <w:vertAlign w:val="baseline"/>
                      <w:lang w:val="en-US" w:eastAsia="zh-CN"/>
                    </w:rPr>
                    <w:t>喷枪等高效涂装技术，减少使用手动空气喷涂技术。</w:t>
                  </w:r>
                </w:p>
              </w:tc>
              <w:tc>
                <w:tcPr>
                  <w:tcW w:w="2430" w:type="dxa"/>
                  <w:noWrap w:val="0"/>
                  <w:vAlign w:val="center"/>
                </w:tcPr>
                <w:p w14:paraId="75A1AE83">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项目设置</w:t>
                  </w:r>
                  <w:r>
                    <w:rPr>
                      <w:rFonts w:hint="eastAsia" w:cs="Times New Roman"/>
                      <w:color w:val="auto"/>
                      <w:spacing w:val="0"/>
                      <w:kern w:val="0"/>
                      <w:sz w:val="21"/>
                      <w:szCs w:val="21"/>
                      <w:highlight w:val="none"/>
                      <w:vertAlign w:val="baseline"/>
                      <w:lang w:val="en-US" w:eastAsia="zh-CN"/>
                    </w:rPr>
                    <w:t>两</w:t>
                  </w:r>
                  <w:r>
                    <w:rPr>
                      <w:rFonts w:hint="eastAsia" w:ascii="Times New Roman" w:hAnsi="Times New Roman" w:eastAsia="宋体" w:cs="Times New Roman"/>
                      <w:color w:val="auto"/>
                      <w:spacing w:val="0"/>
                      <w:kern w:val="0"/>
                      <w:sz w:val="21"/>
                      <w:szCs w:val="21"/>
                      <w:highlight w:val="none"/>
                      <w:vertAlign w:val="baseline"/>
                      <w:lang w:val="en-US" w:eastAsia="zh-CN"/>
                    </w:rPr>
                    <w:t>个喷漆房</w:t>
                  </w:r>
                  <w:r>
                    <w:rPr>
                      <w:rFonts w:hint="eastAsia" w:cs="Times New Roman"/>
                      <w:color w:val="auto"/>
                      <w:spacing w:val="0"/>
                      <w:kern w:val="0"/>
                      <w:sz w:val="21"/>
                      <w:szCs w:val="21"/>
                      <w:highlight w:val="none"/>
                      <w:vertAlign w:val="baseline"/>
                      <w:lang w:val="en-US" w:eastAsia="zh-CN"/>
                    </w:rPr>
                    <w:t>使用喷枪</w:t>
                  </w:r>
                  <w:r>
                    <w:rPr>
                      <w:rFonts w:hint="eastAsia" w:ascii="Times New Roman" w:hAnsi="Times New Roman" w:eastAsia="宋体" w:cs="Times New Roman"/>
                      <w:color w:val="auto"/>
                      <w:spacing w:val="0"/>
                      <w:kern w:val="0"/>
                      <w:sz w:val="21"/>
                      <w:szCs w:val="21"/>
                      <w:highlight w:val="none"/>
                      <w:vertAlign w:val="baseline"/>
                      <w:lang w:val="en-US" w:eastAsia="zh-CN"/>
                    </w:rPr>
                    <w:t>进行密闭</w:t>
                  </w:r>
                  <w:r>
                    <w:rPr>
                      <w:rFonts w:hint="eastAsia" w:cs="Times New Roman"/>
                      <w:color w:val="auto"/>
                      <w:spacing w:val="0"/>
                      <w:kern w:val="0"/>
                      <w:sz w:val="21"/>
                      <w:szCs w:val="21"/>
                      <w:highlight w:val="none"/>
                      <w:vertAlign w:val="baseline"/>
                      <w:lang w:val="en-US" w:eastAsia="zh-CN"/>
                    </w:rPr>
                    <w:t>喷漆</w:t>
                  </w:r>
                  <w:r>
                    <w:rPr>
                      <w:rFonts w:hint="eastAsia" w:ascii="Times New Roman" w:hAnsi="Times New Roman" w:eastAsia="宋体" w:cs="Times New Roman"/>
                      <w:color w:val="auto"/>
                      <w:spacing w:val="0"/>
                      <w:kern w:val="0"/>
                      <w:sz w:val="21"/>
                      <w:szCs w:val="21"/>
                      <w:highlight w:val="none"/>
                      <w:vertAlign w:val="baseline"/>
                      <w:lang w:val="en-US" w:eastAsia="zh-CN"/>
                    </w:rPr>
                    <w:t>；项目使用</w:t>
                  </w:r>
                  <w:r>
                    <w:rPr>
                      <w:rFonts w:hint="eastAsia" w:cs="Times New Roman"/>
                      <w:color w:val="auto"/>
                      <w:spacing w:val="0"/>
                      <w:kern w:val="0"/>
                      <w:sz w:val="21"/>
                      <w:szCs w:val="21"/>
                      <w:highlight w:val="none"/>
                      <w:vertAlign w:val="baseline"/>
                      <w:lang w:val="en-US" w:eastAsia="zh-CN"/>
                    </w:rPr>
                    <w:t>油性漆</w:t>
                  </w:r>
                  <w:r>
                    <w:rPr>
                      <w:rFonts w:hint="eastAsia" w:ascii="Times New Roman" w:hAnsi="Times New Roman" w:eastAsia="宋体" w:cs="Times New Roman"/>
                      <w:color w:val="auto"/>
                      <w:spacing w:val="0"/>
                      <w:kern w:val="0"/>
                      <w:sz w:val="21"/>
                      <w:szCs w:val="21"/>
                      <w:highlight w:val="none"/>
                      <w:vertAlign w:val="baseline"/>
                      <w:lang w:val="en-US" w:eastAsia="zh-CN"/>
                    </w:rPr>
                    <w:t>满足《低挥发性有机化合物含量涂料产品技术要求》（GBT38597-2020）低VOCs含量限值要求</w:t>
                  </w:r>
                  <w:r>
                    <w:rPr>
                      <w:rFonts w:hint="eastAsia"/>
                      <w:color w:val="auto"/>
                      <w:kern w:val="0"/>
                      <w:sz w:val="21"/>
                      <w:szCs w:val="21"/>
                      <w:highlight w:val="none"/>
                      <w:lang w:val="en-US" w:eastAsia="zh-CN"/>
                    </w:rPr>
                    <w:t>，废气通过管道</w:t>
                  </w:r>
                  <w:r>
                    <w:rPr>
                      <w:rFonts w:hint="eastAsia"/>
                      <w:color w:val="auto"/>
                      <w:kern w:val="0"/>
                      <w:sz w:val="21"/>
                      <w:szCs w:val="21"/>
                      <w:highlight w:val="none"/>
                    </w:rPr>
                    <w:t>收集后经</w:t>
                  </w:r>
                  <w:r>
                    <w:rPr>
                      <w:rFonts w:hint="eastAsia"/>
                      <w:color w:val="auto"/>
                      <w:kern w:val="0"/>
                      <w:sz w:val="21"/>
                      <w:szCs w:val="21"/>
                      <w:highlight w:val="none"/>
                      <w:lang w:val="en-US" w:eastAsia="zh-CN"/>
                    </w:rPr>
                    <w:t>一级水喷淋</w:t>
                  </w:r>
                  <w:r>
                    <w:rPr>
                      <w:rFonts w:hint="eastAsia"/>
                      <w:color w:val="auto"/>
                      <w:kern w:val="0"/>
                      <w:sz w:val="21"/>
                      <w:szCs w:val="21"/>
                      <w:highlight w:val="none"/>
                    </w:rPr>
                    <w:t>+</w:t>
                  </w:r>
                  <w:r>
                    <w:rPr>
                      <w:rFonts w:hint="eastAsia"/>
                      <w:color w:val="auto"/>
                      <w:kern w:val="0"/>
                      <w:sz w:val="21"/>
                      <w:szCs w:val="21"/>
                      <w:highlight w:val="none"/>
                      <w:lang w:val="en-US" w:eastAsia="zh-CN"/>
                    </w:rPr>
                    <w:t>活性炭吸附/脱附+RCO装置</w:t>
                  </w:r>
                  <w:r>
                    <w:rPr>
                      <w:rFonts w:hint="eastAsia" w:ascii="Times New Roman" w:hAnsi="Times New Roman" w:cs="Times New Roman"/>
                      <w:color w:val="auto"/>
                      <w:sz w:val="21"/>
                      <w:szCs w:val="21"/>
                      <w:highlight w:val="none"/>
                      <w:vertAlign w:val="baseline"/>
                      <w:lang w:val="en-US" w:eastAsia="zh-CN"/>
                    </w:rPr>
                    <w:t>处理后</w:t>
                  </w:r>
                  <w:r>
                    <w:rPr>
                      <w:rFonts w:hint="eastAsia"/>
                      <w:color w:val="auto"/>
                      <w:kern w:val="0"/>
                      <w:sz w:val="21"/>
                      <w:szCs w:val="21"/>
                      <w:highlight w:val="none"/>
                    </w:rPr>
                    <w:t>经一根</w:t>
                  </w:r>
                  <w:r>
                    <w:rPr>
                      <w:rFonts w:hint="eastAsia"/>
                      <w:color w:val="auto"/>
                      <w:kern w:val="0"/>
                      <w:sz w:val="21"/>
                      <w:szCs w:val="21"/>
                      <w:highlight w:val="none"/>
                      <w:lang w:val="en-US" w:eastAsia="zh-CN"/>
                    </w:rPr>
                    <w:t>15</w:t>
                  </w:r>
                  <w:r>
                    <w:rPr>
                      <w:rFonts w:hint="eastAsia"/>
                      <w:color w:val="auto"/>
                      <w:kern w:val="0"/>
                      <w:sz w:val="21"/>
                      <w:szCs w:val="21"/>
                      <w:highlight w:val="none"/>
                    </w:rPr>
                    <w:t>m高排气筒（DA00</w:t>
                  </w:r>
                  <w:r>
                    <w:rPr>
                      <w:rFonts w:hint="eastAsia"/>
                      <w:color w:val="auto"/>
                      <w:kern w:val="0"/>
                      <w:sz w:val="21"/>
                      <w:szCs w:val="21"/>
                      <w:highlight w:val="none"/>
                      <w:lang w:val="en-US" w:eastAsia="zh-CN"/>
                    </w:rPr>
                    <w:t>2</w:t>
                  </w:r>
                  <w:r>
                    <w:rPr>
                      <w:rFonts w:hint="eastAsia"/>
                      <w:color w:val="auto"/>
                      <w:kern w:val="0"/>
                      <w:sz w:val="21"/>
                      <w:szCs w:val="21"/>
                      <w:highlight w:val="none"/>
                    </w:rPr>
                    <w:t>）排放</w:t>
                  </w:r>
                </w:p>
              </w:tc>
              <w:tc>
                <w:tcPr>
                  <w:tcW w:w="546" w:type="pct"/>
                  <w:noWrap w:val="0"/>
                  <w:vAlign w:val="center"/>
                </w:tcPr>
                <w:p w14:paraId="6D7C02D6">
                  <w:pPr>
                    <w:keepNext w:val="0"/>
                    <w:keepLines w:val="0"/>
                    <w:pageBreakBefore w:val="0"/>
                    <w:widowControl w:val="0"/>
                    <w:kinsoku/>
                    <w:wordWrap/>
                    <w:overflowPunct/>
                    <w:topLinePunct w:val="0"/>
                    <w:autoSpaceDE w:val="0"/>
                    <w:autoSpaceDN w:val="0"/>
                    <w:bidi w:val="0"/>
                    <w:adjustRightInd w:val="0"/>
                    <w:snapToGrid w:val="0"/>
                    <w:jc w:val="center"/>
                    <w:textAlignment w:val="auto"/>
                    <w:outlineLvl w:val="9"/>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相符</w:t>
                  </w:r>
                </w:p>
              </w:tc>
            </w:tr>
            <w:tr w14:paraId="2F2A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505BCF0A">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4.2过程控制</w:t>
                  </w:r>
                </w:p>
                <w:p w14:paraId="56B1DC0C">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4.2.1储存</w:t>
                  </w:r>
                </w:p>
                <w:p w14:paraId="43116B67">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4.2.1.1涂料、稀释剂、清洗剂、固化剂、胶粘剂、密封胶等VOCs物料密闭储存。</w:t>
                  </w:r>
                </w:p>
                <w:p w14:paraId="01B1E637">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4.2.1.2盛装VOCs物料的容器或包装袋应存放于室内，或存放于设置有雨棚、遮阳和防渗设施的专用场地。</w:t>
                  </w:r>
                </w:p>
                <w:p w14:paraId="7811DF53">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4.2.1.3盛装VOCs物料的容器或包装袋在非取用状态时应加盖、封口，保持密闭。</w:t>
                  </w:r>
                </w:p>
                <w:p w14:paraId="50E4DACF">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4.2.1.4废涂料、废稀释剂、废清洗剂、废活性炭等含VOCs废料（渣、液）以及VOCs物料废包装物等危险废物密封储存于危废储存间。</w:t>
                  </w:r>
                </w:p>
                <w:p w14:paraId="3F8CB435">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4.2.2转移和输送</w:t>
                  </w:r>
                </w:p>
                <w:p w14:paraId="09E9881B">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4.2.2.1</w:t>
                  </w:r>
                  <w:r>
                    <w:rPr>
                      <w:rFonts w:hint="eastAsia" w:ascii="Times New Roman" w:hAnsi="Times New Roman" w:eastAsia="宋体" w:cs="Times New Roman"/>
                      <w:color w:val="auto"/>
                      <w:spacing w:val="0"/>
                      <w:kern w:val="0"/>
                      <w:sz w:val="21"/>
                      <w:szCs w:val="21"/>
                      <w:highlight w:val="none"/>
                      <w:vertAlign w:val="baseline"/>
                      <w:lang w:val="en-US" w:eastAsia="zh-CN"/>
                    </w:rPr>
                    <w:t>V</w:t>
                  </w:r>
                  <w:r>
                    <w:rPr>
                      <w:rFonts w:hint="default" w:ascii="Times New Roman" w:hAnsi="Times New Roman" w:eastAsia="宋体" w:cs="Times New Roman"/>
                      <w:color w:val="auto"/>
                      <w:spacing w:val="0"/>
                      <w:kern w:val="0"/>
                      <w:sz w:val="21"/>
                      <w:szCs w:val="21"/>
                      <w:highlight w:val="none"/>
                      <w:vertAlign w:val="baseline"/>
                      <w:lang w:val="en-US" w:eastAsia="zh-CN"/>
                    </w:rPr>
                    <w:t>OCs物料转移和输送应采用密闭管道或密闭容器等。</w:t>
                  </w:r>
                </w:p>
                <w:p w14:paraId="061D631D">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4.2.2.2宜采用集中供漆系统。</w:t>
                  </w:r>
                </w:p>
                <w:p w14:paraId="6BF76B1D">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4.2.3调配</w:t>
                  </w:r>
                </w:p>
                <w:p w14:paraId="1C4A3CF9">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4.2.3.1涂料、稀释剂等VOCs物料的调配过程应采用密闭设备或在密闭空间内操作</w:t>
                  </w:r>
                  <w:r>
                    <w:rPr>
                      <w:rFonts w:hint="eastAsia" w:ascii="Times New Roman" w:hAnsi="Times New Roman" w:eastAsia="宋体"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废气应排至VOCs废气收集处理系统</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无法密闭的，应采取局部气体收集措施，废气应排至VOCs废气收集处理系统。</w:t>
                  </w:r>
                </w:p>
                <w:p w14:paraId="42CBC1C6">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4.2.3.2宜设置专门的密闭调配间。</w:t>
                  </w:r>
                </w:p>
                <w:p w14:paraId="11C40A4B">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4.2.4﹑喷涂</w:t>
                  </w:r>
                </w:p>
                <w:p w14:paraId="5952AF7D">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4.2.4.1喷涂过程应采用密闭设备或在密闭空间内操作</w:t>
                  </w:r>
                  <w:r>
                    <w:rPr>
                      <w:rFonts w:hint="eastAsia" w:ascii="Times New Roman" w:hAnsi="Times New Roman" w:eastAsia="宋体"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废气应排至VOCs废气收集处理系统</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无法密闭的，应采取局部气体收集措施</w:t>
                  </w:r>
                  <w:r>
                    <w:rPr>
                      <w:rFonts w:hint="eastAsia" w:ascii="Times New Roman" w:hAnsi="Times New Roman" w:eastAsia="宋体"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废气应排至VOCs废气收集处理系统他用途</w:t>
                  </w:r>
                </w:p>
                <w:p w14:paraId="470C0B5E">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4.2.4.2宜建设干式喷漆房，优先使用全自动喷漆和循环风土艺</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使用湿式喷漆房时，循环水泵间和刮渣间应密闭，废气应排至VOCs废气收集处理系统。</w:t>
                  </w:r>
                </w:p>
                <w:p w14:paraId="039FA14D">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4.2.4.3涂装车间应根据相应的技术规范设计送排风速率，禁止通过加大送排风量或其他通风措施稀释排放。</w:t>
                  </w:r>
                </w:p>
                <w:p w14:paraId="5FB1FA98">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4.2.5流平</w:t>
                  </w:r>
                </w:p>
                <w:p w14:paraId="0EA53ADA">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4.2.5.1流平过程应在密闭空间内操作，废气应排至VOCs废气收集处理系统</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无法密闭的，应采取局部气体收集措施，废气应排至VOCs废气收集处理系统。</w:t>
                  </w:r>
                </w:p>
                <w:p w14:paraId="6C671624">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4.2.5.2禁止在流平过程中通过安装大风量风扇或其他通风措施稀释排放。</w:t>
                  </w:r>
                </w:p>
                <w:p w14:paraId="5BAD65CF">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4.2.6干燥</w:t>
                  </w:r>
                </w:p>
                <w:p w14:paraId="06864C88">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4.2.6.1干燥</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烘干、风干、晾干等</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过程应在密闭空间内操作</w:t>
                  </w:r>
                  <w:r>
                    <w:rPr>
                      <w:rFonts w:hint="eastAsia" w:ascii="Times New Roman" w:hAnsi="Times New Roman" w:eastAsia="宋体"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废气应排至VOCs废气收集处理系统</w:t>
                  </w:r>
                  <w:r>
                    <w:rPr>
                      <w:rFonts w:hint="eastAsia" w:ascii="Times New Roman" w:hAnsi="Times New Roman" w:eastAsia="宋体"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无法密闭的，应采取局部气体收集措施，废气应排至VOCs废气收集处理系统。</w:t>
                  </w:r>
                </w:p>
                <w:p w14:paraId="70022AD1">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4.2.6.2温度较高的烘干废气不宜与喷涂、流平废气混合收集处理。</w:t>
                  </w:r>
                </w:p>
                <w:p w14:paraId="39CF7944">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4.2.7清洗</w:t>
                  </w:r>
                </w:p>
                <w:p w14:paraId="00C36B38">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4.2.7.1设备清洗应采用密闭设备或在密闭空间内操作，换色清洗应在密闭空间内操作，产生的废气应排至VOCs废气收集处理系统</w:t>
                  </w:r>
                  <w:r>
                    <w:rPr>
                      <w:rFonts w:hint="eastAsia" w:cs="Times New Roman"/>
                      <w:color w:val="auto"/>
                      <w:spacing w:val="0"/>
                      <w:kern w:val="0"/>
                      <w:sz w:val="21"/>
                      <w:szCs w:val="21"/>
                      <w:highlight w:val="none"/>
                      <w:vertAlign w:val="baseline"/>
                      <w:lang w:val="en-US" w:eastAsia="zh-CN"/>
                    </w:rPr>
                    <w:t>；</w:t>
                  </w:r>
                  <w:r>
                    <w:rPr>
                      <w:rFonts w:hint="default" w:ascii="Times New Roman" w:hAnsi="Times New Roman" w:eastAsia="宋体" w:cs="Times New Roman"/>
                      <w:color w:val="auto"/>
                      <w:spacing w:val="0"/>
                      <w:kern w:val="0"/>
                      <w:sz w:val="21"/>
                      <w:szCs w:val="21"/>
                      <w:highlight w:val="none"/>
                      <w:vertAlign w:val="baseline"/>
                      <w:lang w:val="en-US" w:eastAsia="zh-CN"/>
                    </w:rPr>
                    <w:t>无法密闭的，应采取局部气体收集措施，废气应排至VOCs废气收集处理系统。</w:t>
                  </w:r>
                </w:p>
                <w:p w14:paraId="37254225">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4.2.7.2使用多种颜色漆料的，宜设置分色区，相同颜色集中喷涂，减少换色清洗频次和清洗溶剂消耗量。</w:t>
                  </w:r>
                </w:p>
                <w:p w14:paraId="34C9CAE8">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4.2.8回收</w:t>
                  </w:r>
                </w:p>
                <w:p w14:paraId="12576566">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4.2.8.1涂装作业结束时，除集中供漆外，应将所有剩余的VOCs物料密闭储存，送回至调配间或储存间。</w:t>
                  </w:r>
                </w:p>
                <w:p w14:paraId="77C4AF10">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kern w:val="0"/>
                      <w:sz w:val="21"/>
                      <w:szCs w:val="21"/>
                      <w:highlight w:val="none"/>
                      <w:vertAlign w:val="baseline"/>
                      <w:lang w:val="en-US" w:eastAsia="zh-CN"/>
                    </w:rPr>
                    <w:t>4.2.8.2设备清洗和换色过程产生的废清洗溶剂宜采用密闭回收废溶剂系统进行回收。</w:t>
                  </w:r>
                </w:p>
              </w:tc>
              <w:tc>
                <w:tcPr>
                  <w:tcW w:w="2430" w:type="dxa"/>
                  <w:noWrap w:val="0"/>
                  <w:vAlign w:val="center"/>
                </w:tcPr>
                <w:p w14:paraId="0D2587AF">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本项目涂料等原辅材料密闭存储，使用、回收等过程在密闭空间内操作</w:t>
                  </w:r>
                </w:p>
              </w:tc>
              <w:tc>
                <w:tcPr>
                  <w:tcW w:w="546" w:type="pct"/>
                  <w:noWrap w:val="0"/>
                  <w:vAlign w:val="center"/>
                </w:tcPr>
                <w:p w14:paraId="2373E406">
                  <w:pPr>
                    <w:keepNext w:val="0"/>
                    <w:keepLines w:val="0"/>
                    <w:pageBreakBefore w:val="0"/>
                    <w:widowControl w:val="0"/>
                    <w:kinsoku/>
                    <w:wordWrap/>
                    <w:overflowPunct/>
                    <w:topLinePunct w:val="0"/>
                    <w:autoSpaceDE w:val="0"/>
                    <w:autoSpaceDN w:val="0"/>
                    <w:bidi w:val="0"/>
                    <w:adjustRightInd w:val="0"/>
                    <w:snapToGrid w:val="0"/>
                    <w:jc w:val="center"/>
                    <w:textAlignment w:val="auto"/>
                    <w:outlineLvl w:val="9"/>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相符</w:t>
                  </w:r>
                </w:p>
              </w:tc>
            </w:tr>
            <w:tr w14:paraId="2D26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pct"/>
                  <w:noWrap w:val="0"/>
                  <w:vAlign w:val="center"/>
                </w:tcPr>
                <w:p w14:paraId="25D02ED5">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4.3末端治理</w:t>
                  </w:r>
                </w:p>
                <w:p w14:paraId="2A977293">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4.3.1喷涂、晾（风）干</w:t>
                  </w:r>
                </w:p>
                <w:p w14:paraId="3A755EA3">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4.3.1.1应设置高效漆雾处理装置，宜采用文丘里/水旋/水幕湿法漆雾捕集+多级干式过滤除湿联合装置，或采用干式漆雾捕集过滤系统。</w:t>
                  </w:r>
                </w:p>
                <w:p w14:paraId="514F0F82">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4.3.1.2喷涂、晾</w:t>
                  </w:r>
                  <w:r>
                    <w:rPr>
                      <w:rFonts w:hint="eastAsia" w:cs="Times New Roman"/>
                      <w:color w:val="auto"/>
                      <w:spacing w:val="0"/>
                      <w:kern w:val="0"/>
                      <w:sz w:val="21"/>
                      <w:szCs w:val="21"/>
                      <w:highlight w:val="none"/>
                      <w:vertAlign w:val="baseline"/>
                      <w:lang w:val="en-US" w:eastAsia="zh-CN"/>
                    </w:rPr>
                    <w:t>（</w:t>
                  </w:r>
                  <w:r>
                    <w:rPr>
                      <w:rFonts w:hint="eastAsia" w:ascii="Times New Roman" w:hAnsi="Times New Roman" w:eastAsia="宋体" w:cs="Times New Roman"/>
                      <w:color w:val="auto"/>
                      <w:spacing w:val="0"/>
                      <w:kern w:val="0"/>
                      <w:sz w:val="21"/>
                      <w:szCs w:val="21"/>
                      <w:highlight w:val="none"/>
                      <w:vertAlign w:val="baseline"/>
                      <w:lang w:val="en-US" w:eastAsia="zh-CN"/>
                    </w:rPr>
                    <w:t>风</w:t>
                  </w:r>
                  <w:r>
                    <w:rPr>
                      <w:rFonts w:hint="eastAsia" w:cs="Times New Roman"/>
                      <w:color w:val="auto"/>
                      <w:spacing w:val="0"/>
                      <w:kern w:val="0"/>
                      <w:sz w:val="21"/>
                      <w:szCs w:val="21"/>
                      <w:highlight w:val="none"/>
                      <w:vertAlign w:val="baseline"/>
                      <w:lang w:val="en-US" w:eastAsia="zh-CN"/>
                    </w:rPr>
                    <w:t>）</w:t>
                  </w:r>
                  <w:r>
                    <w:rPr>
                      <w:rFonts w:hint="eastAsia" w:ascii="Times New Roman" w:hAnsi="Times New Roman" w:eastAsia="宋体" w:cs="Times New Roman"/>
                      <w:color w:val="auto"/>
                      <w:spacing w:val="0"/>
                      <w:kern w:val="0"/>
                      <w:sz w:val="21"/>
                      <w:szCs w:val="21"/>
                      <w:highlight w:val="none"/>
                      <w:vertAlign w:val="baseline"/>
                      <w:lang w:val="en-US" w:eastAsia="zh-CN"/>
                    </w:rPr>
                    <w:t>干废气宜采用吸附浓缩+燃烧或其他等效方式处理，小风量低浓度或不适宜浓缩脱附的废气可采用活性炭吸附等工艺。</w:t>
                  </w:r>
                </w:p>
                <w:p w14:paraId="77F83318">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4.3.2烘干</w:t>
                  </w:r>
                </w:p>
                <w:p w14:paraId="244BF278">
                  <w:pPr>
                    <w:autoSpaceDE w:val="0"/>
                    <w:autoSpaceDN w:val="0"/>
                    <w:adjustRightInd w:val="0"/>
                    <w:snapToGrid w:val="0"/>
                    <w:jc w:val="center"/>
                    <w:rPr>
                      <w:rFonts w:hint="eastAsia"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4.3.2.1烘干废气宜</w:t>
                  </w:r>
                  <w:r>
                    <w:rPr>
                      <w:rFonts w:hint="eastAsia" w:cs="Times New Roman"/>
                      <w:color w:val="auto"/>
                      <w:spacing w:val="0"/>
                      <w:kern w:val="0"/>
                      <w:sz w:val="21"/>
                      <w:szCs w:val="21"/>
                      <w:highlight w:val="none"/>
                      <w:vertAlign w:val="baseline"/>
                      <w:lang w:val="en-US" w:eastAsia="zh-CN"/>
                    </w:rPr>
                    <w:t>采</w:t>
                  </w:r>
                  <w:r>
                    <w:rPr>
                      <w:rFonts w:hint="eastAsia" w:ascii="Times New Roman" w:hAnsi="Times New Roman" w:eastAsia="宋体" w:cs="Times New Roman"/>
                      <w:color w:val="auto"/>
                      <w:spacing w:val="0"/>
                      <w:kern w:val="0"/>
                      <w:sz w:val="21"/>
                      <w:szCs w:val="21"/>
                      <w:highlight w:val="none"/>
                      <w:vertAlign w:val="baseline"/>
                      <w:lang w:val="en-US" w:eastAsia="zh-CN"/>
                    </w:rPr>
                    <w:t>用</w:t>
                  </w:r>
                  <w:r>
                    <w:rPr>
                      <w:rFonts w:hint="eastAsia" w:cs="Times New Roman"/>
                      <w:color w:val="auto"/>
                      <w:spacing w:val="0"/>
                      <w:kern w:val="0"/>
                      <w:sz w:val="21"/>
                      <w:szCs w:val="21"/>
                      <w:highlight w:val="none"/>
                      <w:vertAlign w:val="baseline"/>
                      <w:lang w:val="en-US" w:eastAsia="zh-CN"/>
                    </w:rPr>
                    <w:t>热力</w:t>
                  </w:r>
                  <w:r>
                    <w:rPr>
                      <w:rFonts w:hint="eastAsia" w:ascii="Times New Roman" w:hAnsi="Times New Roman" w:eastAsia="宋体" w:cs="Times New Roman"/>
                      <w:color w:val="auto"/>
                      <w:spacing w:val="0"/>
                      <w:kern w:val="0"/>
                      <w:sz w:val="21"/>
                      <w:szCs w:val="21"/>
                      <w:highlight w:val="none"/>
                      <w:vertAlign w:val="baseline"/>
                      <w:lang w:val="en-US" w:eastAsia="zh-CN"/>
                    </w:rPr>
                    <w:t>焚烧/</w:t>
                  </w:r>
                  <w:r>
                    <w:rPr>
                      <w:rFonts w:hint="eastAsia" w:cs="Times New Roman"/>
                      <w:color w:val="auto"/>
                      <w:spacing w:val="0"/>
                      <w:kern w:val="0"/>
                      <w:sz w:val="21"/>
                      <w:szCs w:val="21"/>
                      <w:highlight w:val="none"/>
                      <w:vertAlign w:val="baseline"/>
                      <w:lang w:val="en-US" w:eastAsia="zh-CN"/>
                    </w:rPr>
                    <w:t>催化</w:t>
                  </w:r>
                  <w:r>
                    <w:rPr>
                      <w:rFonts w:hint="eastAsia" w:ascii="Times New Roman" w:hAnsi="Times New Roman" w:eastAsia="宋体" w:cs="Times New Roman"/>
                      <w:color w:val="auto"/>
                      <w:spacing w:val="0"/>
                      <w:kern w:val="0"/>
                      <w:sz w:val="21"/>
                      <w:szCs w:val="21"/>
                      <w:highlight w:val="none"/>
                      <w:vertAlign w:val="baseline"/>
                      <w:lang w:val="en-US" w:eastAsia="zh-CN"/>
                    </w:rPr>
                    <w:t>燃烧或</w:t>
                  </w:r>
                  <w:r>
                    <w:rPr>
                      <w:rFonts w:hint="eastAsia" w:cs="Times New Roman"/>
                      <w:color w:val="auto"/>
                      <w:spacing w:val="0"/>
                      <w:kern w:val="0"/>
                      <w:sz w:val="21"/>
                      <w:szCs w:val="21"/>
                      <w:highlight w:val="none"/>
                      <w:vertAlign w:val="baseline"/>
                      <w:lang w:val="en-US" w:eastAsia="zh-CN"/>
                    </w:rPr>
                    <w:t>其他等效方式处理。</w:t>
                  </w:r>
                </w:p>
                <w:p w14:paraId="58E670A5">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4.3.2.2溶剂型涂料生产线，烘干废气宜单独处理。</w:t>
                  </w:r>
                </w:p>
                <w:p w14:paraId="776634ED">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4.3.3调配、流平（含闪干</w:t>
                  </w:r>
                  <w:r>
                    <w:rPr>
                      <w:rFonts w:hint="eastAsia" w:cs="Times New Roman"/>
                      <w:color w:val="auto"/>
                      <w:spacing w:val="0"/>
                      <w:kern w:val="0"/>
                      <w:sz w:val="21"/>
                      <w:szCs w:val="21"/>
                      <w:highlight w:val="none"/>
                      <w:vertAlign w:val="baseline"/>
                      <w:lang w:val="en-US" w:eastAsia="zh-CN"/>
                    </w:rPr>
                    <w:t>）</w:t>
                  </w:r>
                </w:p>
                <w:p w14:paraId="571E2A92">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4.3.3.1调配废气宜采用吸附方式或其他等效方式处理。</w:t>
                  </w:r>
                </w:p>
                <w:p w14:paraId="78E24656">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4.3.3.2调配、流平废气可与喷涂、晾（风）干废气一并处理。</w:t>
                  </w:r>
                </w:p>
                <w:p w14:paraId="393F310E">
                  <w:pPr>
                    <w:autoSpaceDE w:val="0"/>
                    <w:autoSpaceDN w:val="0"/>
                    <w:adjustRightInd w:val="0"/>
                    <w:snapToGrid w:val="0"/>
                    <w:jc w:val="center"/>
                    <w:rPr>
                      <w:rFonts w:hint="eastAsia"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4.3.4清洗</w:t>
                  </w:r>
                </w:p>
                <w:p w14:paraId="4BB7FE5E">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清洗废气宜采用吸附方式或其他等效方式处理。</w:t>
                  </w:r>
                </w:p>
              </w:tc>
              <w:tc>
                <w:tcPr>
                  <w:tcW w:w="2430" w:type="dxa"/>
                  <w:noWrap w:val="0"/>
                  <w:vAlign w:val="center"/>
                </w:tcPr>
                <w:p w14:paraId="3065746A">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项目使用</w:t>
                  </w:r>
                  <w:r>
                    <w:rPr>
                      <w:rFonts w:hint="eastAsia" w:cs="Times New Roman"/>
                      <w:color w:val="auto"/>
                      <w:spacing w:val="0"/>
                      <w:kern w:val="0"/>
                      <w:sz w:val="21"/>
                      <w:szCs w:val="21"/>
                      <w:highlight w:val="none"/>
                      <w:vertAlign w:val="baseline"/>
                      <w:lang w:val="en-US" w:eastAsia="zh-CN"/>
                    </w:rPr>
                    <w:t>油漆</w:t>
                  </w:r>
                  <w:r>
                    <w:rPr>
                      <w:rFonts w:hint="eastAsia" w:ascii="Times New Roman" w:hAnsi="Times New Roman" w:eastAsia="宋体" w:cs="Times New Roman"/>
                      <w:color w:val="auto"/>
                      <w:spacing w:val="0"/>
                      <w:kern w:val="0"/>
                      <w:sz w:val="21"/>
                      <w:szCs w:val="21"/>
                      <w:highlight w:val="none"/>
                      <w:vertAlign w:val="baseline"/>
                      <w:lang w:val="en-US" w:eastAsia="zh-CN"/>
                    </w:rPr>
                    <w:t>均满足《低挥发性有机化合物含量涂料产品技术要求》（GBT38597-2020）低VOCs含量限值要求，</w:t>
                  </w:r>
                  <w:r>
                    <w:rPr>
                      <w:rFonts w:hint="eastAsia"/>
                      <w:color w:val="auto"/>
                      <w:kern w:val="0"/>
                      <w:sz w:val="21"/>
                      <w:szCs w:val="21"/>
                      <w:highlight w:val="none"/>
                    </w:rPr>
                    <w:t>喷漆</w:t>
                  </w:r>
                  <w:r>
                    <w:rPr>
                      <w:rFonts w:hint="eastAsia"/>
                      <w:color w:val="auto"/>
                      <w:kern w:val="0"/>
                      <w:sz w:val="21"/>
                      <w:szCs w:val="21"/>
                      <w:highlight w:val="none"/>
                      <w:lang w:val="en-US" w:eastAsia="zh-CN"/>
                    </w:rPr>
                    <w:t>及烘干均在密闭喷漆房内进行，废气通过</w:t>
                  </w:r>
                  <w:r>
                    <w:rPr>
                      <w:rFonts w:hint="eastAsia"/>
                      <w:color w:val="auto"/>
                      <w:kern w:val="0"/>
                      <w:sz w:val="21"/>
                      <w:szCs w:val="21"/>
                      <w:highlight w:val="none"/>
                    </w:rPr>
                    <w:t>负压收集后经</w:t>
                  </w:r>
                  <w:r>
                    <w:rPr>
                      <w:rFonts w:hint="eastAsia"/>
                      <w:color w:val="auto"/>
                      <w:kern w:val="0"/>
                      <w:sz w:val="21"/>
                      <w:szCs w:val="21"/>
                      <w:highlight w:val="none"/>
                      <w:lang w:val="en-US" w:eastAsia="zh-CN"/>
                    </w:rPr>
                    <w:t>一级水喷淋</w:t>
                  </w:r>
                  <w:r>
                    <w:rPr>
                      <w:rFonts w:hint="eastAsia"/>
                      <w:color w:val="auto"/>
                      <w:kern w:val="0"/>
                      <w:sz w:val="21"/>
                      <w:szCs w:val="21"/>
                      <w:highlight w:val="none"/>
                    </w:rPr>
                    <w:t>+</w:t>
                  </w:r>
                  <w:r>
                    <w:rPr>
                      <w:rFonts w:hint="eastAsia"/>
                      <w:color w:val="auto"/>
                      <w:kern w:val="0"/>
                      <w:sz w:val="21"/>
                      <w:szCs w:val="21"/>
                      <w:highlight w:val="none"/>
                      <w:lang w:val="en-US" w:eastAsia="zh-CN"/>
                    </w:rPr>
                    <w:t>活性炭吸附/脱附+RCO装置</w:t>
                  </w:r>
                  <w:r>
                    <w:rPr>
                      <w:rFonts w:hint="eastAsia" w:ascii="Times New Roman" w:hAnsi="Times New Roman" w:cs="Times New Roman"/>
                      <w:color w:val="auto"/>
                      <w:sz w:val="21"/>
                      <w:szCs w:val="21"/>
                      <w:highlight w:val="none"/>
                      <w:vertAlign w:val="baseline"/>
                      <w:lang w:val="en-US" w:eastAsia="zh-CN"/>
                    </w:rPr>
                    <w:t>处理</w:t>
                  </w:r>
                  <w:r>
                    <w:rPr>
                      <w:rFonts w:hint="eastAsia"/>
                      <w:color w:val="auto"/>
                      <w:kern w:val="0"/>
                      <w:sz w:val="21"/>
                      <w:szCs w:val="21"/>
                      <w:highlight w:val="none"/>
                    </w:rPr>
                    <w:t>后经一根</w:t>
                  </w:r>
                  <w:r>
                    <w:rPr>
                      <w:rFonts w:hint="eastAsia"/>
                      <w:color w:val="auto"/>
                      <w:kern w:val="0"/>
                      <w:sz w:val="21"/>
                      <w:szCs w:val="21"/>
                      <w:highlight w:val="none"/>
                      <w:lang w:val="en-US" w:eastAsia="zh-CN"/>
                    </w:rPr>
                    <w:t>15</w:t>
                  </w:r>
                  <w:r>
                    <w:rPr>
                      <w:rFonts w:hint="eastAsia"/>
                      <w:color w:val="auto"/>
                      <w:kern w:val="0"/>
                      <w:sz w:val="21"/>
                      <w:szCs w:val="21"/>
                      <w:highlight w:val="none"/>
                    </w:rPr>
                    <w:t>m高排气筒（DA00</w:t>
                  </w:r>
                  <w:r>
                    <w:rPr>
                      <w:rFonts w:hint="eastAsia"/>
                      <w:color w:val="auto"/>
                      <w:kern w:val="0"/>
                      <w:sz w:val="21"/>
                      <w:szCs w:val="21"/>
                      <w:highlight w:val="none"/>
                      <w:lang w:val="en-US" w:eastAsia="zh-CN"/>
                    </w:rPr>
                    <w:t>2</w:t>
                  </w:r>
                  <w:r>
                    <w:rPr>
                      <w:rFonts w:hint="eastAsia"/>
                      <w:color w:val="auto"/>
                      <w:kern w:val="0"/>
                      <w:sz w:val="21"/>
                      <w:szCs w:val="21"/>
                      <w:highlight w:val="none"/>
                    </w:rPr>
                    <w:t>）排放</w:t>
                  </w:r>
                </w:p>
              </w:tc>
              <w:tc>
                <w:tcPr>
                  <w:tcW w:w="546" w:type="pct"/>
                  <w:noWrap w:val="0"/>
                  <w:vAlign w:val="center"/>
                </w:tcPr>
                <w:p w14:paraId="75A5A420">
                  <w:pPr>
                    <w:keepNext w:val="0"/>
                    <w:keepLines w:val="0"/>
                    <w:pageBreakBefore w:val="0"/>
                    <w:widowControl w:val="0"/>
                    <w:kinsoku/>
                    <w:wordWrap/>
                    <w:overflowPunct/>
                    <w:topLinePunct w:val="0"/>
                    <w:autoSpaceDE w:val="0"/>
                    <w:autoSpaceDN w:val="0"/>
                    <w:bidi w:val="0"/>
                    <w:adjustRightInd w:val="0"/>
                    <w:snapToGrid w:val="0"/>
                    <w:jc w:val="center"/>
                    <w:textAlignment w:val="auto"/>
                    <w:outlineLvl w:val="9"/>
                    <w:rPr>
                      <w:rFonts w:hint="default" w:ascii="Times New Roman" w:hAnsi="Times New Roman" w:eastAsia="宋体" w:cs="Times New Roman"/>
                      <w:color w:val="auto"/>
                      <w:spacing w:val="0"/>
                      <w:kern w:val="0"/>
                      <w:sz w:val="21"/>
                      <w:szCs w:val="21"/>
                      <w:highlight w:val="none"/>
                      <w:vertAlign w:val="baseline"/>
                      <w:lang w:val="en-US" w:eastAsia="zh-CN"/>
                    </w:rPr>
                  </w:pPr>
                  <w:r>
                    <w:rPr>
                      <w:rFonts w:hint="eastAsia" w:ascii="Times New Roman" w:hAnsi="Times New Roman" w:eastAsia="宋体" w:cs="Times New Roman"/>
                      <w:color w:val="auto"/>
                      <w:spacing w:val="0"/>
                      <w:kern w:val="0"/>
                      <w:sz w:val="21"/>
                      <w:szCs w:val="21"/>
                      <w:highlight w:val="none"/>
                      <w:vertAlign w:val="baseline"/>
                      <w:lang w:val="en-US" w:eastAsia="zh-CN"/>
                    </w:rPr>
                    <w:t>相符</w:t>
                  </w:r>
                </w:p>
              </w:tc>
            </w:tr>
          </w:tbl>
          <w:p w14:paraId="7F04B2AB">
            <w:pPr>
              <w:autoSpaceDE w:val="0"/>
              <w:autoSpaceDN w:val="0"/>
              <w:adjustRightInd w:val="0"/>
              <w:snapToGrid w:val="0"/>
              <w:rPr>
                <w:rFonts w:hint="default" w:eastAsia="宋体"/>
                <w:color w:val="auto"/>
                <w:kern w:val="0"/>
                <w:highlight w:val="none"/>
                <w:lang w:val="en-US" w:eastAsia="zh-CN"/>
              </w:rPr>
            </w:pPr>
          </w:p>
        </w:tc>
      </w:tr>
    </w:tbl>
    <w:p w14:paraId="151EF400">
      <w:pPr>
        <w:rPr>
          <w:rFonts w:hint="eastAsia" w:ascii="宋体" w:hAnsi="宋体" w:cs="宋体"/>
          <w:b/>
          <w:bCs/>
          <w:snapToGrid w:val="0"/>
          <w:color w:val="auto"/>
          <w:sz w:val="30"/>
          <w:szCs w:val="30"/>
          <w:highlight w:val="none"/>
          <w:lang w:val="en-US" w:eastAsia="zh-CN"/>
        </w:rPr>
      </w:pPr>
      <w:r>
        <w:rPr>
          <w:rFonts w:hint="eastAsia" w:ascii="宋体" w:hAnsi="宋体" w:cs="宋体"/>
          <w:b/>
          <w:bCs/>
          <w:snapToGrid w:val="0"/>
          <w:color w:val="auto"/>
          <w:sz w:val="30"/>
          <w:szCs w:val="30"/>
          <w:highlight w:val="none"/>
          <w:lang w:val="en-US" w:eastAsia="zh-CN"/>
        </w:rPr>
        <w:br w:type="page"/>
      </w:r>
    </w:p>
    <w:p w14:paraId="2CA4820C">
      <w:pPr>
        <w:numPr>
          <w:ilvl w:val="0"/>
          <w:numId w:val="0"/>
        </w:numPr>
        <w:spacing w:line="360" w:lineRule="auto"/>
        <w:jc w:val="center"/>
        <w:outlineLvl w:val="0"/>
        <w:rPr>
          <w:rFonts w:hint="eastAsia" w:ascii="宋体" w:hAnsi="宋体" w:eastAsia="宋体" w:cs="宋体"/>
          <w:b/>
          <w:bCs/>
          <w:snapToGrid w:val="0"/>
          <w:color w:val="auto"/>
          <w:sz w:val="30"/>
          <w:szCs w:val="30"/>
          <w:highlight w:val="none"/>
          <w:vertAlign w:val="baseline"/>
        </w:rPr>
      </w:pPr>
      <w:r>
        <w:rPr>
          <w:rFonts w:hint="eastAsia" w:ascii="宋体" w:hAnsi="宋体" w:cs="宋体"/>
          <w:b/>
          <w:bCs/>
          <w:snapToGrid w:val="0"/>
          <w:color w:val="auto"/>
          <w:sz w:val="30"/>
          <w:szCs w:val="30"/>
          <w:highlight w:val="none"/>
          <w:lang w:val="en-US" w:eastAsia="zh-CN"/>
        </w:rPr>
        <w:t>二、</w:t>
      </w:r>
      <w:r>
        <w:rPr>
          <w:rFonts w:hint="eastAsia" w:ascii="宋体" w:hAnsi="宋体" w:eastAsia="宋体" w:cs="宋体"/>
          <w:b/>
          <w:bCs/>
          <w:snapToGrid w:val="0"/>
          <w:color w:val="auto"/>
          <w:sz w:val="30"/>
          <w:szCs w:val="30"/>
          <w:highlight w:val="none"/>
        </w:rPr>
        <w:t>建设项目工程分析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294"/>
      </w:tblGrid>
      <w:tr w14:paraId="3041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9" w:hRule="atLeast"/>
        </w:trPr>
        <w:tc>
          <w:tcPr>
            <w:tcW w:w="767" w:type="dxa"/>
            <w:vAlign w:val="center"/>
          </w:tcPr>
          <w:p w14:paraId="71FC872D">
            <w:pPr>
              <w:jc w:val="center"/>
              <w:rPr>
                <w:rFonts w:hint="eastAsia" w:ascii="宋体" w:hAnsi="宋体" w:eastAsia="宋体" w:cs="宋体"/>
                <w:b/>
                <w:bCs/>
                <w:snapToGrid w:val="0"/>
                <w:color w:val="auto"/>
                <w:sz w:val="30"/>
                <w:szCs w:val="30"/>
                <w:highlight w:val="none"/>
                <w:vertAlign w:val="baseline"/>
              </w:rPr>
            </w:pPr>
            <w:r>
              <w:rPr>
                <w:rFonts w:hint="eastAsia" w:ascii="宋体" w:hAnsi="宋体" w:eastAsia="宋体" w:cs="宋体"/>
                <w:b/>
                <w:bCs/>
                <w:snapToGrid w:val="0"/>
                <w:color w:val="auto"/>
                <w:sz w:val="30"/>
                <w:szCs w:val="30"/>
                <w:highlight w:val="none"/>
              </w:rPr>
              <w:br w:type="page"/>
            </w:r>
            <w:r>
              <w:rPr>
                <w:rFonts w:hint="eastAsia" w:cs="宋体"/>
                <w:color w:val="auto"/>
                <w:szCs w:val="24"/>
                <w:highlight w:val="none"/>
              </w:rPr>
              <w:t>建设内容</w:t>
            </w:r>
          </w:p>
        </w:tc>
        <w:tc>
          <w:tcPr>
            <w:tcW w:w="8294" w:type="dxa"/>
            <w:vAlign w:val="top"/>
          </w:tcPr>
          <w:p w14:paraId="2C77E757">
            <w:pPr>
              <w:autoSpaceDE w:val="0"/>
              <w:autoSpaceDN w:val="0"/>
              <w:adjustRightInd w:val="0"/>
              <w:snapToGrid w:val="0"/>
              <w:spacing w:before="120" w:beforeLines="50" w:line="360" w:lineRule="auto"/>
              <w:rPr>
                <w:b/>
                <w:bCs/>
                <w:color w:val="auto"/>
                <w:kern w:val="0"/>
                <w:highlight w:val="none"/>
              </w:rPr>
            </w:pPr>
            <w:r>
              <w:rPr>
                <w:rFonts w:hint="eastAsia"/>
                <w:b/>
                <w:bCs/>
                <w:color w:val="auto"/>
                <w:kern w:val="0"/>
                <w:highlight w:val="none"/>
              </w:rPr>
              <w:t>1、项目</w:t>
            </w:r>
            <w:r>
              <w:rPr>
                <w:rFonts w:hint="eastAsia"/>
                <w:b/>
                <w:bCs/>
                <w:color w:val="auto"/>
                <w:kern w:val="0"/>
                <w:highlight w:val="none"/>
                <w:lang w:val="en-US" w:eastAsia="zh-CN"/>
              </w:rPr>
              <w:t>背景及</w:t>
            </w:r>
            <w:r>
              <w:rPr>
                <w:rFonts w:hint="eastAsia"/>
                <w:b/>
                <w:bCs/>
                <w:color w:val="auto"/>
                <w:kern w:val="0"/>
                <w:highlight w:val="none"/>
              </w:rPr>
              <w:t>建设内容</w:t>
            </w:r>
          </w:p>
          <w:p w14:paraId="480F331C">
            <w:pPr>
              <w:pStyle w:val="10"/>
              <w:adjustRightInd w:val="0"/>
              <w:snapToGrid w:val="0"/>
              <w:spacing w:line="360" w:lineRule="auto"/>
              <w:ind w:firstLine="480" w:firstLineChars="200"/>
              <w:rPr>
                <w:rFonts w:hint="default" w:eastAsiaTheme="minorEastAsia"/>
                <w:color w:val="auto"/>
                <w:sz w:val="24"/>
                <w:szCs w:val="24"/>
                <w:highlight w:val="none"/>
                <w:lang w:val="en-US" w:eastAsia="zh-CN"/>
              </w:rPr>
            </w:pPr>
            <w:r>
              <w:rPr>
                <w:rFonts w:hint="default" w:eastAsiaTheme="minorEastAsia"/>
                <w:color w:val="auto"/>
                <w:sz w:val="24"/>
                <w:szCs w:val="24"/>
                <w:highlight w:val="none"/>
                <w:lang w:val="en-US" w:eastAsia="zh-CN"/>
              </w:rPr>
              <w:t>安徽其冠塑业有限公司在安徽省宿州市泗县经济开发区蟠龙山路与南柳路交口东南角地块投资建设年产3万套塑料制品项目。项目总投资</w:t>
            </w:r>
            <w:r>
              <w:rPr>
                <w:rFonts w:hint="eastAsia" w:ascii="Times New Roman" w:hAnsi="Times New Roman" w:cs="Times New Roman" w:eastAsiaTheme="minorEastAsia"/>
                <w:color w:val="auto"/>
                <w:sz w:val="24"/>
                <w:szCs w:val="24"/>
                <w:highlight w:val="none"/>
                <w:lang w:val="en-US" w:eastAsia="zh-CN"/>
              </w:rPr>
              <w:t>1</w:t>
            </w:r>
            <w:r>
              <w:rPr>
                <w:rFonts w:hint="default" w:eastAsiaTheme="minorEastAsia"/>
                <w:color w:val="auto"/>
                <w:sz w:val="24"/>
                <w:szCs w:val="24"/>
                <w:highlight w:val="none"/>
                <w:lang w:val="en-US" w:eastAsia="zh-CN"/>
              </w:rPr>
              <w:t>800万元，租赁厂房面积3600平方米，厂房高度为10m。设置塑料制品生产车间、在制品库、原料库、半成品库、成品库以及成品装配及</w:t>
            </w:r>
            <w:r>
              <w:rPr>
                <w:rFonts w:hint="eastAsia" w:eastAsiaTheme="minorEastAsia"/>
                <w:color w:val="auto"/>
                <w:sz w:val="24"/>
                <w:szCs w:val="24"/>
                <w:highlight w:val="none"/>
                <w:lang w:val="en-US" w:eastAsia="zh-CN"/>
              </w:rPr>
              <w:t>喷漆房</w:t>
            </w:r>
            <w:r>
              <w:rPr>
                <w:rFonts w:hint="default" w:eastAsiaTheme="minorEastAsia"/>
                <w:color w:val="auto"/>
                <w:sz w:val="24"/>
                <w:szCs w:val="24"/>
                <w:highlight w:val="none"/>
                <w:lang w:val="en-US" w:eastAsia="zh-CN"/>
              </w:rPr>
              <w:t>和办公室，配套建设相关环保、节能设施。项目建成后，可设计形成年产3万套塑料制品的生产能力。</w:t>
            </w:r>
          </w:p>
          <w:p w14:paraId="6755B0AD">
            <w:pPr>
              <w:autoSpaceDE w:val="0"/>
              <w:autoSpaceDN w:val="0"/>
              <w:adjustRightInd w:val="0"/>
              <w:snapToGrid w:val="0"/>
              <w:spacing w:line="360" w:lineRule="auto"/>
              <w:ind w:firstLine="480" w:firstLineChars="200"/>
              <w:jc w:val="both"/>
              <w:rPr>
                <w:rFonts w:hint="eastAsia"/>
                <w:color w:val="auto"/>
                <w:highlight w:val="none"/>
                <w:lang w:eastAsia="zh-CN"/>
              </w:rPr>
            </w:pPr>
            <w:r>
              <w:rPr>
                <w:color w:val="auto"/>
                <w:highlight w:val="none"/>
              </w:rPr>
              <w:t>具体建设内容及规模见下表</w:t>
            </w:r>
            <w:r>
              <w:rPr>
                <w:rFonts w:hint="eastAsia"/>
                <w:color w:val="auto"/>
                <w:highlight w:val="none"/>
                <w:lang w:eastAsia="zh-CN"/>
              </w:rPr>
              <w:t>。</w:t>
            </w:r>
          </w:p>
          <w:p w14:paraId="7B842F82">
            <w:pPr>
              <w:autoSpaceDE w:val="0"/>
              <w:autoSpaceDN w:val="0"/>
              <w:adjustRightInd w:val="0"/>
              <w:snapToGrid w:val="0"/>
              <w:spacing w:line="240" w:lineRule="auto"/>
              <w:jc w:val="center"/>
              <w:rPr>
                <w:rFonts w:hint="default" w:ascii="宋体" w:hAnsi="宋体" w:eastAsia="宋体" w:cs="宋体"/>
                <w:b/>
                <w:bCs/>
                <w:snapToGrid w:val="0"/>
                <w:color w:val="auto"/>
                <w:sz w:val="30"/>
                <w:szCs w:val="30"/>
                <w:highlight w:val="none"/>
                <w:vertAlign w:val="baseline"/>
                <w:lang w:val="en-US" w:eastAsia="zh-CN"/>
              </w:rPr>
            </w:pPr>
            <w:r>
              <w:rPr>
                <w:rFonts w:hint="eastAsia"/>
                <w:b/>
                <w:bCs/>
                <w:color w:val="auto"/>
                <w:highlight w:val="none"/>
              </w:rPr>
              <w:t>表2</w:t>
            </w:r>
            <w:r>
              <w:rPr>
                <w:rFonts w:hint="eastAsia"/>
                <w:b/>
                <w:bCs/>
                <w:color w:val="auto"/>
                <w:highlight w:val="none"/>
                <w:lang w:val="en-US" w:eastAsia="zh-CN"/>
              </w:rPr>
              <w:t>-1</w:t>
            </w:r>
            <w:r>
              <w:rPr>
                <w:rFonts w:hint="eastAsia"/>
                <w:b/>
                <w:bCs/>
                <w:color w:val="auto"/>
                <w:highlight w:val="none"/>
              </w:rPr>
              <w:t xml:space="preserve">  </w:t>
            </w:r>
            <w:r>
              <w:rPr>
                <w:b/>
                <w:bCs/>
                <w:color w:val="auto"/>
                <w:highlight w:val="none"/>
              </w:rPr>
              <w:t>项目主要建设内容一览表</w:t>
            </w:r>
          </w:p>
          <w:tbl>
            <w:tblPr>
              <w:tblStyle w:val="21"/>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55"/>
              <w:gridCol w:w="4354"/>
              <w:gridCol w:w="1620"/>
            </w:tblGrid>
            <w:tr w14:paraId="0CB1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noWrap w:val="0"/>
                  <w:vAlign w:val="center"/>
                </w:tcPr>
                <w:p w14:paraId="37B4BAC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155" w:type="dxa"/>
                  <w:noWrap w:val="0"/>
                  <w:vAlign w:val="center"/>
                </w:tcPr>
                <w:p w14:paraId="31D4D09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单项工程名称</w:t>
                  </w:r>
                </w:p>
              </w:tc>
              <w:tc>
                <w:tcPr>
                  <w:tcW w:w="4354" w:type="dxa"/>
                  <w:noWrap w:val="0"/>
                  <w:vAlign w:val="center"/>
                </w:tcPr>
                <w:p w14:paraId="78D2FA5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w:t>
                  </w:r>
                </w:p>
              </w:tc>
              <w:tc>
                <w:tcPr>
                  <w:tcW w:w="1620" w:type="dxa"/>
                  <w:noWrap w:val="0"/>
                  <w:vAlign w:val="center"/>
                </w:tcPr>
                <w:p w14:paraId="6DAB657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r>
            <w:tr w14:paraId="511D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noWrap w:val="0"/>
                  <w:vAlign w:val="center"/>
                </w:tcPr>
                <w:p w14:paraId="3100CDE9">
                  <w:pPr>
                    <w:jc w:val="center"/>
                    <w:rPr>
                      <w:rFonts w:hint="default" w:ascii="Times New Roman" w:hAnsi="Times New Roman" w:eastAsia="宋体" w:cs="Times New Roman"/>
                      <w:color w:val="auto"/>
                      <w:sz w:val="21"/>
                      <w:szCs w:val="21"/>
                    </w:rPr>
                  </w:pPr>
                  <w:bookmarkStart w:id="36" w:name="OLE_LINK22" w:colFirst="0" w:colLast="0"/>
                  <w:r>
                    <w:rPr>
                      <w:sz w:val="21"/>
                      <w:szCs w:val="21"/>
                    </w:rPr>
                    <w:t>主体工程</w:t>
                  </w:r>
                </w:p>
              </w:tc>
              <w:tc>
                <w:tcPr>
                  <w:tcW w:w="1155" w:type="dxa"/>
                  <w:noWrap w:val="0"/>
                  <w:vAlign w:val="center"/>
                </w:tcPr>
                <w:p w14:paraId="782BF5F7">
                  <w:pPr>
                    <w:adjustRightInd w:val="0"/>
                    <w:snapToGrid w:val="0"/>
                    <w:jc w:val="center"/>
                    <w:rPr>
                      <w:rFonts w:hint="default" w:ascii="Times New Roman" w:hAnsi="Times New Roman" w:eastAsia="宋体" w:cs="Times New Roman"/>
                      <w:color w:val="auto"/>
                      <w:sz w:val="21"/>
                      <w:szCs w:val="21"/>
                      <w:lang w:val="en-US"/>
                    </w:rPr>
                  </w:pPr>
                  <w:r>
                    <w:rPr>
                      <w:rFonts w:hint="eastAsia"/>
                      <w:sz w:val="21"/>
                      <w:szCs w:val="21"/>
                      <w:lang w:val="en-US" w:eastAsia="zh-CN"/>
                    </w:rPr>
                    <w:t>生产车间</w:t>
                  </w:r>
                </w:p>
              </w:tc>
              <w:tc>
                <w:tcPr>
                  <w:tcW w:w="4354" w:type="dxa"/>
                  <w:noWrap w:val="0"/>
                  <w:vAlign w:val="center"/>
                </w:tcPr>
                <w:p w14:paraId="4452C7B7">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olor w:val="auto"/>
                      <w:sz w:val="21"/>
                      <w:szCs w:val="21"/>
                      <w:highlight w:val="none"/>
                      <w:lang w:val="en-US" w:eastAsia="zh-CN"/>
                    </w:rPr>
                    <w:t>车间</w:t>
                  </w:r>
                  <w:r>
                    <w:rPr>
                      <w:color w:val="auto"/>
                      <w:sz w:val="21"/>
                      <w:szCs w:val="21"/>
                      <w:highlight w:val="none"/>
                    </w:rPr>
                    <w:t>建筑面积约</w:t>
                  </w:r>
                  <w:r>
                    <w:rPr>
                      <w:rFonts w:hint="eastAsia"/>
                      <w:color w:val="auto"/>
                      <w:sz w:val="21"/>
                      <w:szCs w:val="21"/>
                      <w:highlight w:val="none"/>
                      <w:lang w:val="en-US" w:eastAsia="zh-CN"/>
                    </w:rPr>
                    <w:t>3600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占地一层，层高10m，</w:t>
                  </w:r>
                  <w:r>
                    <w:rPr>
                      <w:rFonts w:hint="eastAsia"/>
                      <w:color w:val="auto"/>
                      <w:sz w:val="21"/>
                      <w:szCs w:val="21"/>
                      <w:highlight w:val="none"/>
                      <w:lang w:val="en-US" w:eastAsia="zh-CN"/>
                    </w:rPr>
                    <w:t>内部主要为注塑区、在制品库、原料库、半成品库、成品库、成品装配区、喷漆区和办公室等，设置注塑机、喷漆房（</w:t>
                  </w:r>
                  <w:r>
                    <w:rPr>
                      <w:rFonts w:hint="eastAsia" w:ascii="Times New Roman" w:hAnsi="Times New Roman" w:eastAsia="宋体" w:cs="Times New Roman"/>
                      <w:i w:val="0"/>
                      <w:color w:val="auto"/>
                      <w:kern w:val="0"/>
                      <w:sz w:val="21"/>
                      <w:szCs w:val="21"/>
                      <w:highlight w:val="none"/>
                      <w:u w:val="none"/>
                      <w:lang w:val="en-US" w:eastAsia="zh-CN" w:bidi="ar"/>
                    </w:rPr>
                    <w:t>底漆喷房</w:t>
                  </w:r>
                  <w:r>
                    <w:rPr>
                      <w:rFonts w:hint="eastAsia" w:cs="Times New Roman"/>
                      <w:i w:val="0"/>
                      <w:color w:val="auto"/>
                      <w:kern w:val="0"/>
                      <w:sz w:val="21"/>
                      <w:szCs w:val="21"/>
                      <w:highlight w:val="none"/>
                      <w:u w:val="none"/>
                      <w:lang w:val="en-US" w:eastAsia="zh-CN" w:bidi="ar"/>
                    </w:rPr>
                    <w:t>：5m×2.6m×2.8m；面漆喷房：5m×2m×2.8m</w:t>
                  </w:r>
                  <w:r>
                    <w:rPr>
                      <w:rFonts w:hint="eastAsia"/>
                      <w:color w:val="auto"/>
                      <w:sz w:val="21"/>
                      <w:szCs w:val="21"/>
                      <w:highlight w:val="none"/>
                      <w:lang w:val="en-US" w:eastAsia="zh-CN"/>
                    </w:rPr>
                    <w:t>）、调漆房及配套烘干设施等设备</w:t>
                  </w:r>
                </w:p>
              </w:tc>
              <w:tc>
                <w:tcPr>
                  <w:tcW w:w="1620" w:type="dxa"/>
                  <w:noWrap w:val="0"/>
                  <w:vAlign w:val="center"/>
                </w:tcPr>
                <w:p w14:paraId="4F205FD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设计年产3万套塑料制品</w:t>
                  </w:r>
                </w:p>
              </w:tc>
            </w:tr>
            <w:bookmarkEnd w:id="36"/>
            <w:tr w14:paraId="50F0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noWrap w:val="0"/>
                  <w:vAlign w:val="center"/>
                </w:tcPr>
                <w:p w14:paraId="07B320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155" w:type="dxa"/>
                  <w:noWrap w:val="0"/>
                  <w:vAlign w:val="center"/>
                </w:tcPr>
                <w:p w14:paraId="356038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办公区</w:t>
                  </w:r>
                </w:p>
              </w:tc>
              <w:tc>
                <w:tcPr>
                  <w:tcW w:w="5974" w:type="dxa"/>
                  <w:gridSpan w:val="2"/>
                  <w:noWrap w:val="0"/>
                  <w:vAlign w:val="center"/>
                </w:tcPr>
                <w:p w14:paraId="6DA0158B">
                  <w:pPr>
                    <w:jc w:val="center"/>
                    <w:rPr>
                      <w:rFonts w:hint="eastAsia" w:ascii="Times New Roman" w:hAnsi="Times New Roman" w:eastAsia="宋体" w:cs="Times New Roman"/>
                      <w:color w:val="auto"/>
                      <w:sz w:val="21"/>
                      <w:szCs w:val="21"/>
                      <w:highlight w:val="none"/>
                      <w:lang w:eastAsia="zh-CN"/>
                    </w:rPr>
                  </w:pPr>
                  <w:r>
                    <w:rPr>
                      <w:color w:val="auto"/>
                      <w:sz w:val="21"/>
                      <w:szCs w:val="21"/>
                      <w:highlight w:val="none"/>
                    </w:rPr>
                    <w:t>建筑面积约</w:t>
                  </w:r>
                  <w:r>
                    <w:rPr>
                      <w:rFonts w:hint="eastAsia"/>
                      <w:color w:val="auto"/>
                      <w:sz w:val="21"/>
                      <w:szCs w:val="21"/>
                      <w:highlight w:val="none"/>
                      <w:lang w:val="en-US" w:eastAsia="zh-CN"/>
                    </w:rPr>
                    <w:t>50</w:t>
                  </w:r>
                  <w:r>
                    <w:rPr>
                      <w:color w:val="auto"/>
                      <w:sz w:val="21"/>
                      <w:szCs w:val="21"/>
                      <w:highlight w:val="none"/>
                    </w:rPr>
                    <w:t>m</w:t>
                  </w:r>
                  <w:r>
                    <w:rPr>
                      <w:color w:val="auto"/>
                      <w:sz w:val="21"/>
                      <w:szCs w:val="21"/>
                      <w:highlight w:val="none"/>
                      <w:vertAlign w:val="superscript"/>
                    </w:rPr>
                    <w:t>2</w:t>
                  </w:r>
                  <w:r>
                    <w:rPr>
                      <w:color w:val="auto"/>
                      <w:sz w:val="21"/>
                      <w:szCs w:val="21"/>
                      <w:highlight w:val="none"/>
                    </w:rPr>
                    <w:t>，位于</w:t>
                  </w:r>
                  <w:r>
                    <w:rPr>
                      <w:rFonts w:hint="eastAsia"/>
                      <w:color w:val="auto"/>
                      <w:sz w:val="21"/>
                      <w:szCs w:val="21"/>
                      <w:highlight w:val="none"/>
                      <w:lang w:val="en-US" w:eastAsia="zh-CN"/>
                    </w:rPr>
                    <w:t>厂房的西南角</w:t>
                  </w:r>
                  <w:r>
                    <w:rPr>
                      <w:color w:val="auto"/>
                      <w:sz w:val="21"/>
                      <w:szCs w:val="21"/>
                      <w:highlight w:val="none"/>
                    </w:rPr>
                    <w:t>，主要用于</w:t>
                  </w:r>
                  <w:r>
                    <w:rPr>
                      <w:rFonts w:hint="eastAsia"/>
                      <w:color w:val="auto"/>
                      <w:sz w:val="21"/>
                      <w:szCs w:val="21"/>
                      <w:highlight w:val="none"/>
                    </w:rPr>
                    <w:t>员工的办公等</w:t>
                  </w:r>
                </w:p>
              </w:tc>
            </w:tr>
            <w:tr w14:paraId="3A56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15" w:type="dxa"/>
                  <w:vMerge w:val="restart"/>
                  <w:noWrap w:val="0"/>
                  <w:vAlign w:val="center"/>
                </w:tcPr>
                <w:p w14:paraId="0C7ED103">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储运工程</w:t>
                  </w:r>
                </w:p>
              </w:tc>
              <w:tc>
                <w:tcPr>
                  <w:tcW w:w="1155" w:type="dxa"/>
                  <w:noWrap w:val="0"/>
                  <w:vAlign w:val="center"/>
                </w:tcPr>
                <w:p w14:paraId="16BF02E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在制品库</w:t>
                  </w:r>
                </w:p>
              </w:tc>
              <w:tc>
                <w:tcPr>
                  <w:tcW w:w="5974" w:type="dxa"/>
                  <w:gridSpan w:val="2"/>
                  <w:noWrap w:val="0"/>
                  <w:vAlign w:val="center"/>
                </w:tcPr>
                <w:p w14:paraId="0D58BE3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建筑面积约150m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，主要存放注塑完成的工件</w:t>
                  </w:r>
                </w:p>
              </w:tc>
            </w:tr>
            <w:tr w14:paraId="4984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15" w:type="dxa"/>
                  <w:vMerge w:val="continue"/>
                  <w:noWrap w:val="0"/>
                  <w:vAlign w:val="center"/>
                </w:tcPr>
                <w:p w14:paraId="77B225F5">
                  <w:pPr>
                    <w:jc w:val="center"/>
                    <w:rPr>
                      <w:rFonts w:hint="default" w:ascii="Times New Roman" w:hAnsi="Times New Roman" w:eastAsia="宋体" w:cs="Times New Roman"/>
                      <w:color w:val="auto"/>
                      <w:sz w:val="21"/>
                      <w:szCs w:val="21"/>
                    </w:rPr>
                  </w:pPr>
                </w:p>
              </w:tc>
              <w:tc>
                <w:tcPr>
                  <w:tcW w:w="1155" w:type="dxa"/>
                  <w:shd w:val="clear" w:color="auto" w:fill="auto"/>
                  <w:noWrap w:val="0"/>
                  <w:vAlign w:val="center"/>
                </w:tcPr>
                <w:p w14:paraId="0C54BF0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1"/>
                      <w:szCs w:val="21"/>
                      <w:highlight w:val="none"/>
                      <w:lang w:val="en-US" w:eastAsia="zh-CN"/>
                    </w:rPr>
                    <w:t>原料库</w:t>
                  </w:r>
                </w:p>
              </w:tc>
              <w:tc>
                <w:tcPr>
                  <w:tcW w:w="5974" w:type="dxa"/>
                  <w:gridSpan w:val="2"/>
                  <w:shd w:val="clear" w:color="auto" w:fill="auto"/>
                  <w:noWrap w:val="0"/>
                  <w:vAlign w:val="center"/>
                </w:tcPr>
                <w:p w14:paraId="17A55F16">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建筑面积约</w:t>
                  </w:r>
                  <w:r>
                    <w:rPr>
                      <w:rFonts w:hint="eastAsia"/>
                      <w:color w:val="auto"/>
                      <w:sz w:val="21"/>
                      <w:szCs w:val="21"/>
                      <w:highlight w:val="none"/>
                      <w:lang w:val="en-US" w:eastAsia="zh-CN"/>
                    </w:rPr>
                    <w:t>500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w:t>
                  </w:r>
                  <w:r>
                    <w:rPr>
                      <w:color w:val="auto"/>
                      <w:sz w:val="21"/>
                      <w:szCs w:val="21"/>
                      <w:highlight w:val="none"/>
                    </w:rPr>
                    <w:t>位于</w:t>
                  </w:r>
                  <w:r>
                    <w:rPr>
                      <w:rFonts w:hint="eastAsia"/>
                      <w:color w:val="auto"/>
                      <w:sz w:val="21"/>
                      <w:szCs w:val="21"/>
                      <w:highlight w:val="none"/>
                      <w:lang w:val="en-US" w:eastAsia="zh-CN"/>
                    </w:rPr>
                    <w:t>生产车间内偏东侧</w:t>
                  </w:r>
                  <w:r>
                    <w:rPr>
                      <w:color w:val="auto"/>
                      <w:sz w:val="21"/>
                      <w:szCs w:val="21"/>
                      <w:highlight w:val="none"/>
                    </w:rPr>
                    <w:t>，</w:t>
                  </w:r>
                  <w:r>
                    <w:rPr>
                      <w:rFonts w:hint="eastAsia"/>
                      <w:color w:val="auto"/>
                      <w:sz w:val="21"/>
                      <w:szCs w:val="21"/>
                      <w:highlight w:val="none"/>
                    </w:rPr>
                    <w:t>主要</w:t>
                  </w:r>
                  <w:r>
                    <w:rPr>
                      <w:rFonts w:hint="eastAsia"/>
                      <w:color w:val="auto"/>
                      <w:sz w:val="21"/>
                      <w:szCs w:val="21"/>
                      <w:highlight w:val="none"/>
                      <w:lang w:val="en-US" w:eastAsia="zh-CN"/>
                    </w:rPr>
                    <w:t>用于</w:t>
                  </w:r>
                  <w:r>
                    <w:rPr>
                      <w:rFonts w:hint="eastAsia"/>
                      <w:color w:val="auto"/>
                      <w:sz w:val="21"/>
                      <w:szCs w:val="21"/>
                      <w:highlight w:val="none"/>
                    </w:rPr>
                    <w:t>存贮</w:t>
                  </w:r>
                  <w:r>
                    <w:rPr>
                      <w:rFonts w:hint="eastAsia"/>
                      <w:color w:val="auto"/>
                      <w:sz w:val="21"/>
                      <w:szCs w:val="21"/>
                      <w:highlight w:val="none"/>
                      <w:lang w:val="en-US" w:eastAsia="zh-CN"/>
                    </w:rPr>
                    <w:t>塑料颗粒、模具、活化水、膜纸等原料</w:t>
                  </w:r>
                </w:p>
              </w:tc>
            </w:tr>
            <w:tr w14:paraId="0BEA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15" w:type="dxa"/>
                  <w:vMerge w:val="continue"/>
                  <w:noWrap w:val="0"/>
                  <w:vAlign w:val="center"/>
                </w:tcPr>
                <w:p w14:paraId="708A5356">
                  <w:pPr>
                    <w:jc w:val="center"/>
                    <w:rPr>
                      <w:rFonts w:hint="default" w:ascii="Times New Roman" w:hAnsi="Times New Roman" w:eastAsia="宋体" w:cs="Times New Roman"/>
                      <w:color w:val="auto"/>
                      <w:sz w:val="21"/>
                      <w:szCs w:val="21"/>
                    </w:rPr>
                  </w:pPr>
                </w:p>
              </w:tc>
              <w:tc>
                <w:tcPr>
                  <w:tcW w:w="1155" w:type="dxa"/>
                  <w:shd w:val="clear" w:color="auto" w:fill="auto"/>
                  <w:noWrap w:val="0"/>
                  <w:vAlign w:val="center"/>
                </w:tcPr>
                <w:p w14:paraId="115BCD7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半成品库</w:t>
                  </w:r>
                </w:p>
              </w:tc>
              <w:tc>
                <w:tcPr>
                  <w:tcW w:w="5974" w:type="dxa"/>
                  <w:gridSpan w:val="2"/>
                  <w:shd w:val="clear" w:color="auto" w:fill="auto"/>
                  <w:noWrap w:val="0"/>
                  <w:vAlign w:val="center"/>
                </w:tcPr>
                <w:p w14:paraId="2670C21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建筑面积150m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lang w:val="en-US" w:eastAsia="zh-CN" w:bidi="ar-SA"/>
                    </w:rPr>
                    <w:t>，位于生产车间内北侧，主要用于存放喷漆结束后的半成品工件</w:t>
                  </w:r>
                </w:p>
              </w:tc>
            </w:tr>
            <w:tr w14:paraId="133B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16DA0ECF">
                  <w:pPr>
                    <w:jc w:val="center"/>
                    <w:rPr>
                      <w:rFonts w:hint="default" w:ascii="Times New Roman" w:hAnsi="Times New Roman" w:eastAsia="宋体" w:cs="Times New Roman"/>
                      <w:color w:val="auto"/>
                      <w:sz w:val="21"/>
                      <w:szCs w:val="21"/>
                    </w:rPr>
                  </w:pPr>
                </w:p>
              </w:tc>
              <w:tc>
                <w:tcPr>
                  <w:tcW w:w="1155" w:type="dxa"/>
                  <w:shd w:val="clear" w:color="auto" w:fill="auto"/>
                  <w:noWrap w:val="0"/>
                  <w:vAlign w:val="center"/>
                </w:tcPr>
                <w:p w14:paraId="36002FB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调漆房</w:t>
                  </w:r>
                </w:p>
              </w:tc>
              <w:tc>
                <w:tcPr>
                  <w:tcW w:w="5974" w:type="dxa"/>
                  <w:gridSpan w:val="2"/>
                  <w:shd w:val="clear" w:color="auto" w:fill="auto"/>
                  <w:noWrap w:val="0"/>
                  <w:vAlign w:val="center"/>
                </w:tcPr>
                <w:p w14:paraId="363A464F">
                  <w:pPr>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建筑面积约</w:t>
                  </w:r>
                  <w:r>
                    <w:rPr>
                      <w:rFonts w:hint="eastAsia"/>
                      <w:color w:val="auto"/>
                      <w:sz w:val="21"/>
                      <w:szCs w:val="21"/>
                      <w:highlight w:val="none"/>
                      <w:lang w:val="en-US" w:eastAsia="zh-CN"/>
                    </w:rPr>
                    <w:t>15</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w:t>
                  </w:r>
                  <w:r>
                    <w:rPr>
                      <w:rFonts w:hint="eastAsia" w:ascii="Times New Roman" w:hAnsi="Times New Roman" w:eastAsia="宋体" w:cs="Times New Roman"/>
                      <w:color w:val="auto"/>
                      <w:sz w:val="21"/>
                      <w:szCs w:val="21"/>
                      <w:highlight w:val="none"/>
                      <w:lang w:val="en-US" w:eastAsia="zh-CN"/>
                    </w:rPr>
                    <w:t>设置</w:t>
                  </w:r>
                  <w:r>
                    <w:rPr>
                      <w:rFonts w:hint="eastAsia" w:cs="Times New Roman"/>
                      <w:color w:val="auto"/>
                      <w:sz w:val="21"/>
                      <w:szCs w:val="21"/>
                      <w:highlight w:val="none"/>
                      <w:lang w:val="en-US" w:eastAsia="zh-CN"/>
                    </w:rPr>
                    <w:t>油漆、油类</w:t>
                  </w:r>
                  <w:r>
                    <w:rPr>
                      <w:rFonts w:hint="eastAsia" w:ascii="Times New Roman" w:hAnsi="Times New Roman" w:eastAsia="宋体" w:cs="Times New Roman"/>
                      <w:color w:val="auto"/>
                      <w:sz w:val="21"/>
                      <w:szCs w:val="21"/>
                      <w:highlight w:val="none"/>
                      <w:lang w:val="en-US" w:eastAsia="zh-CN"/>
                    </w:rPr>
                    <w:t>存放区用于存放丙烯酸铝粉漆、光油漆、溶剂、固化剂以及机油等漆类</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油类物质</w:t>
                  </w:r>
                  <w:r>
                    <w:rPr>
                      <w:rFonts w:hint="eastAsia"/>
                      <w:highlight w:val="none"/>
                      <w:lang w:eastAsia="zh-CN"/>
                    </w:rPr>
                    <w:t>。</w:t>
                  </w:r>
                </w:p>
              </w:tc>
            </w:tr>
            <w:tr w14:paraId="797E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2862C9FD">
                  <w:pPr>
                    <w:jc w:val="center"/>
                    <w:rPr>
                      <w:rFonts w:hint="default" w:ascii="Times New Roman" w:hAnsi="Times New Roman" w:eastAsia="宋体" w:cs="Times New Roman"/>
                      <w:color w:val="auto"/>
                      <w:sz w:val="21"/>
                      <w:szCs w:val="21"/>
                    </w:rPr>
                  </w:pPr>
                </w:p>
              </w:tc>
              <w:tc>
                <w:tcPr>
                  <w:tcW w:w="1155" w:type="dxa"/>
                  <w:shd w:val="clear" w:color="auto" w:fill="auto"/>
                  <w:noWrap w:val="0"/>
                  <w:vAlign w:val="center"/>
                </w:tcPr>
                <w:p w14:paraId="2CD72027">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成品</w:t>
                  </w:r>
                  <w:r>
                    <w:rPr>
                      <w:rFonts w:hint="eastAsia" w:cs="Times New Roman"/>
                      <w:bCs/>
                      <w:color w:val="auto"/>
                      <w:sz w:val="21"/>
                      <w:szCs w:val="21"/>
                      <w:highlight w:val="none"/>
                      <w:lang w:val="en-US" w:eastAsia="zh-CN"/>
                    </w:rPr>
                    <w:t>库</w:t>
                  </w:r>
                </w:p>
              </w:tc>
              <w:tc>
                <w:tcPr>
                  <w:tcW w:w="5974" w:type="dxa"/>
                  <w:gridSpan w:val="2"/>
                  <w:shd w:val="clear" w:color="auto" w:fill="auto"/>
                  <w:noWrap w:val="0"/>
                  <w:vAlign w:val="center"/>
                </w:tcPr>
                <w:p w14:paraId="1E15BC9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建筑面积约</w:t>
                  </w:r>
                  <w:r>
                    <w:rPr>
                      <w:rFonts w:hint="eastAsia"/>
                      <w:color w:val="auto"/>
                      <w:sz w:val="21"/>
                      <w:szCs w:val="21"/>
                      <w:highlight w:val="none"/>
                      <w:lang w:val="en-US" w:eastAsia="zh-CN"/>
                    </w:rPr>
                    <w:t>500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w:t>
                  </w:r>
                  <w:r>
                    <w:rPr>
                      <w:color w:val="auto"/>
                      <w:sz w:val="21"/>
                      <w:szCs w:val="21"/>
                      <w:highlight w:val="none"/>
                    </w:rPr>
                    <w:t>位于</w:t>
                  </w:r>
                  <w:r>
                    <w:rPr>
                      <w:rFonts w:hint="eastAsia"/>
                      <w:color w:val="auto"/>
                      <w:sz w:val="21"/>
                      <w:szCs w:val="21"/>
                      <w:highlight w:val="none"/>
                      <w:lang w:val="en-US" w:eastAsia="zh-CN"/>
                    </w:rPr>
                    <w:t>生产车间内西侧</w:t>
                  </w:r>
                  <w:r>
                    <w:rPr>
                      <w:color w:val="auto"/>
                      <w:sz w:val="21"/>
                      <w:szCs w:val="21"/>
                      <w:highlight w:val="none"/>
                    </w:rPr>
                    <w:t>，</w:t>
                  </w:r>
                  <w:r>
                    <w:rPr>
                      <w:rFonts w:hint="eastAsia"/>
                      <w:color w:val="auto"/>
                      <w:sz w:val="21"/>
                      <w:szCs w:val="21"/>
                      <w:highlight w:val="none"/>
                    </w:rPr>
                    <w:t>主要</w:t>
                  </w:r>
                  <w:r>
                    <w:rPr>
                      <w:rFonts w:hint="eastAsia"/>
                      <w:color w:val="auto"/>
                      <w:sz w:val="21"/>
                      <w:szCs w:val="21"/>
                      <w:highlight w:val="none"/>
                      <w:lang w:val="en-US" w:eastAsia="zh-CN"/>
                    </w:rPr>
                    <w:t>用于</w:t>
                  </w:r>
                  <w:r>
                    <w:rPr>
                      <w:rFonts w:hint="eastAsia"/>
                      <w:color w:val="auto"/>
                      <w:sz w:val="21"/>
                      <w:szCs w:val="21"/>
                      <w:highlight w:val="none"/>
                    </w:rPr>
                    <w:t>存贮</w:t>
                  </w:r>
                  <w:r>
                    <w:rPr>
                      <w:rFonts w:hint="eastAsia"/>
                      <w:color w:val="auto"/>
                      <w:sz w:val="21"/>
                      <w:szCs w:val="21"/>
                      <w:highlight w:val="none"/>
                      <w:lang w:val="en-US" w:eastAsia="zh-CN"/>
                    </w:rPr>
                    <w:t>成品</w:t>
                  </w:r>
                </w:p>
              </w:tc>
            </w:tr>
            <w:tr w14:paraId="5DA1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restart"/>
                  <w:noWrap w:val="0"/>
                  <w:vAlign w:val="center"/>
                </w:tcPr>
                <w:p w14:paraId="3278B2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155" w:type="dxa"/>
                  <w:noWrap w:val="0"/>
                  <w:vAlign w:val="center"/>
                </w:tcPr>
                <w:p w14:paraId="2304F4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5974" w:type="dxa"/>
                  <w:gridSpan w:val="2"/>
                  <w:noWrap w:val="0"/>
                  <w:vAlign w:val="center"/>
                </w:tcPr>
                <w:p w14:paraId="28784F59">
                  <w:pPr>
                    <w:adjustRightInd w:val="0"/>
                    <w:snapToGrid w:val="0"/>
                    <w:jc w:val="center"/>
                    <w:rPr>
                      <w:rFonts w:hint="default" w:ascii="Times New Roman" w:hAnsi="Times New Roman" w:eastAsia="宋体" w:cs="Times New Roman"/>
                      <w:color w:val="auto"/>
                      <w:sz w:val="21"/>
                      <w:szCs w:val="21"/>
                      <w:lang w:val="en-US" w:eastAsia="zh-CN"/>
                    </w:rPr>
                  </w:pPr>
                  <w:r>
                    <w:rPr>
                      <w:rFonts w:hint="eastAsia"/>
                      <w:bCs/>
                      <w:color w:val="auto"/>
                      <w:sz w:val="21"/>
                      <w:szCs w:val="21"/>
                      <w:highlight w:val="none"/>
                      <w:lang w:val="en-US" w:eastAsia="zh-CN"/>
                    </w:rPr>
                    <w:t>项目依托原有厂区已建成的供水管网，</w:t>
                  </w:r>
                  <w:r>
                    <w:rPr>
                      <w:bCs/>
                      <w:color w:val="auto"/>
                      <w:sz w:val="21"/>
                      <w:szCs w:val="21"/>
                      <w:highlight w:val="none"/>
                    </w:rPr>
                    <w:t>由开发区</w:t>
                  </w:r>
                  <w:r>
                    <w:rPr>
                      <w:color w:val="auto"/>
                      <w:sz w:val="21"/>
                      <w:szCs w:val="21"/>
                      <w:highlight w:val="none"/>
                    </w:rPr>
                    <w:t>供</w:t>
                  </w:r>
                  <w:r>
                    <w:rPr>
                      <w:bCs/>
                      <w:color w:val="auto"/>
                      <w:sz w:val="21"/>
                      <w:szCs w:val="21"/>
                      <w:highlight w:val="none"/>
                    </w:rPr>
                    <w:t>水管网接入厂内</w:t>
                  </w:r>
                  <w:r>
                    <w:rPr>
                      <w:rFonts w:hint="eastAsia"/>
                      <w:bCs/>
                      <w:color w:val="auto"/>
                      <w:sz w:val="21"/>
                      <w:szCs w:val="21"/>
                      <w:highlight w:val="none"/>
                    </w:rPr>
                    <w:t>，</w:t>
                  </w:r>
                  <w:r>
                    <w:rPr>
                      <w:bCs/>
                      <w:color w:val="auto"/>
                      <w:sz w:val="21"/>
                      <w:szCs w:val="21"/>
                      <w:highlight w:val="none"/>
                    </w:rPr>
                    <w:t>用水量为</w:t>
                  </w:r>
                  <w:r>
                    <w:rPr>
                      <w:rFonts w:hint="eastAsia"/>
                      <w:bCs/>
                      <w:color w:val="auto"/>
                      <w:sz w:val="21"/>
                      <w:szCs w:val="21"/>
                      <w:highlight w:val="none"/>
                      <w:lang w:val="en-US" w:eastAsia="zh-CN"/>
                    </w:rPr>
                    <w:t>3750</w:t>
                  </w:r>
                  <w:r>
                    <w:rPr>
                      <w:bCs/>
                      <w:color w:val="auto"/>
                      <w:sz w:val="21"/>
                      <w:szCs w:val="21"/>
                      <w:highlight w:val="none"/>
                    </w:rPr>
                    <w:t>t/a</w:t>
                  </w:r>
                  <w:r>
                    <w:rPr>
                      <w:rFonts w:hint="eastAsia" w:ascii="Times New Roman" w:hAnsi="Times New Roman" w:eastAsia="宋体" w:cs="Times New Roman"/>
                      <w:bCs/>
                      <w:color w:val="auto"/>
                      <w:sz w:val="21"/>
                      <w:szCs w:val="21"/>
                      <w:highlight w:val="none"/>
                      <w:lang w:val="en-US" w:eastAsia="zh-CN"/>
                    </w:rPr>
                    <w:t>，转印用水使用活化水</w:t>
                  </w:r>
                  <w:r>
                    <w:rPr>
                      <w:rFonts w:hint="eastAsia" w:cs="Times New Roman"/>
                      <w:bCs/>
                      <w:color w:val="auto"/>
                      <w:sz w:val="21"/>
                      <w:szCs w:val="21"/>
                      <w:highlight w:val="none"/>
                      <w:lang w:val="en-US" w:eastAsia="zh-CN"/>
                    </w:rPr>
                    <w:t>10t/a</w:t>
                  </w:r>
                  <w:r>
                    <w:rPr>
                      <w:rFonts w:hint="eastAsia" w:ascii="Times New Roman" w:hAnsi="Times New Roman" w:eastAsia="宋体" w:cs="Times New Roman"/>
                      <w:bCs/>
                      <w:color w:val="auto"/>
                      <w:sz w:val="21"/>
                      <w:szCs w:val="21"/>
                      <w:highlight w:val="none"/>
                      <w:lang w:val="en-US" w:eastAsia="zh-CN"/>
                    </w:rPr>
                    <w:t>，厂区外购。</w:t>
                  </w:r>
                </w:p>
              </w:tc>
            </w:tr>
            <w:tr w14:paraId="6B93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61F7734E">
                  <w:pPr>
                    <w:jc w:val="center"/>
                    <w:rPr>
                      <w:rFonts w:hint="default" w:ascii="Times New Roman" w:hAnsi="Times New Roman" w:eastAsia="宋体" w:cs="Times New Roman"/>
                      <w:color w:val="auto"/>
                      <w:sz w:val="21"/>
                      <w:szCs w:val="21"/>
                    </w:rPr>
                  </w:pPr>
                </w:p>
              </w:tc>
              <w:tc>
                <w:tcPr>
                  <w:tcW w:w="1155" w:type="dxa"/>
                  <w:noWrap w:val="0"/>
                  <w:vAlign w:val="center"/>
                </w:tcPr>
                <w:p w14:paraId="4A0B95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5974" w:type="dxa"/>
                  <w:gridSpan w:val="2"/>
                  <w:noWrap w:val="0"/>
                  <w:vAlign w:val="center"/>
                </w:tcPr>
                <w:p w14:paraId="50680948">
                  <w:pPr>
                    <w:adjustRightInd w:val="0"/>
                    <w:snapToGrid w:val="0"/>
                    <w:jc w:val="center"/>
                    <w:rPr>
                      <w:rFonts w:hint="default" w:ascii="Times New Roman" w:hAnsi="Times New Roman" w:eastAsia="宋体" w:cs="Times New Roman"/>
                      <w:color w:val="auto"/>
                      <w:sz w:val="21"/>
                      <w:szCs w:val="21"/>
                      <w:lang w:val="en-US" w:eastAsia="zh-CN"/>
                    </w:rPr>
                  </w:pPr>
                  <w:r>
                    <w:rPr>
                      <w:color w:val="auto"/>
                      <w:sz w:val="21"/>
                      <w:szCs w:val="21"/>
                      <w:highlight w:val="none"/>
                    </w:rPr>
                    <w:t>采用雨污分流，</w:t>
                  </w:r>
                  <w:r>
                    <w:rPr>
                      <w:rFonts w:hint="eastAsia"/>
                      <w:color w:val="auto"/>
                      <w:sz w:val="21"/>
                      <w:szCs w:val="21"/>
                      <w:highlight w:val="none"/>
                      <w:lang w:val="en-US" w:eastAsia="zh-CN"/>
                    </w:rPr>
                    <w:t>依托</w:t>
                  </w:r>
                  <w:r>
                    <w:rPr>
                      <w:rFonts w:hint="eastAsia"/>
                      <w:bCs/>
                      <w:color w:val="auto"/>
                      <w:sz w:val="21"/>
                      <w:szCs w:val="21"/>
                      <w:highlight w:val="none"/>
                      <w:lang w:val="en-US" w:eastAsia="zh-CN"/>
                    </w:rPr>
                    <w:t>原有厂区已建成的</w:t>
                  </w:r>
                  <w:r>
                    <w:rPr>
                      <w:rFonts w:hint="eastAsia"/>
                      <w:color w:val="auto"/>
                      <w:sz w:val="21"/>
                      <w:szCs w:val="21"/>
                      <w:highlight w:val="none"/>
                      <w:lang w:val="en-US" w:eastAsia="zh-CN"/>
                    </w:rPr>
                    <w:t>雨污管网，</w:t>
                  </w:r>
                  <w:r>
                    <w:rPr>
                      <w:color w:val="auto"/>
                      <w:sz w:val="21"/>
                      <w:szCs w:val="21"/>
                      <w:highlight w:val="none"/>
                    </w:rPr>
                    <w:t>雨水经雨水管网外排；生活污水</w:t>
                  </w:r>
                  <w:r>
                    <w:rPr>
                      <w:rFonts w:hint="eastAsia"/>
                      <w:color w:val="auto"/>
                      <w:sz w:val="21"/>
                      <w:szCs w:val="21"/>
                      <w:highlight w:val="none"/>
                    </w:rPr>
                    <w:t>（</w:t>
                  </w:r>
                  <w:r>
                    <w:rPr>
                      <w:rFonts w:hint="eastAsia"/>
                      <w:color w:val="auto"/>
                      <w:sz w:val="21"/>
                      <w:szCs w:val="21"/>
                      <w:highlight w:val="none"/>
                      <w:lang w:val="en-US" w:eastAsia="zh-CN"/>
                    </w:rPr>
                    <w:t>672</w:t>
                  </w:r>
                  <w:r>
                    <w:rPr>
                      <w:bCs/>
                      <w:color w:val="auto"/>
                      <w:sz w:val="21"/>
                      <w:szCs w:val="21"/>
                      <w:highlight w:val="none"/>
                    </w:rPr>
                    <w:t>t/a</w:t>
                  </w:r>
                  <w:r>
                    <w:rPr>
                      <w:rFonts w:hint="eastAsia"/>
                      <w:color w:val="auto"/>
                      <w:sz w:val="21"/>
                      <w:szCs w:val="21"/>
                      <w:highlight w:val="none"/>
                    </w:rPr>
                    <w:t>）</w:t>
                  </w:r>
                  <w:r>
                    <w:rPr>
                      <w:color w:val="auto"/>
                      <w:sz w:val="21"/>
                      <w:szCs w:val="21"/>
                      <w:highlight w:val="none"/>
                    </w:rPr>
                    <w:t>经化粪池预处理</w:t>
                  </w:r>
                  <w:r>
                    <w:rPr>
                      <w:rFonts w:hint="eastAsia"/>
                      <w:color w:val="auto"/>
                      <w:sz w:val="21"/>
                      <w:szCs w:val="21"/>
                      <w:highlight w:val="none"/>
                      <w:lang w:val="en-US" w:eastAsia="zh-CN"/>
                    </w:rPr>
                    <w:t>后经过厂区管网</w:t>
                  </w:r>
                  <w:r>
                    <w:rPr>
                      <w:color w:val="auto"/>
                      <w:sz w:val="21"/>
                      <w:szCs w:val="21"/>
                      <w:highlight w:val="none"/>
                    </w:rPr>
                    <w:t>进入</w:t>
                  </w:r>
                  <w:r>
                    <w:rPr>
                      <w:rFonts w:hint="eastAsia"/>
                      <w:color w:val="auto"/>
                      <w:sz w:val="21"/>
                      <w:szCs w:val="21"/>
                      <w:highlight w:val="none"/>
                      <w:lang w:val="en-US" w:eastAsia="zh-CN"/>
                    </w:rPr>
                    <w:t>泗县工业</w:t>
                  </w:r>
                  <w:r>
                    <w:rPr>
                      <w:color w:val="auto"/>
                      <w:sz w:val="21"/>
                      <w:szCs w:val="21"/>
                      <w:highlight w:val="none"/>
                    </w:rPr>
                    <w:t>污水处理</w:t>
                  </w:r>
                  <w:r>
                    <w:rPr>
                      <w:rFonts w:hint="eastAsia"/>
                      <w:color w:val="auto"/>
                      <w:sz w:val="21"/>
                      <w:szCs w:val="21"/>
                      <w:highlight w:val="none"/>
                    </w:rPr>
                    <w:t>厂</w:t>
                  </w:r>
                  <w:r>
                    <w:rPr>
                      <w:color w:val="auto"/>
                      <w:sz w:val="21"/>
                      <w:szCs w:val="21"/>
                      <w:highlight w:val="none"/>
                    </w:rPr>
                    <w:t>进一步处理</w:t>
                  </w:r>
                  <w:r>
                    <w:rPr>
                      <w:rFonts w:hint="eastAsia"/>
                      <w:color w:val="auto"/>
                      <w:sz w:val="21"/>
                      <w:szCs w:val="21"/>
                      <w:highlight w:val="none"/>
                    </w:rPr>
                    <w:t>，达标排放至</w:t>
                  </w:r>
                  <w:r>
                    <w:rPr>
                      <w:rFonts w:hint="eastAsia"/>
                      <w:color w:val="auto"/>
                      <w:sz w:val="21"/>
                      <w:szCs w:val="21"/>
                      <w:highlight w:val="none"/>
                      <w:lang w:val="en-US" w:eastAsia="zh-CN"/>
                    </w:rPr>
                    <w:t>石梁河。</w:t>
                  </w:r>
                </w:p>
              </w:tc>
            </w:tr>
            <w:tr w14:paraId="10D9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25CE7AEA">
                  <w:pPr>
                    <w:jc w:val="center"/>
                    <w:rPr>
                      <w:rFonts w:hint="default" w:ascii="Times New Roman" w:hAnsi="Times New Roman" w:eastAsia="宋体" w:cs="Times New Roman"/>
                      <w:color w:val="auto"/>
                      <w:sz w:val="21"/>
                      <w:szCs w:val="21"/>
                    </w:rPr>
                  </w:pPr>
                </w:p>
              </w:tc>
              <w:tc>
                <w:tcPr>
                  <w:tcW w:w="1155" w:type="dxa"/>
                  <w:noWrap w:val="0"/>
                  <w:vAlign w:val="center"/>
                </w:tcPr>
                <w:p w14:paraId="4EE033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5974" w:type="dxa"/>
                  <w:gridSpan w:val="2"/>
                  <w:noWrap w:val="0"/>
                  <w:vAlign w:val="center"/>
                </w:tcPr>
                <w:p w14:paraId="026F8567">
                  <w:pPr>
                    <w:adjustRightInd w:val="0"/>
                    <w:snapToGrid w:val="0"/>
                    <w:jc w:val="center"/>
                    <w:rPr>
                      <w:rFonts w:hint="eastAsia" w:ascii="Times New Roman" w:hAnsi="Times New Roman" w:eastAsia="宋体" w:cs="Times New Roman"/>
                      <w:color w:val="auto"/>
                      <w:sz w:val="21"/>
                      <w:szCs w:val="21"/>
                      <w:lang w:eastAsia="zh-CN"/>
                    </w:rPr>
                  </w:pPr>
                  <w:r>
                    <w:rPr>
                      <w:rFonts w:hint="eastAsia"/>
                      <w:color w:val="auto"/>
                      <w:sz w:val="21"/>
                      <w:szCs w:val="21"/>
                      <w:highlight w:val="none"/>
                    </w:rPr>
                    <w:t>开发区电网，用电量为</w:t>
                  </w:r>
                  <w:r>
                    <w:rPr>
                      <w:rFonts w:hint="eastAsia"/>
                      <w:color w:val="auto"/>
                      <w:sz w:val="21"/>
                      <w:szCs w:val="21"/>
                      <w:highlight w:val="none"/>
                      <w:lang w:val="en-US" w:eastAsia="zh-CN"/>
                    </w:rPr>
                    <w:t>60</w:t>
                  </w:r>
                  <w:r>
                    <w:rPr>
                      <w:rFonts w:hint="eastAsia"/>
                      <w:color w:val="auto"/>
                      <w:sz w:val="21"/>
                      <w:szCs w:val="21"/>
                      <w:highlight w:val="none"/>
                    </w:rPr>
                    <w:t>万kW·h/a</w:t>
                  </w:r>
                </w:p>
              </w:tc>
            </w:tr>
            <w:tr w14:paraId="0B85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15" w:type="dxa"/>
                  <w:vMerge w:val="continue"/>
                  <w:noWrap w:val="0"/>
                  <w:vAlign w:val="center"/>
                </w:tcPr>
                <w:p w14:paraId="2715AC1F">
                  <w:pPr>
                    <w:jc w:val="center"/>
                    <w:rPr>
                      <w:rFonts w:hint="default" w:ascii="Times New Roman" w:hAnsi="Times New Roman" w:eastAsia="宋体" w:cs="Times New Roman"/>
                      <w:color w:val="auto"/>
                      <w:sz w:val="21"/>
                      <w:szCs w:val="21"/>
                    </w:rPr>
                  </w:pPr>
                  <w:bookmarkStart w:id="37" w:name="OLE_LINK23" w:colFirst="0" w:colLast="0"/>
                </w:p>
              </w:tc>
              <w:tc>
                <w:tcPr>
                  <w:tcW w:w="1155" w:type="dxa"/>
                  <w:noWrap w:val="0"/>
                  <w:vAlign w:val="center"/>
                </w:tcPr>
                <w:p w14:paraId="4B514AEB">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供热</w:t>
                  </w:r>
                </w:p>
              </w:tc>
              <w:tc>
                <w:tcPr>
                  <w:tcW w:w="5974" w:type="dxa"/>
                  <w:gridSpan w:val="2"/>
                  <w:noWrap w:val="0"/>
                  <w:vAlign w:val="center"/>
                </w:tcPr>
                <w:p w14:paraId="4EA33E35">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项目使用电加热方式，不使用其他燃料</w:t>
                  </w:r>
                </w:p>
              </w:tc>
            </w:tr>
            <w:tr w14:paraId="3EC6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restart"/>
                  <w:noWrap w:val="0"/>
                  <w:vAlign w:val="center"/>
                </w:tcPr>
                <w:p w14:paraId="0DBC6F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155" w:type="dxa"/>
                  <w:noWrap w:val="0"/>
                  <w:vAlign w:val="center"/>
                </w:tcPr>
                <w:p w14:paraId="3F0C44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w:t>
                  </w:r>
                </w:p>
              </w:tc>
              <w:tc>
                <w:tcPr>
                  <w:tcW w:w="5974" w:type="dxa"/>
                  <w:gridSpan w:val="2"/>
                  <w:noWrap w:val="0"/>
                  <w:vAlign w:val="center"/>
                </w:tcPr>
                <w:p w14:paraId="65CB1A10">
                  <w:pPr>
                    <w:numPr>
                      <w:ilvl w:val="0"/>
                      <w:numId w:val="0"/>
                    </w:numPr>
                    <w:jc w:val="both"/>
                    <w:rPr>
                      <w:rFonts w:hint="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r>
                    <w:rPr>
                      <w:rFonts w:hint="eastAsia"/>
                      <w:color w:val="auto"/>
                      <w:sz w:val="21"/>
                      <w:szCs w:val="21"/>
                      <w:highlight w:val="none"/>
                      <w:lang w:val="en-US" w:eastAsia="zh-CN"/>
                    </w:rPr>
                    <w:t>注塑废气经管道收集后经二级活性炭吸附装置处理后通过15m高排气筒（DA001）排放；</w:t>
                  </w:r>
                </w:p>
                <w:p w14:paraId="1133E4C3">
                  <w:pPr>
                    <w:numPr>
                      <w:ilvl w:val="0"/>
                      <w:numId w:val="0"/>
                    </w:numPr>
                    <w:jc w:val="both"/>
                    <w:rPr>
                      <w:rFonts w:hint="default"/>
                      <w:lang w:val="en-US" w:eastAsia="zh-CN"/>
                    </w:rPr>
                  </w:pPr>
                  <w:r>
                    <w:rPr>
                      <w:rFonts w:hint="default" w:ascii="Times New Roman" w:hAnsi="Times New Roman"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调漆、</w:t>
                  </w:r>
                  <w:r>
                    <w:rPr>
                      <w:rFonts w:hint="eastAsia"/>
                      <w:color w:val="auto"/>
                      <w:sz w:val="21"/>
                      <w:szCs w:val="21"/>
                      <w:highlight w:val="none"/>
                      <w:lang w:val="en-US" w:eastAsia="zh-CN"/>
                    </w:rPr>
                    <w:t>喷漆及烘干废气经收集管道收集</w:t>
                  </w:r>
                  <w:r>
                    <w:rPr>
                      <w:rFonts w:hint="eastAsia"/>
                      <w:sz w:val="21"/>
                      <w:szCs w:val="21"/>
                      <w:highlight w:val="none"/>
                      <w:lang w:val="en-US" w:eastAsia="zh-CN"/>
                    </w:rPr>
                    <w:t>后进入一级水喷淋</w:t>
                  </w:r>
                  <w:r>
                    <w:rPr>
                      <w:rFonts w:hint="eastAsia"/>
                      <w:color w:val="auto"/>
                      <w:sz w:val="21"/>
                      <w:szCs w:val="21"/>
                      <w:highlight w:val="none"/>
                      <w:lang w:val="en-US" w:eastAsia="zh-CN"/>
                    </w:rPr>
                    <w:t>+活性炭吸附/脱附装置+RCO装置处理后经15m高排气筒（DA002）排放；</w:t>
                  </w:r>
                </w:p>
              </w:tc>
            </w:tr>
            <w:tr w14:paraId="53F7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noWrap w:val="0"/>
                  <w:vAlign w:val="center"/>
                </w:tcPr>
                <w:p w14:paraId="5121EE1A">
                  <w:pPr>
                    <w:jc w:val="center"/>
                    <w:rPr>
                      <w:rFonts w:hint="default" w:ascii="Times New Roman" w:hAnsi="Times New Roman" w:eastAsia="宋体" w:cs="Times New Roman"/>
                      <w:color w:val="auto"/>
                      <w:sz w:val="21"/>
                      <w:szCs w:val="21"/>
                    </w:rPr>
                  </w:pPr>
                </w:p>
              </w:tc>
              <w:tc>
                <w:tcPr>
                  <w:tcW w:w="1155" w:type="dxa"/>
                  <w:noWrap w:val="0"/>
                  <w:vAlign w:val="center"/>
                </w:tcPr>
                <w:p w14:paraId="33D219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w:t>
                  </w:r>
                </w:p>
              </w:tc>
              <w:tc>
                <w:tcPr>
                  <w:tcW w:w="5974" w:type="dxa"/>
                  <w:gridSpan w:val="2"/>
                  <w:noWrap w:val="0"/>
                  <w:vAlign w:val="center"/>
                </w:tcPr>
                <w:p w14:paraId="1C05422F">
                  <w:pPr>
                    <w:jc w:val="center"/>
                    <w:rPr>
                      <w:rFonts w:hint="default" w:ascii="Times New Roman" w:hAnsi="Times New Roman" w:eastAsia="宋体" w:cs="Times New Roman"/>
                      <w:color w:val="auto"/>
                      <w:sz w:val="21"/>
                      <w:szCs w:val="21"/>
                      <w:lang w:val="en-US" w:eastAsia="zh-CN"/>
                    </w:rPr>
                  </w:pPr>
                  <w:r>
                    <w:rPr>
                      <w:color w:val="auto"/>
                      <w:sz w:val="21"/>
                      <w:szCs w:val="21"/>
                      <w:highlight w:val="none"/>
                    </w:rPr>
                    <w:t>生活污水</w:t>
                  </w:r>
                  <w:r>
                    <w:rPr>
                      <w:rFonts w:hint="eastAsia"/>
                      <w:color w:val="auto"/>
                      <w:sz w:val="21"/>
                      <w:szCs w:val="21"/>
                      <w:highlight w:val="none"/>
                    </w:rPr>
                    <w:t>（</w:t>
                  </w:r>
                  <w:r>
                    <w:rPr>
                      <w:rFonts w:hint="eastAsia"/>
                      <w:color w:val="auto"/>
                      <w:sz w:val="21"/>
                      <w:szCs w:val="21"/>
                      <w:highlight w:val="none"/>
                      <w:lang w:val="en-US" w:eastAsia="zh-CN"/>
                    </w:rPr>
                    <w:t>672t</w:t>
                  </w:r>
                  <w:r>
                    <w:rPr>
                      <w:bCs/>
                      <w:color w:val="auto"/>
                      <w:sz w:val="21"/>
                      <w:szCs w:val="21"/>
                      <w:highlight w:val="none"/>
                    </w:rPr>
                    <w:t>/a</w:t>
                  </w:r>
                  <w:r>
                    <w:rPr>
                      <w:rFonts w:hint="eastAsia"/>
                      <w:color w:val="auto"/>
                      <w:sz w:val="21"/>
                      <w:szCs w:val="21"/>
                      <w:highlight w:val="none"/>
                    </w:rPr>
                    <w:t>）</w:t>
                  </w:r>
                  <w:r>
                    <w:rPr>
                      <w:color w:val="auto"/>
                      <w:sz w:val="21"/>
                      <w:szCs w:val="21"/>
                      <w:highlight w:val="none"/>
                    </w:rPr>
                    <w:t>经化粪池预处理</w:t>
                  </w:r>
                  <w:r>
                    <w:rPr>
                      <w:rFonts w:hint="eastAsia"/>
                      <w:color w:val="auto"/>
                      <w:sz w:val="21"/>
                      <w:szCs w:val="21"/>
                      <w:highlight w:val="none"/>
                      <w:lang w:val="en-US" w:eastAsia="zh-CN"/>
                    </w:rPr>
                    <w:t>后经过厂区管网</w:t>
                  </w:r>
                  <w:r>
                    <w:rPr>
                      <w:color w:val="auto"/>
                      <w:sz w:val="21"/>
                      <w:szCs w:val="21"/>
                      <w:highlight w:val="none"/>
                    </w:rPr>
                    <w:t>进入</w:t>
                  </w:r>
                  <w:r>
                    <w:rPr>
                      <w:rFonts w:hint="eastAsia"/>
                      <w:color w:val="auto"/>
                      <w:sz w:val="21"/>
                      <w:szCs w:val="21"/>
                      <w:highlight w:val="none"/>
                      <w:lang w:val="en-US" w:eastAsia="zh-CN"/>
                    </w:rPr>
                    <w:t>泗县工业</w:t>
                  </w:r>
                  <w:r>
                    <w:rPr>
                      <w:color w:val="auto"/>
                      <w:sz w:val="21"/>
                      <w:szCs w:val="21"/>
                      <w:highlight w:val="none"/>
                    </w:rPr>
                    <w:t>污水处理</w:t>
                  </w:r>
                  <w:r>
                    <w:rPr>
                      <w:rFonts w:hint="eastAsia"/>
                      <w:color w:val="auto"/>
                      <w:sz w:val="21"/>
                      <w:szCs w:val="21"/>
                      <w:highlight w:val="none"/>
                    </w:rPr>
                    <w:t>厂</w:t>
                  </w:r>
                  <w:r>
                    <w:rPr>
                      <w:color w:val="auto"/>
                      <w:sz w:val="21"/>
                      <w:szCs w:val="21"/>
                      <w:highlight w:val="none"/>
                    </w:rPr>
                    <w:t>进一步处理</w:t>
                  </w:r>
                  <w:r>
                    <w:rPr>
                      <w:rFonts w:hint="eastAsia"/>
                      <w:color w:val="auto"/>
                      <w:sz w:val="21"/>
                      <w:szCs w:val="21"/>
                      <w:highlight w:val="none"/>
                    </w:rPr>
                    <w:t>，达标排放至</w:t>
                  </w:r>
                  <w:r>
                    <w:rPr>
                      <w:rFonts w:hint="eastAsia"/>
                      <w:color w:val="auto"/>
                      <w:sz w:val="21"/>
                      <w:szCs w:val="21"/>
                      <w:highlight w:val="none"/>
                      <w:lang w:val="en-US" w:eastAsia="zh-CN"/>
                    </w:rPr>
                    <w:t>石梁河；转印废水作为危废处理。</w:t>
                  </w:r>
                </w:p>
              </w:tc>
            </w:tr>
            <w:tr w14:paraId="6F02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37BDB385">
                  <w:pPr>
                    <w:jc w:val="center"/>
                    <w:rPr>
                      <w:rFonts w:hint="default" w:ascii="Times New Roman" w:hAnsi="Times New Roman" w:eastAsia="宋体" w:cs="Times New Roman"/>
                      <w:color w:val="auto"/>
                      <w:sz w:val="21"/>
                      <w:szCs w:val="21"/>
                    </w:rPr>
                  </w:pPr>
                </w:p>
              </w:tc>
              <w:tc>
                <w:tcPr>
                  <w:tcW w:w="1155" w:type="dxa"/>
                  <w:noWrap w:val="0"/>
                  <w:vAlign w:val="center"/>
                </w:tcPr>
                <w:p w14:paraId="56B29E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土壤</w:t>
                  </w:r>
                </w:p>
              </w:tc>
              <w:tc>
                <w:tcPr>
                  <w:tcW w:w="5974" w:type="dxa"/>
                  <w:gridSpan w:val="2"/>
                  <w:noWrap w:val="0"/>
                  <w:vAlign w:val="center"/>
                </w:tcPr>
                <w:p w14:paraId="39053654">
                  <w:pPr>
                    <w:keepNext w:val="0"/>
                    <w:keepLines w:val="0"/>
                    <w:pageBreakBefore w:val="0"/>
                    <w:widowControl w:val="0"/>
                    <w:kinsoku/>
                    <w:wordWrap/>
                    <w:overflowPunct/>
                    <w:topLinePunct w:val="0"/>
                    <w:autoSpaceDE/>
                    <w:autoSpaceDN/>
                    <w:bidi w:val="0"/>
                    <w:spacing w:line="240" w:lineRule="auto"/>
                    <w:jc w:val="left"/>
                    <w:textAlignment w:val="auto"/>
                    <w:outlineLvl w:val="0"/>
                    <w:rPr>
                      <w:rFonts w:hint="eastAsia" w:eastAsia="宋体"/>
                      <w:color w:val="auto"/>
                      <w:sz w:val="21"/>
                      <w:szCs w:val="21"/>
                      <w:highlight w:val="none"/>
                      <w:lang w:eastAsia="zh-CN"/>
                    </w:rPr>
                  </w:pPr>
                  <w:r>
                    <w:rPr>
                      <w:rFonts w:hint="eastAsia" w:eastAsia="宋体"/>
                      <w:color w:val="auto"/>
                      <w:sz w:val="21"/>
                      <w:szCs w:val="21"/>
                      <w:highlight w:val="none"/>
                      <w:lang w:val="en-US" w:eastAsia="zh-CN"/>
                    </w:rPr>
                    <w:t>1、危险废物暂存间：</w:t>
                  </w:r>
                  <w:r>
                    <w:rPr>
                      <w:rFonts w:hint="eastAsia" w:eastAsia="宋体"/>
                      <w:color w:val="auto"/>
                      <w:sz w:val="21"/>
                      <w:szCs w:val="21"/>
                      <w:highlight w:val="none"/>
                      <w:lang w:eastAsia="zh-CN"/>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eastAsia" w:eastAsia="宋体"/>
                      <w:color w:val="auto"/>
                      <w:sz w:val="21"/>
                      <w:szCs w:val="21"/>
                      <w:highlight w:val="none"/>
                      <w:vertAlign w:val="superscript"/>
                      <w:lang w:eastAsia="zh-CN"/>
                    </w:rPr>
                    <w:t>-7</w:t>
                  </w:r>
                  <w:r>
                    <w:rPr>
                      <w:rFonts w:hint="eastAsia" w:eastAsia="宋体"/>
                      <w:color w:val="auto"/>
                      <w:sz w:val="21"/>
                      <w:szCs w:val="21"/>
                      <w:highlight w:val="none"/>
                      <w:lang w:eastAsia="zh-CN"/>
                    </w:rPr>
                    <w:t>cm/s），或至少2mm厚高密度聚乙烯膜等人工防渗材料（渗透系数不大于10</w:t>
                  </w:r>
                  <w:r>
                    <w:rPr>
                      <w:rFonts w:hint="eastAsia" w:eastAsia="宋体"/>
                      <w:color w:val="auto"/>
                      <w:sz w:val="21"/>
                      <w:szCs w:val="21"/>
                      <w:highlight w:val="none"/>
                      <w:vertAlign w:val="superscript"/>
                      <w:lang w:eastAsia="zh-CN"/>
                    </w:rPr>
                    <w:t>-10</w:t>
                  </w:r>
                  <w:r>
                    <w:rPr>
                      <w:rFonts w:hint="eastAsia" w:eastAsia="宋体"/>
                      <w:color w:val="auto"/>
                      <w:sz w:val="21"/>
                      <w:szCs w:val="21"/>
                      <w:highlight w:val="none"/>
                      <w:lang w:eastAsia="zh-CN"/>
                    </w:rPr>
                    <w:t>cm/s），或其他防渗性能等效的材料；</w:t>
                  </w:r>
                </w:p>
                <w:p w14:paraId="08E0D752">
                  <w:pPr>
                    <w:keepNext w:val="0"/>
                    <w:keepLines w:val="0"/>
                    <w:pageBreakBefore w:val="0"/>
                    <w:widowControl w:val="0"/>
                    <w:kinsoku/>
                    <w:wordWrap/>
                    <w:overflowPunct/>
                    <w:topLinePunct w:val="0"/>
                    <w:autoSpaceDE/>
                    <w:autoSpaceDN/>
                    <w:bidi w:val="0"/>
                    <w:spacing w:line="240" w:lineRule="auto"/>
                    <w:jc w:val="left"/>
                    <w:textAlignment w:val="auto"/>
                    <w:outlineLvl w:val="0"/>
                    <w:rPr>
                      <w:rFonts w:hint="eastAsia" w:eastAsia="宋体"/>
                      <w:color w:val="auto"/>
                      <w:sz w:val="21"/>
                      <w:szCs w:val="21"/>
                      <w:highlight w:val="none"/>
                      <w:lang w:val="en-US" w:eastAsia="zh-CN"/>
                    </w:rPr>
                  </w:pPr>
                  <w:r>
                    <w:rPr>
                      <w:rFonts w:hint="eastAsia"/>
                      <w:color w:val="auto"/>
                      <w:sz w:val="21"/>
                      <w:szCs w:val="21"/>
                      <w:highlight w:val="none"/>
                      <w:lang w:val="en-US" w:eastAsia="zh-CN"/>
                    </w:rPr>
                    <w:t>2、喷漆房、调漆房：</w:t>
                  </w:r>
                  <w:r>
                    <w:rPr>
                      <w:rFonts w:hint="eastAsia"/>
                      <w:color w:val="auto"/>
                      <w:sz w:val="21"/>
                      <w:szCs w:val="21"/>
                      <w:highlight w:val="none"/>
                    </w:rPr>
                    <w:t>等效黏土防渗层Mb≥6.0m，K≤1.0×10</w:t>
                  </w:r>
                  <w:r>
                    <w:rPr>
                      <w:rFonts w:hint="eastAsia"/>
                      <w:color w:val="auto"/>
                      <w:sz w:val="21"/>
                      <w:szCs w:val="21"/>
                      <w:highlight w:val="none"/>
                      <w:vertAlign w:val="superscript"/>
                    </w:rPr>
                    <w:t>-7</w:t>
                  </w:r>
                  <w:r>
                    <w:rPr>
                      <w:rFonts w:hint="eastAsia"/>
                      <w:color w:val="auto"/>
                      <w:sz w:val="21"/>
                      <w:szCs w:val="21"/>
                      <w:highlight w:val="none"/>
                    </w:rPr>
                    <w:t>cm/s；或参照GB 18598执行</w:t>
                  </w:r>
                  <w:r>
                    <w:rPr>
                      <w:rFonts w:hint="eastAsia"/>
                      <w:color w:val="auto"/>
                      <w:sz w:val="21"/>
                      <w:szCs w:val="21"/>
                      <w:highlight w:val="none"/>
                      <w:lang w:eastAsia="zh-CN"/>
                    </w:rPr>
                    <w:t>；</w:t>
                  </w:r>
                </w:p>
                <w:p w14:paraId="627F64B3">
                  <w:pPr>
                    <w:keepNext w:val="0"/>
                    <w:keepLines w:val="0"/>
                    <w:pageBreakBefore w:val="0"/>
                    <w:widowControl w:val="0"/>
                    <w:kinsoku/>
                    <w:wordWrap/>
                    <w:overflowPunct/>
                    <w:topLinePunct w:val="0"/>
                    <w:autoSpaceDE/>
                    <w:autoSpaceDN/>
                    <w:bidi w:val="0"/>
                    <w:spacing w:line="240" w:lineRule="auto"/>
                    <w:jc w:val="left"/>
                    <w:textAlignment w:val="auto"/>
                    <w:outlineLvl w:val="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eastAsia="宋体"/>
                      <w:color w:val="auto"/>
                      <w:sz w:val="21"/>
                      <w:szCs w:val="21"/>
                      <w:highlight w:val="none"/>
                      <w:lang w:val="en-US" w:eastAsia="zh-CN"/>
                    </w:rPr>
                    <w:t>、</w:t>
                  </w:r>
                  <w:r>
                    <w:rPr>
                      <w:rFonts w:hint="eastAsia" w:eastAsia="宋体"/>
                      <w:color w:val="auto"/>
                      <w:sz w:val="21"/>
                      <w:szCs w:val="21"/>
                      <w:highlight w:val="none"/>
                      <w:lang w:eastAsia="zh-CN"/>
                    </w:rPr>
                    <w:t>生产车间、</w:t>
                  </w:r>
                  <w:r>
                    <w:rPr>
                      <w:rFonts w:hint="eastAsia" w:eastAsia="宋体"/>
                      <w:color w:val="auto"/>
                      <w:sz w:val="21"/>
                      <w:szCs w:val="21"/>
                      <w:highlight w:val="none"/>
                      <w:lang w:val="en-US" w:eastAsia="zh-CN"/>
                    </w:rPr>
                    <w:t>一般固废暂存间、化粪池：</w:t>
                  </w:r>
                  <w:r>
                    <w:rPr>
                      <w:rFonts w:hint="eastAsia" w:eastAsia="宋体"/>
                      <w:color w:val="auto"/>
                      <w:sz w:val="21"/>
                      <w:szCs w:val="21"/>
                      <w:highlight w:val="none"/>
                      <w:lang w:eastAsia="zh-CN"/>
                    </w:rPr>
                    <w:t>等效黏土防水层Mb≥1.5m，K≤1.0×10</w:t>
                  </w:r>
                  <w:r>
                    <w:rPr>
                      <w:rFonts w:hint="eastAsia" w:eastAsia="宋体"/>
                      <w:color w:val="auto"/>
                      <w:sz w:val="21"/>
                      <w:szCs w:val="21"/>
                      <w:highlight w:val="none"/>
                      <w:vertAlign w:val="superscript"/>
                      <w:lang w:eastAsia="zh-CN"/>
                    </w:rPr>
                    <w:t>-7</w:t>
                  </w:r>
                  <w:r>
                    <w:rPr>
                      <w:rFonts w:hint="eastAsia" w:eastAsia="宋体"/>
                      <w:color w:val="auto"/>
                      <w:sz w:val="21"/>
                      <w:szCs w:val="21"/>
                      <w:highlight w:val="none"/>
                      <w:lang w:eastAsia="zh-CN"/>
                    </w:rPr>
                    <w:t>cm/s；或参照GB 1</w:t>
                  </w:r>
                  <w:r>
                    <w:rPr>
                      <w:rFonts w:hint="eastAsia" w:eastAsia="宋体"/>
                      <w:color w:val="auto"/>
                      <w:sz w:val="21"/>
                      <w:szCs w:val="21"/>
                      <w:highlight w:val="none"/>
                      <w:lang w:val="en-US" w:eastAsia="zh-CN"/>
                    </w:rPr>
                    <w:t>6889</w:t>
                  </w:r>
                  <w:r>
                    <w:rPr>
                      <w:rFonts w:hint="eastAsia" w:eastAsia="宋体"/>
                      <w:color w:val="auto"/>
                      <w:sz w:val="21"/>
                      <w:szCs w:val="21"/>
                      <w:highlight w:val="none"/>
                      <w:lang w:eastAsia="zh-CN"/>
                    </w:rPr>
                    <w:t>执行；</w:t>
                  </w:r>
                </w:p>
                <w:p w14:paraId="4AD0384B">
                  <w:pPr>
                    <w:jc w:val="left"/>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4</w:t>
                  </w:r>
                  <w:r>
                    <w:rPr>
                      <w:rFonts w:hint="eastAsia" w:eastAsia="宋体"/>
                      <w:color w:val="auto"/>
                      <w:sz w:val="21"/>
                      <w:szCs w:val="21"/>
                      <w:highlight w:val="none"/>
                      <w:lang w:val="en-US" w:eastAsia="zh-CN"/>
                    </w:rPr>
                    <w:t>、办公区域：一般地面硬化。</w:t>
                  </w:r>
                </w:p>
              </w:tc>
            </w:tr>
            <w:tr w14:paraId="6997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noWrap w:val="0"/>
                  <w:vAlign w:val="center"/>
                </w:tcPr>
                <w:p w14:paraId="21C59C78">
                  <w:pPr>
                    <w:jc w:val="center"/>
                    <w:rPr>
                      <w:rFonts w:hint="default" w:ascii="Times New Roman" w:hAnsi="Times New Roman" w:eastAsia="宋体" w:cs="Times New Roman"/>
                      <w:color w:val="auto"/>
                      <w:sz w:val="21"/>
                      <w:szCs w:val="21"/>
                    </w:rPr>
                  </w:pPr>
                </w:p>
              </w:tc>
              <w:tc>
                <w:tcPr>
                  <w:tcW w:w="1155" w:type="dxa"/>
                  <w:noWrap w:val="0"/>
                  <w:vAlign w:val="center"/>
                </w:tcPr>
                <w:p w14:paraId="57DAFB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噪声处理</w:t>
                  </w:r>
                </w:p>
              </w:tc>
              <w:tc>
                <w:tcPr>
                  <w:tcW w:w="5974" w:type="dxa"/>
                  <w:gridSpan w:val="2"/>
                  <w:noWrap w:val="0"/>
                  <w:vAlign w:val="center"/>
                </w:tcPr>
                <w:p w14:paraId="4134D99E">
                  <w:pPr>
                    <w:jc w:val="left"/>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生产</w:t>
                  </w:r>
                  <w:r>
                    <w:rPr>
                      <w:rFonts w:hint="default" w:ascii="Times New Roman" w:hAnsi="Times New Roman" w:eastAsia="宋体" w:cs="Times New Roman"/>
                      <w:color w:val="auto"/>
                      <w:sz w:val="21"/>
                      <w:szCs w:val="21"/>
                    </w:rPr>
                    <w:t>设备均设置在室内，合理布局；选用低噪声设备，并安装减振垫。</w:t>
                  </w:r>
                </w:p>
              </w:tc>
            </w:tr>
            <w:tr w14:paraId="252A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2A7BCBA3">
                  <w:pPr>
                    <w:jc w:val="center"/>
                    <w:rPr>
                      <w:rFonts w:hint="default" w:ascii="Times New Roman" w:hAnsi="Times New Roman" w:eastAsia="宋体" w:cs="Times New Roman"/>
                      <w:color w:val="auto"/>
                      <w:sz w:val="21"/>
                      <w:szCs w:val="21"/>
                    </w:rPr>
                  </w:pPr>
                </w:p>
              </w:tc>
              <w:tc>
                <w:tcPr>
                  <w:tcW w:w="1155" w:type="dxa"/>
                  <w:vMerge w:val="restart"/>
                  <w:noWrap w:val="0"/>
                  <w:vAlign w:val="center"/>
                </w:tcPr>
                <w:p w14:paraId="12D8ED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5974" w:type="dxa"/>
                  <w:gridSpan w:val="2"/>
                  <w:noWrap w:val="0"/>
                  <w:vAlign w:val="center"/>
                </w:tcPr>
                <w:p w14:paraId="0B4FC062">
                  <w:pPr>
                    <w:spacing w:line="276" w:lineRule="auto"/>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危险固废暂存间位于</w:t>
                  </w:r>
                  <w:r>
                    <w:rPr>
                      <w:rFonts w:hint="eastAsia" w:cs="Times New Roman"/>
                      <w:bCs/>
                      <w:color w:val="auto"/>
                      <w:sz w:val="21"/>
                      <w:szCs w:val="21"/>
                      <w:lang w:val="en-US" w:eastAsia="zh-CN"/>
                    </w:rPr>
                    <w:t>车间东侧</w:t>
                  </w:r>
                  <w:r>
                    <w:rPr>
                      <w:rFonts w:hint="default" w:ascii="Times New Roman" w:hAnsi="Times New Roman" w:eastAsia="宋体" w:cs="Times New Roman"/>
                      <w:bCs/>
                      <w:color w:val="auto"/>
                      <w:sz w:val="21"/>
                      <w:szCs w:val="21"/>
                    </w:rPr>
                    <w:t>，建筑面积约</w:t>
                  </w: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，危险废物收集后暂存于厂区的危废暂存间，定期委托有相关危险废物处理资质的单位处置</w:t>
                  </w:r>
                </w:p>
              </w:tc>
            </w:tr>
            <w:tr w14:paraId="5F52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31D1FEE0">
                  <w:pPr>
                    <w:jc w:val="center"/>
                    <w:rPr>
                      <w:rFonts w:hint="default" w:ascii="Times New Roman" w:hAnsi="Times New Roman" w:eastAsia="宋体" w:cs="Times New Roman"/>
                      <w:color w:val="auto"/>
                      <w:sz w:val="21"/>
                      <w:szCs w:val="21"/>
                    </w:rPr>
                  </w:pPr>
                </w:p>
              </w:tc>
              <w:tc>
                <w:tcPr>
                  <w:tcW w:w="1155" w:type="dxa"/>
                  <w:vMerge w:val="continue"/>
                  <w:noWrap w:val="0"/>
                  <w:vAlign w:val="center"/>
                </w:tcPr>
                <w:p w14:paraId="284D4570">
                  <w:pPr>
                    <w:spacing w:line="276" w:lineRule="auto"/>
                    <w:jc w:val="center"/>
                    <w:rPr>
                      <w:rFonts w:hint="default" w:ascii="Times New Roman" w:hAnsi="Times New Roman" w:eastAsia="宋体" w:cs="Times New Roman"/>
                      <w:color w:val="auto"/>
                      <w:sz w:val="21"/>
                      <w:szCs w:val="21"/>
                    </w:rPr>
                  </w:pPr>
                </w:p>
              </w:tc>
              <w:tc>
                <w:tcPr>
                  <w:tcW w:w="5974" w:type="dxa"/>
                  <w:gridSpan w:val="2"/>
                  <w:noWrap w:val="0"/>
                  <w:vAlign w:val="center"/>
                </w:tcPr>
                <w:p w14:paraId="55AF11CD">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生活垃圾：定点设置垃圾桶</w:t>
                  </w:r>
                </w:p>
              </w:tc>
            </w:tr>
            <w:tr w14:paraId="33BF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noWrap w:val="0"/>
                  <w:vAlign w:val="center"/>
                </w:tcPr>
                <w:p w14:paraId="3C1C8942">
                  <w:pPr>
                    <w:spacing w:line="276" w:lineRule="auto"/>
                    <w:jc w:val="center"/>
                    <w:rPr>
                      <w:rFonts w:hint="default" w:ascii="Times New Roman" w:hAnsi="Times New Roman" w:eastAsia="宋体" w:cs="Times New Roman"/>
                      <w:color w:val="auto"/>
                      <w:sz w:val="21"/>
                      <w:szCs w:val="21"/>
                    </w:rPr>
                  </w:pPr>
                </w:p>
              </w:tc>
              <w:tc>
                <w:tcPr>
                  <w:tcW w:w="1155" w:type="dxa"/>
                  <w:noWrap w:val="0"/>
                  <w:vAlign w:val="center"/>
                </w:tcPr>
                <w:p w14:paraId="571332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w:t>
                  </w:r>
                </w:p>
              </w:tc>
              <w:tc>
                <w:tcPr>
                  <w:tcW w:w="5974" w:type="dxa"/>
                  <w:gridSpan w:val="2"/>
                  <w:noWrap w:val="0"/>
                  <w:vAlign w:val="center"/>
                </w:tcPr>
                <w:p w14:paraId="11B62235">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原辅料按相关要求贮存，明确贮存注意事项并要求专人负责看管。定期对生产设施、包装设施以及相应环保设施等进行安全状况检查，危废暂存间、</w:t>
                  </w:r>
                  <w:r>
                    <w:rPr>
                      <w:rFonts w:hint="eastAsia" w:cs="Times New Roman"/>
                      <w:color w:val="auto"/>
                      <w:sz w:val="21"/>
                      <w:szCs w:val="21"/>
                      <w:lang w:val="en-US" w:eastAsia="zh-CN"/>
                    </w:rPr>
                    <w:t>调漆房</w:t>
                  </w:r>
                  <w:r>
                    <w:rPr>
                      <w:rFonts w:hint="default" w:ascii="Times New Roman" w:hAnsi="Times New Roman" w:eastAsia="宋体" w:cs="Times New Roman"/>
                      <w:color w:val="auto"/>
                      <w:sz w:val="21"/>
                      <w:szCs w:val="21"/>
                      <w:lang w:val="en-US" w:eastAsia="zh-CN"/>
                    </w:rPr>
                    <w:t>等应进行防渗、防泄漏措施；车间内配置相应的消防设备、设施、防毒、灭火物资等消防、安全设施；制定严格的运行操作规章制度，发生火灾、爆炸事故后，灭火的同时疏散周边无关人员；制定应急预案等</w:t>
                  </w:r>
                </w:p>
              </w:tc>
            </w:tr>
            <w:bookmarkEnd w:id="37"/>
          </w:tbl>
          <w:p w14:paraId="3F4B7174">
            <w:pPr>
              <w:adjustRightInd w:val="0"/>
              <w:snapToGrid w:val="0"/>
              <w:spacing w:before="120" w:beforeLines="50" w:line="360" w:lineRule="auto"/>
              <w:rPr>
                <w:b/>
                <w:bCs/>
                <w:color w:val="auto"/>
                <w:kern w:val="0"/>
                <w:highlight w:val="none"/>
              </w:rPr>
            </w:pPr>
            <w:r>
              <w:rPr>
                <w:rFonts w:hint="eastAsia"/>
                <w:b/>
                <w:bCs/>
                <w:color w:val="auto"/>
                <w:kern w:val="0"/>
                <w:highlight w:val="none"/>
              </w:rPr>
              <w:t>2、</w:t>
            </w:r>
            <w:r>
              <w:rPr>
                <w:rFonts w:hint="eastAsia"/>
                <w:b/>
                <w:bCs/>
                <w:color w:val="auto"/>
                <w:kern w:val="0"/>
                <w:highlight w:val="none"/>
                <w:lang w:val="en-US" w:eastAsia="zh-CN"/>
              </w:rPr>
              <w:t>产品</w:t>
            </w:r>
            <w:r>
              <w:rPr>
                <w:b/>
                <w:bCs/>
                <w:color w:val="auto"/>
                <w:kern w:val="0"/>
                <w:highlight w:val="none"/>
              </w:rPr>
              <w:t>方案</w:t>
            </w:r>
          </w:p>
          <w:p w14:paraId="3575CD01">
            <w:pPr>
              <w:autoSpaceDE w:val="0"/>
              <w:autoSpaceDN w:val="0"/>
              <w:adjustRightInd w:val="0"/>
              <w:spacing w:line="360" w:lineRule="auto"/>
              <w:ind w:firstLine="480"/>
              <w:rPr>
                <w:b/>
              </w:rPr>
            </w:pPr>
            <w:r>
              <w:t>项目建成后</w:t>
            </w:r>
            <w:r>
              <w:rPr>
                <w:rFonts w:hint="eastAsia"/>
              </w:rPr>
              <w:t>产品为</w:t>
            </w:r>
            <w:r>
              <w:rPr>
                <w:rFonts w:hint="eastAsia"/>
                <w:lang w:val="en-US" w:eastAsia="zh-CN"/>
              </w:rPr>
              <w:t>塑料制品，主要为麻将机外壳制造</w:t>
            </w:r>
            <w:r>
              <w:rPr>
                <w:rFonts w:hint="eastAsia"/>
              </w:rPr>
              <w:t>，</w:t>
            </w:r>
            <w:r>
              <w:t>具体见下表</w:t>
            </w:r>
            <w:r>
              <w:rPr>
                <w:bCs/>
              </w:rPr>
              <w:t>。</w:t>
            </w:r>
          </w:p>
          <w:p w14:paraId="5C13D695">
            <w:pPr>
              <w:pStyle w:val="74"/>
              <w:spacing w:before="0" w:beforeAutospacing="0" w:after="0" w:afterAutospacing="0"/>
              <w:jc w:val="center"/>
              <w:rPr>
                <w:b/>
              </w:rPr>
            </w:pPr>
            <w:r>
              <w:rPr>
                <w:b/>
              </w:rPr>
              <w:t>表</w:t>
            </w:r>
            <w:r>
              <w:rPr>
                <w:rFonts w:ascii="Times New Roman" w:hAnsi="Times New Roman" w:cs="Times New Roman"/>
                <w:b/>
              </w:rPr>
              <w:t>2</w:t>
            </w:r>
            <w:r>
              <w:rPr>
                <w:rFonts w:hint="eastAsia" w:ascii="Times New Roman" w:hAnsi="Times New Roman" w:cs="Times New Roman"/>
                <w:b/>
              </w:rPr>
              <w:t>.2</w:t>
            </w:r>
            <w:r>
              <w:rPr>
                <w:b/>
              </w:rPr>
              <w:t xml:space="preserve">  项目产品方案一览表</w:t>
            </w:r>
          </w:p>
          <w:tbl>
            <w:tblPr>
              <w:tblStyle w:val="2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932"/>
              <w:gridCol w:w="1940"/>
              <w:gridCol w:w="2153"/>
            </w:tblGrid>
            <w:tr w14:paraId="620D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noWrap w:val="0"/>
                  <w:vAlign w:val="center"/>
                </w:tcPr>
                <w:p w14:paraId="4F986534">
                  <w:pPr>
                    <w:widowControl/>
                    <w:jc w:val="center"/>
                    <w:textAlignment w:val="center"/>
                    <w:rPr>
                      <w:rFonts w:hint="default"/>
                      <w:b/>
                      <w:bCs/>
                      <w:kern w:val="0"/>
                      <w:sz w:val="21"/>
                      <w:szCs w:val="21"/>
                      <w:highlight w:val="none"/>
                    </w:rPr>
                  </w:pPr>
                  <w:r>
                    <w:rPr>
                      <w:rFonts w:hint="default"/>
                      <w:b/>
                      <w:bCs/>
                      <w:kern w:val="0"/>
                      <w:sz w:val="21"/>
                      <w:szCs w:val="21"/>
                      <w:highlight w:val="none"/>
                    </w:rPr>
                    <w:t>产品名称</w:t>
                  </w:r>
                </w:p>
              </w:tc>
              <w:tc>
                <w:tcPr>
                  <w:tcW w:w="1197" w:type="pct"/>
                  <w:noWrap w:val="0"/>
                  <w:vAlign w:val="center"/>
                </w:tcPr>
                <w:p w14:paraId="3F04F0D3">
                  <w:pPr>
                    <w:widowControl/>
                    <w:jc w:val="center"/>
                    <w:textAlignment w:val="center"/>
                    <w:rPr>
                      <w:rFonts w:hint="default"/>
                      <w:b/>
                      <w:bCs/>
                      <w:kern w:val="0"/>
                      <w:sz w:val="21"/>
                      <w:szCs w:val="21"/>
                      <w:highlight w:val="none"/>
                    </w:rPr>
                  </w:pPr>
                  <w:r>
                    <w:rPr>
                      <w:rFonts w:hint="default"/>
                      <w:b/>
                      <w:bCs/>
                      <w:kern w:val="0"/>
                      <w:sz w:val="21"/>
                      <w:szCs w:val="21"/>
                      <w:highlight w:val="none"/>
                    </w:rPr>
                    <w:t>生产规模（</w:t>
                  </w:r>
                  <w:r>
                    <w:rPr>
                      <w:rFonts w:hint="eastAsia"/>
                      <w:b/>
                      <w:bCs/>
                      <w:kern w:val="0"/>
                      <w:sz w:val="21"/>
                      <w:szCs w:val="21"/>
                      <w:highlight w:val="none"/>
                      <w:lang w:val="en-US" w:eastAsia="zh-CN"/>
                    </w:rPr>
                    <w:t>万套/</w:t>
                  </w:r>
                  <w:r>
                    <w:rPr>
                      <w:rFonts w:hint="default"/>
                      <w:b/>
                      <w:bCs/>
                      <w:kern w:val="0"/>
                      <w:sz w:val="21"/>
                      <w:szCs w:val="21"/>
                      <w:highlight w:val="none"/>
                    </w:rPr>
                    <w:t>a）</w:t>
                  </w:r>
                </w:p>
              </w:tc>
              <w:tc>
                <w:tcPr>
                  <w:tcW w:w="1202" w:type="pct"/>
                  <w:noWrap w:val="0"/>
                  <w:vAlign w:val="center"/>
                </w:tcPr>
                <w:p w14:paraId="10359510">
                  <w:pPr>
                    <w:widowControl/>
                    <w:jc w:val="center"/>
                    <w:textAlignment w:val="center"/>
                    <w:rPr>
                      <w:rFonts w:hint="default"/>
                      <w:b/>
                      <w:bCs/>
                      <w:kern w:val="0"/>
                      <w:sz w:val="21"/>
                      <w:szCs w:val="21"/>
                      <w:lang w:eastAsia="zh-CN"/>
                    </w:rPr>
                  </w:pPr>
                  <w:r>
                    <w:rPr>
                      <w:rFonts w:hint="default"/>
                      <w:b/>
                      <w:bCs/>
                      <w:kern w:val="0"/>
                      <w:sz w:val="21"/>
                      <w:szCs w:val="21"/>
                      <w:lang w:val="en-US" w:eastAsia="zh-CN"/>
                    </w:rPr>
                    <w:t>规格</w:t>
                  </w:r>
                </w:p>
              </w:tc>
              <w:tc>
                <w:tcPr>
                  <w:tcW w:w="1333" w:type="pct"/>
                  <w:noWrap w:val="0"/>
                  <w:vAlign w:val="center"/>
                </w:tcPr>
                <w:p w14:paraId="2489FE95">
                  <w:pPr>
                    <w:widowControl/>
                    <w:jc w:val="center"/>
                    <w:textAlignment w:val="center"/>
                    <w:rPr>
                      <w:rFonts w:hint="eastAsia" w:eastAsia="宋体"/>
                      <w:b/>
                      <w:bCs/>
                      <w:kern w:val="0"/>
                      <w:sz w:val="21"/>
                      <w:szCs w:val="21"/>
                      <w:lang w:val="en-US" w:eastAsia="zh-CN"/>
                    </w:rPr>
                  </w:pPr>
                  <w:r>
                    <w:rPr>
                      <w:rFonts w:hint="eastAsia"/>
                      <w:b/>
                      <w:bCs/>
                      <w:kern w:val="0"/>
                      <w:sz w:val="21"/>
                      <w:szCs w:val="21"/>
                      <w:lang w:val="en-US" w:eastAsia="zh-CN"/>
                    </w:rPr>
                    <w:t>备注</w:t>
                  </w:r>
                </w:p>
              </w:tc>
            </w:tr>
            <w:tr w14:paraId="1419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noWrap w:val="0"/>
                  <w:vAlign w:val="center"/>
                </w:tcPr>
                <w:p w14:paraId="4E7CD119">
                  <w:pPr>
                    <w:pStyle w:val="10"/>
                    <w:jc w:val="center"/>
                    <w:rPr>
                      <w:rFonts w:hint="default"/>
                      <w:b w:val="0"/>
                      <w:bCs w:val="0"/>
                      <w:kern w:val="0"/>
                      <w:sz w:val="21"/>
                      <w:szCs w:val="21"/>
                      <w:highlight w:val="none"/>
                      <w:lang w:val="en-US" w:eastAsia="zh-CN"/>
                    </w:rPr>
                  </w:pPr>
                  <w:r>
                    <w:rPr>
                      <w:rFonts w:hint="eastAsia"/>
                      <w:sz w:val="21"/>
                      <w:szCs w:val="21"/>
                      <w:lang w:val="en-US" w:eastAsia="zh-CN"/>
                    </w:rPr>
                    <w:t>麻将机外壳（</w:t>
                  </w:r>
                  <w:r>
                    <w:rPr>
                      <w:rFonts w:hint="eastAsia"/>
                      <w:b w:val="0"/>
                      <w:bCs w:val="0"/>
                      <w:kern w:val="0"/>
                      <w:sz w:val="21"/>
                      <w:szCs w:val="21"/>
                      <w:highlight w:val="none"/>
                      <w:lang w:val="en-US" w:eastAsia="zh-CN"/>
                    </w:rPr>
                    <w:t>40型</w:t>
                  </w:r>
                  <w:r>
                    <w:rPr>
                      <w:rFonts w:hint="eastAsia"/>
                      <w:sz w:val="21"/>
                      <w:szCs w:val="21"/>
                      <w:lang w:val="en-US" w:eastAsia="zh-CN"/>
                    </w:rPr>
                    <w:t>）</w:t>
                  </w:r>
                </w:p>
              </w:tc>
              <w:tc>
                <w:tcPr>
                  <w:tcW w:w="1197" w:type="pct"/>
                  <w:noWrap w:val="0"/>
                  <w:vAlign w:val="center"/>
                </w:tcPr>
                <w:p w14:paraId="61C75909">
                  <w:pPr>
                    <w:spacing w:line="240" w:lineRule="auto"/>
                    <w:jc w:val="center"/>
                    <w:rPr>
                      <w:rFonts w:hint="default"/>
                      <w:b w:val="0"/>
                      <w:bCs w:val="0"/>
                      <w:kern w:val="0"/>
                      <w:sz w:val="21"/>
                      <w:szCs w:val="21"/>
                      <w:highlight w:val="none"/>
                      <w:lang w:val="en-US" w:eastAsia="zh-CN"/>
                    </w:rPr>
                  </w:pPr>
                  <w:r>
                    <w:rPr>
                      <w:rFonts w:hint="eastAsia"/>
                      <w:color w:val="auto"/>
                      <w:sz w:val="21"/>
                      <w:szCs w:val="21"/>
                      <w:highlight w:val="none"/>
                      <w:lang w:val="en-US" w:eastAsia="zh-CN"/>
                    </w:rPr>
                    <w:t>2.5</w:t>
                  </w:r>
                </w:p>
              </w:tc>
              <w:tc>
                <w:tcPr>
                  <w:tcW w:w="1202" w:type="pct"/>
                  <w:noWrap w:val="0"/>
                  <w:vAlign w:val="center"/>
                </w:tcPr>
                <w:p w14:paraId="31634E9F">
                  <w:pPr>
                    <w:widowControl/>
                    <w:jc w:val="center"/>
                    <w:textAlignment w:val="center"/>
                    <w:rPr>
                      <w:rFonts w:hint="default"/>
                      <w:b w:val="0"/>
                      <w:bCs w:val="0"/>
                      <w:kern w:val="0"/>
                      <w:sz w:val="21"/>
                      <w:szCs w:val="21"/>
                    </w:rPr>
                  </w:pPr>
                  <w:r>
                    <w:rPr>
                      <w:rFonts w:hint="eastAsia" w:ascii="Times New Roman" w:hAnsi="Times New Roman"/>
                      <w:kern w:val="0"/>
                      <w:sz w:val="21"/>
                      <w:szCs w:val="21"/>
                      <w:lang w:bidi="en-US"/>
                    </w:rPr>
                    <w:t>100cm*</w:t>
                  </w:r>
                  <w:r>
                    <w:rPr>
                      <w:rFonts w:hint="eastAsia" w:ascii="Times New Roman" w:hAnsi="Times New Roman"/>
                      <w:kern w:val="0"/>
                      <w:sz w:val="21"/>
                      <w:szCs w:val="21"/>
                      <w:lang w:val="en-US" w:eastAsia="zh-CN" w:bidi="en-US"/>
                    </w:rPr>
                    <w:t>25</w:t>
                  </w:r>
                  <w:r>
                    <w:rPr>
                      <w:rFonts w:hint="eastAsia" w:ascii="Times New Roman" w:hAnsi="Times New Roman"/>
                      <w:kern w:val="0"/>
                      <w:sz w:val="21"/>
                      <w:szCs w:val="21"/>
                      <w:lang w:bidi="en-US"/>
                    </w:rPr>
                    <w:t>cm*7mm</w:t>
                  </w:r>
                </w:p>
              </w:tc>
              <w:tc>
                <w:tcPr>
                  <w:tcW w:w="1333" w:type="pct"/>
                  <w:noWrap w:val="0"/>
                  <w:vAlign w:val="center"/>
                </w:tcPr>
                <w:p w14:paraId="77A0995A">
                  <w:pPr>
                    <w:widowControl/>
                    <w:jc w:val="center"/>
                    <w:textAlignment w:val="center"/>
                    <w:rPr>
                      <w:rFonts w:hint="default"/>
                      <w:b/>
                      <w:bCs/>
                      <w:kern w:val="0"/>
                      <w:sz w:val="21"/>
                      <w:szCs w:val="21"/>
                      <w:lang w:val="en-US" w:eastAsia="zh-CN"/>
                    </w:rPr>
                  </w:pPr>
                  <w:r>
                    <w:rPr>
                      <w:rFonts w:hint="default"/>
                      <w:b/>
                      <w:bCs/>
                      <w:kern w:val="0"/>
                      <w:sz w:val="21"/>
                      <w:szCs w:val="21"/>
                      <w:lang w:val="en-US" w:eastAsia="zh-CN"/>
                    </w:rPr>
                    <w:drawing>
                      <wp:inline distT="0" distB="0" distL="114300" distR="114300">
                        <wp:extent cx="1247775" cy="775335"/>
                        <wp:effectExtent l="0" t="0" r="9525" b="5715"/>
                        <wp:docPr id="18" name="图片 25" descr="3334afd404d7126fb7aacd72bdc6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3334afd404d7126fb7aacd72bdc6a36"/>
                                <pic:cNvPicPr>
                                  <a:picLocks noChangeAspect="1"/>
                                </pic:cNvPicPr>
                              </pic:nvPicPr>
                              <pic:blipFill>
                                <a:blip r:embed="rId11"/>
                                <a:stretch>
                                  <a:fillRect/>
                                </a:stretch>
                              </pic:blipFill>
                              <pic:spPr>
                                <a:xfrm>
                                  <a:off x="0" y="0"/>
                                  <a:ext cx="1247775" cy="775335"/>
                                </a:xfrm>
                                <a:prstGeom prst="rect">
                                  <a:avLst/>
                                </a:prstGeom>
                                <a:noFill/>
                                <a:ln>
                                  <a:noFill/>
                                </a:ln>
                              </pic:spPr>
                            </pic:pic>
                          </a:graphicData>
                        </a:graphic>
                      </wp:inline>
                    </w:drawing>
                  </w:r>
                </w:p>
              </w:tc>
            </w:tr>
            <w:tr w14:paraId="5547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noWrap w:val="0"/>
                  <w:vAlign w:val="center"/>
                </w:tcPr>
                <w:p w14:paraId="4404F0E1">
                  <w:pPr>
                    <w:spacing w:line="240" w:lineRule="auto"/>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麻将机外壳（36型）</w:t>
                  </w:r>
                </w:p>
              </w:tc>
              <w:tc>
                <w:tcPr>
                  <w:tcW w:w="1197" w:type="pct"/>
                  <w:noWrap w:val="0"/>
                  <w:vAlign w:val="center"/>
                </w:tcPr>
                <w:p w14:paraId="2D4F9266">
                  <w:pPr>
                    <w:spacing w:line="240" w:lineRule="auto"/>
                    <w:jc w:val="center"/>
                    <w:rPr>
                      <w:rFonts w:hint="default"/>
                      <w:b w:val="0"/>
                      <w:bCs w:val="0"/>
                      <w:kern w:val="0"/>
                      <w:sz w:val="21"/>
                      <w:szCs w:val="21"/>
                      <w:highlight w:val="none"/>
                    </w:rPr>
                  </w:pPr>
                  <w:r>
                    <w:rPr>
                      <w:rFonts w:hint="eastAsia"/>
                      <w:color w:val="auto"/>
                      <w:sz w:val="21"/>
                      <w:szCs w:val="21"/>
                      <w:highlight w:val="none"/>
                      <w:lang w:val="en-US" w:eastAsia="zh-CN"/>
                    </w:rPr>
                    <w:t>0.5</w:t>
                  </w:r>
                </w:p>
              </w:tc>
              <w:tc>
                <w:tcPr>
                  <w:tcW w:w="1202" w:type="pct"/>
                  <w:noWrap w:val="0"/>
                  <w:vAlign w:val="center"/>
                </w:tcPr>
                <w:p w14:paraId="3C32BF71">
                  <w:pPr>
                    <w:widowControl/>
                    <w:jc w:val="center"/>
                    <w:textAlignment w:val="center"/>
                    <w:rPr>
                      <w:rFonts w:hint="default"/>
                      <w:b w:val="0"/>
                      <w:bCs w:val="0"/>
                      <w:kern w:val="0"/>
                      <w:sz w:val="21"/>
                      <w:szCs w:val="21"/>
                      <w:lang w:val="en-US" w:eastAsia="zh-CN"/>
                    </w:rPr>
                  </w:pPr>
                  <w:r>
                    <w:rPr>
                      <w:rFonts w:hint="eastAsia" w:ascii="Times New Roman" w:hAnsi="Times New Roman"/>
                      <w:kern w:val="0"/>
                      <w:sz w:val="21"/>
                      <w:szCs w:val="21"/>
                      <w:lang w:val="en-US" w:eastAsia="zh-CN" w:bidi="en-US"/>
                    </w:rPr>
                    <w:t>80</w:t>
                  </w:r>
                  <w:r>
                    <w:rPr>
                      <w:rFonts w:hint="eastAsia" w:ascii="Times New Roman" w:hAnsi="Times New Roman"/>
                      <w:kern w:val="0"/>
                      <w:sz w:val="21"/>
                      <w:szCs w:val="21"/>
                      <w:lang w:bidi="en-US"/>
                    </w:rPr>
                    <w:t>cm*</w:t>
                  </w:r>
                  <w:r>
                    <w:rPr>
                      <w:rFonts w:hint="eastAsia" w:ascii="Times New Roman" w:hAnsi="Times New Roman"/>
                      <w:kern w:val="0"/>
                      <w:sz w:val="21"/>
                      <w:szCs w:val="21"/>
                      <w:lang w:val="en-US" w:eastAsia="zh-CN" w:bidi="en-US"/>
                    </w:rPr>
                    <w:t>25</w:t>
                  </w:r>
                  <w:r>
                    <w:rPr>
                      <w:rFonts w:hint="eastAsia" w:ascii="Times New Roman" w:hAnsi="Times New Roman"/>
                      <w:kern w:val="0"/>
                      <w:sz w:val="21"/>
                      <w:szCs w:val="21"/>
                      <w:lang w:bidi="en-US"/>
                    </w:rPr>
                    <w:t>cm*7mm</w:t>
                  </w:r>
                </w:p>
              </w:tc>
              <w:tc>
                <w:tcPr>
                  <w:tcW w:w="1333" w:type="pct"/>
                  <w:noWrap w:val="0"/>
                  <w:vAlign w:val="center"/>
                </w:tcPr>
                <w:p w14:paraId="7183294E">
                  <w:pPr>
                    <w:widowControl/>
                    <w:jc w:val="center"/>
                    <w:textAlignment w:val="center"/>
                    <w:rPr>
                      <w:rFonts w:hint="eastAsia" w:eastAsia="宋体"/>
                      <w:b/>
                      <w:bCs/>
                      <w:kern w:val="0"/>
                      <w:sz w:val="21"/>
                      <w:szCs w:val="21"/>
                      <w:lang w:eastAsia="zh-CN"/>
                    </w:rPr>
                  </w:pPr>
                  <w:r>
                    <w:rPr>
                      <w:rFonts w:hint="eastAsia" w:eastAsia="宋体"/>
                      <w:b/>
                      <w:bCs/>
                      <w:kern w:val="0"/>
                      <w:sz w:val="21"/>
                      <w:szCs w:val="21"/>
                      <w:lang w:eastAsia="zh-CN"/>
                    </w:rPr>
                    <w:drawing>
                      <wp:inline distT="0" distB="0" distL="114300" distR="114300">
                        <wp:extent cx="1242060" cy="699135"/>
                        <wp:effectExtent l="0" t="0" r="15240" b="5080"/>
                        <wp:docPr id="20" name="图片 26" descr="c1d0068115155aec6f9d2e4a46d6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c1d0068115155aec6f9d2e4a46d626b"/>
                                <pic:cNvPicPr>
                                  <a:picLocks noChangeAspect="1"/>
                                </pic:cNvPicPr>
                              </pic:nvPicPr>
                              <pic:blipFill>
                                <a:blip r:embed="rId12"/>
                                <a:stretch>
                                  <a:fillRect/>
                                </a:stretch>
                              </pic:blipFill>
                              <pic:spPr>
                                <a:xfrm>
                                  <a:off x="0" y="0"/>
                                  <a:ext cx="1242060" cy="699135"/>
                                </a:xfrm>
                                <a:prstGeom prst="rect">
                                  <a:avLst/>
                                </a:prstGeom>
                                <a:noFill/>
                                <a:ln>
                                  <a:noFill/>
                                </a:ln>
                              </pic:spPr>
                            </pic:pic>
                          </a:graphicData>
                        </a:graphic>
                      </wp:inline>
                    </w:drawing>
                  </w:r>
                </w:p>
              </w:tc>
            </w:tr>
          </w:tbl>
          <w:p w14:paraId="1539629A">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color w:val="auto"/>
                <w:highlight w:val="none"/>
              </w:rPr>
            </w:pPr>
            <w:r>
              <w:rPr>
                <w:rFonts w:hint="eastAsia"/>
                <w:b/>
                <w:bCs/>
                <w:color w:val="auto"/>
                <w:kern w:val="0"/>
                <w:highlight w:val="none"/>
                <w:lang w:val="en-US" w:eastAsia="zh-CN"/>
              </w:rPr>
              <w:t>3、</w:t>
            </w:r>
            <w:r>
              <w:rPr>
                <w:b/>
                <w:bCs/>
                <w:color w:val="auto"/>
                <w:kern w:val="0"/>
                <w:highlight w:val="none"/>
              </w:rPr>
              <w:t>主要设备</w:t>
            </w:r>
          </w:p>
          <w:p w14:paraId="7C635939">
            <w:pPr>
              <w:autoSpaceDE w:val="0"/>
              <w:autoSpaceDN w:val="0"/>
              <w:adjustRightInd w:val="0"/>
              <w:spacing w:line="360" w:lineRule="auto"/>
              <w:ind w:firstLine="480" w:firstLineChars="200"/>
              <w:rPr>
                <w:rFonts w:hint="eastAsia"/>
                <w:color w:val="auto"/>
                <w:highlight w:val="none"/>
                <w:lang w:eastAsia="zh-CN"/>
              </w:rPr>
            </w:pPr>
            <w:r>
              <w:rPr>
                <w:rFonts w:hint="eastAsia"/>
                <w:color w:val="auto"/>
                <w:kern w:val="0"/>
                <w:highlight w:val="none"/>
              </w:rPr>
              <w:t>项目</w:t>
            </w:r>
            <w:r>
              <w:rPr>
                <w:rFonts w:hint="eastAsia"/>
                <w:color w:val="auto"/>
                <w:kern w:val="0"/>
                <w:highlight w:val="none"/>
                <w:lang w:val="en-US" w:eastAsia="zh-CN"/>
              </w:rPr>
              <w:t>主要</w:t>
            </w:r>
            <w:r>
              <w:rPr>
                <w:rFonts w:hint="eastAsia"/>
                <w:color w:val="auto"/>
                <w:kern w:val="0"/>
                <w:highlight w:val="none"/>
              </w:rPr>
              <w:t>设备</w:t>
            </w:r>
            <w:r>
              <w:rPr>
                <w:color w:val="auto"/>
                <w:kern w:val="0"/>
                <w:highlight w:val="none"/>
              </w:rPr>
              <w:t>见下表所示</w:t>
            </w:r>
            <w:r>
              <w:rPr>
                <w:rFonts w:hint="eastAsia"/>
                <w:color w:val="auto"/>
                <w:highlight w:val="none"/>
                <w:lang w:eastAsia="zh-CN"/>
              </w:rPr>
              <w:t>：</w:t>
            </w:r>
          </w:p>
          <w:p w14:paraId="78950316">
            <w:pPr>
              <w:keepNext w:val="0"/>
              <w:keepLines w:val="0"/>
              <w:pageBreakBefore w:val="0"/>
              <w:widowControl w:val="0"/>
              <w:kinsoku/>
              <w:wordWrap/>
              <w:overflowPunct/>
              <w:topLinePunct w:val="0"/>
              <w:bidi w:val="0"/>
              <w:spacing w:line="240" w:lineRule="auto"/>
              <w:jc w:val="center"/>
              <w:textAlignment w:val="auto"/>
              <w:rPr>
                <w:rFonts w:hint="eastAsia" w:eastAsia="宋体"/>
                <w:b/>
                <w:color w:val="auto"/>
                <w:szCs w:val="24"/>
                <w:highlight w:val="none"/>
                <w:lang w:eastAsia="zh-CN"/>
              </w:rPr>
            </w:pPr>
            <w:r>
              <w:rPr>
                <w:rFonts w:eastAsia="宋体"/>
                <w:b/>
                <w:color w:val="auto"/>
                <w:szCs w:val="24"/>
                <w:highlight w:val="none"/>
              </w:rPr>
              <w:t>表</w:t>
            </w:r>
            <w:r>
              <w:rPr>
                <w:rFonts w:hint="eastAsia" w:eastAsia="宋体"/>
                <w:b/>
                <w:color w:val="auto"/>
                <w:szCs w:val="24"/>
                <w:highlight w:val="none"/>
              </w:rPr>
              <w:t>2</w:t>
            </w:r>
            <w:r>
              <w:rPr>
                <w:rFonts w:hint="eastAsia"/>
                <w:b/>
                <w:color w:val="auto"/>
                <w:szCs w:val="24"/>
                <w:highlight w:val="none"/>
                <w:lang w:val="en-US" w:eastAsia="zh-CN"/>
              </w:rPr>
              <w:t>-3</w:t>
            </w:r>
            <w:r>
              <w:rPr>
                <w:rFonts w:hint="eastAsia" w:eastAsia="宋体"/>
                <w:b/>
                <w:color w:val="auto"/>
                <w:szCs w:val="24"/>
                <w:highlight w:val="none"/>
              </w:rPr>
              <w:t xml:space="preserve"> </w:t>
            </w:r>
            <w:r>
              <w:rPr>
                <w:rFonts w:eastAsia="宋体"/>
                <w:b/>
                <w:color w:val="auto"/>
                <w:szCs w:val="24"/>
                <w:highlight w:val="none"/>
              </w:rPr>
              <w:t xml:space="preserve"> 建设项目主要生产设备一览表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9"/>
              <w:gridCol w:w="1399"/>
              <w:gridCol w:w="1795"/>
              <w:gridCol w:w="1747"/>
              <w:gridCol w:w="915"/>
              <w:gridCol w:w="882"/>
            </w:tblGrid>
            <w:tr w14:paraId="636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tcMar>
                    <w:top w:w="15" w:type="dxa"/>
                    <w:left w:w="15" w:type="dxa"/>
                    <w:bottom w:w="0" w:type="dxa"/>
                    <w:right w:w="15" w:type="dxa"/>
                  </w:tcMar>
                  <w:vAlign w:val="center"/>
                </w:tcPr>
                <w:p w14:paraId="12DB1EB7">
                  <w:pPr>
                    <w:widowControl/>
                    <w:jc w:val="center"/>
                    <w:textAlignment w:val="center"/>
                    <w:rPr>
                      <w:b/>
                      <w:bCs/>
                      <w:color w:val="auto"/>
                      <w:sz w:val="21"/>
                      <w:szCs w:val="21"/>
                      <w:highlight w:val="none"/>
                    </w:rPr>
                  </w:pPr>
                  <w:r>
                    <w:rPr>
                      <w:b/>
                      <w:bCs/>
                      <w:color w:val="auto"/>
                      <w:kern w:val="0"/>
                      <w:sz w:val="21"/>
                      <w:szCs w:val="21"/>
                      <w:highlight w:val="none"/>
                    </w:rPr>
                    <w:t>主要生产单元</w:t>
                  </w:r>
                </w:p>
              </w:tc>
              <w:tc>
                <w:tcPr>
                  <w:tcW w:w="1406" w:type="dxa"/>
                  <w:tcMar>
                    <w:top w:w="15" w:type="dxa"/>
                    <w:left w:w="15" w:type="dxa"/>
                    <w:bottom w:w="0" w:type="dxa"/>
                    <w:right w:w="15" w:type="dxa"/>
                  </w:tcMar>
                  <w:vAlign w:val="center"/>
                </w:tcPr>
                <w:p w14:paraId="033C8006">
                  <w:pPr>
                    <w:widowControl/>
                    <w:jc w:val="center"/>
                    <w:textAlignment w:val="center"/>
                    <w:rPr>
                      <w:b/>
                      <w:bCs/>
                      <w:color w:val="auto"/>
                      <w:kern w:val="0"/>
                      <w:sz w:val="21"/>
                      <w:szCs w:val="21"/>
                      <w:highlight w:val="none"/>
                    </w:rPr>
                  </w:pPr>
                  <w:r>
                    <w:rPr>
                      <w:b/>
                      <w:bCs/>
                      <w:color w:val="auto"/>
                      <w:kern w:val="0"/>
                      <w:sz w:val="21"/>
                      <w:szCs w:val="21"/>
                      <w:highlight w:val="none"/>
                    </w:rPr>
                    <w:t>主要工艺</w:t>
                  </w:r>
                </w:p>
              </w:tc>
              <w:tc>
                <w:tcPr>
                  <w:tcW w:w="1804" w:type="dxa"/>
                  <w:tcMar>
                    <w:top w:w="15" w:type="dxa"/>
                    <w:left w:w="15" w:type="dxa"/>
                    <w:bottom w:w="0" w:type="dxa"/>
                    <w:right w:w="15" w:type="dxa"/>
                  </w:tcMar>
                  <w:vAlign w:val="center"/>
                </w:tcPr>
                <w:p w14:paraId="127A4935">
                  <w:pPr>
                    <w:widowControl/>
                    <w:jc w:val="center"/>
                    <w:textAlignment w:val="center"/>
                    <w:rPr>
                      <w:b/>
                      <w:bCs/>
                      <w:color w:val="auto"/>
                      <w:sz w:val="21"/>
                      <w:szCs w:val="21"/>
                      <w:highlight w:val="none"/>
                    </w:rPr>
                  </w:pPr>
                  <w:r>
                    <w:rPr>
                      <w:b/>
                      <w:bCs/>
                      <w:color w:val="auto"/>
                      <w:kern w:val="0"/>
                      <w:sz w:val="21"/>
                      <w:szCs w:val="21"/>
                      <w:highlight w:val="none"/>
                    </w:rPr>
                    <w:t>设备名称</w:t>
                  </w:r>
                </w:p>
              </w:tc>
              <w:tc>
                <w:tcPr>
                  <w:tcW w:w="1755" w:type="dxa"/>
                  <w:tcMar>
                    <w:top w:w="15" w:type="dxa"/>
                    <w:left w:w="15" w:type="dxa"/>
                    <w:bottom w:w="0" w:type="dxa"/>
                    <w:right w:w="15" w:type="dxa"/>
                  </w:tcMar>
                  <w:vAlign w:val="center"/>
                </w:tcPr>
                <w:p w14:paraId="15D8C5EC">
                  <w:pPr>
                    <w:widowControl/>
                    <w:autoSpaceDE w:val="0"/>
                    <w:autoSpaceDN w:val="0"/>
                    <w:adjustRightInd w:val="0"/>
                    <w:snapToGrid w:val="0"/>
                    <w:jc w:val="center"/>
                    <w:textAlignment w:val="bottom"/>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规格/型号</w:t>
                  </w:r>
                </w:p>
              </w:tc>
              <w:tc>
                <w:tcPr>
                  <w:tcW w:w="920" w:type="dxa"/>
                  <w:tcMar>
                    <w:top w:w="15" w:type="dxa"/>
                    <w:left w:w="15" w:type="dxa"/>
                    <w:bottom w:w="0" w:type="dxa"/>
                    <w:right w:w="15" w:type="dxa"/>
                  </w:tcMar>
                  <w:vAlign w:val="center"/>
                </w:tcPr>
                <w:p w14:paraId="3804D791">
                  <w:pPr>
                    <w:widowControl/>
                    <w:jc w:val="center"/>
                    <w:textAlignment w:val="center"/>
                    <w:rPr>
                      <w:b/>
                      <w:bCs/>
                      <w:color w:val="auto"/>
                      <w:sz w:val="21"/>
                      <w:szCs w:val="21"/>
                      <w:highlight w:val="none"/>
                    </w:rPr>
                  </w:pPr>
                  <w:r>
                    <w:rPr>
                      <w:b/>
                      <w:bCs/>
                      <w:color w:val="auto"/>
                      <w:sz w:val="21"/>
                      <w:szCs w:val="21"/>
                      <w:highlight w:val="none"/>
                    </w:rPr>
                    <w:t>设备总量</w:t>
                  </w:r>
                </w:p>
              </w:tc>
              <w:tc>
                <w:tcPr>
                  <w:tcW w:w="886" w:type="dxa"/>
                  <w:tcMar>
                    <w:top w:w="15" w:type="dxa"/>
                    <w:left w:w="15" w:type="dxa"/>
                    <w:bottom w:w="0" w:type="dxa"/>
                    <w:right w:w="15" w:type="dxa"/>
                  </w:tcMar>
                  <w:vAlign w:val="center"/>
                </w:tcPr>
                <w:p w14:paraId="704617FA">
                  <w:pPr>
                    <w:widowControl/>
                    <w:jc w:val="center"/>
                    <w:textAlignment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单位</w:t>
                  </w:r>
                </w:p>
              </w:tc>
            </w:tr>
            <w:tr w14:paraId="2150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tcMar>
                    <w:top w:w="15" w:type="dxa"/>
                    <w:left w:w="15" w:type="dxa"/>
                    <w:bottom w:w="0" w:type="dxa"/>
                    <w:right w:w="15" w:type="dxa"/>
                  </w:tcMar>
                  <w:vAlign w:val="center"/>
                </w:tcPr>
                <w:p w14:paraId="4887E483">
                  <w:pPr>
                    <w:widowControl/>
                    <w:jc w:val="center"/>
                    <w:textAlignment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注塑</w:t>
                  </w:r>
                </w:p>
              </w:tc>
              <w:tc>
                <w:tcPr>
                  <w:tcW w:w="1406" w:type="dxa"/>
                  <w:tcMar>
                    <w:top w:w="15" w:type="dxa"/>
                    <w:left w:w="15" w:type="dxa"/>
                    <w:bottom w:w="0" w:type="dxa"/>
                    <w:right w:w="15" w:type="dxa"/>
                  </w:tcMar>
                  <w:vAlign w:val="center"/>
                </w:tcPr>
                <w:p w14:paraId="061D9C6A">
                  <w:pPr>
                    <w:widowControl/>
                    <w:jc w:val="center"/>
                    <w:textAlignment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注塑</w:t>
                  </w:r>
                </w:p>
              </w:tc>
              <w:tc>
                <w:tcPr>
                  <w:tcW w:w="1804" w:type="dxa"/>
                  <w:tcMar>
                    <w:top w:w="15" w:type="dxa"/>
                    <w:left w:w="15" w:type="dxa"/>
                    <w:bottom w:w="0" w:type="dxa"/>
                    <w:right w:w="15" w:type="dxa"/>
                  </w:tcMar>
                  <w:vAlign w:val="center"/>
                </w:tcPr>
                <w:p w14:paraId="2582E4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注塑机</w:t>
                  </w:r>
                </w:p>
              </w:tc>
              <w:tc>
                <w:tcPr>
                  <w:tcW w:w="1755" w:type="dxa"/>
                  <w:tcMar>
                    <w:top w:w="15" w:type="dxa"/>
                    <w:left w:w="15" w:type="dxa"/>
                    <w:bottom w:w="0" w:type="dxa"/>
                    <w:right w:w="15" w:type="dxa"/>
                  </w:tcMar>
                  <w:vAlign w:val="center"/>
                </w:tcPr>
                <w:p w14:paraId="2F8682DE">
                  <w:pPr>
                    <w:jc w:val="center"/>
                    <w:rPr>
                      <w:rFonts w:hint="default"/>
                      <w:color w:val="auto"/>
                      <w:kern w:val="0"/>
                      <w:sz w:val="21"/>
                      <w:szCs w:val="21"/>
                      <w:highlight w:val="none"/>
                      <w:lang w:val="en-US" w:eastAsia="zh-CN" w:bidi="ar"/>
                    </w:rPr>
                  </w:pPr>
                  <w:r>
                    <w:rPr>
                      <w:rFonts w:hint="default"/>
                      <w:color w:val="auto"/>
                      <w:kern w:val="0"/>
                      <w:sz w:val="21"/>
                      <w:szCs w:val="21"/>
                      <w:highlight w:val="none"/>
                      <w:lang w:val="en-US" w:eastAsia="zh-CN" w:bidi="ar"/>
                    </w:rPr>
                    <w:t>PS10E2ASE</w:t>
                  </w:r>
                </w:p>
              </w:tc>
              <w:tc>
                <w:tcPr>
                  <w:tcW w:w="920" w:type="dxa"/>
                  <w:tcMar>
                    <w:top w:w="15" w:type="dxa"/>
                    <w:left w:w="15" w:type="dxa"/>
                    <w:bottom w:w="0" w:type="dxa"/>
                    <w:right w:w="15" w:type="dxa"/>
                  </w:tcMar>
                  <w:vAlign w:val="center"/>
                </w:tcPr>
                <w:p w14:paraId="2635F0D7">
                  <w:pPr>
                    <w:widowControl/>
                    <w:adjustRightInd w:val="0"/>
                    <w:snapToGrid w:val="0"/>
                    <w:spacing w:line="240" w:lineRule="auto"/>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886" w:type="dxa"/>
                  <w:tcMar>
                    <w:top w:w="15" w:type="dxa"/>
                    <w:left w:w="15" w:type="dxa"/>
                    <w:bottom w:w="0" w:type="dxa"/>
                    <w:right w:w="15" w:type="dxa"/>
                  </w:tcMar>
                  <w:vAlign w:val="center"/>
                </w:tcPr>
                <w:p w14:paraId="608185B5">
                  <w:pPr>
                    <w:widowControl/>
                    <w:autoSpaceDE w:val="0"/>
                    <w:autoSpaceDN w:val="0"/>
                    <w:adjustRightInd w:val="0"/>
                    <w:snapToGrid w:val="0"/>
                    <w:jc w:val="center"/>
                    <w:textAlignment w:val="bottom"/>
                    <w:rPr>
                      <w:rFonts w:hint="eastAsia"/>
                      <w:color w:val="auto"/>
                      <w:sz w:val="21"/>
                      <w:szCs w:val="21"/>
                      <w:highlight w:val="none"/>
                      <w:lang w:val="en-US" w:eastAsia="zh-CN"/>
                    </w:rPr>
                  </w:pPr>
                  <w:r>
                    <w:rPr>
                      <w:rFonts w:hint="eastAsia"/>
                      <w:color w:val="auto"/>
                      <w:sz w:val="21"/>
                      <w:szCs w:val="21"/>
                      <w:highlight w:val="none"/>
                      <w:lang w:val="en-US" w:eastAsia="zh-CN"/>
                    </w:rPr>
                    <w:t>台</w:t>
                  </w:r>
                </w:p>
              </w:tc>
            </w:tr>
            <w:tr w14:paraId="7CB0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tcMar>
                    <w:top w:w="15" w:type="dxa"/>
                    <w:left w:w="15" w:type="dxa"/>
                    <w:bottom w:w="0" w:type="dxa"/>
                    <w:right w:w="15" w:type="dxa"/>
                  </w:tcMar>
                  <w:vAlign w:val="center"/>
                </w:tcPr>
                <w:p w14:paraId="41C9E9B4">
                  <w:pPr>
                    <w:widowControl/>
                    <w:jc w:val="center"/>
                    <w:textAlignment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破碎</w:t>
                  </w:r>
                </w:p>
              </w:tc>
              <w:tc>
                <w:tcPr>
                  <w:tcW w:w="1406" w:type="dxa"/>
                  <w:tcMar>
                    <w:top w:w="15" w:type="dxa"/>
                    <w:left w:w="15" w:type="dxa"/>
                    <w:bottom w:w="0" w:type="dxa"/>
                    <w:right w:w="15" w:type="dxa"/>
                  </w:tcMar>
                  <w:vAlign w:val="center"/>
                </w:tcPr>
                <w:p w14:paraId="545A9AD3">
                  <w:pPr>
                    <w:widowControl/>
                    <w:jc w:val="center"/>
                    <w:textAlignment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破碎</w:t>
                  </w:r>
                </w:p>
              </w:tc>
              <w:tc>
                <w:tcPr>
                  <w:tcW w:w="1804" w:type="dxa"/>
                  <w:tcMar>
                    <w:top w:w="15" w:type="dxa"/>
                    <w:left w:w="15" w:type="dxa"/>
                    <w:bottom w:w="0" w:type="dxa"/>
                    <w:right w:w="15" w:type="dxa"/>
                  </w:tcMar>
                  <w:vAlign w:val="center"/>
                </w:tcPr>
                <w:p w14:paraId="3081072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破碎机</w:t>
                  </w:r>
                </w:p>
              </w:tc>
              <w:tc>
                <w:tcPr>
                  <w:tcW w:w="1755" w:type="dxa"/>
                  <w:tcMar>
                    <w:top w:w="15" w:type="dxa"/>
                    <w:left w:w="15" w:type="dxa"/>
                    <w:bottom w:w="0" w:type="dxa"/>
                    <w:right w:w="15" w:type="dxa"/>
                  </w:tcMar>
                  <w:vAlign w:val="center"/>
                </w:tcPr>
                <w:p w14:paraId="2D548491">
                  <w:pPr>
                    <w:jc w:val="center"/>
                    <w:rPr>
                      <w:rFonts w:hint="default"/>
                      <w:color w:val="auto"/>
                      <w:kern w:val="0"/>
                      <w:sz w:val="21"/>
                      <w:szCs w:val="21"/>
                      <w:highlight w:val="none"/>
                      <w:lang w:val="en-US" w:eastAsia="zh-CN" w:bidi="ar"/>
                    </w:rPr>
                  </w:pPr>
                  <w:r>
                    <w:rPr>
                      <w:rFonts w:hint="eastAsia" w:cs="Times New Roman"/>
                      <w:color w:val="auto"/>
                      <w:kern w:val="0"/>
                      <w:sz w:val="21"/>
                      <w:szCs w:val="21"/>
                      <w:highlight w:val="none"/>
                      <w:lang w:val="en-US" w:eastAsia="zh-CN"/>
                    </w:rPr>
                    <w:t>Q3210M</w:t>
                  </w:r>
                </w:p>
              </w:tc>
              <w:tc>
                <w:tcPr>
                  <w:tcW w:w="920" w:type="dxa"/>
                  <w:tcMar>
                    <w:top w:w="15" w:type="dxa"/>
                    <w:left w:w="15" w:type="dxa"/>
                    <w:bottom w:w="0" w:type="dxa"/>
                    <w:right w:w="15" w:type="dxa"/>
                  </w:tcMar>
                  <w:vAlign w:val="center"/>
                </w:tcPr>
                <w:p w14:paraId="2CC153DB">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30E0E86E">
                  <w:pPr>
                    <w:widowControl/>
                    <w:autoSpaceDE w:val="0"/>
                    <w:autoSpaceDN w:val="0"/>
                    <w:adjustRightInd w:val="0"/>
                    <w:snapToGrid w:val="0"/>
                    <w:jc w:val="center"/>
                    <w:textAlignment w:val="bottom"/>
                    <w:rPr>
                      <w:rFonts w:hint="eastAsia"/>
                      <w:color w:val="auto"/>
                      <w:sz w:val="21"/>
                      <w:szCs w:val="21"/>
                      <w:highlight w:val="none"/>
                      <w:lang w:val="en-US" w:eastAsia="zh-CN"/>
                    </w:rPr>
                  </w:pPr>
                  <w:r>
                    <w:rPr>
                      <w:rFonts w:hint="eastAsia"/>
                      <w:color w:val="auto"/>
                      <w:sz w:val="21"/>
                      <w:szCs w:val="21"/>
                      <w:highlight w:val="none"/>
                      <w:lang w:val="en-US" w:eastAsia="zh-CN"/>
                    </w:rPr>
                    <w:t>台</w:t>
                  </w:r>
                </w:p>
              </w:tc>
            </w:tr>
            <w:tr w14:paraId="5892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vMerge w:val="restart"/>
                  <w:tcMar>
                    <w:top w:w="15" w:type="dxa"/>
                    <w:left w:w="15" w:type="dxa"/>
                    <w:bottom w:w="0" w:type="dxa"/>
                    <w:right w:w="15" w:type="dxa"/>
                  </w:tcMar>
                  <w:vAlign w:val="center"/>
                </w:tcPr>
                <w:p w14:paraId="5942764E">
                  <w:pPr>
                    <w:widowControl/>
                    <w:jc w:val="center"/>
                    <w:textAlignment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喷漆</w:t>
                  </w:r>
                </w:p>
              </w:tc>
              <w:tc>
                <w:tcPr>
                  <w:tcW w:w="1406" w:type="dxa"/>
                  <w:vMerge w:val="restart"/>
                  <w:tcMar>
                    <w:top w:w="15" w:type="dxa"/>
                    <w:left w:w="15" w:type="dxa"/>
                    <w:bottom w:w="0" w:type="dxa"/>
                    <w:right w:w="15" w:type="dxa"/>
                  </w:tcMar>
                  <w:vAlign w:val="center"/>
                </w:tcPr>
                <w:p w14:paraId="036280A5">
                  <w:pPr>
                    <w:widowControl/>
                    <w:jc w:val="center"/>
                    <w:textAlignment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喷漆</w:t>
                  </w:r>
                </w:p>
              </w:tc>
              <w:tc>
                <w:tcPr>
                  <w:tcW w:w="1804" w:type="dxa"/>
                  <w:tcMar>
                    <w:top w:w="15" w:type="dxa"/>
                    <w:left w:w="15" w:type="dxa"/>
                    <w:bottom w:w="0" w:type="dxa"/>
                    <w:right w:w="15" w:type="dxa"/>
                  </w:tcMar>
                  <w:vAlign w:val="center"/>
                </w:tcPr>
                <w:p w14:paraId="3C7FF5E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底漆喷房</w:t>
                  </w:r>
                </w:p>
              </w:tc>
              <w:tc>
                <w:tcPr>
                  <w:tcW w:w="1755" w:type="dxa"/>
                  <w:tcMar>
                    <w:top w:w="15" w:type="dxa"/>
                    <w:left w:w="15" w:type="dxa"/>
                    <w:bottom w:w="0" w:type="dxa"/>
                    <w:right w:w="15" w:type="dxa"/>
                  </w:tcMar>
                  <w:vAlign w:val="center"/>
                </w:tcPr>
                <w:p w14:paraId="001FD15A">
                  <w:pPr>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5*2.6*2.8（m）</w:t>
                  </w:r>
                </w:p>
              </w:tc>
              <w:tc>
                <w:tcPr>
                  <w:tcW w:w="920" w:type="dxa"/>
                  <w:tcMar>
                    <w:top w:w="15" w:type="dxa"/>
                    <w:left w:w="15" w:type="dxa"/>
                    <w:bottom w:w="0" w:type="dxa"/>
                    <w:right w:w="15" w:type="dxa"/>
                  </w:tcMar>
                  <w:vAlign w:val="center"/>
                </w:tcPr>
                <w:p w14:paraId="0F9EBD29">
                  <w:pPr>
                    <w:widowControl/>
                    <w:autoSpaceDE w:val="0"/>
                    <w:autoSpaceDN w:val="0"/>
                    <w:adjustRightInd w:val="0"/>
                    <w:snapToGrid w:val="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30F958AF">
                  <w:pPr>
                    <w:widowControl/>
                    <w:autoSpaceDE w:val="0"/>
                    <w:autoSpaceDN w:val="0"/>
                    <w:adjustRightInd w:val="0"/>
                    <w:snapToGrid w:val="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套</w:t>
                  </w:r>
                </w:p>
              </w:tc>
            </w:tr>
            <w:tr w14:paraId="264C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vMerge w:val="continue"/>
                  <w:tcMar>
                    <w:top w:w="15" w:type="dxa"/>
                    <w:left w:w="15" w:type="dxa"/>
                    <w:bottom w:w="0" w:type="dxa"/>
                    <w:right w:w="15" w:type="dxa"/>
                  </w:tcMar>
                  <w:vAlign w:val="center"/>
                </w:tcPr>
                <w:p w14:paraId="4D74EF1D">
                  <w:pPr>
                    <w:widowControl/>
                    <w:jc w:val="center"/>
                    <w:textAlignment w:val="center"/>
                    <w:rPr>
                      <w:rFonts w:hint="eastAsia" w:eastAsia="宋体"/>
                      <w:color w:val="auto"/>
                      <w:kern w:val="0"/>
                      <w:sz w:val="21"/>
                      <w:szCs w:val="21"/>
                      <w:highlight w:val="none"/>
                      <w:lang w:val="en-US" w:eastAsia="zh-CN"/>
                    </w:rPr>
                  </w:pPr>
                </w:p>
              </w:tc>
              <w:tc>
                <w:tcPr>
                  <w:tcW w:w="1406" w:type="dxa"/>
                  <w:vMerge w:val="continue"/>
                  <w:tcMar>
                    <w:top w:w="15" w:type="dxa"/>
                    <w:left w:w="15" w:type="dxa"/>
                    <w:bottom w:w="0" w:type="dxa"/>
                    <w:right w:w="15" w:type="dxa"/>
                  </w:tcMar>
                  <w:vAlign w:val="center"/>
                </w:tcPr>
                <w:p w14:paraId="18AFEE38">
                  <w:pPr>
                    <w:widowControl/>
                    <w:jc w:val="center"/>
                    <w:textAlignment w:val="center"/>
                    <w:rPr>
                      <w:rFonts w:hint="eastAsia" w:eastAsia="宋体"/>
                      <w:color w:val="auto"/>
                      <w:kern w:val="0"/>
                      <w:sz w:val="21"/>
                      <w:szCs w:val="21"/>
                      <w:highlight w:val="none"/>
                      <w:lang w:val="en-US" w:eastAsia="zh-CN"/>
                    </w:rPr>
                  </w:pPr>
                </w:p>
              </w:tc>
              <w:tc>
                <w:tcPr>
                  <w:tcW w:w="1804" w:type="dxa"/>
                  <w:tcMar>
                    <w:top w:w="15" w:type="dxa"/>
                    <w:left w:w="15" w:type="dxa"/>
                    <w:bottom w:w="0" w:type="dxa"/>
                    <w:right w:w="15" w:type="dxa"/>
                  </w:tcMar>
                  <w:vAlign w:val="center"/>
                </w:tcPr>
                <w:p w14:paraId="02BA593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面漆喷房</w:t>
                  </w:r>
                </w:p>
              </w:tc>
              <w:tc>
                <w:tcPr>
                  <w:tcW w:w="1755" w:type="dxa"/>
                  <w:tcMar>
                    <w:top w:w="15" w:type="dxa"/>
                    <w:left w:w="15" w:type="dxa"/>
                    <w:bottom w:w="0" w:type="dxa"/>
                    <w:right w:w="15" w:type="dxa"/>
                  </w:tcMar>
                  <w:vAlign w:val="center"/>
                </w:tcPr>
                <w:p w14:paraId="309DE4DC">
                  <w:pPr>
                    <w:jc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5*2*2.8（m）</w:t>
                  </w:r>
                </w:p>
              </w:tc>
              <w:tc>
                <w:tcPr>
                  <w:tcW w:w="920" w:type="dxa"/>
                  <w:tcMar>
                    <w:top w:w="15" w:type="dxa"/>
                    <w:left w:w="15" w:type="dxa"/>
                    <w:bottom w:w="0" w:type="dxa"/>
                    <w:right w:w="15" w:type="dxa"/>
                  </w:tcMar>
                  <w:vAlign w:val="center"/>
                </w:tcPr>
                <w:p w14:paraId="791540CB">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60BDEAEE">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套</w:t>
                  </w:r>
                </w:p>
              </w:tc>
            </w:tr>
            <w:tr w14:paraId="5415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vMerge w:val="continue"/>
                  <w:tcMar>
                    <w:top w:w="15" w:type="dxa"/>
                    <w:left w:w="15" w:type="dxa"/>
                    <w:bottom w:w="0" w:type="dxa"/>
                    <w:right w:w="15" w:type="dxa"/>
                  </w:tcMar>
                  <w:vAlign w:val="center"/>
                </w:tcPr>
                <w:p w14:paraId="6043498A">
                  <w:pPr>
                    <w:widowControl/>
                    <w:jc w:val="center"/>
                    <w:textAlignment w:val="center"/>
                    <w:rPr>
                      <w:rFonts w:hint="eastAsia" w:eastAsia="宋体"/>
                      <w:color w:val="auto"/>
                      <w:kern w:val="0"/>
                      <w:sz w:val="21"/>
                      <w:szCs w:val="21"/>
                      <w:highlight w:val="none"/>
                      <w:lang w:val="en-US" w:eastAsia="zh-CN"/>
                    </w:rPr>
                  </w:pPr>
                </w:p>
              </w:tc>
              <w:tc>
                <w:tcPr>
                  <w:tcW w:w="1406" w:type="dxa"/>
                  <w:vMerge w:val="continue"/>
                  <w:tcMar>
                    <w:top w:w="15" w:type="dxa"/>
                    <w:left w:w="15" w:type="dxa"/>
                    <w:bottom w:w="0" w:type="dxa"/>
                    <w:right w:w="15" w:type="dxa"/>
                  </w:tcMar>
                  <w:vAlign w:val="center"/>
                </w:tcPr>
                <w:p w14:paraId="0FDD7F02">
                  <w:pPr>
                    <w:widowControl/>
                    <w:jc w:val="center"/>
                    <w:textAlignment w:val="center"/>
                    <w:rPr>
                      <w:rFonts w:hint="eastAsia" w:eastAsia="宋体"/>
                      <w:color w:val="auto"/>
                      <w:kern w:val="0"/>
                      <w:sz w:val="21"/>
                      <w:szCs w:val="21"/>
                      <w:highlight w:val="none"/>
                      <w:lang w:val="en-US" w:eastAsia="zh-CN"/>
                    </w:rPr>
                  </w:pPr>
                </w:p>
              </w:tc>
              <w:tc>
                <w:tcPr>
                  <w:tcW w:w="1804" w:type="dxa"/>
                  <w:tcMar>
                    <w:top w:w="15" w:type="dxa"/>
                    <w:left w:w="15" w:type="dxa"/>
                    <w:bottom w:w="0" w:type="dxa"/>
                    <w:right w:w="15" w:type="dxa"/>
                  </w:tcMar>
                  <w:vAlign w:val="center"/>
                </w:tcPr>
                <w:p w14:paraId="54994BE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底漆烘干（紫外线）</w:t>
                  </w:r>
                </w:p>
              </w:tc>
              <w:tc>
                <w:tcPr>
                  <w:tcW w:w="1755" w:type="dxa"/>
                  <w:tcMar>
                    <w:top w:w="15" w:type="dxa"/>
                    <w:left w:w="15" w:type="dxa"/>
                    <w:bottom w:w="0" w:type="dxa"/>
                    <w:right w:w="15" w:type="dxa"/>
                  </w:tcMar>
                  <w:vAlign w:val="center"/>
                </w:tcPr>
                <w:p w14:paraId="3B08CD60">
                  <w:pPr>
                    <w:jc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12m</w:t>
                  </w:r>
                </w:p>
              </w:tc>
              <w:tc>
                <w:tcPr>
                  <w:tcW w:w="920" w:type="dxa"/>
                  <w:tcMar>
                    <w:top w:w="15" w:type="dxa"/>
                    <w:left w:w="15" w:type="dxa"/>
                    <w:bottom w:w="0" w:type="dxa"/>
                    <w:right w:w="15" w:type="dxa"/>
                  </w:tcMar>
                  <w:vAlign w:val="center"/>
                </w:tcPr>
                <w:p w14:paraId="6A42DD4A">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47834578">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条</w:t>
                  </w:r>
                </w:p>
              </w:tc>
            </w:tr>
            <w:tr w14:paraId="5451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vMerge w:val="continue"/>
                  <w:tcMar>
                    <w:top w:w="15" w:type="dxa"/>
                    <w:left w:w="15" w:type="dxa"/>
                    <w:bottom w:w="0" w:type="dxa"/>
                    <w:right w:w="15" w:type="dxa"/>
                  </w:tcMar>
                  <w:vAlign w:val="center"/>
                </w:tcPr>
                <w:p w14:paraId="5464048C">
                  <w:pPr>
                    <w:widowControl/>
                    <w:jc w:val="center"/>
                    <w:textAlignment w:val="center"/>
                    <w:rPr>
                      <w:rFonts w:hint="eastAsia" w:eastAsia="宋体"/>
                      <w:color w:val="auto"/>
                      <w:kern w:val="0"/>
                      <w:sz w:val="21"/>
                      <w:szCs w:val="21"/>
                      <w:highlight w:val="none"/>
                      <w:lang w:val="en-US" w:eastAsia="zh-CN"/>
                    </w:rPr>
                  </w:pPr>
                </w:p>
              </w:tc>
              <w:tc>
                <w:tcPr>
                  <w:tcW w:w="1406" w:type="dxa"/>
                  <w:vMerge w:val="continue"/>
                  <w:tcMar>
                    <w:top w:w="15" w:type="dxa"/>
                    <w:left w:w="15" w:type="dxa"/>
                    <w:bottom w:w="0" w:type="dxa"/>
                    <w:right w:w="15" w:type="dxa"/>
                  </w:tcMar>
                  <w:vAlign w:val="center"/>
                </w:tcPr>
                <w:p w14:paraId="02F2710D">
                  <w:pPr>
                    <w:widowControl/>
                    <w:jc w:val="center"/>
                    <w:textAlignment w:val="center"/>
                    <w:rPr>
                      <w:rFonts w:hint="eastAsia" w:eastAsia="宋体"/>
                      <w:color w:val="auto"/>
                      <w:kern w:val="0"/>
                      <w:sz w:val="21"/>
                      <w:szCs w:val="21"/>
                      <w:highlight w:val="none"/>
                      <w:lang w:val="en-US" w:eastAsia="zh-CN"/>
                    </w:rPr>
                  </w:pPr>
                </w:p>
              </w:tc>
              <w:tc>
                <w:tcPr>
                  <w:tcW w:w="1804" w:type="dxa"/>
                  <w:tcMar>
                    <w:top w:w="15" w:type="dxa"/>
                    <w:left w:w="15" w:type="dxa"/>
                    <w:bottom w:w="0" w:type="dxa"/>
                    <w:right w:w="15" w:type="dxa"/>
                  </w:tcMar>
                  <w:vAlign w:val="center"/>
                </w:tcPr>
                <w:p w14:paraId="393FBC0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面漆烘干（电）</w:t>
                  </w:r>
                </w:p>
              </w:tc>
              <w:tc>
                <w:tcPr>
                  <w:tcW w:w="1755" w:type="dxa"/>
                  <w:tcMar>
                    <w:top w:w="15" w:type="dxa"/>
                    <w:left w:w="15" w:type="dxa"/>
                    <w:bottom w:w="0" w:type="dxa"/>
                    <w:right w:w="15" w:type="dxa"/>
                  </w:tcMar>
                  <w:vAlign w:val="center"/>
                </w:tcPr>
                <w:p w14:paraId="7EEC95A7">
                  <w:pPr>
                    <w:jc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30m</w:t>
                  </w:r>
                </w:p>
              </w:tc>
              <w:tc>
                <w:tcPr>
                  <w:tcW w:w="920" w:type="dxa"/>
                  <w:tcMar>
                    <w:top w:w="15" w:type="dxa"/>
                    <w:left w:w="15" w:type="dxa"/>
                    <w:bottom w:w="0" w:type="dxa"/>
                    <w:right w:w="15" w:type="dxa"/>
                  </w:tcMar>
                  <w:vAlign w:val="center"/>
                </w:tcPr>
                <w:p w14:paraId="1FA437EF">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326EFD88">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条</w:t>
                  </w:r>
                </w:p>
              </w:tc>
            </w:tr>
            <w:tr w14:paraId="1E92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tcMar>
                    <w:top w:w="15" w:type="dxa"/>
                    <w:left w:w="15" w:type="dxa"/>
                    <w:bottom w:w="0" w:type="dxa"/>
                    <w:right w:w="15" w:type="dxa"/>
                  </w:tcMar>
                  <w:vAlign w:val="center"/>
                </w:tcPr>
                <w:p w14:paraId="45AFBAAF">
                  <w:pPr>
                    <w:widowControl/>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转印</w:t>
                  </w:r>
                </w:p>
              </w:tc>
              <w:tc>
                <w:tcPr>
                  <w:tcW w:w="1406" w:type="dxa"/>
                  <w:tcMar>
                    <w:top w:w="15" w:type="dxa"/>
                    <w:left w:w="15" w:type="dxa"/>
                    <w:bottom w:w="0" w:type="dxa"/>
                    <w:right w:w="15" w:type="dxa"/>
                  </w:tcMar>
                  <w:vAlign w:val="center"/>
                </w:tcPr>
                <w:p w14:paraId="5AB20761">
                  <w:pPr>
                    <w:widowControl/>
                    <w:jc w:val="center"/>
                    <w:textAlignment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转印</w:t>
                  </w:r>
                </w:p>
              </w:tc>
              <w:tc>
                <w:tcPr>
                  <w:tcW w:w="1804" w:type="dxa"/>
                  <w:tcMar>
                    <w:top w:w="15" w:type="dxa"/>
                    <w:left w:w="15" w:type="dxa"/>
                    <w:bottom w:w="0" w:type="dxa"/>
                    <w:right w:w="15" w:type="dxa"/>
                  </w:tcMar>
                  <w:vAlign w:val="center"/>
                </w:tcPr>
                <w:p w14:paraId="391A2BC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转印机</w:t>
                  </w:r>
                </w:p>
              </w:tc>
              <w:tc>
                <w:tcPr>
                  <w:tcW w:w="1755" w:type="dxa"/>
                  <w:tcMar>
                    <w:top w:w="15" w:type="dxa"/>
                    <w:left w:w="15" w:type="dxa"/>
                    <w:bottom w:w="0" w:type="dxa"/>
                    <w:right w:w="15" w:type="dxa"/>
                  </w:tcMar>
                  <w:vAlign w:val="center"/>
                </w:tcPr>
                <w:p w14:paraId="05BF7113">
                  <w:pPr>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920" w:type="dxa"/>
                  <w:tcMar>
                    <w:top w:w="15" w:type="dxa"/>
                    <w:left w:w="15" w:type="dxa"/>
                    <w:bottom w:w="0" w:type="dxa"/>
                    <w:right w:w="15" w:type="dxa"/>
                  </w:tcMar>
                  <w:vAlign w:val="center"/>
                </w:tcPr>
                <w:p w14:paraId="2F6D2C48">
                  <w:pPr>
                    <w:widowControl/>
                    <w:autoSpaceDE w:val="0"/>
                    <w:autoSpaceDN w:val="0"/>
                    <w:adjustRightInd w:val="0"/>
                    <w:snapToGrid w:val="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47484CF0">
                  <w:pPr>
                    <w:widowControl/>
                    <w:autoSpaceDE w:val="0"/>
                    <w:autoSpaceDN w:val="0"/>
                    <w:adjustRightInd w:val="0"/>
                    <w:snapToGrid w:val="0"/>
                    <w:jc w:val="center"/>
                    <w:textAlignment w:val="bottom"/>
                    <w:rPr>
                      <w:rFonts w:hint="eastAsia" w:eastAsia="宋体"/>
                      <w:color w:val="auto"/>
                      <w:sz w:val="21"/>
                      <w:szCs w:val="21"/>
                      <w:highlight w:val="none"/>
                      <w:lang w:val="en-US" w:eastAsia="zh-CN"/>
                    </w:rPr>
                  </w:pPr>
                  <w:r>
                    <w:rPr>
                      <w:rFonts w:hint="eastAsia"/>
                      <w:color w:val="auto"/>
                      <w:sz w:val="21"/>
                      <w:szCs w:val="21"/>
                      <w:highlight w:val="none"/>
                      <w:lang w:val="en-US" w:eastAsia="zh-CN"/>
                    </w:rPr>
                    <w:t>台</w:t>
                  </w:r>
                </w:p>
              </w:tc>
            </w:tr>
            <w:tr w14:paraId="7BC2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tcMar>
                    <w:top w:w="15" w:type="dxa"/>
                    <w:left w:w="15" w:type="dxa"/>
                    <w:bottom w:w="0" w:type="dxa"/>
                    <w:right w:w="15" w:type="dxa"/>
                  </w:tcMar>
                  <w:vAlign w:val="center"/>
                </w:tcPr>
                <w:p w14:paraId="0C1AE8D0">
                  <w:pPr>
                    <w:widowControl/>
                    <w:jc w:val="center"/>
                    <w:textAlignment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移印</w:t>
                  </w:r>
                </w:p>
              </w:tc>
              <w:tc>
                <w:tcPr>
                  <w:tcW w:w="1406" w:type="dxa"/>
                  <w:tcMar>
                    <w:top w:w="15" w:type="dxa"/>
                    <w:left w:w="15" w:type="dxa"/>
                    <w:bottom w:w="0" w:type="dxa"/>
                    <w:right w:w="15" w:type="dxa"/>
                  </w:tcMar>
                  <w:vAlign w:val="center"/>
                </w:tcPr>
                <w:p w14:paraId="7F7831DA">
                  <w:pPr>
                    <w:widowControl/>
                    <w:jc w:val="center"/>
                    <w:textAlignment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移印</w:t>
                  </w:r>
                </w:p>
              </w:tc>
              <w:tc>
                <w:tcPr>
                  <w:tcW w:w="1804" w:type="dxa"/>
                  <w:tcMar>
                    <w:top w:w="15" w:type="dxa"/>
                    <w:left w:w="15" w:type="dxa"/>
                    <w:bottom w:w="0" w:type="dxa"/>
                    <w:right w:w="15" w:type="dxa"/>
                  </w:tcMar>
                  <w:vAlign w:val="center"/>
                </w:tcPr>
                <w:p w14:paraId="0D4D644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移印线</w:t>
                  </w:r>
                </w:p>
              </w:tc>
              <w:tc>
                <w:tcPr>
                  <w:tcW w:w="1755" w:type="dxa"/>
                  <w:tcMar>
                    <w:top w:w="15" w:type="dxa"/>
                    <w:left w:w="15" w:type="dxa"/>
                    <w:bottom w:w="0" w:type="dxa"/>
                    <w:right w:w="15" w:type="dxa"/>
                  </w:tcMar>
                  <w:vAlign w:val="center"/>
                </w:tcPr>
                <w:p w14:paraId="3613BB56">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920" w:type="dxa"/>
                  <w:tcMar>
                    <w:top w:w="15" w:type="dxa"/>
                    <w:left w:w="15" w:type="dxa"/>
                    <w:bottom w:w="0" w:type="dxa"/>
                    <w:right w:w="15" w:type="dxa"/>
                  </w:tcMar>
                  <w:vAlign w:val="center"/>
                </w:tcPr>
                <w:p w14:paraId="69B86EA5">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886" w:type="dxa"/>
                  <w:tcMar>
                    <w:top w:w="15" w:type="dxa"/>
                    <w:left w:w="15" w:type="dxa"/>
                    <w:bottom w:w="0" w:type="dxa"/>
                    <w:right w:w="15" w:type="dxa"/>
                  </w:tcMar>
                  <w:vAlign w:val="center"/>
                </w:tcPr>
                <w:p w14:paraId="1ABF97B5">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条</w:t>
                  </w:r>
                </w:p>
              </w:tc>
            </w:tr>
            <w:tr w14:paraId="3E3C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335" w:type="dxa"/>
                  <w:vMerge w:val="restart"/>
                  <w:tcMar>
                    <w:top w:w="15" w:type="dxa"/>
                    <w:left w:w="15" w:type="dxa"/>
                    <w:bottom w:w="0" w:type="dxa"/>
                    <w:right w:w="15" w:type="dxa"/>
                  </w:tcMar>
                  <w:vAlign w:val="center"/>
                </w:tcPr>
                <w:p w14:paraId="78A8FA75">
                  <w:pPr>
                    <w:widowControl/>
                    <w:jc w:val="center"/>
                    <w:textAlignment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公用</w:t>
                  </w:r>
                </w:p>
              </w:tc>
              <w:tc>
                <w:tcPr>
                  <w:tcW w:w="1406" w:type="dxa"/>
                  <w:vMerge w:val="restart"/>
                  <w:tcMar>
                    <w:top w:w="15" w:type="dxa"/>
                    <w:left w:w="15" w:type="dxa"/>
                    <w:bottom w:w="0" w:type="dxa"/>
                    <w:right w:w="15" w:type="dxa"/>
                  </w:tcMar>
                  <w:vAlign w:val="center"/>
                </w:tcPr>
                <w:p w14:paraId="6466431C">
                  <w:pPr>
                    <w:widowControl/>
                    <w:jc w:val="center"/>
                    <w:textAlignment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公用</w:t>
                  </w:r>
                </w:p>
              </w:tc>
              <w:tc>
                <w:tcPr>
                  <w:tcW w:w="1804" w:type="dxa"/>
                  <w:tcMar>
                    <w:top w:w="15" w:type="dxa"/>
                    <w:left w:w="15" w:type="dxa"/>
                    <w:bottom w:w="0" w:type="dxa"/>
                    <w:right w:w="15" w:type="dxa"/>
                  </w:tcMar>
                  <w:vAlign w:val="center"/>
                </w:tcPr>
                <w:p w14:paraId="42364D54">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包装流水线</w:t>
                  </w:r>
                </w:p>
              </w:tc>
              <w:tc>
                <w:tcPr>
                  <w:tcW w:w="1755" w:type="dxa"/>
                  <w:tcMar>
                    <w:top w:w="15" w:type="dxa"/>
                    <w:left w:w="15" w:type="dxa"/>
                    <w:bottom w:w="0" w:type="dxa"/>
                    <w:right w:w="15" w:type="dxa"/>
                  </w:tcMar>
                  <w:vAlign w:val="center"/>
                </w:tcPr>
                <w:p w14:paraId="7A5053D6">
                  <w:pPr>
                    <w:jc w:val="center"/>
                    <w:rPr>
                      <w:rFonts w:hint="eastAsia" w:eastAsia="宋体"/>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bidi="ar"/>
                    </w:rPr>
                    <w:t>LFXT3</w:t>
                  </w:r>
                </w:p>
              </w:tc>
              <w:tc>
                <w:tcPr>
                  <w:tcW w:w="920" w:type="dxa"/>
                  <w:tcMar>
                    <w:top w:w="15" w:type="dxa"/>
                    <w:left w:w="15" w:type="dxa"/>
                    <w:bottom w:w="0" w:type="dxa"/>
                    <w:right w:w="15" w:type="dxa"/>
                  </w:tcMar>
                  <w:vAlign w:val="center"/>
                </w:tcPr>
                <w:p w14:paraId="2B492156">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886" w:type="dxa"/>
                  <w:tcMar>
                    <w:top w:w="15" w:type="dxa"/>
                    <w:left w:w="15" w:type="dxa"/>
                    <w:bottom w:w="0" w:type="dxa"/>
                    <w:right w:w="15" w:type="dxa"/>
                  </w:tcMar>
                  <w:vAlign w:val="center"/>
                </w:tcPr>
                <w:p w14:paraId="39428BD6">
                  <w:pPr>
                    <w:widowControl/>
                    <w:autoSpaceDE w:val="0"/>
                    <w:autoSpaceDN w:val="0"/>
                    <w:adjustRightInd w:val="0"/>
                    <w:snapToGrid w:val="0"/>
                    <w:jc w:val="center"/>
                    <w:textAlignment w:val="bottom"/>
                    <w:rPr>
                      <w:rFonts w:hint="eastAsia"/>
                      <w:color w:val="auto"/>
                      <w:sz w:val="21"/>
                      <w:szCs w:val="21"/>
                      <w:highlight w:val="none"/>
                      <w:lang w:val="en-US" w:eastAsia="zh-CN"/>
                    </w:rPr>
                  </w:pPr>
                  <w:r>
                    <w:rPr>
                      <w:rFonts w:hint="eastAsia"/>
                      <w:color w:val="auto"/>
                      <w:sz w:val="21"/>
                      <w:szCs w:val="21"/>
                      <w:highlight w:val="none"/>
                      <w:lang w:val="en-US" w:eastAsia="zh-CN"/>
                    </w:rPr>
                    <w:t>台</w:t>
                  </w:r>
                </w:p>
              </w:tc>
            </w:tr>
            <w:tr w14:paraId="34AB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5" w:type="dxa"/>
                  <w:vMerge w:val="continue"/>
                  <w:tcMar>
                    <w:top w:w="15" w:type="dxa"/>
                    <w:left w:w="15" w:type="dxa"/>
                    <w:bottom w:w="0" w:type="dxa"/>
                    <w:right w:w="15" w:type="dxa"/>
                  </w:tcMar>
                  <w:vAlign w:val="center"/>
                </w:tcPr>
                <w:p w14:paraId="32047815">
                  <w:pPr>
                    <w:widowControl/>
                    <w:jc w:val="center"/>
                    <w:textAlignment w:val="center"/>
                    <w:rPr>
                      <w:rFonts w:hint="eastAsia" w:ascii="宋体" w:hAnsi="宋体" w:cs="宋体"/>
                      <w:color w:val="auto"/>
                      <w:kern w:val="0"/>
                      <w:sz w:val="21"/>
                      <w:szCs w:val="21"/>
                      <w:highlight w:val="none"/>
                      <w:lang w:val="en-US" w:eastAsia="zh-CN"/>
                    </w:rPr>
                  </w:pPr>
                </w:p>
              </w:tc>
              <w:tc>
                <w:tcPr>
                  <w:tcW w:w="1406" w:type="dxa"/>
                  <w:vMerge w:val="continue"/>
                  <w:tcMar>
                    <w:top w:w="15" w:type="dxa"/>
                    <w:left w:w="15" w:type="dxa"/>
                    <w:bottom w:w="0" w:type="dxa"/>
                    <w:right w:w="15" w:type="dxa"/>
                  </w:tcMar>
                  <w:vAlign w:val="center"/>
                </w:tcPr>
                <w:p w14:paraId="514B41AE">
                  <w:pPr>
                    <w:widowControl/>
                    <w:jc w:val="center"/>
                    <w:textAlignment w:val="center"/>
                    <w:rPr>
                      <w:rFonts w:hint="eastAsia" w:ascii="宋体" w:hAnsi="宋体" w:cs="宋体"/>
                      <w:color w:val="auto"/>
                      <w:kern w:val="0"/>
                      <w:sz w:val="21"/>
                      <w:szCs w:val="21"/>
                      <w:highlight w:val="none"/>
                      <w:lang w:val="en-US" w:eastAsia="zh-CN"/>
                    </w:rPr>
                  </w:pPr>
                </w:p>
              </w:tc>
              <w:tc>
                <w:tcPr>
                  <w:tcW w:w="1804" w:type="dxa"/>
                  <w:tcMar>
                    <w:top w:w="15" w:type="dxa"/>
                    <w:left w:w="15" w:type="dxa"/>
                    <w:bottom w:w="0" w:type="dxa"/>
                    <w:right w:w="15" w:type="dxa"/>
                  </w:tcMar>
                  <w:vAlign w:val="center"/>
                </w:tcPr>
                <w:p w14:paraId="02B28448">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自动打包机</w:t>
                  </w:r>
                </w:p>
              </w:tc>
              <w:tc>
                <w:tcPr>
                  <w:tcW w:w="1755" w:type="dxa"/>
                  <w:tcMar>
                    <w:top w:w="15" w:type="dxa"/>
                    <w:left w:w="15" w:type="dxa"/>
                    <w:bottom w:w="0" w:type="dxa"/>
                    <w:right w:w="15" w:type="dxa"/>
                  </w:tcMar>
                  <w:vAlign w:val="center"/>
                </w:tcPr>
                <w:p w14:paraId="2457F6F1">
                  <w:pPr>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920" w:type="dxa"/>
                  <w:tcMar>
                    <w:top w:w="15" w:type="dxa"/>
                    <w:left w:w="15" w:type="dxa"/>
                    <w:bottom w:w="0" w:type="dxa"/>
                    <w:right w:w="15" w:type="dxa"/>
                  </w:tcMar>
                  <w:vAlign w:val="center"/>
                </w:tcPr>
                <w:p w14:paraId="619F9369">
                  <w:pPr>
                    <w:widowControl/>
                    <w:autoSpaceDE w:val="0"/>
                    <w:autoSpaceDN w:val="0"/>
                    <w:adjustRightInd w:val="0"/>
                    <w:snapToGrid w:val="0"/>
                    <w:jc w:val="center"/>
                    <w:textAlignment w:val="bottom"/>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886" w:type="dxa"/>
                  <w:tcMar>
                    <w:top w:w="15" w:type="dxa"/>
                    <w:left w:w="15" w:type="dxa"/>
                    <w:bottom w:w="0" w:type="dxa"/>
                    <w:right w:w="15" w:type="dxa"/>
                  </w:tcMar>
                  <w:vAlign w:val="center"/>
                </w:tcPr>
                <w:p w14:paraId="729A4570">
                  <w:pPr>
                    <w:widowControl/>
                    <w:autoSpaceDE w:val="0"/>
                    <w:autoSpaceDN w:val="0"/>
                    <w:adjustRightInd w:val="0"/>
                    <w:snapToGrid w:val="0"/>
                    <w:jc w:val="center"/>
                    <w:textAlignment w:val="bottom"/>
                    <w:rPr>
                      <w:rFonts w:hint="eastAsia"/>
                      <w:color w:val="auto"/>
                      <w:sz w:val="21"/>
                      <w:szCs w:val="21"/>
                      <w:highlight w:val="none"/>
                      <w:lang w:val="en-US" w:eastAsia="zh-CN"/>
                    </w:rPr>
                  </w:pPr>
                  <w:r>
                    <w:rPr>
                      <w:rFonts w:hint="eastAsia"/>
                      <w:color w:val="auto"/>
                      <w:sz w:val="21"/>
                      <w:szCs w:val="21"/>
                      <w:highlight w:val="none"/>
                      <w:lang w:val="en-US" w:eastAsia="zh-CN"/>
                    </w:rPr>
                    <w:t>台</w:t>
                  </w:r>
                </w:p>
              </w:tc>
            </w:tr>
          </w:tbl>
          <w:p w14:paraId="651E0442">
            <w:pPr>
              <w:keepNext w:val="0"/>
              <w:keepLines w:val="0"/>
              <w:pageBreakBefore w:val="0"/>
              <w:widowControl/>
              <w:numPr>
                <w:ilvl w:val="0"/>
                <w:numId w:val="3"/>
              </w:numPr>
              <w:kinsoku/>
              <w:wordWrap/>
              <w:overflowPunct/>
              <w:topLinePunct w:val="0"/>
              <w:autoSpaceDE/>
              <w:autoSpaceDN/>
              <w:bidi w:val="0"/>
              <w:adjustRightInd w:val="0"/>
              <w:snapToGrid w:val="0"/>
              <w:spacing w:before="157" w:beforeLines="50" w:line="360" w:lineRule="auto"/>
              <w:textAlignment w:val="center"/>
              <w:rPr>
                <w:rFonts w:hint="default"/>
                <w:b/>
                <w:color w:val="auto"/>
                <w:kern w:val="0"/>
                <w:highlight w:val="none"/>
                <w:lang w:val="en-US" w:eastAsia="zh-CN"/>
              </w:rPr>
            </w:pPr>
            <w:r>
              <w:rPr>
                <w:rFonts w:hint="eastAsia"/>
                <w:b/>
                <w:color w:val="auto"/>
                <w:kern w:val="0"/>
                <w:highlight w:val="none"/>
                <w:lang w:val="en-US" w:eastAsia="zh-CN"/>
              </w:rPr>
              <w:t>产能匹配性分析</w:t>
            </w:r>
          </w:p>
          <w:p w14:paraId="2C591127">
            <w:pPr>
              <w:bidi w:val="0"/>
              <w:spacing w:line="360" w:lineRule="auto"/>
              <w:ind w:firstLine="480" w:firstLineChars="200"/>
              <w:rPr>
                <w:rFonts w:hint="default"/>
                <w:lang w:val="en-US" w:eastAsia="zh-CN"/>
              </w:rPr>
            </w:pPr>
            <w:r>
              <w:rPr>
                <w:rFonts w:hint="eastAsia"/>
                <w:lang w:val="en-US" w:eastAsia="zh-CN"/>
              </w:rPr>
              <w:t>项目注塑量为600t/a，注塑设备的注塑能力在8~15kg/h，本次取最大值进行核算，年生产时间7200h，注塑设备共9台，则生产能力为972t/a，考虑设备启停等其他因素，生产能力与实际生产需求相匹配，故本项目产能匹配合理。</w:t>
            </w:r>
          </w:p>
          <w:p w14:paraId="6521563B">
            <w:pPr>
              <w:keepNext w:val="0"/>
              <w:keepLines w:val="0"/>
              <w:pageBreakBefore w:val="0"/>
              <w:widowControl/>
              <w:kinsoku/>
              <w:wordWrap/>
              <w:overflowPunct/>
              <w:topLinePunct w:val="0"/>
              <w:autoSpaceDE/>
              <w:autoSpaceDN/>
              <w:bidi w:val="0"/>
              <w:adjustRightInd w:val="0"/>
              <w:snapToGrid w:val="0"/>
              <w:spacing w:before="157" w:beforeLines="50" w:line="360" w:lineRule="auto"/>
              <w:textAlignment w:val="center"/>
              <w:rPr>
                <w:b/>
                <w:color w:val="auto"/>
                <w:kern w:val="0"/>
                <w:highlight w:val="none"/>
              </w:rPr>
            </w:pPr>
            <w:r>
              <w:rPr>
                <w:rFonts w:hint="eastAsia"/>
                <w:b/>
                <w:color w:val="auto"/>
                <w:kern w:val="0"/>
                <w:highlight w:val="none"/>
                <w:lang w:val="en-US" w:eastAsia="zh-CN"/>
              </w:rPr>
              <w:t>5、</w:t>
            </w:r>
            <w:r>
              <w:rPr>
                <w:b/>
                <w:color w:val="auto"/>
                <w:kern w:val="0"/>
                <w:highlight w:val="none"/>
              </w:rPr>
              <w:t>原辅料及能源消耗</w:t>
            </w:r>
          </w:p>
          <w:p w14:paraId="2EF955C0">
            <w:pPr>
              <w:spacing w:before="0" w:beforeAutospacing="0" w:after="0" w:afterAutospacing="0" w:line="360" w:lineRule="auto"/>
              <w:ind w:firstLine="480" w:firstLineChars="200"/>
              <w:rPr>
                <w:rFonts w:hint="eastAsia" w:ascii="Times New Roman" w:hAnsi="Times New Roman" w:eastAsia="宋体"/>
                <w:color w:val="auto"/>
                <w:highlight w:val="none"/>
                <w:lang w:eastAsia="zh-CN"/>
              </w:rPr>
            </w:pPr>
            <w:r>
              <w:rPr>
                <w:rFonts w:ascii="Times New Roman" w:hAnsi="Times New Roman"/>
                <w:color w:val="auto"/>
                <w:highlight w:val="none"/>
              </w:rPr>
              <w:t>原辅材料及能源消耗情况</w:t>
            </w:r>
            <w:r>
              <w:rPr>
                <w:rFonts w:hint="eastAsia"/>
                <w:color w:val="auto"/>
                <w:highlight w:val="none"/>
                <w:lang w:eastAsia="zh-CN"/>
              </w:rPr>
              <w:t>：</w:t>
            </w:r>
          </w:p>
          <w:p w14:paraId="7EE2637C">
            <w:pPr>
              <w:spacing w:before="0" w:beforeAutospacing="0" w:after="0" w:afterAutospacing="0"/>
              <w:jc w:val="center"/>
              <w:rPr>
                <w:rFonts w:ascii="Times New Roman" w:hAnsi="Times New Roman"/>
                <w:b/>
                <w:bCs/>
                <w:color w:val="auto"/>
                <w:highlight w:val="none"/>
              </w:rPr>
            </w:pPr>
            <w:r>
              <w:rPr>
                <w:rFonts w:ascii="Times New Roman" w:hAnsi="Times New Roman"/>
                <w:b/>
                <w:bCs/>
                <w:color w:val="auto"/>
                <w:highlight w:val="none"/>
              </w:rPr>
              <w:t>表</w:t>
            </w:r>
            <w:r>
              <w:rPr>
                <w:rFonts w:hint="eastAsia" w:ascii="Times New Roman" w:hAnsi="Times New Roman"/>
                <w:b/>
                <w:bCs/>
                <w:color w:val="auto"/>
                <w:highlight w:val="none"/>
              </w:rPr>
              <w:t>2</w:t>
            </w:r>
            <w:r>
              <w:rPr>
                <w:rFonts w:hint="eastAsia"/>
                <w:b/>
                <w:bCs/>
                <w:color w:val="auto"/>
                <w:highlight w:val="none"/>
                <w:lang w:val="en-US" w:eastAsia="zh-CN"/>
              </w:rPr>
              <w:t>-4</w:t>
            </w:r>
            <w:r>
              <w:rPr>
                <w:rFonts w:ascii="Times New Roman" w:hAnsi="Times New Roman"/>
                <w:b/>
                <w:bCs/>
                <w:color w:val="auto"/>
                <w:highlight w:val="none"/>
              </w:rPr>
              <w:t xml:space="preserve"> </w:t>
            </w:r>
            <w:r>
              <w:rPr>
                <w:rFonts w:hint="eastAsia" w:ascii="Times New Roman" w:hAnsi="Times New Roman"/>
                <w:b/>
                <w:bCs/>
                <w:color w:val="auto"/>
                <w:highlight w:val="none"/>
              </w:rPr>
              <w:t xml:space="preserve"> </w:t>
            </w:r>
            <w:r>
              <w:rPr>
                <w:rFonts w:ascii="Times New Roman" w:hAnsi="Times New Roman"/>
                <w:b/>
                <w:bCs/>
                <w:color w:val="auto"/>
                <w:highlight w:val="none"/>
              </w:rPr>
              <w:t>主要原辅材料及能源消耗一览表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229"/>
              <w:gridCol w:w="939"/>
              <w:gridCol w:w="1420"/>
              <w:gridCol w:w="1214"/>
              <w:gridCol w:w="1593"/>
            </w:tblGrid>
            <w:tr w14:paraId="1B84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68C506F3">
                  <w:pPr>
                    <w:jc w:val="center"/>
                    <w:rPr>
                      <w:rFonts w:hint="default"/>
                      <w:b/>
                      <w:bCs/>
                      <w:sz w:val="21"/>
                      <w:szCs w:val="21"/>
                    </w:rPr>
                  </w:pPr>
                  <w:r>
                    <w:rPr>
                      <w:rFonts w:hint="default"/>
                      <w:b/>
                      <w:bCs/>
                      <w:sz w:val="21"/>
                      <w:szCs w:val="21"/>
                    </w:rPr>
                    <w:t>序号</w:t>
                  </w:r>
                </w:p>
              </w:tc>
              <w:tc>
                <w:tcPr>
                  <w:tcW w:w="1381" w:type="pct"/>
                  <w:noWrap w:val="0"/>
                  <w:vAlign w:val="center"/>
                </w:tcPr>
                <w:p w14:paraId="7DAD40E3">
                  <w:pPr>
                    <w:jc w:val="center"/>
                    <w:rPr>
                      <w:rFonts w:hint="default"/>
                      <w:b/>
                      <w:bCs/>
                      <w:sz w:val="21"/>
                      <w:szCs w:val="21"/>
                    </w:rPr>
                  </w:pPr>
                  <w:r>
                    <w:rPr>
                      <w:rFonts w:hint="default"/>
                      <w:b/>
                      <w:bCs/>
                      <w:sz w:val="21"/>
                      <w:szCs w:val="21"/>
                    </w:rPr>
                    <w:t>名称</w:t>
                  </w:r>
                </w:p>
              </w:tc>
              <w:tc>
                <w:tcPr>
                  <w:tcW w:w="581" w:type="pct"/>
                  <w:noWrap w:val="0"/>
                  <w:vAlign w:val="center"/>
                </w:tcPr>
                <w:p w14:paraId="6F5DAFEE">
                  <w:pPr>
                    <w:jc w:val="center"/>
                    <w:rPr>
                      <w:rFonts w:hint="default"/>
                      <w:b/>
                      <w:bCs/>
                      <w:sz w:val="21"/>
                      <w:szCs w:val="21"/>
                    </w:rPr>
                  </w:pPr>
                  <w:r>
                    <w:rPr>
                      <w:rFonts w:hint="default"/>
                      <w:b/>
                      <w:bCs/>
                      <w:sz w:val="21"/>
                      <w:szCs w:val="21"/>
                    </w:rPr>
                    <w:t>规格</w:t>
                  </w:r>
                </w:p>
              </w:tc>
              <w:tc>
                <w:tcPr>
                  <w:tcW w:w="879" w:type="pct"/>
                  <w:noWrap w:val="0"/>
                  <w:vAlign w:val="center"/>
                </w:tcPr>
                <w:p w14:paraId="11BAB42B">
                  <w:pPr>
                    <w:jc w:val="center"/>
                    <w:rPr>
                      <w:rFonts w:hint="default"/>
                      <w:b/>
                      <w:bCs/>
                      <w:sz w:val="21"/>
                      <w:szCs w:val="21"/>
                      <w:lang w:val="en-US" w:eastAsia="zh-CN"/>
                    </w:rPr>
                  </w:pPr>
                  <w:r>
                    <w:rPr>
                      <w:rFonts w:hint="default"/>
                      <w:b/>
                      <w:bCs/>
                      <w:sz w:val="21"/>
                      <w:szCs w:val="21"/>
                      <w:lang w:val="en-US" w:eastAsia="zh-CN"/>
                    </w:rPr>
                    <w:t>年消耗量</w:t>
                  </w:r>
                </w:p>
              </w:tc>
              <w:tc>
                <w:tcPr>
                  <w:tcW w:w="752" w:type="pct"/>
                  <w:noWrap w:val="0"/>
                  <w:vAlign w:val="center"/>
                </w:tcPr>
                <w:p w14:paraId="595D3DD6">
                  <w:pPr>
                    <w:jc w:val="center"/>
                    <w:rPr>
                      <w:rFonts w:hint="default"/>
                      <w:b/>
                      <w:bCs/>
                      <w:sz w:val="21"/>
                      <w:szCs w:val="21"/>
                    </w:rPr>
                  </w:pPr>
                  <w:r>
                    <w:rPr>
                      <w:rFonts w:hint="default"/>
                      <w:b/>
                      <w:bCs/>
                      <w:sz w:val="21"/>
                      <w:szCs w:val="21"/>
                    </w:rPr>
                    <w:t>储存量</w:t>
                  </w:r>
                </w:p>
              </w:tc>
              <w:tc>
                <w:tcPr>
                  <w:tcW w:w="987" w:type="pct"/>
                  <w:noWrap w:val="0"/>
                  <w:vAlign w:val="center"/>
                </w:tcPr>
                <w:p w14:paraId="6E19E97D">
                  <w:pPr>
                    <w:jc w:val="center"/>
                    <w:rPr>
                      <w:rFonts w:hint="default" w:eastAsia="宋体"/>
                      <w:b/>
                      <w:bCs/>
                      <w:sz w:val="21"/>
                      <w:szCs w:val="21"/>
                      <w:lang w:val="en-US" w:eastAsia="zh-CN"/>
                    </w:rPr>
                  </w:pPr>
                  <w:r>
                    <w:rPr>
                      <w:rFonts w:hint="eastAsia"/>
                      <w:b/>
                      <w:bCs/>
                      <w:sz w:val="21"/>
                      <w:szCs w:val="21"/>
                      <w:lang w:val="en-US" w:eastAsia="zh-CN"/>
                    </w:rPr>
                    <w:t>储存周期</w:t>
                  </w:r>
                </w:p>
              </w:tc>
            </w:tr>
            <w:tr w14:paraId="6BFF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noWrap w:val="0"/>
                  <w:vAlign w:val="center"/>
                </w:tcPr>
                <w:p w14:paraId="788F26DC">
                  <w:pPr>
                    <w:jc w:val="center"/>
                    <w:rPr>
                      <w:rFonts w:hint="eastAsia"/>
                      <w:sz w:val="21"/>
                      <w:szCs w:val="21"/>
                      <w:lang w:val="en-US" w:eastAsia="zh-CN"/>
                    </w:rPr>
                  </w:pPr>
                  <w:r>
                    <w:rPr>
                      <w:rFonts w:hint="eastAsia"/>
                      <w:sz w:val="21"/>
                      <w:szCs w:val="21"/>
                      <w:lang w:val="en-US" w:eastAsia="zh-CN"/>
                    </w:rPr>
                    <w:t>注塑</w:t>
                  </w:r>
                </w:p>
              </w:tc>
            </w:tr>
            <w:tr w14:paraId="052C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3945EF86">
                  <w:pPr>
                    <w:jc w:val="center"/>
                    <w:rPr>
                      <w:rFonts w:hint="default"/>
                      <w:sz w:val="21"/>
                      <w:szCs w:val="21"/>
                      <w:lang w:val="en-US" w:eastAsia="zh-CN"/>
                    </w:rPr>
                  </w:pPr>
                  <w:r>
                    <w:rPr>
                      <w:rFonts w:hint="eastAsia"/>
                      <w:sz w:val="21"/>
                      <w:szCs w:val="21"/>
                      <w:lang w:val="en-US" w:eastAsia="zh-CN"/>
                    </w:rPr>
                    <w:t>1</w:t>
                  </w:r>
                </w:p>
              </w:tc>
              <w:tc>
                <w:tcPr>
                  <w:tcW w:w="1381" w:type="pct"/>
                  <w:noWrap w:val="0"/>
                  <w:vAlign w:val="center"/>
                </w:tcPr>
                <w:p w14:paraId="172AFD72">
                  <w:pPr>
                    <w:spacing w:line="240" w:lineRule="auto"/>
                    <w:ind w:firstLine="0" w:firstLineChars="0"/>
                    <w:jc w:val="center"/>
                    <w:rPr>
                      <w:rFonts w:hint="default"/>
                      <w:sz w:val="21"/>
                      <w:szCs w:val="21"/>
                      <w:lang w:val="en-US"/>
                    </w:rPr>
                  </w:pPr>
                  <w:r>
                    <w:rPr>
                      <w:rFonts w:hint="eastAsia" w:ascii="Times New Roman" w:hAnsi="Times New Roman" w:eastAsia="宋体" w:cs="Times New Roman"/>
                      <w:b w:val="0"/>
                      <w:bCs w:val="0"/>
                      <w:color w:val="auto"/>
                      <w:kern w:val="2"/>
                      <w:sz w:val="21"/>
                      <w:szCs w:val="21"/>
                      <w:lang w:val="en-US" w:eastAsia="zh-CN" w:bidi="ar-SA"/>
                    </w:rPr>
                    <w:t>HIPS</w:t>
                  </w:r>
                </w:p>
              </w:tc>
              <w:tc>
                <w:tcPr>
                  <w:tcW w:w="581" w:type="pct"/>
                  <w:noWrap w:val="0"/>
                  <w:vAlign w:val="center"/>
                </w:tcPr>
                <w:p w14:paraId="0C7FFEE5">
                  <w:pPr>
                    <w:jc w:val="center"/>
                    <w:rPr>
                      <w:rFonts w:hint="default"/>
                      <w:sz w:val="21"/>
                      <w:szCs w:val="21"/>
                      <w:lang w:val="en-US" w:eastAsia="zh-CN"/>
                    </w:rPr>
                  </w:pPr>
                  <w:r>
                    <w:rPr>
                      <w:rFonts w:hint="eastAsia"/>
                      <w:sz w:val="21"/>
                      <w:szCs w:val="21"/>
                      <w:lang w:val="en-US" w:eastAsia="zh-CN"/>
                    </w:rPr>
                    <w:t>/</w:t>
                  </w:r>
                </w:p>
              </w:tc>
              <w:tc>
                <w:tcPr>
                  <w:tcW w:w="879" w:type="pct"/>
                  <w:noWrap w:val="0"/>
                  <w:vAlign w:val="center"/>
                </w:tcPr>
                <w:p w14:paraId="68A117B0">
                  <w:pPr>
                    <w:jc w:val="center"/>
                    <w:rPr>
                      <w:rFonts w:hint="default"/>
                      <w:sz w:val="21"/>
                      <w:szCs w:val="21"/>
                      <w:lang w:val="en-US" w:eastAsia="zh-CN"/>
                    </w:rPr>
                  </w:pPr>
                  <w:r>
                    <w:rPr>
                      <w:rFonts w:hint="eastAsia"/>
                      <w:sz w:val="21"/>
                      <w:szCs w:val="21"/>
                      <w:lang w:val="en-US" w:eastAsia="zh-CN"/>
                    </w:rPr>
                    <w:t>480t/a</w:t>
                  </w:r>
                </w:p>
              </w:tc>
              <w:tc>
                <w:tcPr>
                  <w:tcW w:w="752" w:type="pct"/>
                  <w:noWrap w:val="0"/>
                  <w:vAlign w:val="center"/>
                </w:tcPr>
                <w:p w14:paraId="100FF40A">
                  <w:pPr>
                    <w:jc w:val="center"/>
                    <w:rPr>
                      <w:rFonts w:hint="default" w:eastAsia="宋体"/>
                      <w:sz w:val="21"/>
                      <w:szCs w:val="21"/>
                      <w:lang w:val="en-US" w:eastAsia="zh-CN"/>
                    </w:rPr>
                  </w:pPr>
                  <w:r>
                    <w:rPr>
                      <w:rFonts w:hint="eastAsia"/>
                      <w:sz w:val="21"/>
                      <w:szCs w:val="21"/>
                      <w:lang w:val="en-US" w:eastAsia="zh-CN"/>
                    </w:rPr>
                    <w:t>40t</w:t>
                  </w:r>
                </w:p>
              </w:tc>
              <w:tc>
                <w:tcPr>
                  <w:tcW w:w="987" w:type="pct"/>
                  <w:noWrap w:val="0"/>
                  <w:vAlign w:val="center"/>
                </w:tcPr>
                <w:p w14:paraId="1C5E19AC">
                  <w:pPr>
                    <w:jc w:val="center"/>
                    <w:rPr>
                      <w:rFonts w:hint="default" w:eastAsia="宋体"/>
                      <w:sz w:val="21"/>
                      <w:szCs w:val="21"/>
                      <w:lang w:val="en-US" w:eastAsia="zh-CN"/>
                    </w:rPr>
                  </w:pPr>
                  <w:r>
                    <w:rPr>
                      <w:rFonts w:hint="eastAsia"/>
                      <w:sz w:val="21"/>
                      <w:szCs w:val="21"/>
                      <w:lang w:val="en-US" w:eastAsia="zh-CN"/>
                    </w:rPr>
                    <w:t>一个月</w:t>
                  </w:r>
                </w:p>
              </w:tc>
            </w:tr>
            <w:tr w14:paraId="0892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469D971E">
                  <w:pPr>
                    <w:jc w:val="center"/>
                    <w:rPr>
                      <w:rFonts w:hint="default"/>
                      <w:sz w:val="21"/>
                      <w:szCs w:val="21"/>
                      <w:lang w:val="en-US" w:eastAsia="zh-CN"/>
                    </w:rPr>
                  </w:pPr>
                  <w:r>
                    <w:rPr>
                      <w:rFonts w:hint="eastAsia"/>
                      <w:sz w:val="21"/>
                      <w:szCs w:val="21"/>
                      <w:lang w:val="en-US" w:eastAsia="zh-CN"/>
                    </w:rPr>
                    <w:t>2</w:t>
                  </w:r>
                </w:p>
              </w:tc>
              <w:tc>
                <w:tcPr>
                  <w:tcW w:w="1381" w:type="pct"/>
                  <w:noWrap w:val="0"/>
                  <w:vAlign w:val="center"/>
                </w:tcPr>
                <w:p w14:paraId="728A2DFD">
                  <w:pPr>
                    <w:spacing w:line="240" w:lineRule="auto"/>
                    <w:ind w:firstLine="0" w:firstLineChars="0"/>
                    <w:jc w:val="center"/>
                    <w:rPr>
                      <w:rFonts w:hint="default"/>
                      <w:sz w:val="21"/>
                      <w:szCs w:val="21"/>
                    </w:rPr>
                  </w:pPr>
                  <w:r>
                    <w:rPr>
                      <w:rFonts w:hint="eastAsia" w:ascii="Times New Roman" w:hAnsi="Times New Roman" w:eastAsia="宋体" w:cs="Times New Roman"/>
                      <w:b w:val="0"/>
                      <w:bCs w:val="0"/>
                      <w:color w:val="auto"/>
                      <w:kern w:val="2"/>
                      <w:sz w:val="21"/>
                      <w:szCs w:val="21"/>
                      <w:lang w:val="en-US" w:eastAsia="zh-CN" w:bidi="ar-SA"/>
                    </w:rPr>
                    <w:t>ABS</w:t>
                  </w:r>
                </w:p>
              </w:tc>
              <w:tc>
                <w:tcPr>
                  <w:tcW w:w="581" w:type="pct"/>
                  <w:noWrap w:val="0"/>
                  <w:vAlign w:val="center"/>
                </w:tcPr>
                <w:p w14:paraId="4A9503BA">
                  <w:pPr>
                    <w:jc w:val="center"/>
                    <w:rPr>
                      <w:rFonts w:hint="default"/>
                      <w:sz w:val="21"/>
                      <w:szCs w:val="21"/>
                      <w:lang w:val="en-US" w:eastAsia="zh-CN"/>
                    </w:rPr>
                  </w:pPr>
                  <w:r>
                    <w:rPr>
                      <w:rFonts w:hint="eastAsia"/>
                      <w:sz w:val="21"/>
                      <w:szCs w:val="21"/>
                      <w:lang w:val="en-US" w:eastAsia="zh-CN"/>
                    </w:rPr>
                    <w:t>/</w:t>
                  </w:r>
                </w:p>
              </w:tc>
              <w:tc>
                <w:tcPr>
                  <w:tcW w:w="879" w:type="pct"/>
                  <w:noWrap w:val="0"/>
                  <w:vAlign w:val="center"/>
                </w:tcPr>
                <w:p w14:paraId="139EEDEB">
                  <w:pPr>
                    <w:jc w:val="center"/>
                    <w:rPr>
                      <w:rFonts w:hint="default"/>
                      <w:sz w:val="21"/>
                      <w:szCs w:val="21"/>
                      <w:lang w:val="en-US" w:eastAsia="zh-CN"/>
                    </w:rPr>
                  </w:pPr>
                  <w:r>
                    <w:rPr>
                      <w:rFonts w:hint="eastAsia"/>
                      <w:sz w:val="21"/>
                      <w:szCs w:val="21"/>
                      <w:lang w:val="en-US" w:eastAsia="zh-CN"/>
                    </w:rPr>
                    <w:t>120t/a</w:t>
                  </w:r>
                </w:p>
              </w:tc>
              <w:tc>
                <w:tcPr>
                  <w:tcW w:w="752" w:type="pct"/>
                  <w:noWrap w:val="0"/>
                  <w:vAlign w:val="center"/>
                </w:tcPr>
                <w:p w14:paraId="1A23FAF5">
                  <w:pPr>
                    <w:jc w:val="center"/>
                    <w:rPr>
                      <w:rFonts w:hint="default" w:eastAsia="宋体"/>
                      <w:sz w:val="21"/>
                      <w:szCs w:val="21"/>
                      <w:lang w:val="en-US" w:eastAsia="zh-CN"/>
                    </w:rPr>
                  </w:pPr>
                  <w:r>
                    <w:rPr>
                      <w:rFonts w:hint="eastAsia"/>
                      <w:sz w:val="21"/>
                      <w:szCs w:val="21"/>
                      <w:lang w:val="en-US" w:eastAsia="zh-CN"/>
                    </w:rPr>
                    <w:t>10t</w:t>
                  </w:r>
                </w:p>
              </w:tc>
              <w:tc>
                <w:tcPr>
                  <w:tcW w:w="987" w:type="pct"/>
                  <w:noWrap w:val="0"/>
                  <w:vAlign w:val="center"/>
                </w:tcPr>
                <w:p w14:paraId="035983A3">
                  <w:pPr>
                    <w:jc w:val="center"/>
                    <w:rPr>
                      <w:rFonts w:hint="default" w:eastAsia="宋体"/>
                      <w:sz w:val="21"/>
                      <w:szCs w:val="21"/>
                      <w:lang w:val="en-US" w:eastAsia="zh-CN"/>
                    </w:rPr>
                  </w:pPr>
                  <w:r>
                    <w:rPr>
                      <w:rFonts w:hint="eastAsia"/>
                      <w:sz w:val="21"/>
                      <w:szCs w:val="21"/>
                      <w:lang w:val="en-US" w:eastAsia="zh-CN"/>
                    </w:rPr>
                    <w:t>一个月</w:t>
                  </w:r>
                </w:p>
              </w:tc>
            </w:tr>
            <w:tr w14:paraId="5A45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shd w:val="clear" w:color="auto" w:fill="auto"/>
                  <w:noWrap w:val="0"/>
                  <w:vAlign w:val="center"/>
                </w:tcPr>
                <w:p w14:paraId="199CB81D">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w:t>
                  </w:r>
                </w:p>
              </w:tc>
              <w:tc>
                <w:tcPr>
                  <w:tcW w:w="1381" w:type="pct"/>
                  <w:noWrap w:val="0"/>
                  <w:vAlign w:val="center"/>
                </w:tcPr>
                <w:p w14:paraId="2A1CCD21">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模具</w:t>
                  </w:r>
                </w:p>
              </w:tc>
              <w:tc>
                <w:tcPr>
                  <w:tcW w:w="581" w:type="pct"/>
                  <w:noWrap w:val="0"/>
                  <w:vAlign w:val="center"/>
                </w:tcPr>
                <w:p w14:paraId="68A3E2D2">
                  <w:pPr>
                    <w:jc w:val="center"/>
                    <w:rPr>
                      <w:rFonts w:hint="default"/>
                      <w:sz w:val="21"/>
                      <w:szCs w:val="21"/>
                      <w:lang w:val="en-US" w:eastAsia="zh-CN"/>
                    </w:rPr>
                  </w:pPr>
                  <w:r>
                    <w:rPr>
                      <w:rFonts w:hint="eastAsia"/>
                      <w:sz w:val="21"/>
                      <w:szCs w:val="21"/>
                      <w:lang w:val="en-US" w:eastAsia="zh-CN"/>
                    </w:rPr>
                    <w:t>/</w:t>
                  </w:r>
                </w:p>
              </w:tc>
              <w:tc>
                <w:tcPr>
                  <w:tcW w:w="879" w:type="pct"/>
                  <w:noWrap w:val="0"/>
                  <w:vAlign w:val="center"/>
                </w:tcPr>
                <w:p w14:paraId="3700BB8F">
                  <w:pPr>
                    <w:jc w:val="center"/>
                    <w:rPr>
                      <w:rFonts w:hint="default"/>
                      <w:sz w:val="21"/>
                      <w:szCs w:val="21"/>
                      <w:lang w:val="en-US" w:eastAsia="zh-CN"/>
                    </w:rPr>
                  </w:pPr>
                  <w:r>
                    <w:rPr>
                      <w:rFonts w:hint="eastAsia"/>
                      <w:sz w:val="21"/>
                      <w:szCs w:val="21"/>
                      <w:lang w:val="en-US" w:eastAsia="zh-CN"/>
                    </w:rPr>
                    <w:t>10套</w:t>
                  </w:r>
                </w:p>
              </w:tc>
              <w:tc>
                <w:tcPr>
                  <w:tcW w:w="752" w:type="pct"/>
                  <w:noWrap w:val="0"/>
                  <w:vAlign w:val="center"/>
                </w:tcPr>
                <w:p w14:paraId="6E8BA024">
                  <w:pPr>
                    <w:jc w:val="center"/>
                    <w:rPr>
                      <w:rFonts w:hint="default" w:eastAsia="宋体"/>
                      <w:sz w:val="21"/>
                      <w:szCs w:val="21"/>
                      <w:lang w:val="en-US" w:eastAsia="zh-CN"/>
                    </w:rPr>
                  </w:pPr>
                  <w:r>
                    <w:rPr>
                      <w:rFonts w:hint="eastAsia" w:eastAsia="宋体"/>
                      <w:sz w:val="21"/>
                      <w:szCs w:val="21"/>
                      <w:lang w:val="en-US" w:eastAsia="zh-CN"/>
                    </w:rPr>
                    <w:t>10套</w:t>
                  </w:r>
                </w:p>
              </w:tc>
              <w:tc>
                <w:tcPr>
                  <w:tcW w:w="987" w:type="pct"/>
                  <w:noWrap w:val="0"/>
                  <w:vAlign w:val="center"/>
                </w:tcPr>
                <w:p w14:paraId="6BB85F40">
                  <w:pPr>
                    <w:jc w:val="center"/>
                    <w:rPr>
                      <w:rFonts w:hint="default"/>
                      <w:sz w:val="21"/>
                      <w:szCs w:val="21"/>
                      <w:lang w:val="en-US" w:eastAsia="zh-CN"/>
                    </w:rPr>
                  </w:pPr>
                  <w:r>
                    <w:rPr>
                      <w:rFonts w:hint="eastAsia"/>
                      <w:sz w:val="21"/>
                      <w:szCs w:val="21"/>
                      <w:lang w:val="en-US" w:eastAsia="zh-CN"/>
                    </w:rPr>
                    <w:t>1年</w:t>
                  </w:r>
                </w:p>
              </w:tc>
            </w:tr>
            <w:tr w14:paraId="00B5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shd w:val="clear" w:color="auto" w:fill="auto"/>
                  <w:noWrap w:val="0"/>
                  <w:vAlign w:val="center"/>
                </w:tcPr>
                <w:p w14:paraId="33DB4798">
                  <w:pPr>
                    <w:jc w:val="center"/>
                    <w:rPr>
                      <w:rFonts w:hint="default"/>
                      <w:sz w:val="21"/>
                      <w:szCs w:val="21"/>
                    </w:rPr>
                  </w:pPr>
                  <w:r>
                    <w:rPr>
                      <w:rFonts w:hint="eastAsia"/>
                      <w:sz w:val="21"/>
                      <w:szCs w:val="21"/>
                      <w:lang w:val="en-US" w:eastAsia="zh-CN"/>
                    </w:rPr>
                    <w:t>喷漆</w:t>
                  </w:r>
                </w:p>
              </w:tc>
            </w:tr>
            <w:tr w14:paraId="64E6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shd w:val="clear" w:color="auto" w:fill="auto"/>
                  <w:noWrap w:val="0"/>
                  <w:vAlign w:val="center"/>
                </w:tcPr>
                <w:p w14:paraId="482067B1">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w:t>
                  </w:r>
                </w:p>
              </w:tc>
              <w:tc>
                <w:tcPr>
                  <w:tcW w:w="1381" w:type="pct"/>
                  <w:noWrap w:val="0"/>
                  <w:vAlign w:val="center"/>
                </w:tcPr>
                <w:p w14:paraId="1E90575C">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UV漆</w:t>
                  </w:r>
                  <w:r>
                    <w:rPr>
                      <w:rFonts w:hint="eastAsia" w:cs="Times New Roman"/>
                      <w:b w:val="0"/>
                      <w:bCs w:val="0"/>
                      <w:color w:val="auto"/>
                      <w:sz w:val="21"/>
                      <w:szCs w:val="21"/>
                      <w:lang w:val="en-US" w:eastAsia="zh-CN"/>
                    </w:rPr>
                    <w:t>（面漆）</w:t>
                  </w:r>
                </w:p>
              </w:tc>
              <w:tc>
                <w:tcPr>
                  <w:tcW w:w="581" w:type="pct"/>
                  <w:noWrap w:val="0"/>
                  <w:vAlign w:val="center"/>
                </w:tcPr>
                <w:p w14:paraId="1164FB3C">
                  <w:pPr>
                    <w:jc w:val="center"/>
                    <w:rPr>
                      <w:rFonts w:hint="default"/>
                      <w:sz w:val="21"/>
                      <w:szCs w:val="21"/>
                      <w:lang w:val="en-US" w:eastAsia="zh-CN"/>
                    </w:rPr>
                  </w:pPr>
                  <w:r>
                    <w:rPr>
                      <w:rFonts w:hint="eastAsia"/>
                      <w:sz w:val="21"/>
                      <w:szCs w:val="21"/>
                      <w:lang w:val="en-US" w:eastAsia="zh-CN"/>
                    </w:rPr>
                    <w:t>25L/桶</w:t>
                  </w:r>
                </w:p>
              </w:tc>
              <w:tc>
                <w:tcPr>
                  <w:tcW w:w="879" w:type="pct"/>
                  <w:noWrap w:val="0"/>
                  <w:vAlign w:val="center"/>
                </w:tcPr>
                <w:p w14:paraId="650CAAEE">
                  <w:pPr>
                    <w:jc w:val="center"/>
                    <w:rPr>
                      <w:rFonts w:hint="default"/>
                      <w:sz w:val="21"/>
                      <w:szCs w:val="21"/>
                      <w:lang w:val="en-US" w:eastAsia="zh-CN"/>
                    </w:rPr>
                  </w:pPr>
                  <w:r>
                    <w:rPr>
                      <w:rFonts w:hint="eastAsia"/>
                      <w:sz w:val="21"/>
                      <w:szCs w:val="21"/>
                      <w:lang w:val="en-US" w:eastAsia="zh-CN"/>
                    </w:rPr>
                    <w:t>0.512t/a</w:t>
                  </w:r>
                </w:p>
              </w:tc>
              <w:tc>
                <w:tcPr>
                  <w:tcW w:w="752" w:type="pct"/>
                  <w:noWrap w:val="0"/>
                  <w:vAlign w:val="center"/>
                </w:tcPr>
                <w:p w14:paraId="0B463708">
                  <w:pPr>
                    <w:jc w:val="center"/>
                    <w:rPr>
                      <w:rFonts w:hint="default" w:eastAsia="宋体"/>
                      <w:sz w:val="21"/>
                      <w:szCs w:val="21"/>
                      <w:lang w:val="en-US" w:eastAsia="zh-CN"/>
                    </w:rPr>
                  </w:pPr>
                  <w:r>
                    <w:rPr>
                      <w:rFonts w:hint="eastAsia"/>
                      <w:sz w:val="21"/>
                      <w:szCs w:val="21"/>
                      <w:lang w:val="en-US" w:eastAsia="zh-CN"/>
                    </w:rPr>
                    <w:t>0.043t</w:t>
                  </w:r>
                </w:p>
              </w:tc>
              <w:tc>
                <w:tcPr>
                  <w:tcW w:w="987" w:type="pct"/>
                  <w:noWrap w:val="0"/>
                  <w:vAlign w:val="center"/>
                </w:tcPr>
                <w:p w14:paraId="4A2D2248">
                  <w:pPr>
                    <w:jc w:val="center"/>
                    <w:rPr>
                      <w:rFonts w:hint="default" w:eastAsia="宋体"/>
                      <w:sz w:val="21"/>
                      <w:szCs w:val="21"/>
                      <w:lang w:val="en-US" w:eastAsia="zh-CN"/>
                    </w:rPr>
                  </w:pPr>
                  <w:r>
                    <w:rPr>
                      <w:rFonts w:hint="eastAsia"/>
                      <w:sz w:val="21"/>
                      <w:szCs w:val="21"/>
                      <w:lang w:val="en-US" w:eastAsia="zh-CN"/>
                    </w:rPr>
                    <w:t>一个月</w:t>
                  </w:r>
                </w:p>
              </w:tc>
            </w:tr>
            <w:tr w14:paraId="7826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shd w:val="clear" w:color="auto" w:fill="auto"/>
                  <w:noWrap w:val="0"/>
                  <w:vAlign w:val="center"/>
                </w:tcPr>
                <w:p w14:paraId="01804F33">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w:t>
                  </w:r>
                </w:p>
              </w:tc>
              <w:tc>
                <w:tcPr>
                  <w:tcW w:w="1381" w:type="pct"/>
                  <w:noWrap w:val="0"/>
                  <w:vAlign w:val="center"/>
                </w:tcPr>
                <w:p w14:paraId="17666C1F">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ascii="Times New Roman" w:hAnsi="Times New Roman"/>
                      <w:kern w:val="0"/>
                      <w:sz w:val="21"/>
                      <w:szCs w:val="21"/>
                      <w:highlight w:val="none"/>
                      <w:lang w:val="zh-CN"/>
                    </w:rPr>
                    <w:t>丙烯酸铝粉漆</w:t>
                  </w:r>
                  <w:r>
                    <w:rPr>
                      <w:rFonts w:hint="eastAsia"/>
                      <w:kern w:val="0"/>
                      <w:sz w:val="21"/>
                      <w:szCs w:val="21"/>
                      <w:highlight w:val="none"/>
                      <w:lang w:val="zh-CN"/>
                    </w:rPr>
                    <w:t>（</w:t>
                  </w:r>
                  <w:r>
                    <w:rPr>
                      <w:rFonts w:hint="eastAsia"/>
                      <w:kern w:val="0"/>
                      <w:sz w:val="21"/>
                      <w:szCs w:val="21"/>
                      <w:highlight w:val="none"/>
                      <w:lang w:val="en-US" w:eastAsia="zh-CN"/>
                    </w:rPr>
                    <w:t>底漆</w:t>
                  </w:r>
                  <w:r>
                    <w:rPr>
                      <w:rFonts w:hint="eastAsia"/>
                      <w:kern w:val="0"/>
                      <w:sz w:val="21"/>
                      <w:szCs w:val="21"/>
                      <w:highlight w:val="none"/>
                      <w:lang w:val="zh-CN"/>
                    </w:rPr>
                    <w:t>）</w:t>
                  </w:r>
                </w:p>
              </w:tc>
              <w:tc>
                <w:tcPr>
                  <w:tcW w:w="581" w:type="pct"/>
                  <w:noWrap w:val="0"/>
                  <w:vAlign w:val="center"/>
                </w:tcPr>
                <w:p w14:paraId="1159A805">
                  <w:pPr>
                    <w:jc w:val="center"/>
                    <w:rPr>
                      <w:rFonts w:hint="default"/>
                      <w:sz w:val="21"/>
                      <w:szCs w:val="21"/>
                      <w:lang w:val="en-US" w:eastAsia="zh-CN"/>
                    </w:rPr>
                  </w:pPr>
                  <w:r>
                    <w:rPr>
                      <w:rFonts w:hint="eastAsia"/>
                      <w:sz w:val="21"/>
                      <w:szCs w:val="21"/>
                      <w:lang w:val="en-US" w:eastAsia="zh-CN"/>
                    </w:rPr>
                    <w:t>25L/桶</w:t>
                  </w:r>
                </w:p>
              </w:tc>
              <w:tc>
                <w:tcPr>
                  <w:tcW w:w="879" w:type="pct"/>
                  <w:noWrap w:val="0"/>
                  <w:vAlign w:val="center"/>
                </w:tcPr>
                <w:p w14:paraId="4F174B1C">
                  <w:pPr>
                    <w:jc w:val="center"/>
                    <w:rPr>
                      <w:rFonts w:hint="default"/>
                      <w:sz w:val="21"/>
                      <w:szCs w:val="21"/>
                      <w:lang w:val="en-US" w:eastAsia="zh-CN"/>
                    </w:rPr>
                  </w:pPr>
                  <w:r>
                    <w:rPr>
                      <w:rFonts w:hint="eastAsia"/>
                      <w:sz w:val="21"/>
                      <w:szCs w:val="21"/>
                      <w:lang w:val="en-US" w:eastAsia="zh-CN"/>
                    </w:rPr>
                    <w:t>6.923t/a</w:t>
                  </w:r>
                </w:p>
              </w:tc>
              <w:tc>
                <w:tcPr>
                  <w:tcW w:w="752" w:type="pct"/>
                  <w:noWrap w:val="0"/>
                  <w:vAlign w:val="center"/>
                </w:tcPr>
                <w:p w14:paraId="73F7C581">
                  <w:pPr>
                    <w:jc w:val="center"/>
                    <w:rPr>
                      <w:rFonts w:hint="default" w:eastAsia="宋体"/>
                      <w:sz w:val="21"/>
                      <w:szCs w:val="21"/>
                      <w:lang w:val="en-US" w:eastAsia="zh-CN"/>
                    </w:rPr>
                  </w:pPr>
                  <w:r>
                    <w:rPr>
                      <w:rFonts w:hint="eastAsia"/>
                      <w:sz w:val="21"/>
                      <w:szCs w:val="21"/>
                      <w:lang w:val="en-US" w:eastAsia="zh-CN"/>
                    </w:rPr>
                    <w:t>0.577t</w:t>
                  </w:r>
                </w:p>
              </w:tc>
              <w:tc>
                <w:tcPr>
                  <w:tcW w:w="987" w:type="pct"/>
                  <w:noWrap w:val="0"/>
                  <w:vAlign w:val="center"/>
                </w:tcPr>
                <w:p w14:paraId="5200EA0E">
                  <w:pPr>
                    <w:jc w:val="center"/>
                    <w:rPr>
                      <w:rFonts w:hint="default" w:eastAsia="宋体"/>
                      <w:sz w:val="21"/>
                      <w:szCs w:val="21"/>
                      <w:lang w:val="en-US" w:eastAsia="zh-CN"/>
                    </w:rPr>
                  </w:pPr>
                  <w:r>
                    <w:rPr>
                      <w:rFonts w:hint="eastAsia"/>
                      <w:sz w:val="21"/>
                      <w:szCs w:val="21"/>
                      <w:lang w:val="en-US" w:eastAsia="zh-CN"/>
                    </w:rPr>
                    <w:t>一个月</w:t>
                  </w:r>
                </w:p>
              </w:tc>
            </w:tr>
            <w:tr w14:paraId="6E16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shd w:val="clear" w:color="auto" w:fill="auto"/>
                  <w:noWrap w:val="0"/>
                  <w:vAlign w:val="center"/>
                </w:tcPr>
                <w:p w14:paraId="230ADA3F">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w:t>
                  </w:r>
                </w:p>
              </w:tc>
              <w:tc>
                <w:tcPr>
                  <w:tcW w:w="1381" w:type="pct"/>
                  <w:noWrap w:val="0"/>
                  <w:vAlign w:val="center"/>
                </w:tcPr>
                <w:p w14:paraId="0E58B1AB">
                  <w:pPr>
                    <w:spacing w:line="240" w:lineRule="auto"/>
                    <w:ind w:firstLine="0" w:firstLineChars="0"/>
                    <w:jc w:val="center"/>
                    <w:rPr>
                      <w:rFonts w:hint="default"/>
                      <w:sz w:val="21"/>
                      <w:szCs w:val="21"/>
                    </w:rPr>
                  </w:pPr>
                  <w:r>
                    <w:rPr>
                      <w:rFonts w:hint="eastAsia" w:ascii="Times New Roman" w:hAnsi="Times New Roman" w:eastAsia="宋体" w:cs="Times New Roman"/>
                      <w:b w:val="0"/>
                      <w:bCs w:val="0"/>
                      <w:color w:val="auto"/>
                      <w:sz w:val="21"/>
                      <w:szCs w:val="21"/>
                      <w:lang w:val="en-US" w:eastAsia="zh-CN"/>
                    </w:rPr>
                    <w:t>油漆稀释剂</w:t>
                  </w:r>
                  <w:r>
                    <w:rPr>
                      <w:rFonts w:hint="eastAsia" w:cs="Times New Roman"/>
                      <w:b w:val="0"/>
                      <w:bCs w:val="0"/>
                      <w:color w:val="auto"/>
                      <w:sz w:val="21"/>
                      <w:szCs w:val="21"/>
                      <w:lang w:val="en-US" w:eastAsia="zh-CN"/>
                    </w:rPr>
                    <w:t>（底漆）</w:t>
                  </w:r>
                </w:p>
              </w:tc>
              <w:tc>
                <w:tcPr>
                  <w:tcW w:w="581" w:type="pct"/>
                  <w:noWrap w:val="0"/>
                  <w:vAlign w:val="center"/>
                </w:tcPr>
                <w:p w14:paraId="1239E02C">
                  <w:pPr>
                    <w:jc w:val="center"/>
                    <w:rPr>
                      <w:rFonts w:hint="default"/>
                      <w:sz w:val="21"/>
                      <w:szCs w:val="21"/>
                      <w:lang w:val="en-US" w:eastAsia="zh-CN"/>
                    </w:rPr>
                  </w:pPr>
                  <w:r>
                    <w:rPr>
                      <w:rFonts w:hint="eastAsia"/>
                      <w:sz w:val="21"/>
                      <w:szCs w:val="21"/>
                      <w:lang w:val="en-US" w:eastAsia="zh-CN"/>
                    </w:rPr>
                    <w:t>25L/桶</w:t>
                  </w:r>
                </w:p>
              </w:tc>
              <w:tc>
                <w:tcPr>
                  <w:tcW w:w="879" w:type="pct"/>
                  <w:noWrap w:val="0"/>
                  <w:vAlign w:val="center"/>
                </w:tcPr>
                <w:p w14:paraId="6040B39F">
                  <w:pPr>
                    <w:jc w:val="center"/>
                    <w:rPr>
                      <w:rFonts w:hint="default"/>
                      <w:sz w:val="21"/>
                      <w:szCs w:val="21"/>
                      <w:lang w:val="en-US" w:eastAsia="zh-CN"/>
                    </w:rPr>
                  </w:pPr>
                  <w:r>
                    <w:rPr>
                      <w:rFonts w:hint="eastAsia"/>
                      <w:sz w:val="21"/>
                      <w:szCs w:val="21"/>
                      <w:lang w:val="en-US" w:eastAsia="zh-CN"/>
                    </w:rPr>
                    <w:t>0.692t/a</w:t>
                  </w:r>
                </w:p>
              </w:tc>
              <w:tc>
                <w:tcPr>
                  <w:tcW w:w="752" w:type="pct"/>
                  <w:noWrap w:val="0"/>
                  <w:vAlign w:val="center"/>
                </w:tcPr>
                <w:p w14:paraId="5401A170">
                  <w:pPr>
                    <w:jc w:val="center"/>
                    <w:rPr>
                      <w:rFonts w:hint="default" w:eastAsia="宋体"/>
                      <w:sz w:val="21"/>
                      <w:szCs w:val="21"/>
                      <w:lang w:val="en-US" w:eastAsia="zh-CN"/>
                    </w:rPr>
                  </w:pPr>
                  <w:r>
                    <w:rPr>
                      <w:rFonts w:hint="eastAsia"/>
                      <w:sz w:val="21"/>
                      <w:szCs w:val="21"/>
                      <w:lang w:val="en-US" w:eastAsia="zh-CN"/>
                    </w:rPr>
                    <w:t>0.058t</w:t>
                  </w:r>
                </w:p>
              </w:tc>
              <w:tc>
                <w:tcPr>
                  <w:tcW w:w="987" w:type="pct"/>
                  <w:noWrap w:val="0"/>
                  <w:vAlign w:val="center"/>
                </w:tcPr>
                <w:p w14:paraId="2882468A">
                  <w:pPr>
                    <w:jc w:val="center"/>
                    <w:rPr>
                      <w:rFonts w:hint="default" w:eastAsia="宋体"/>
                      <w:sz w:val="21"/>
                      <w:szCs w:val="21"/>
                      <w:lang w:val="en-US" w:eastAsia="zh-CN"/>
                    </w:rPr>
                  </w:pPr>
                  <w:r>
                    <w:rPr>
                      <w:rFonts w:hint="eastAsia"/>
                      <w:sz w:val="21"/>
                      <w:szCs w:val="21"/>
                      <w:lang w:val="en-US" w:eastAsia="zh-CN"/>
                    </w:rPr>
                    <w:t>一个月</w:t>
                  </w:r>
                </w:p>
              </w:tc>
            </w:tr>
            <w:tr w14:paraId="1630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shd w:val="clear" w:color="auto" w:fill="auto"/>
                  <w:noWrap w:val="0"/>
                  <w:vAlign w:val="center"/>
                </w:tcPr>
                <w:p w14:paraId="398B33D0">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1381" w:type="pct"/>
                  <w:noWrap w:val="0"/>
                  <w:vAlign w:val="center"/>
                </w:tcPr>
                <w:p w14:paraId="3E3BA948">
                  <w:pPr>
                    <w:spacing w:line="240" w:lineRule="auto"/>
                    <w:ind w:firstLine="0" w:firstLineChars="0"/>
                    <w:jc w:val="center"/>
                    <w:rPr>
                      <w:rFonts w:hint="default"/>
                      <w:sz w:val="21"/>
                      <w:szCs w:val="21"/>
                      <w:lang w:val="en-US" w:eastAsia="zh-CN"/>
                    </w:rPr>
                  </w:pPr>
                  <w:r>
                    <w:rPr>
                      <w:rFonts w:hint="eastAsia"/>
                      <w:sz w:val="21"/>
                      <w:szCs w:val="21"/>
                      <w:lang w:val="en-US" w:eastAsia="zh-CN"/>
                    </w:rPr>
                    <w:t>光油</w:t>
                  </w:r>
                  <w:r>
                    <w:rPr>
                      <w:rFonts w:hint="eastAsia" w:ascii="Times New Roman" w:hAnsi="Times New Roman" w:eastAsia="宋体" w:cs="Times New Roman"/>
                      <w:b w:val="0"/>
                      <w:bCs w:val="0"/>
                      <w:color w:val="auto"/>
                      <w:sz w:val="21"/>
                      <w:szCs w:val="21"/>
                      <w:lang w:val="en-US" w:eastAsia="zh-CN"/>
                    </w:rPr>
                    <w:t>稀释剂</w:t>
                  </w:r>
                  <w:r>
                    <w:rPr>
                      <w:rFonts w:hint="eastAsia" w:cs="Times New Roman"/>
                      <w:b w:val="0"/>
                      <w:bCs w:val="0"/>
                      <w:color w:val="auto"/>
                      <w:sz w:val="21"/>
                      <w:szCs w:val="21"/>
                      <w:lang w:val="en-US" w:eastAsia="zh-CN"/>
                    </w:rPr>
                    <w:t>（面漆）</w:t>
                  </w:r>
                </w:p>
              </w:tc>
              <w:tc>
                <w:tcPr>
                  <w:tcW w:w="581" w:type="pct"/>
                  <w:noWrap w:val="0"/>
                  <w:vAlign w:val="center"/>
                </w:tcPr>
                <w:p w14:paraId="3B8D7F94">
                  <w:pPr>
                    <w:jc w:val="center"/>
                    <w:rPr>
                      <w:rFonts w:hint="default"/>
                      <w:sz w:val="21"/>
                      <w:szCs w:val="21"/>
                      <w:lang w:val="en-US" w:eastAsia="zh-CN"/>
                    </w:rPr>
                  </w:pPr>
                  <w:r>
                    <w:rPr>
                      <w:rFonts w:hint="eastAsia"/>
                      <w:sz w:val="21"/>
                      <w:szCs w:val="21"/>
                      <w:lang w:val="en-US" w:eastAsia="zh-CN"/>
                    </w:rPr>
                    <w:t>25L/桶</w:t>
                  </w:r>
                </w:p>
              </w:tc>
              <w:tc>
                <w:tcPr>
                  <w:tcW w:w="879" w:type="pct"/>
                  <w:noWrap w:val="0"/>
                  <w:vAlign w:val="center"/>
                </w:tcPr>
                <w:p w14:paraId="18D571E6">
                  <w:pPr>
                    <w:jc w:val="center"/>
                    <w:rPr>
                      <w:rFonts w:hint="default"/>
                      <w:sz w:val="21"/>
                      <w:szCs w:val="21"/>
                      <w:lang w:val="en-US" w:eastAsia="zh-CN"/>
                    </w:rPr>
                  </w:pPr>
                  <w:r>
                    <w:rPr>
                      <w:rFonts w:hint="eastAsia"/>
                      <w:sz w:val="21"/>
                      <w:szCs w:val="21"/>
                      <w:lang w:val="en-US" w:eastAsia="zh-CN"/>
                    </w:rPr>
                    <w:t>0.051t/a</w:t>
                  </w:r>
                </w:p>
              </w:tc>
              <w:tc>
                <w:tcPr>
                  <w:tcW w:w="752" w:type="pct"/>
                  <w:noWrap w:val="0"/>
                  <w:vAlign w:val="center"/>
                </w:tcPr>
                <w:p w14:paraId="3972999C">
                  <w:pPr>
                    <w:jc w:val="center"/>
                    <w:rPr>
                      <w:rFonts w:hint="default" w:eastAsia="宋体"/>
                      <w:sz w:val="21"/>
                      <w:szCs w:val="21"/>
                      <w:lang w:val="en-US" w:eastAsia="zh-CN"/>
                    </w:rPr>
                  </w:pPr>
                  <w:r>
                    <w:rPr>
                      <w:rFonts w:hint="eastAsia"/>
                      <w:sz w:val="21"/>
                      <w:szCs w:val="21"/>
                      <w:lang w:val="en-US" w:eastAsia="zh-CN"/>
                    </w:rPr>
                    <w:t>0.004t</w:t>
                  </w:r>
                </w:p>
              </w:tc>
              <w:tc>
                <w:tcPr>
                  <w:tcW w:w="987" w:type="pct"/>
                  <w:noWrap w:val="0"/>
                  <w:vAlign w:val="center"/>
                </w:tcPr>
                <w:p w14:paraId="05A34D61">
                  <w:pPr>
                    <w:jc w:val="center"/>
                    <w:rPr>
                      <w:rFonts w:hint="default" w:eastAsia="宋体"/>
                      <w:sz w:val="21"/>
                      <w:szCs w:val="21"/>
                      <w:lang w:val="en-US" w:eastAsia="zh-CN"/>
                    </w:rPr>
                  </w:pPr>
                  <w:r>
                    <w:rPr>
                      <w:rFonts w:hint="eastAsia"/>
                      <w:sz w:val="21"/>
                      <w:szCs w:val="21"/>
                      <w:lang w:val="en-US" w:eastAsia="zh-CN"/>
                    </w:rPr>
                    <w:t>一个月</w:t>
                  </w:r>
                </w:p>
              </w:tc>
            </w:tr>
            <w:tr w14:paraId="46A1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417" w:type="pct"/>
                  <w:shd w:val="clear" w:color="auto" w:fill="auto"/>
                  <w:noWrap w:val="0"/>
                  <w:vAlign w:val="center"/>
                </w:tcPr>
                <w:p w14:paraId="799877BC">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8</w:t>
                  </w:r>
                </w:p>
              </w:tc>
              <w:tc>
                <w:tcPr>
                  <w:tcW w:w="1381" w:type="pct"/>
                  <w:noWrap w:val="0"/>
                  <w:vAlign w:val="center"/>
                </w:tcPr>
                <w:p w14:paraId="19E6397F">
                  <w:pPr>
                    <w:spacing w:line="240" w:lineRule="auto"/>
                    <w:ind w:firstLine="0" w:firstLineChars="0"/>
                    <w:jc w:val="center"/>
                    <w:rPr>
                      <w:rFonts w:hint="default"/>
                      <w:sz w:val="21"/>
                      <w:szCs w:val="21"/>
                      <w:lang w:val="en-US" w:eastAsia="zh-CN"/>
                    </w:rPr>
                  </w:pPr>
                  <w:r>
                    <w:rPr>
                      <w:rFonts w:hint="eastAsia" w:ascii="Times New Roman" w:hAnsi="Times New Roman" w:eastAsia="宋体" w:cs="Times New Roman"/>
                      <w:b w:val="0"/>
                      <w:bCs w:val="0"/>
                      <w:color w:val="auto"/>
                      <w:sz w:val="21"/>
                      <w:szCs w:val="21"/>
                      <w:lang w:val="en-US" w:eastAsia="zh-CN"/>
                    </w:rPr>
                    <w:t>固化剂</w:t>
                  </w:r>
                  <w:r>
                    <w:rPr>
                      <w:rFonts w:hint="eastAsia" w:cs="Times New Roman"/>
                      <w:b w:val="0"/>
                      <w:bCs w:val="0"/>
                      <w:color w:val="auto"/>
                      <w:sz w:val="21"/>
                      <w:szCs w:val="21"/>
                      <w:lang w:val="en-US" w:eastAsia="zh-CN"/>
                    </w:rPr>
                    <w:t>（底漆）</w:t>
                  </w:r>
                </w:p>
              </w:tc>
              <w:tc>
                <w:tcPr>
                  <w:tcW w:w="581" w:type="pct"/>
                  <w:noWrap w:val="0"/>
                  <w:vAlign w:val="center"/>
                </w:tcPr>
                <w:p w14:paraId="2A705911">
                  <w:pPr>
                    <w:jc w:val="center"/>
                    <w:rPr>
                      <w:rFonts w:hint="eastAsia"/>
                      <w:sz w:val="21"/>
                      <w:szCs w:val="21"/>
                      <w:lang w:val="en-US" w:eastAsia="zh-CN"/>
                    </w:rPr>
                  </w:pPr>
                  <w:r>
                    <w:rPr>
                      <w:rFonts w:hint="eastAsia"/>
                      <w:sz w:val="21"/>
                      <w:szCs w:val="21"/>
                      <w:lang w:val="en-US" w:eastAsia="zh-CN"/>
                    </w:rPr>
                    <w:t>25L/桶</w:t>
                  </w:r>
                </w:p>
              </w:tc>
              <w:tc>
                <w:tcPr>
                  <w:tcW w:w="879" w:type="pct"/>
                  <w:noWrap w:val="0"/>
                  <w:vAlign w:val="center"/>
                </w:tcPr>
                <w:p w14:paraId="080A6EC9">
                  <w:pPr>
                    <w:jc w:val="center"/>
                    <w:rPr>
                      <w:rFonts w:hint="default"/>
                      <w:sz w:val="21"/>
                      <w:szCs w:val="21"/>
                      <w:lang w:val="en-US" w:eastAsia="zh-CN"/>
                    </w:rPr>
                  </w:pPr>
                  <w:r>
                    <w:rPr>
                      <w:rFonts w:hint="eastAsia"/>
                      <w:sz w:val="21"/>
                      <w:szCs w:val="21"/>
                      <w:lang w:val="en-US" w:eastAsia="zh-CN"/>
                    </w:rPr>
                    <w:t>1.038t/a</w:t>
                  </w:r>
                </w:p>
              </w:tc>
              <w:tc>
                <w:tcPr>
                  <w:tcW w:w="752" w:type="pct"/>
                  <w:noWrap w:val="0"/>
                  <w:vAlign w:val="center"/>
                </w:tcPr>
                <w:p w14:paraId="63E939E6">
                  <w:pPr>
                    <w:jc w:val="center"/>
                    <w:rPr>
                      <w:rFonts w:hint="default" w:eastAsia="宋体"/>
                      <w:sz w:val="21"/>
                      <w:szCs w:val="21"/>
                      <w:lang w:val="en-US" w:eastAsia="zh-CN"/>
                    </w:rPr>
                  </w:pPr>
                  <w:r>
                    <w:rPr>
                      <w:rFonts w:hint="eastAsia"/>
                      <w:sz w:val="21"/>
                      <w:szCs w:val="21"/>
                      <w:lang w:val="en-US" w:eastAsia="zh-CN"/>
                    </w:rPr>
                    <w:t>0.087t</w:t>
                  </w:r>
                </w:p>
              </w:tc>
              <w:tc>
                <w:tcPr>
                  <w:tcW w:w="987" w:type="pct"/>
                  <w:noWrap w:val="0"/>
                  <w:vAlign w:val="center"/>
                </w:tcPr>
                <w:p w14:paraId="71D6D1CE">
                  <w:pPr>
                    <w:jc w:val="center"/>
                    <w:rPr>
                      <w:rFonts w:hint="default" w:eastAsia="宋体"/>
                      <w:sz w:val="21"/>
                      <w:szCs w:val="21"/>
                      <w:lang w:val="en-US" w:eastAsia="zh-CN"/>
                    </w:rPr>
                  </w:pPr>
                  <w:r>
                    <w:rPr>
                      <w:rFonts w:hint="eastAsia"/>
                      <w:sz w:val="21"/>
                      <w:szCs w:val="21"/>
                      <w:lang w:val="en-US" w:eastAsia="zh-CN"/>
                    </w:rPr>
                    <w:t>一个月</w:t>
                  </w:r>
                </w:p>
              </w:tc>
            </w:tr>
            <w:tr w14:paraId="1BA3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5000" w:type="pct"/>
                  <w:gridSpan w:val="6"/>
                  <w:shd w:val="clear" w:color="auto" w:fill="auto"/>
                  <w:noWrap w:val="0"/>
                  <w:vAlign w:val="center"/>
                </w:tcPr>
                <w:p w14:paraId="639443E2">
                  <w:pPr>
                    <w:jc w:val="center"/>
                    <w:rPr>
                      <w:rFonts w:hint="eastAsia" w:eastAsia="宋体"/>
                      <w:sz w:val="21"/>
                      <w:szCs w:val="21"/>
                      <w:lang w:val="en-US" w:eastAsia="zh-CN"/>
                    </w:rPr>
                  </w:pPr>
                  <w:r>
                    <w:rPr>
                      <w:rFonts w:hint="eastAsia"/>
                      <w:sz w:val="21"/>
                      <w:szCs w:val="21"/>
                      <w:lang w:val="en-US" w:eastAsia="zh-CN"/>
                    </w:rPr>
                    <w:t>转印</w:t>
                  </w:r>
                </w:p>
              </w:tc>
            </w:tr>
            <w:tr w14:paraId="2861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417" w:type="pct"/>
                  <w:shd w:val="clear" w:color="auto" w:fill="auto"/>
                  <w:noWrap w:val="0"/>
                  <w:vAlign w:val="center"/>
                </w:tcPr>
                <w:p w14:paraId="160B447F">
                  <w:pPr>
                    <w:jc w:val="center"/>
                    <w:rPr>
                      <w:rFonts w:hint="default"/>
                      <w:sz w:val="21"/>
                      <w:szCs w:val="21"/>
                      <w:lang w:val="en-US" w:eastAsia="zh-CN"/>
                    </w:rPr>
                  </w:pPr>
                  <w:r>
                    <w:rPr>
                      <w:rFonts w:hint="eastAsia"/>
                      <w:sz w:val="21"/>
                      <w:szCs w:val="21"/>
                      <w:lang w:val="en-US" w:eastAsia="zh-CN"/>
                    </w:rPr>
                    <w:t>9</w:t>
                  </w:r>
                </w:p>
              </w:tc>
              <w:tc>
                <w:tcPr>
                  <w:tcW w:w="1381" w:type="pct"/>
                  <w:noWrap w:val="0"/>
                  <w:vAlign w:val="center"/>
                </w:tcPr>
                <w:p w14:paraId="7A377D7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活化水</w:t>
                  </w:r>
                </w:p>
              </w:tc>
              <w:tc>
                <w:tcPr>
                  <w:tcW w:w="581" w:type="pct"/>
                  <w:noWrap w:val="0"/>
                  <w:vAlign w:val="center"/>
                </w:tcPr>
                <w:p w14:paraId="4AE7F269">
                  <w:pPr>
                    <w:jc w:val="center"/>
                    <w:rPr>
                      <w:rFonts w:hint="default"/>
                      <w:sz w:val="21"/>
                      <w:szCs w:val="21"/>
                      <w:lang w:val="en-US" w:eastAsia="zh-CN"/>
                    </w:rPr>
                  </w:pPr>
                  <w:r>
                    <w:rPr>
                      <w:rFonts w:hint="eastAsia"/>
                      <w:sz w:val="21"/>
                      <w:szCs w:val="21"/>
                      <w:lang w:val="en-US" w:eastAsia="zh-CN"/>
                    </w:rPr>
                    <w:t>/</w:t>
                  </w:r>
                </w:p>
              </w:tc>
              <w:tc>
                <w:tcPr>
                  <w:tcW w:w="879" w:type="pct"/>
                  <w:noWrap w:val="0"/>
                  <w:vAlign w:val="center"/>
                </w:tcPr>
                <w:p w14:paraId="0C76F185">
                  <w:pPr>
                    <w:jc w:val="center"/>
                    <w:rPr>
                      <w:rFonts w:hint="default"/>
                      <w:sz w:val="21"/>
                      <w:szCs w:val="21"/>
                      <w:lang w:val="en-US" w:eastAsia="zh-CN"/>
                    </w:rPr>
                  </w:pPr>
                  <w:r>
                    <w:rPr>
                      <w:rFonts w:hint="eastAsia"/>
                      <w:sz w:val="21"/>
                      <w:szCs w:val="21"/>
                      <w:lang w:val="en-US" w:eastAsia="zh-CN"/>
                    </w:rPr>
                    <w:t>10t/a</w:t>
                  </w:r>
                </w:p>
              </w:tc>
              <w:tc>
                <w:tcPr>
                  <w:tcW w:w="752" w:type="pct"/>
                  <w:noWrap w:val="0"/>
                  <w:vAlign w:val="center"/>
                </w:tcPr>
                <w:p w14:paraId="3E50D31D">
                  <w:pPr>
                    <w:jc w:val="center"/>
                    <w:rPr>
                      <w:rFonts w:hint="default" w:eastAsia="宋体"/>
                      <w:sz w:val="21"/>
                      <w:szCs w:val="21"/>
                      <w:lang w:val="en-US" w:eastAsia="zh-CN"/>
                    </w:rPr>
                  </w:pPr>
                  <w:r>
                    <w:rPr>
                      <w:rFonts w:hint="eastAsia"/>
                      <w:sz w:val="21"/>
                      <w:szCs w:val="21"/>
                      <w:lang w:val="en-US" w:eastAsia="zh-CN"/>
                    </w:rPr>
                    <w:t>2.5</w:t>
                  </w:r>
                  <w:r>
                    <w:rPr>
                      <w:rFonts w:hint="eastAsia" w:eastAsia="宋体"/>
                      <w:sz w:val="21"/>
                      <w:szCs w:val="21"/>
                      <w:lang w:val="en-US" w:eastAsia="zh-CN"/>
                    </w:rPr>
                    <w:t>t</w:t>
                  </w:r>
                </w:p>
              </w:tc>
              <w:tc>
                <w:tcPr>
                  <w:tcW w:w="987" w:type="pct"/>
                  <w:noWrap w:val="0"/>
                  <w:vAlign w:val="center"/>
                </w:tcPr>
                <w:p w14:paraId="01FFBC97">
                  <w:pPr>
                    <w:jc w:val="center"/>
                    <w:rPr>
                      <w:rFonts w:hint="default"/>
                      <w:sz w:val="21"/>
                      <w:szCs w:val="21"/>
                      <w:lang w:val="en-US" w:eastAsia="zh-CN"/>
                    </w:rPr>
                  </w:pPr>
                  <w:r>
                    <w:rPr>
                      <w:rFonts w:hint="eastAsia"/>
                      <w:sz w:val="21"/>
                      <w:szCs w:val="21"/>
                      <w:lang w:val="en-US" w:eastAsia="zh-CN"/>
                    </w:rPr>
                    <w:t>三个月</w:t>
                  </w:r>
                </w:p>
              </w:tc>
            </w:tr>
            <w:tr w14:paraId="0494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417" w:type="pct"/>
                  <w:shd w:val="clear" w:color="auto" w:fill="auto"/>
                  <w:noWrap w:val="0"/>
                  <w:vAlign w:val="center"/>
                </w:tcPr>
                <w:p w14:paraId="3C3BD5D0">
                  <w:pPr>
                    <w:jc w:val="center"/>
                    <w:rPr>
                      <w:rFonts w:hint="default"/>
                      <w:sz w:val="21"/>
                      <w:szCs w:val="21"/>
                      <w:lang w:val="en-US" w:eastAsia="zh-CN"/>
                    </w:rPr>
                  </w:pPr>
                  <w:r>
                    <w:rPr>
                      <w:rFonts w:hint="eastAsia"/>
                      <w:sz w:val="21"/>
                      <w:szCs w:val="21"/>
                      <w:lang w:val="en-US" w:eastAsia="zh-CN"/>
                    </w:rPr>
                    <w:t>10</w:t>
                  </w:r>
                </w:p>
              </w:tc>
              <w:tc>
                <w:tcPr>
                  <w:tcW w:w="1381" w:type="pct"/>
                  <w:noWrap w:val="0"/>
                  <w:vAlign w:val="center"/>
                </w:tcPr>
                <w:p w14:paraId="5CED878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膜纸</w:t>
                  </w:r>
                </w:p>
              </w:tc>
              <w:tc>
                <w:tcPr>
                  <w:tcW w:w="581" w:type="pct"/>
                  <w:noWrap w:val="0"/>
                  <w:vAlign w:val="center"/>
                </w:tcPr>
                <w:p w14:paraId="2581E423">
                  <w:pPr>
                    <w:jc w:val="center"/>
                    <w:rPr>
                      <w:rFonts w:hint="default"/>
                      <w:sz w:val="21"/>
                      <w:szCs w:val="21"/>
                      <w:lang w:val="en-US" w:eastAsia="zh-CN"/>
                    </w:rPr>
                  </w:pPr>
                  <w:r>
                    <w:rPr>
                      <w:rFonts w:hint="eastAsia"/>
                      <w:sz w:val="21"/>
                      <w:szCs w:val="21"/>
                      <w:lang w:val="en-US" w:eastAsia="zh-CN"/>
                    </w:rPr>
                    <w:t>/</w:t>
                  </w:r>
                </w:p>
              </w:tc>
              <w:tc>
                <w:tcPr>
                  <w:tcW w:w="879" w:type="pct"/>
                  <w:noWrap w:val="0"/>
                  <w:vAlign w:val="center"/>
                </w:tcPr>
                <w:p w14:paraId="734C4E23">
                  <w:pPr>
                    <w:jc w:val="center"/>
                    <w:rPr>
                      <w:rFonts w:hint="default"/>
                      <w:sz w:val="21"/>
                      <w:szCs w:val="21"/>
                      <w:lang w:val="en-US" w:eastAsia="zh-CN"/>
                    </w:rPr>
                  </w:pPr>
                  <w:r>
                    <w:rPr>
                      <w:rFonts w:hint="eastAsia"/>
                      <w:sz w:val="21"/>
                      <w:szCs w:val="21"/>
                      <w:lang w:val="en-US" w:eastAsia="zh-CN"/>
                    </w:rPr>
                    <w:t>1万平方米/a</w:t>
                  </w:r>
                </w:p>
              </w:tc>
              <w:tc>
                <w:tcPr>
                  <w:tcW w:w="752" w:type="pct"/>
                  <w:noWrap w:val="0"/>
                  <w:vAlign w:val="center"/>
                </w:tcPr>
                <w:p w14:paraId="0A4B3412">
                  <w:pPr>
                    <w:jc w:val="center"/>
                    <w:rPr>
                      <w:rFonts w:hint="default" w:eastAsia="宋体"/>
                      <w:sz w:val="21"/>
                      <w:szCs w:val="21"/>
                      <w:lang w:val="en-US" w:eastAsia="zh-CN"/>
                    </w:rPr>
                  </w:pPr>
                  <w:r>
                    <w:rPr>
                      <w:rFonts w:hint="eastAsia" w:eastAsia="宋体"/>
                      <w:sz w:val="21"/>
                      <w:szCs w:val="21"/>
                      <w:lang w:val="en-US" w:eastAsia="zh-CN"/>
                    </w:rPr>
                    <w:t>833平</w:t>
                  </w:r>
                  <w:r>
                    <w:rPr>
                      <w:rFonts w:hint="eastAsia"/>
                      <w:sz w:val="21"/>
                      <w:szCs w:val="21"/>
                      <w:lang w:val="en-US" w:eastAsia="zh-CN"/>
                    </w:rPr>
                    <w:t>方米</w:t>
                  </w:r>
                </w:p>
              </w:tc>
              <w:tc>
                <w:tcPr>
                  <w:tcW w:w="987" w:type="pct"/>
                  <w:noWrap w:val="0"/>
                  <w:vAlign w:val="center"/>
                </w:tcPr>
                <w:p w14:paraId="2533CE56">
                  <w:pPr>
                    <w:jc w:val="center"/>
                    <w:rPr>
                      <w:rFonts w:hint="default"/>
                      <w:sz w:val="21"/>
                      <w:szCs w:val="21"/>
                      <w:lang w:val="en-US" w:eastAsia="zh-CN"/>
                    </w:rPr>
                  </w:pPr>
                  <w:r>
                    <w:rPr>
                      <w:rFonts w:hint="eastAsia"/>
                      <w:sz w:val="21"/>
                      <w:szCs w:val="21"/>
                      <w:lang w:val="en-US" w:eastAsia="zh-CN"/>
                    </w:rPr>
                    <w:t>一个月</w:t>
                  </w:r>
                </w:p>
              </w:tc>
            </w:tr>
            <w:tr w14:paraId="445F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5000" w:type="pct"/>
                  <w:gridSpan w:val="6"/>
                  <w:shd w:val="clear" w:color="auto" w:fill="auto"/>
                  <w:noWrap w:val="0"/>
                  <w:vAlign w:val="center"/>
                </w:tcPr>
                <w:p w14:paraId="50F6B4D9">
                  <w:pPr>
                    <w:jc w:val="center"/>
                    <w:rPr>
                      <w:rFonts w:hint="default"/>
                      <w:sz w:val="21"/>
                      <w:szCs w:val="21"/>
                    </w:rPr>
                  </w:pPr>
                  <w:r>
                    <w:rPr>
                      <w:rFonts w:hint="eastAsia"/>
                      <w:sz w:val="21"/>
                      <w:szCs w:val="21"/>
                      <w:lang w:val="en-US" w:eastAsia="zh-CN"/>
                    </w:rPr>
                    <w:t>其他</w:t>
                  </w:r>
                </w:p>
              </w:tc>
            </w:tr>
            <w:tr w14:paraId="7305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shd w:val="clear" w:color="auto" w:fill="auto"/>
                  <w:noWrap w:val="0"/>
                  <w:vAlign w:val="center"/>
                </w:tcPr>
                <w:p w14:paraId="41147BD3">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11</w:t>
                  </w:r>
                </w:p>
              </w:tc>
              <w:tc>
                <w:tcPr>
                  <w:tcW w:w="1381" w:type="pct"/>
                  <w:noWrap w:val="0"/>
                  <w:vAlign w:val="center"/>
                </w:tcPr>
                <w:p w14:paraId="5EAD5D5B">
                  <w:pPr>
                    <w:spacing w:line="240" w:lineRule="auto"/>
                    <w:ind w:firstLine="0" w:firstLineChars="0"/>
                    <w:jc w:val="center"/>
                    <w:rPr>
                      <w:rFonts w:hint="eastAsia"/>
                      <w:sz w:val="21"/>
                      <w:szCs w:val="21"/>
                      <w:lang w:val="en-US" w:eastAsia="zh-CN"/>
                    </w:rPr>
                  </w:pPr>
                  <w:r>
                    <w:rPr>
                      <w:rFonts w:hint="eastAsia" w:ascii="Times New Roman" w:hAnsi="Times New Roman" w:eastAsia="宋体" w:cs="Times New Roman"/>
                      <w:b w:val="0"/>
                      <w:bCs w:val="0"/>
                      <w:color w:val="auto"/>
                      <w:sz w:val="21"/>
                      <w:szCs w:val="21"/>
                      <w:lang w:val="en-US" w:eastAsia="zh-CN"/>
                    </w:rPr>
                    <w:t>包装纸箱</w:t>
                  </w:r>
                </w:p>
              </w:tc>
              <w:tc>
                <w:tcPr>
                  <w:tcW w:w="581" w:type="pct"/>
                  <w:noWrap w:val="0"/>
                  <w:vAlign w:val="center"/>
                </w:tcPr>
                <w:p w14:paraId="0AC11132">
                  <w:pPr>
                    <w:jc w:val="center"/>
                    <w:rPr>
                      <w:rFonts w:hint="default"/>
                      <w:sz w:val="21"/>
                      <w:szCs w:val="21"/>
                      <w:lang w:val="en-US" w:eastAsia="zh-CN"/>
                    </w:rPr>
                  </w:pPr>
                  <w:r>
                    <w:rPr>
                      <w:rFonts w:hint="eastAsia"/>
                      <w:sz w:val="21"/>
                      <w:szCs w:val="21"/>
                      <w:lang w:val="en-US" w:eastAsia="zh-CN"/>
                    </w:rPr>
                    <w:t>/</w:t>
                  </w:r>
                </w:p>
              </w:tc>
              <w:tc>
                <w:tcPr>
                  <w:tcW w:w="879" w:type="pct"/>
                  <w:noWrap w:val="0"/>
                  <w:vAlign w:val="center"/>
                </w:tcPr>
                <w:p w14:paraId="759798CE">
                  <w:pPr>
                    <w:jc w:val="center"/>
                    <w:rPr>
                      <w:rFonts w:hint="default"/>
                      <w:sz w:val="21"/>
                      <w:szCs w:val="21"/>
                      <w:lang w:val="en-US" w:eastAsia="zh-CN"/>
                    </w:rPr>
                  </w:pPr>
                  <w:r>
                    <w:rPr>
                      <w:rFonts w:hint="eastAsia"/>
                      <w:sz w:val="21"/>
                      <w:szCs w:val="21"/>
                      <w:lang w:val="en-US" w:eastAsia="zh-CN"/>
                    </w:rPr>
                    <w:t>3万个/a</w:t>
                  </w:r>
                </w:p>
              </w:tc>
              <w:tc>
                <w:tcPr>
                  <w:tcW w:w="752" w:type="pct"/>
                  <w:noWrap w:val="0"/>
                  <w:vAlign w:val="center"/>
                </w:tcPr>
                <w:p w14:paraId="7945D305">
                  <w:pPr>
                    <w:jc w:val="center"/>
                    <w:rPr>
                      <w:rFonts w:hint="default"/>
                      <w:sz w:val="21"/>
                      <w:szCs w:val="21"/>
                      <w:lang w:val="en-US" w:eastAsia="zh-CN"/>
                    </w:rPr>
                  </w:pPr>
                  <w:r>
                    <w:rPr>
                      <w:rFonts w:hint="eastAsia"/>
                      <w:sz w:val="21"/>
                      <w:szCs w:val="21"/>
                      <w:lang w:val="en-US" w:eastAsia="zh-CN"/>
                    </w:rPr>
                    <w:t>2500个</w:t>
                  </w:r>
                </w:p>
              </w:tc>
              <w:tc>
                <w:tcPr>
                  <w:tcW w:w="987" w:type="pct"/>
                  <w:noWrap w:val="0"/>
                  <w:vAlign w:val="center"/>
                </w:tcPr>
                <w:p w14:paraId="60434CC4">
                  <w:pPr>
                    <w:jc w:val="center"/>
                    <w:rPr>
                      <w:rFonts w:hint="default"/>
                      <w:sz w:val="21"/>
                      <w:szCs w:val="21"/>
                      <w:lang w:val="en-US" w:eastAsia="zh-CN"/>
                    </w:rPr>
                  </w:pPr>
                  <w:r>
                    <w:rPr>
                      <w:rFonts w:hint="eastAsia"/>
                      <w:sz w:val="21"/>
                      <w:szCs w:val="21"/>
                      <w:lang w:val="en-US" w:eastAsia="zh-CN"/>
                    </w:rPr>
                    <w:t>一个月</w:t>
                  </w:r>
                </w:p>
              </w:tc>
            </w:tr>
            <w:tr w14:paraId="2998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12552865">
                  <w:pPr>
                    <w:jc w:val="center"/>
                    <w:rPr>
                      <w:rFonts w:hint="default"/>
                      <w:sz w:val="21"/>
                      <w:szCs w:val="21"/>
                      <w:lang w:val="en-US" w:eastAsia="zh-CN"/>
                    </w:rPr>
                  </w:pPr>
                  <w:r>
                    <w:rPr>
                      <w:rFonts w:hint="eastAsia"/>
                      <w:sz w:val="21"/>
                      <w:szCs w:val="21"/>
                      <w:lang w:val="en-US" w:eastAsia="zh-CN"/>
                    </w:rPr>
                    <w:t>12</w:t>
                  </w:r>
                </w:p>
              </w:tc>
              <w:tc>
                <w:tcPr>
                  <w:tcW w:w="1381" w:type="pct"/>
                  <w:noWrap w:val="0"/>
                  <w:vAlign w:val="center"/>
                </w:tcPr>
                <w:p w14:paraId="55FD29D5">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机油</w:t>
                  </w:r>
                </w:p>
              </w:tc>
              <w:tc>
                <w:tcPr>
                  <w:tcW w:w="581" w:type="pct"/>
                  <w:noWrap w:val="0"/>
                  <w:vAlign w:val="center"/>
                </w:tcPr>
                <w:p w14:paraId="0080AF58">
                  <w:pPr>
                    <w:jc w:val="center"/>
                    <w:rPr>
                      <w:rFonts w:hint="default"/>
                      <w:sz w:val="21"/>
                      <w:szCs w:val="21"/>
                      <w:lang w:val="en-US" w:eastAsia="zh-CN"/>
                    </w:rPr>
                  </w:pPr>
                  <w:r>
                    <w:rPr>
                      <w:rFonts w:hint="eastAsia"/>
                      <w:sz w:val="21"/>
                      <w:szCs w:val="21"/>
                      <w:lang w:val="en-US" w:eastAsia="zh-CN"/>
                    </w:rPr>
                    <w:t>25L/桶</w:t>
                  </w:r>
                </w:p>
              </w:tc>
              <w:tc>
                <w:tcPr>
                  <w:tcW w:w="879" w:type="pct"/>
                  <w:noWrap w:val="0"/>
                  <w:vAlign w:val="center"/>
                </w:tcPr>
                <w:p w14:paraId="1B758BB4">
                  <w:pPr>
                    <w:jc w:val="center"/>
                    <w:rPr>
                      <w:rFonts w:hint="default"/>
                      <w:sz w:val="21"/>
                      <w:szCs w:val="21"/>
                      <w:lang w:val="en-US" w:eastAsia="zh-CN"/>
                    </w:rPr>
                  </w:pPr>
                  <w:r>
                    <w:rPr>
                      <w:rFonts w:hint="eastAsia"/>
                      <w:sz w:val="21"/>
                      <w:szCs w:val="21"/>
                      <w:lang w:val="en-US" w:eastAsia="zh-CN"/>
                    </w:rPr>
                    <w:t>0.5</w:t>
                  </w:r>
                  <w:r>
                    <w:rPr>
                      <w:rFonts w:hint="eastAsia" w:eastAsia="宋体"/>
                      <w:sz w:val="21"/>
                      <w:szCs w:val="21"/>
                      <w:lang w:val="en-US" w:eastAsia="zh-CN"/>
                    </w:rPr>
                    <w:t>t</w:t>
                  </w:r>
                  <w:r>
                    <w:rPr>
                      <w:rFonts w:hint="eastAsia"/>
                      <w:sz w:val="21"/>
                      <w:szCs w:val="21"/>
                      <w:lang w:val="en-US" w:eastAsia="zh-CN"/>
                    </w:rPr>
                    <w:t>/a</w:t>
                  </w:r>
                </w:p>
              </w:tc>
              <w:tc>
                <w:tcPr>
                  <w:tcW w:w="752" w:type="pct"/>
                  <w:noWrap w:val="0"/>
                  <w:vAlign w:val="center"/>
                </w:tcPr>
                <w:p w14:paraId="43863C70">
                  <w:pPr>
                    <w:jc w:val="center"/>
                    <w:rPr>
                      <w:rFonts w:hint="default"/>
                      <w:sz w:val="21"/>
                      <w:szCs w:val="21"/>
                      <w:lang w:val="en-US" w:eastAsia="zh-CN"/>
                    </w:rPr>
                  </w:pPr>
                  <w:r>
                    <w:rPr>
                      <w:rFonts w:hint="eastAsia"/>
                      <w:sz w:val="21"/>
                      <w:szCs w:val="21"/>
                      <w:lang w:val="en-US" w:eastAsia="zh-CN"/>
                    </w:rPr>
                    <w:t>0.5</w:t>
                  </w:r>
                  <w:r>
                    <w:rPr>
                      <w:rFonts w:hint="eastAsia" w:eastAsia="宋体"/>
                      <w:sz w:val="21"/>
                      <w:szCs w:val="21"/>
                      <w:lang w:val="en-US" w:eastAsia="zh-CN"/>
                    </w:rPr>
                    <w:t>t</w:t>
                  </w:r>
                </w:p>
              </w:tc>
              <w:tc>
                <w:tcPr>
                  <w:tcW w:w="987" w:type="pct"/>
                  <w:noWrap w:val="0"/>
                  <w:vAlign w:val="center"/>
                </w:tcPr>
                <w:p w14:paraId="4E0D2E72">
                  <w:pPr>
                    <w:jc w:val="center"/>
                    <w:rPr>
                      <w:rFonts w:hint="default"/>
                      <w:sz w:val="21"/>
                      <w:szCs w:val="21"/>
                      <w:lang w:val="en-US" w:eastAsia="zh-CN"/>
                    </w:rPr>
                  </w:pPr>
                  <w:r>
                    <w:rPr>
                      <w:rFonts w:hint="eastAsia"/>
                      <w:sz w:val="21"/>
                      <w:szCs w:val="21"/>
                      <w:lang w:val="en-US" w:eastAsia="zh-CN"/>
                    </w:rPr>
                    <w:t>一年</w:t>
                  </w:r>
                </w:p>
              </w:tc>
            </w:tr>
            <w:tr w14:paraId="18B1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noWrap w:val="0"/>
                  <w:vAlign w:val="center"/>
                </w:tcPr>
                <w:p w14:paraId="01097FB4">
                  <w:pPr>
                    <w:jc w:val="center"/>
                    <w:rPr>
                      <w:rFonts w:hint="default"/>
                      <w:sz w:val="21"/>
                      <w:szCs w:val="21"/>
                      <w:lang w:val="en-US" w:eastAsia="zh-CN"/>
                    </w:rPr>
                  </w:pPr>
                  <w:r>
                    <w:rPr>
                      <w:rFonts w:hint="eastAsia"/>
                      <w:b w:val="0"/>
                      <w:bCs w:val="0"/>
                      <w:sz w:val="21"/>
                      <w:szCs w:val="21"/>
                      <w:lang w:val="en-US" w:eastAsia="zh-CN"/>
                    </w:rPr>
                    <w:t>能源</w:t>
                  </w:r>
                </w:p>
              </w:tc>
            </w:tr>
            <w:tr w14:paraId="4096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18C55FF7">
                  <w:pPr>
                    <w:jc w:val="center"/>
                    <w:rPr>
                      <w:rFonts w:hint="default"/>
                      <w:sz w:val="21"/>
                      <w:szCs w:val="21"/>
                      <w:lang w:val="en-US" w:eastAsia="zh-CN"/>
                    </w:rPr>
                  </w:pPr>
                  <w:r>
                    <w:rPr>
                      <w:rFonts w:hint="eastAsia"/>
                      <w:sz w:val="21"/>
                      <w:szCs w:val="21"/>
                      <w:lang w:val="en-US" w:eastAsia="zh-CN"/>
                    </w:rPr>
                    <w:t>1</w:t>
                  </w:r>
                </w:p>
              </w:tc>
              <w:tc>
                <w:tcPr>
                  <w:tcW w:w="1381" w:type="pct"/>
                  <w:noWrap w:val="0"/>
                  <w:vAlign w:val="center"/>
                </w:tcPr>
                <w:p w14:paraId="5BEB44E7">
                  <w:pPr>
                    <w:jc w:val="center"/>
                    <w:rPr>
                      <w:rFonts w:hint="default"/>
                      <w:sz w:val="21"/>
                      <w:szCs w:val="21"/>
                      <w:lang w:val="en-US" w:eastAsia="zh-CN"/>
                    </w:rPr>
                  </w:pPr>
                  <w:r>
                    <w:rPr>
                      <w:rFonts w:hint="eastAsia"/>
                      <w:sz w:val="21"/>
                      <w:szCs w:val="21"/>
                      <w:lang w:val="en-US" w:eastAsia="zh-CN"/>
                    </w:rPr>
                    <w:t>电</w:t>
                  </w:r>
                </w:p>
              </w:tc>
              <w:tc>
                <w:tcPr>
                  <w:tcW w:w="581" w:type="pct"/>
                  <w:noWrap w:val="0"/>
                  <w:vAlign w:val="center"/>
                </w:tcPr>
                <w:p w14:paraId="7B679F15">
                  <w:pPr>
                    <w:jc w:val="center"/>
                    <w:rPr>
                      <w:rFonts w:hint="default"/>
                      <w:sz w:val="21"/>
                      <w:szCs w:val="21"/>
                      <w:lang w:val="en-US" w:eastAsia="zh-CN"/>
                    </w:rPr>
                  </w:pPr>
                  <w:r>
                    <w:rPr>
                      <w:rFonts w:hint="eastAsia"/>
                      <w:sz w:val="21"/>
                      <w:szCs w:val="21"/>
                      <w:lang w:val="en-US" w:eastAsia="zh-CN"/>
                    </w:rPr>
                    <w:t>60万</w:t>
                  </w:r>
                  <w:r>
                    <w:rPr>
                      <w:rFonts w:hint="eastAsia"/>
                      <w:color w:val="auto"/>
                      <w:sz w:val="21"/>
                      <w:szCs w:val="21"/>
                      <w:highlight w:val="none"/>
                    </w:rPr>
                    <w:t>kW·h/a</w:t>
                  </w:r>
                </w:p>
              </w:tc>
              <w:tc>
                <w:tcPr>
                  <w:tcW w:w="2619" w:type="pct"/>
                  <w:gridSpan w:val="3"/>
                  <w:noWrap w:val="0"/>
                  <w:vAlign w:val="center"/>
                </w:tcPr>
                <w:p w14:paraId="30CD4139">
                  <w:pPr>
                    <w:jc w:val="center"/>
                    <w:rPr>
                      <w:rFonts w:hint="default"/>
                      <w:sz w:val="21"/>
                      <w:szCs w:val="21"/>
                      <w:lang w:val="en-US" w:eastAsia="zh-CN"/>
                    </w:rPr>
                  </w:pPr>
                  <w:r>
                    <w:rPr>
                      <w:rFonts w:hint="eastAsia"/>
                      <w:sz w:val="21"/>
                      <w:szCs w:val="21"/>
                      <w:lang w:val="en-US" w:eastAsia="zh-CN"/>
                    </w:rPr>
                    <w:t>开发区供电管网</w:t>
                  </w:r>
                </w:p>
              </w:tc>
            </w:tr>
            <w:tr w14:paraId="432D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119D2EDD">
                  <w:pPr>
                    <w:jc w:val="center"/>
                    <w:rPr>
                      <w:rFonts w:hint="default"/>
                      <w:sz w:val="21"/>
                      <w:szCs w:val="21"/>
                      <w:lang w:val="en-US" w:eastAsia="zh-CN"/>
                    </w:rPr>
                  </w:pPr>
                  <w:r>
                    <w:rPr>
                      <w:rFonts w:hint="eastAsia"/>
                      <w:sz w:val="21"/>
                      <w:szCs w:val="21"/>
                      <w:lang w:val="en-US" w:eastAsia="zh-CN"/>
                    </w:rPr>
                    <w:t>2</w:t>
                  </w:r>
                </w:p>
              </w:tc>
              <w:tc>
                <w:tcPr>
                  <w:tcW w:w="1381" w:type="pct"/>
                  <w:noWrap w:val="0"/>
                  <w:vAlign w:val="center"/>
                </w:tcPr>
                <w:p w14:paraId="23745DC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w:t>
                  </w:r>
                </w:p>
              </w:tc>
              <w:tc>
                <w:tcPr>
                  <w:tcW w:w="581" w:type="pct"/>
                  <w:noWrap w:val="0"/>
                  <w:vAlign w:val="center"/>
                </w:tcPr>
                <w:p w14:paraId="2ED92998">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3750</w:t>
                  </w:r>
                  <w:r>
                    <w:rPr>
                      <w:rFonts w:hint="eastAsia" w:ascii="Times New Roman" w:hAnsi="Times New Roman" w:eastAsia="宋体" w:cs="Times New Roman"/>
                      <w:sz w:val="21"/>
                      <w:szCs w:val="21"/>
                      <w:lang w:val="en-US" w:eastAsia="zh-CN"/>
                    </w:rPr>
                    <w:t>t</w:t>
                  </w:r>
                  <w:r>
                    <w:rPr>
                      <w:rFonts w:hint="eastAsia"/>
                      <w:lang w:val="en-US" w:eastAsia="zh-CN"/>
                    </w:rPr>
                    <w:t>/a</w:t>
                  </w:r>
                </w:p>
              </w:tc>
              <w:tc>
                <w:tcPr>
                  <w:tcW w:w="2619" w:type="pct"/>
                  <w:gridSpan w:val="3"/>
                  <w:noWrap w:val="0"/>
                  <w:vAlign w:val="center"/>
                </w:tcPr>
                <w:p w14:paraId="18496697">
                  <w:pPr>
                    <w:jc w:val="center"/>
                    <w:rPr>
                      <w:rFonts w:hint="default"/>
                      <w:sz w:val="21"/>
                      <w:szCs w:val="21"/>
                      <w:lang w:val="en-US" w:eastAsia="zh-CN"/>
                    </w:rPr>
                  </w:pPr>
                  <w:r>
                    <w:rPr>
                      <w:rFonts w:hint="eastAsia"/>
                      <w:sz w:val="21"/>
                      <w:szCs w:val="21"/>
                      <w:lang w:val="en-US" w:eastAsia="zh-CN"/>
                    </w:rPr>
                    <w:t>开发区供水管网</w:t>
                  </w:r>
                </w:p>
              </w:tc>
            </w:tr>
            <w:tr w14:paraId="7690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7" w:type="pct"/>
                  <w:noWrap w:val="0"/>
                  <w:vAlign w:val="center"/>
                </w:tcPr>
                <w:p w14:paraId="5A447983">
                  <w:pPr>
                    <w:jc w:val="center"/>
                    <w:rPr>
                      <w:rFonts w:hint="default"/>
                      <w:sz w:val="21"/>
                      <w:szCs w:val="21"/>
                      <w:lang w:val="en-US" w:eastAsia="zh-CN"/>
                    </w:rPr>
                  </w:pPr>
                  <w:r>
                    <w:rPr>
                      <w:rFonts w:hint="eastAsia"/>
                      <w:sz w:val="21"/>
                      <w:szCs w:val="21"/>
                      <w:lang w:val="en-US" w:eastAsia="zh-CN"/>
                    </w:rPr>
                    <w:t>3</w:t>
                  </w:r>
                </w:p>
              </w:tc>
              <w:tc>
                <w:tcPr>
                  <w:tcW w:w="1381" w:type="pct"/>
                  <w:noWrap w:val="0"/>
                  <w:vAlign w:val="center"/>
                </w:tcPr>
                <w:p w14:paraId="1F012F2C">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活化水</w:t>
                  </w:r>
                </w:p>
              </w:tc>
              <w:tc>
                <w:tcPr>
                  <w:tcW w:w="581" w:type="pct"/>
                  <w:noWrap w:val="0"/>
                  <w:vAlign w:val="center"/>
                </w:tcPr>
                <w:p w14:paraId="658E83E9">
                  <w:pPr>
                    <w:jc w:val="center"/>
                    <w:rPr>
                      <w:rFonts w:hint="default" w:cs="Times New Roman"/>
                      <w:sz w:val="21"/>
                      <w:szCs w:val="21"/>
                      <w:lang w:val="en-US" w:eastAsia="zh-CN"/>
                    </w:rPr>
                  </w:pPr>
                  <w:r>
                    <w:rPr>
                      <w:rFonts w:hint="eastAsia" w:cs="Times New Roman"/>
                      <w:sz w:val="21"/>
                      <w:szCs w:val="21"/>
                      <w:lang w:val="en-US" w:eastAsia="zh-CN"/>
                    </w:rPr>
                    <w:t>10t/a</w:t>
                  </w:r>
                </w:p>
              </w:tc>
              <w:tc>
                <w:tcPr>
                  <w:tcW w:w="2619" w:type="pct"/>
                  <w:gridSpan w:val="3"/>
                  <w:noWrap w:val="0"/>
                  <w:vAlign w:val="center"/>
                </w:tcPr>
                <w:p w14:paraId="1CA5D689">
                  <w:pPr>
                    <w:jc w:val="center"/>
                    <w:rPr>
                      <w:rFonts w:hint="default"/>
                      <w:sz w:val="21"/>
                      <w:szCs w:val="21"/>
                      <w:lang w:val="en-US" w:eastAsia="zh-CN"/>
                    </w:rPr>
                  </w:pPr>
                  <w:r>
                    <w:rPr>
                      <w:rFonts w:hint="eastAsia"/>
                      <w:sz w:val="21"/>
                      <w:szCs w:val="21"/>
                      <w:lang w:val="en-US" w:eastAsia="zh-CN"/>
                    </w:rPr>
                    <w:t>外购</w:t>
                  </w:r>
                </w:p>
              </w:tc>
            </w:tr>
          </w:tbl>
          <w:p w14:paraId="5B4572CA">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highlight w:val="none"/>
              </w:rPr>
            </w:pPr>
            <w:r>
              <w:rPr>
                <w:b/>
                <w:color w:val="auto"/>
                <w:szCs w:val="20"/>
                <w:highlight w:val="none"/>
              </w:rPr>
              <w:t>主要原辅材料物化性质：</w:t>
            </w:r>
          </w:p>
          <w:p w14:paraId="73B89AFC">
            <w:pPr>
              <w:adjustRightInd w:val="0"/>
              <w:snapToGrid w:val="0"/>
              <w:jc w:val="center"/>
              <w:rPr>
                <w:rFonts w:hint="default" w:ascii="Times New Roman" w:hAnsi="Times New Roman" w:eastAsia="宋体" w:cs="Times New Roman"/>
                <w:b/>
                <w:color w:val="auto"/>
                <w:kern w:val="0"/>
              </w:rPr>
            </w:pPr>
            <w:r>
              <w:rPr>
                <w:rFonts w:hint="default" w:ascii="Times New Roman" w:hAnsi="Times New Roman" w:eastAsia="宋体" w:cs="Times New Roman"/>
                <w:b/>
                <w:bCs/>
                <w:color w:val="auto"/>
              </w:rPr>
              <w:t>表2</w:t>
            </w:r>
            <w:r>
              <w:rPr>
                <w:rFonts w:hint="eastAsia" w:cs="Times New Roman"/>
                <w:b/>
                <w:bCs/>
                <w:color w:val="auto"/>
                <w:lang w:val="en-US" w:eastAsia="zh-CN"/>
              </w:rPr>
              <w:t>-5</w:t>
            </w:r>
            <w:r>
              <w:rPr>
                <w:rFonts w:hint="default" w:ascii="Times New Roman" w:hAnsi="Times New Roman" w:eastAsia="宋体" w:cs="Times New Roman"/>
                <w:b/>
                <w:bCs/>
                <w:color w:val="auto"/>
              </w:rPr>
              <w:t xml:space="preserve">  涉及物质主要理化性质及成分</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4277"/>
              <w:gridCol w:w="1530"/>
              <w:gridCol w:w="1581"/>
            </w:tblGrid>
            <w:tr w14:paraId="2BFA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6DF9D2B9">
                  <w:pPr>
                    <w:jc w:val="center"/>
                    <w:rPr>
                      <w:rFonts w:hint="default" w:ascii="Times New Roman" w:hAnsi="Times New Roman" w:eastAsia="宋体" w:cs="Times New Roman"/>
                      <w:b/>
                      <w:bCs/>
                      <w:color w:val="auto"/>
                      <w:sz w:val="21"/>
                      <w:szCs w:val="21"/>
                    </w:rPr>
                  </w:pPr>
                  <w:r>
                    <w:rPr>
                      <w:rFonts w:hint="eastAsia"/>
                      <w:b/>
                      <w:bCs/>
                      <w:sz w:val="21"/>
                      <w:szCs w:val="21"/>
                    </w:rPr>
                    <w:t>物质名称</w:t>
                  </w:r>
                </w:p>
              </w:tc>
              <w:tc>
                <w:tcPr>
                  <w:tcW w:w="4277" w:type="dxa"/>
                  <w:noWrap w:val="0"/>
                  <w:vAlign w:val="center"/>
                </w:tcPr>
                <w:p w14:paraId="12EB3EFB">
                  <w:pPr>
                    <w:jc w:val="center"/>
                    <w:rPr>
                      <w:rFonts w:hint="default" w:ascii="Times New Roman" w:hAnsi="Times New Roman" w:eastAsia="宋体" w:cs="Times New Roman"/>
                      <w:b/>
                      <w:bCs/>
                      <w:color w:val="auto"/>
                      <w:sz w:val="21"/>
                      <w:szCs w:val="21"/>
                    </w:rPr>
                  </w:pPr>
                  <w:r>
                    <w:rPr>
                      <w:rFonts w:hint="eastAsia"/>
                      <w:b/>
                      <w:bCs/>
                      <w:sz w:val="21"/>
                      <w:szCs w:val="21"/>
                    </w:rPr>
                    <w:t>理化性质</w:t>
                  </w:r>
                </w:p>
              </w:tc>
              <w:tc>
                <w:tcPr>
                  <w:tcW w:w="1530" w:type="dxa"/>
                  <w:noWrap w:val="0"/>
                  <w:vAlign w:val="center"/>
                </w:tcPr>
                <w:p w14:paraId="31200B58">
                  <w:pPr>
                    <w:jc w:val="center"/>
                    <w:rPr>
                      <w:rFonts w:hint="default" w:eastAsia="宋体"/>
                      <w:b/>
                      <w:bCs/>
                      <w:sz w:val="21"/>
                      <w:szCs w:val="21"/>
                      <w:lang w:val="en-US" w:eastAsia="zh-CN"/>
                    </w:rPr>
                  </w:pPr>
                  <w:r>
                    <w:rPr>
                      <w:rFonts w:hint="eastAsia"/>
                      <w:b/>
                      <w:bCs/>
                      <w:sz w:val="21"/>
                      <w:szCs w:val="21"/>
                      <w:lang w:val="en-US" w:eastAsia="zh-CN"/>
                    </w:rPr>
                    <w:t>燃烧爆炸性</w:t>
                  </w:r>
                </w:p>
              </w:tc>
              <w:tc>
                <w:tcPr>
                  <w:tcW w:w="1581" w:type="dxa"/>
                  <w:noWrap w:val="0"/>
                  <w:vAlign w:val="center"/>
                </w:tcPr>
                <w:p w14:paraId="0CBB2004">
                  <w:pPr>
                    <w:jc w:val="center"/>
                    <w:rPr>
                      <w:rFonts w:hint="default" w:eastAsia="宋体"/>
                      <w:b/>
                      <w:bCs/>
                      <w:sz w:val="21"/>
                      <w:szCs w:val="21"/>
                      <w:lang w:val="en-US" w:eastAsia="zh-CN"/>
                    </w:rPr>
                  </w:pPr>
                  <w:r>
                    <w:rPr>
                      <w:rFonts w:hint="eastAsia"/>
                      <w:b/>
                      <w:bCs/>
                      <w:sz w:val="21"/>
                      <w:szCs w:val="21"/>
                      <w:lang w:val="en-US" w:eastAsia="zh-CN"/>
                    </w:rPr>
                    <w:t>毒性</w:t>
                  </w:r>
                </w:p>
              </w:tc>
            </w:tr>
            <w:tr w14:paraId="143E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5E7D177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HIPS</w:t>
                  </w:r>
                </w:p>
              </w:tc>
              <w:tc>
                <w:tcPr>
                  <w:tcW w:w="4277" w:type="dxa"/>
                  <w:noWrap w:val="0"/>
                  <w:vAlign w:val="center"/>
                </w:tcPr>
                <w:p w14:paraId="51AF73A7">
                  <w:pPr>
                    <w:keepNext w:val="0"/>
                    <w:keepLines w:val="0"/>
                    <w:widowControl/>
                    <w:suppressLineNumbers w:val="0"/>
                    <w:spacing w:before="0" w:beforeAutospacing="0" w:after="0" w:afterAutospacing="0"/>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wd=HIPS&amp;rsv_idx=2&amp;tn=baiduhome_pg&amp;usm=4&amp;ie=utf-8&amp;rsv_pq=efaeb278000e0c35&amp;oq=hips%E6%9D%90%E6%96%99%E6%98%AF%E4%BB%80%E4%B9%88%E6%9D%90%E6%96%99&amp;rsv_t=638bnRnKnBwZwePaivIOXMRKAHEnkQHQgR4NMpv8cgb1aDdYEEuYDFUxvqtM6hyid+p3&amp;sa=re_dqa_generate" \t "https://www.baidu.com/_self"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HIPS</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高抗冲聚苯乙烯）是一种由弹性体改性聚苯乙烯制成的热塑性材料，具有良好的冲击性能、加工性能和表面装饰性能，广泛应用于各个领域。主要特点是其由橡胶相和连续的聚苯乙烯相构成的两相体系，这种结构使其具有优异的冲击吸收性能，适用于制造各种耐冲击的产品。</w:t>
                  </w:r>
                </w:p>
              </w:tc>
              <w:tc>
                <w:tcPr>
                  <w:tcW w:w="1530" w:type="dxa"/>
                  <w:noWrap w:val="0"/>
                  <w:vAlign w:val="center"/>
                </w:tcPr>
                <w:p w14:paraId="102BD09A">
                  <w:pPr>
                    <w:keepNext w:val="0"/>
                    <w:keepLines w:val="0"/>
                    <w:widowControl/>
                    <w:suppressLineNumbers w:val="0"/>
                    <w:spacing w:before="0" w:beforeAutospacing="0" w:after="0" w:afterAutospacing="0"/>
                    <w:ind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可燃不易爆</w:t>
                  </w:r>
                </w:p>
              </w:tc>
              <w:tc>
                <w:tcPr>
                  <w:tcW w:w="1581" w:type="dxa"/>
                  <w:noWrap w:val="0"/>
                  <w:vAlign w:val="center"/>
                </w:tcPr>
                <w:p w14:paraId="3239BD33">
                  <w:pPr>
                    <w:keepNext w:val="0"/>
                    <w:keepLines w:val="0"/>
                    <w:widowControl/>
                    <w:suppressLineNumbers w:val="0"/>
                    <w:spacing w:before="0" w:beforeAutospacing="0" w:after="0" w:afterAutospacing="0"/>
                    <w:ind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7E1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654225D6">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ABS</w:t>
                  </w:r>
                </w:p>
              </w:tc>
              <w:tc>
                <w:tcPr>
                  <w:tcW w:w="4277" w:type="dxa"/>
                  <w:noWrap w:val="0"/>
                  <w:vAlign w:val="center"/>
                </w:tcPr>
                <w:p w14:paraId="17F05BCE">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"https://baike.baidu.com/item/ABS%E6%A0%91%E8%84%82/4898776?fromModule=lemma_inlink" \t "https://baike.baidu.com/item/ABS/_blank"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ABS树脂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"https://baike.baidu.com/item/%E4%B8%99%E7%83%AF%E8%85%88-%E8%8B%AF%E4%B9%99%E7%83%AF-%E4%B8%81%E4%BA%8C%E7%83%AF%E5%85%B1%E8%81%9A%E7%89%A9/0?fromModule=lemma_inlink" \t "https://baike.baidu.com/item/ABS/_blank"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丙烯腈-苯乙烯-丁二烯共聚物</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）是一种强度高、</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"https://baike.baidu.com/item/%E9%9F%A7%E6%80%A7/9737179?fromModule=lemma_inlink" \t "https://baike.baidu.com/item/ABS/_blank"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韧性</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好、易于加工成型的热塑型</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"https://baike.baidu.com/item/%E9%AB%98%E5%88%86%E5%AD%90%E6%9D%90%E6%96%99/2430?fromModule=lemma_inlink" \t "https://baike.baidu.com/item/ABS/_blank"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高分子材料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。因为其强度高、耐腐蚀、耐高温，所以常被用于制造</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"https://baike.baidu.com/item/%E4%BB%AA%E5%99%A8/1025692?fromModule=lemma_inlink" \t "https://baike.baidu.com/item/ABS/_blank"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仪器</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的塑料外壳。</w:t>
                  </w:r>
                </w:p>
              </w:tc>
              <w:tc>
                <w:tcPr>
                  <w:tcW w:w="1530" w:type="dxa"/>
                  <w:noWrap w:val="0"/>
                  <w:vAlign w:val="center"/>
                </w:tcPr>
                <w:p w14:paraId="6887D750">
                  <w:pPr>
                    <w:widowControl/>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可燃不易爆</w:t>
                  </w:r>
                </w:p>
              </w:tc>
              <w:tc>
                <w:tcPr>
                  <w:tcW w:w="1581" w:type="dxa"/>
                  <w:noWrap w:val="0"/>
                  <w:vAlign w:val="center"/>
                </w:tcPr>
                <w:p w14:paraId="7E7313A8">
                  <w:pPr>
                    <w:widowControl/>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6CE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1D9E13B0">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油漆</w:t>
                  </w:r>
                  <w:r>
                    <w:rPr>
                      <w:rFonts w:ascii="Times New Roman" w:hAnsi="Times New Roman"/>
                      <w:sz w:val="21"/>
                      <w:szCs w:val="21"/>
                    </w:rPr>
                    <w:t>稀释剂</w:t>
                  </w:r>
                </w:p>
              </w:tc>
              <w:tc>
                <w:tcPr>
                  <w:tcW w:w="4277" w:type="dxa"/>
                  <w:noWrap w:val="0"/>
                  <w:vAlign w:val="center"/>
                </w:tcPr>
                <w:p w14:paraId="3587F676">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丁酯35%、乙酯32%、异丙醇13%、二甲苯20%。其液体不易燃，其蒸气比空气重，可能散播至远处</w:t>
                  </w:r>
                </w:p>
              </w:tc>
              <w:tc>
                <w:tcPr>
                  <w:tcW w:w="1530" w:type="dxa"/>
                  <w:noWrap w:val="0"/>
                  <w:vAlign w:val="center"/>
                </w:tcPr>
                <w:p w14:paraId="18D6A219">
                  <w:pPr>
                    <w:widowControl/>
                    <w:jc w:val="center"/>
                    <w:rPr>
                      <w:rFonts w:hint="eastAsia" w:cs="Times New Roman"/>
                      <w:color w:val="auto"/>
                      <w:sz w:val="21"/>
                      <w:szCs w:val="21"/>
                      <w:lang w:val="en-US" w:eastAsia="zh-CN"/>
                    </w:rPr>
                  </w:pPr>
                  <w:r>
                    <w:rPr>
                      <w:rFonts w:hint="eastAsia" w:cs="Times New Roman"/>
                      <w:color w:val="auto"/>
                      <w:sz w:val="21"/>
                      <w:szCs w:val="21"/>
                      <w:lang w:val="en-US" w:eastAsia="zh-CN"/>
                    </w:rPr>
                    <w:t>不易燃，易爆</w:t>
                  </w:r>
                </w:p>
              </w:tc>
              <w:tc>
                <w:tcPr>
                  <w:tcW w:w="1581" w:type="dxa"/>
                  <w:noWrap w:val="0"/>
                  <w:vAlign w:val="center"/>
                </w:tcPr>
                <w:p w14:paraId="1E6A3D6B">
                  <w:pPr>
                    <w:widowControl/>
                    <w:jc w:val="center"/>
                    <w:rPr>
                      <w:rFonts w:hint="eastAsia" w:cs="Times New Roman"/>
                      <w:color w:val="auto"/>
                      <w:sz w:val="21"/>
                      <w:szCs w:val="21"/>
                      <w:lang w:val="en-US" w:eastAsia="zh-CN"/>
                    </w:rPr>
                  </w:pPr>
                  <w:r>
                    <w:rPr>
                      <w:rFonts w:hint="eastAsia" w:cs="Times New Roman"/>
                      <w:color w:val="auto"/>
                      <w:sz w:val="21"/>
                      <w:szCs w:val="21"/>
                      <w:lang w:val="en-US" w:eastAsia="zh-CN"/>
                    </w:rPr>
                    <w:t>酯类溶剂大鼠经口：5000mg/kg</w:t>
                  </w:r>
                </w:p>
              </w:tc>
            </w:tr>
            <w:tr w14:paraId="48C5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6ADC69F2">
                  <w:pPr>
                    <w:spacing w:line="240" w:lineRule="auto"/>
                    <w:ind w:firstLine="0" w:firstLineChars="0"/>
                    <w:jc w:val="center"/>
                    <w:rPr>
                      <w:rFonts w:hint="default"/>
                      <w:sz w:val="21"/>
                      <w:szCs w:val="21"/>
                      <w:lang w:val="en-US" w:eastAsia="zh-CN"/>
                    </w:rPr>
                  </w:pPr>
                  <w:r>
                    <w:rPr>
                      <w:rFonts w:hint="eastAsia" w:ascii="Times New Roman" w:hAnsi="Times New Roman"/>
                      <w:sz w:val="21"/>
                      <w:szCs w:val="21"/>
                      <w:lang w:val="en-US" w:eastAsia="zh-CN"/>
                    </w:rPr>
                    <w:t>光油稀释剂</w:t>
                  </w:r>
                </w:p>
              </w:tc>
              <w:tc>
                <w:tcPr>
                  <w:tcW w:w="4277" w:type="dxa"/>
                  <w:noWrap w:val="0"/>
                  <w:vAlign w:val="center"/>
                </w:tcPr>
                <w:p w14:paraId="49F987C0">
                  <w:pPr>
                    <w:widowControl/>
                    <w:jc w:val="center"/>
                    <w:rPr>
                      <w:rFonts w:hint="default" w:ascii="Times New Roman" w:hAnsi="Times New Roman" w:eastAsia="宋体" w:cs="Times New Roman"/>
                      <w:sz w:val="21"/>
                      <w:szCs w:val="21"/>
                      <w:lang w:val="en-US"/>
                    </w:rPr>
                  </w:pPr>
                  <w:r>
                    <w:rPr>
                      <w:rFonts w:hint="eastAsia" w:cs="Times New Roman"/>
                      <w:color w:val="auto"/>
                      <w:sz w:val="21"/>
                      <w:szCs w:val="21"/>
                      <w:lang w:val="en-US" w:eastAsia="zh-CN"/>
                    </w:rPr>
                    <w:t>丁酯30%、乙酯60%、正丁醇10%。</w:t>
                  </w:r>
                </w:p>
              </w:tc>
              <w:tc>
                <w:tcPr>
                  <w:tcW w:w="1530" w:type="dxa"/>
                  <w:noWrap w:val="0"/>
                  <w:vAlign w:val="center"/>
                </w:tcPr>
                <w:p w14:paraId="6D0FA46B">
                  <w:pPr>
                    <w:widowControl/>
                    <w:jc w:val="center"/>
                    <w:rPr>
                      <w:rFonts w:hint="eastAsia" w:cs="Times New Roman"/>
                      <w:color w:val="auto"/>
                      <w:sz w:val="21"/>
                      <w:szCs w:val="21"/>
                      <w:lang w:val="en-US" w:eastAsia="zh-CN"/>
                    </w:rPr>
                  </w:pPr>
                  <w:r>
                    <w:rPr>
                      <w:rFonts w:hint="eastAsia" w:cs="Times New Roman"/>
                      <w:color w:val="auto"/>
                      <w:sz w:val="21"/>
                      <w:szCs w:val="21"/>
                      <w:lang w:val="en-US" w:eastAsia="zh-CN"/>
                    </w:rPr>
                    <w:t>易燃易爆</w:t>
                  </w:r>
                </w:p>
              </w:tc>
              <w:tc>
                <w:tcPr>
                  <w:tcW w:w="1581" w:type="dxa"/>
                  <w:noWrap w:val="0"/>
                  <w:vAlign w:val="center"/>
                </w:tcPr>
                <w:p w14:paraId="7D67B6FC">
                  <w:pPr>
                    <w:widowControl/>
                    <w:jc w:val="center"/>
                    <w:rPr>
                      <w:rFonts w:hint="eastAsia" w:cs="Times New Roman"/>
                      <w:color w:val="auto"/>
                      <w:sz w:val="21"/>
                      <w:szCs w:val="21"/>
                      <w:lang w:val="en-US" w:eastAsia="zh-CN"/>
                    </w:rPr>
                  </w:pPr>
                  <w:r>
                    <w:rPr>
                      <w:rFonts w:hint="eastAsia" w:cs="Times New Roman"/>
                      <w:color w:val="auto"/>
                      <w:sz w:val="21"/>
                      <w:szCs w:val="21"/>
                      <w:lang w:val="en-US" w:eastAsia="zh-CN"/>
                    </w:rPr>
                    <w:t>酯类溶剂大鼠经口：5000mg/kg</w:t>
                  </w:r>
                </w:p>
              </w:tc>
            </w:tr>
            <w:tr w14:paraId="7D69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4BCE9A9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UV</w:t>
                  </w:r>
                  <w:r>
                    <w:rPr>
                      <w:rFonts w:hint="eastAsia" w:cs="Times New Roman"/>
                      <w:b w:val="0"/>
                      <w:bCs w:val="0"/>
                      <w:color w:val="auto"/>
                      <w:sz w:val="21"/>
                      <w:szCs w:val="21"/>
                      <w:lang w:val="en-US" w:eastAsia="zh-CN"/>
                    </w:rPr>
                    <w:t>面漆</w:t>
                  </w:r>
                </w:p>
              </w:tc>
              <w:tc>
                <w:tcPr>
                  <w:tcW w:w="4277" w:type="dxa"/>
                  <w:noWrap w:val="0"/>
                  <w:vAlign w:val="center"/>
                </w:tcPr>
                <w:p w14:paraId="7B38E67E">
                  <w:pPr>
                    <w:widowControl/>
                    <w:jc w:val="center"/>
                    <w:rPr>
                      <w:rFonts w:hint="default" w:cs="Times New Roman"/>
                      <w:color w:val="auto"/>
                      <w:sz w:val="21"/>
                      <w:szCs w:val="21"/>
                      <w:lang w:val="en-US" w:eastAsia="zh-CN"/>
                    </w:rPr>
                  </w:pPr>
                  <w:r>
                    <w:rPr>
                      <w:rFonts w:hint="eastAsia" w:cs="Times New Roman"/>
                      <w:color w:val="auto"/>
                      <w:sz w:val="21"/>
                      <w:szCs w:val="21"/>
                      <w:lang w:val="en-US" w:eastAsia="zh-CN"/>
                    </w:rPr>
                    <w:t>聚氨酯丙烯酸酯65%、单体二丙酸酯12%、单体三丙酸酯6%、醋酸丁酯15%、流平剂1%、消泡剂0.3%、分散剂0.7%。其液体不易燃，其蒸气比空气重，可能散播至远处</w:t>
                  </w:r>
                </w:p>
              </w:tc>
              <w:tc>
                <w:tcPr>
                  <w:tcW w:w="1530" w:type="dxa"/>
                  <w:noWrap w:val="0"/>
                  <w:vAlign w:val="center"/>
                </w:tcPr>
                <w:p w14:paraId="060995FE">
                  <w:pPr>
                    <w:widowControl/>
                    <w:jc w:val="center"/>
                    <w:rPr>
                      <w:rFonts w:hint="default" w:cs="Times New Roman"/>
                      <w:color w:val="auto"/>
                      <w:sz w:val="21"/>
                      <w:szCs w:val="21"/>
                      <w:lang w:val="en-US" w:eastAsia="zh-CN"/>
                    </w:rPr>
                  </w:pPr>
                  <w:r>
                    <w:rPr>
                      <w:rFonts w:hint="eastAsia" w:cs="Times New Roman"/>
                      <w:sz w:val="21"/>
                      <w:szCs w:val="21"/>
                      <w:lang w:val="en-US" w:eastAsia="zh-CN"/>
                    </w:rPr>
                    <w:t>不易燃不易爆</w:t>
                  </w:r>
                </w:p>
              </w:tc>
              <w:tc>
                <w:tcPr>
                  <w:tcW w:w="1581" w:type="dxa"/>
                  <w:noWrap w:val="0"/>
                  <w:vAlign w:val="center"/>
                </w:tcPr>
                <w:p w14:paraId="260B0B89">
                  <w:pPr>
                    <w:widowControl/>
                    <w:jc w:val="center"/>
                    <w:rPr>
                      <w:rFonts w:hint="eastAsia" w:cs="Times New Roman"/>
                      <w:color w:val="auto"/>
                      <w:sz w:val="21"/>
                      <w:szCs w:val="21"/>
                      <w:lang w:val="en-US" w:eastAsia="zh-CN"/>
                    </w:rPr>
                  </w:pPr>
                  <w:r>
                    <w:rPr>
                      <w:rFonts w:hint="eastAsia" w:cs="Times New Roman"/>
                      <w:color w:val="auto"/>
                      <w:sz w:val="21"/>
                      <w:szCs w:val="21"/>
                      <w:lang w:val="en-US" w:eastAsia="zh-CN"/>
                    </w:rPr>
                    <w:t>酯类溶剂大鼠经口：5000mg/kg</w:t>
                  </w:r>
                </w:p>
              </w:tc>
            </w:tr>
            <w:tr w14:paraId="4123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685BBAEB">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ascii="Times New Roman" w:hAnsi="Times New Roman"/>
                      <w:kern w:val="0"/>
                      <w:sz w:val="21"/>
                      <w:szCs w:val="21"/>
                      <w:highlight w:val="none"/>
                      <w:lang w:val="zh-CN"/>
                    </w:rPr>
                    <w:t>丙烯酸铝粉</w:t>
                  </w:r>
                  <w:r>
                    <w:rPr>
                      <w:rFonts w:hint="eastAsia"/>
                      <w:kern w:val="0"/>
                      <w:sz w:val="21"/>
                      <w:szCs w:val="21"/>
                      <w:highlight w:val="none"/>
                      <w:lang w:val="en-US" w:eastAsia="zh-CN"/>
                    </w:rPr>
                    <w:t>底</w:t>
                  </w:r>
                  <w:r>
                    <w:rPr>
                      <w:rFonts w:ascii="Times New Roman" w:hAnsi="Times New Roman"/>
                      <w:kern w:val="0"/>
                      <w:sz w:val="21"/>
                      <w:szCs w:val="21"/>
                      <w:highlight w:val="none"/>
                      <w:lang w:val="zh-CN"/>
                    </w:rPr>
                    <w:t>漆</w:t>
                  </w:r>
                </w:p>
              </w:tc>
              <w:tc>
                <w:tcPr>
                  <w:tcW w:w="4277" w:type="dxa"/>
                  <w:noWrap w:val="0"/>
                  <w:vAlign w:val="center"/>
                </w:tcPr>
                <w:p w14:paraId="6E241C09">
                  <w:pPr>
                    <w:widowControl/>
                    <w:jc w:val="center"/>
                    <w:rPr>
                      <w:rFonts w:hint="default" w:cs="Times New Roman"/>
                      <w:color w:val="auto"/>
                      <w:sz w:val="21"/>
                      <w:szCs w:val="21"/>
                      <w:lang w:val="en-US" w:eastAsia="zh-CN"/>
                    </w:rPr>
                  </w:pPr>
                  <w:r>
                    <w:rPr>
                      <w:rFonts w:hint="eastAsia" w:cs="Times New Roman"/>
                      <w:color w:val="auto"/>
                      <w:sz w:val="21"/>
                      <w:szCs w:val="21"/>
                      <w:lang w:val="en-US" w:eastAsia="zh-CN"/>
                    </w:rPr>
                    <w:t>颜料5%～20%、丙烯酸树脂50%～70%、醇醚类溶剂10%～15%、其他助剂0.2%～0.6%、流平剂1%～2%、消泡剂0.2%～0.5%、分散剂1%～2%。熔点-47.9℃，沸点139℃，燃点139℃，与丙烯酸类油漆互溶，50℃以下稳定，与水反应的强氧化剂</w:t>
                  </w:r>
                </w:p>
              </w:tc>
              <w:tc>
                <w:tcPr>
                  <w:tcW w:w="1530" w:type="dxa"/>
                  <w:noWrap w:val="0"/>
                  <w:vAlign w:val="center"/>
                </w:tcPr>
                <w:p w14:paraId="69DEDFCB">
                  <w:pPr>
                    <w:widowControl/>
                    <w:jc w:val="center"/>
                    <w:rPr>
                      <w:rFonts w:hint="eastAsia" w:cs="Times New Roman"/>
                      <w:color w:val="auto"/>
                      <w:sz w:val="21"/>
                      <w:szCs w:val="21"/>
                      <w:lang w:val="en-US" w:eastAsia="zh-CN"/>
                    </w:rPr>
                  </w:pPr>
                  <w:r>
                    <w:rPr>
                      <w:rFonts w:hint="eastAsia" w:cs="Times New Roman"/>
                      <w:color w:val="auto"/>
                      <w:sz w:val="21"/>
                      <w:szCs w:val="21"/>
                      <w:lang w:val="en-US" w:eastAsia="zh-CN"/>
                    </w:rPr>
                    <w:t>不易燃，易爆</w:t>
                  </w:r>
                </w:p>
              </w:tc>
              <w:tc>
                <w:tcPr>
                  <w:tcW w:w="1581" w:type="dxa"/>
                  <w:noWrap w:val="0"/>
                  <w:vAlign w:val="center"/>
                </w:tcPr>
                <w:p w14:paraId="4ED2BB05">
                  <w:pPr>
                    <w:widowControl/>
                    <w:jc w:val="center"/>
                    <w:rPr>
                      <w:rFonts w:hint="default" w:cs="Times New Roman"/>
                      <w:color w:val="auto"/>
                      <w:sz w:val="21"/>
                      <w:szCs w:val="21"/>
                      <w:lang w:val="en-US" w:eastAsia="zh-CN"/>
                    </w:rPr>
                  </w:pPr>
                  <w:r>
                    <w:rPr>
                      <w:rFonts w:hint="eastAsia" w:cs="Times New Roman"/>
                      <w:color w:val="auto"/>
                      <w:sz w:val="21"/>
                      <w:szCs w:val="21"/>
                      <w:lang w:val="en-US" w:eastAsia="zh-CN"/>
                    </w:rPr>
                    <w:t>醇醚类大鼠经口：2350mg/kg</w:t>
                  </w:r>
                </w:p>
              </w:tc>
            </w:tr>
            <w:tr w14:paraId="7212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4555E3F5">
                  <w:pPr>
                    <w:spacing w:line="240" w:lineRule="auto"/>
                    <w:ind w:firstLine="0" w:firstLineChars="0"/>
                    <w:jc w:val="center"/>
                    <w:rPr>
                      <w:rFonts w:hint="default"/>
                      <w:sz w:val="21"/>
                      <w:szCs w:val="21"/>
                      <w:lang w:val="en-US" w:eastAsia="zh-CN"/>
                    </w:rPr>
                  </w:pPr>
                  <w:r>
                    <w:rPr>
                      <w:rFonts w:hint="eastAsia" w:ascii="Times New Roman" w:hAnsi="Times New Roman" w:eastAsia="宋体" w:cs="Times New Roman"/>
                      <w:b w:val="0"/>
                      <w:bCs w:val="0"/>
                      <w:color w:val="auto"/>
                      <w:sz w:val="21"/>
                      <w:szCs w:val="21"/>
                      <w:lang w:val="en-US" w:eastAsia="zh-CN"/>
                    </w:rPr>
                    <w:t>固化剂</w:t>
                  </w:r>
                </w:p>
              </w:tc>
              <w:tc>
                <w:tcPr>
                  <w:tcW w:w="4277" w:type="dxa"/>
                  <w:noWrap w:val="0"/>
                  <w:vAlign w:val="center"/>
                </w:tcPr>
                <w:p w14:paraId="6D7E8910">
                  <w:pPr>
                    <w:widowControl/>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主要成分为异氰酸酯固化剂，醋酸丁酯。异氰酸酯固化剂50%，醋酸丁酯50%</w:t>
                  </w:r>
                  <w:r>
                    <w:rPr>
                      <w:rFonts w:hint="eastAsia" w:cs="Times New Roman"/>
                      <w:sz w:val="21"/>
                      <w:szCs w:val="21"/>
                      <w:lang w:eastAsia="zh-CN"/>
                    </w:rPr>
                    <w:t>。</w:t>
                  </w:r>
                </w:p>
              </w:tc>
              <w:tc>
                <w:tcPr>
                  <w:tcW w:w="1530" w:type="dxa"/>
                  <w:noWrap w:val="0"/>
                  <w:vAlign w:val="center"/>
                </w:tcPr>
                <w:p w14:paraId="33387E82">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易燃易爆</w:t>
                  </w:r>
                </w:p>
              </w:tc>
              <w:tc>
                <w:tcPr>
                  <w:tcW w:w="1581" w:type="dxa"/>
                  <w:noWrap w:val="0"/>
                  <w:vAlign w:val="center"/>
                </w:tcPr>
                <w:p w14:paraId="66B967DE">
                  <w:pPr>
                    <w:widowControl/>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107D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6998EB73">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活化水</w:t>
                  </w:r>
                </w:p>
              </w:tc>
              <w:tc>
                <w:tcPr>
                  <w:tcW w:w="4277" w:type="dxa"/>
                  <w:noWrap w:val="0"/>
                  <w:vAlign w:val="center"/>
                </w:tcPr>
                <w:p w14:paraId="03311998">
                  <w:pPr>
                    <w:widowControl/>
                    <w:jc w:val="center"/>
                    <w:rPr>
                      <w:rFonts w:hint="eastAsia" w:ascii="Times New Roman" w:hAnsi="Times New Roman" w:eastAsia="宋体" w:cs="Times New Roman"/>
                      <w:sz w:val="21"/>
                      <w:szCs w:val="21"/>
                    </w:rPr>
                  </w:pPr>
                  <w:r>
                    <w:rPr>
                      <w:rFonts w:hint="eastAsia" w:cs="Times New Roman"/>
                      <w:sz w:val="21"/>
                      <w:szCs w:val="21"/>
                      <w:lang w:val="en-US" w:eastAsia="zh-CN"/>
                    </w:rPr>
                    <w:t>活</w:t>
                  </w:r>
                  <w:r>
                    <w:rPr>
                      <w:rFonts w:hint="eastAsia" w:ascii="Times New Roman" w:hAnsi="Times New Roman" w:eastAsia="宋体" w:cs="Times New Roman"/>
                      <w:sz w:val="21"/>
                      <w:szCs w:val="21"/>
                    </w:rPr>
                    <w:t>化水，又称低频共振水，是通过</w:t>
                  </w:r>
                  <w:r>
                    <w:rPr>
                      <w:rFonts w:hint="eastAsia" w:ascii="Times New Roman" w:hAnsi="Times New Roman" w:eastAsia="宋体" w:cs="Times New Roman"/>
                      <w:sz w:val="21"/>
                      <w:szCs w:val="21"/>
                    </w:rPr>
                    <w:fldChar w:fldCharType="begin"/>
                  </w:r>
                  <w:r>
                    <w:rPr>
                      <w:rFonts w:hint="eastAsia" w:ascii="Times New Roman" w:hAnsi="Times New Roman" w:eastAsia="宋体" w:cs="Times New Roman"/>
                      <w:sz w:val="21"/>
                      <w:szCs w:val="21"/>
                    </w:rPr>
                    <w:instrText xml:space="preserve"> HYPERLINK "https://baike.baidu.com/item/MRET/9849162?fromModule=lemma_inlink" \t "https://baike.baidu.com/item/_blank" </w:instrText>
                  </w:r>
                  <w:r>
                    <w:rPr>
                      <w:rFonts w:hint="eastAsia" w:ascii="Times New Roman" w:hAnsi="Times New Roman" w:eastAsia="宋体" w:cs="Times New Roman"/>
                      <w:sz w:val="21"/>
                      <w:szCs w:val="21"/>
                    </w:rPr>
                    <w:fldChar w:fldCharType="separate"/>
                  </w:r>
                  <w:r>
                    <w:rPr>
                      <w:rFonts w:hint="eastAsia" w:ascii="Times New Roman" w:hAnsi="Times New Roman" w:eastAsia="宋体" w:cs="Times New Roman"/>
                      <w:sz w:val="21"/>
                      <w:szCs w:val="21"/>
                    </w:rPr>
                    <w:t>MRET</w:t>
                  </w:r>
                  <w:r>
                    <w:rPr>
                      <w:rFonts w:hint="eastAsia" w:ascii="Times New Roman" w:hAnsi="Times New Roman" w:eastAsia="宋体" w:cs="Times New Roman"/>
                      <w:sz w:val="21"/>
                      <w:szCs w:val="21"/>
                    </w:rPr>
                    <w:fldChar w:fldCharType="end"/>
                  </w:r>
                  <w:r>
                    <w:rPr>
                      <w:rFonts w:hint="eastAsia" w:ascii="Times New Roman" w:hAnsi="Times New Roman" w:eastAsia="宋体" w:cs="Times New Roman"/>
                      <w:sz w:val="21"/>
                      <w:szCs w:val="21"/>
                    </w:rPr>
                    <w:t>（分子共振效应技术）低频共振处理后的水，由伊戈尔‧斯米尔诺夫博士研发并于2000年获美国专利。该技术利用分子共振仪，通过发光二极管模拟地磁频率脉冲光波，引发水分子产生7.8Hz左右的低频共振；共振频率基于四种特定抗菌、抗病毒及抑制细胞突变的能量频率，可改变水分子氢键角度至114.5度，降低粘度并提升渗透力</w:t>
                  </w:r>
                </w:p>
              </w:tc>
              <w:tc>
                <w:tcPr>
                  <w:tcW w:w="1530" w:type="dxa"/>
                  <w:noWrap w:val="0"/>
                  <w:vAlign w:val="center"/>
                </w:tcPr>
                <w:p w14:paraId="6310CCD0">
                  <w:pPr>
                    <w:widowControl/>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不易燃不易爆</w:t>
                  </w:r>
                </w:p>
              </w:tc>
              <w:tc>
                <w:tcPr>
                  <w:tcW w:w="1581" w:type="dxa"/>
                  <w:noWrap w:val="0"/>
                  <w:vAlign w:val="center"/>
                </w:tcPr>
                <w:p w14:paraId="38920A19">
                  <w:pPr>
                    <w:widowControl/>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053E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14:paraId="1EFF10DD">
                  <w:pPr>
                    <w:spacing w:line="240" w:lineRule="auto"/>
                    <w:ind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醋酸丁酯</w:t>
                  </w:r>
                </w:p>
              </w:tc>
              <w:tc>
                <w:tcPr>
                  <w:tcW w:w="4277" w:type="dxa"/>
                  <w:noWrap w:val="0"/>
                  <w:vAlign w:val="center"/>
                </w:tcPr>
                <w:p w14:paraId="08C2632B">
                  <w:pPr>
                    <w:widowControl/>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乙酸正丁酯（n-Butyl Acetate，C₆H₁₂O₂）是一种具有水果香味的无色透明可燃性液体，其香味比乙酸戊酯略小。其</w:t>
                  </w:r>
                  <w:r>
                    <w:rPr>
                      <w:rFonts w:hint="eastAsia" w:ascii="Times New Roman" w:hAnsi="Times New Roman" w:eastAsia="宋体" w:cs="Times New Roman"/>
                      <w:sz w:val="21"/>
                      <w:szCs w:val="21"/>
                    </w:rPr>
                    <w:fldChar w:fldCharType="begin"/>
                  </w:r>
                  <w:r>
                    <w:rPr>
                      <w:rFonts w:hint="eastAsia" w:ascii="Times New Roman" w:hAnsi="Times New Roman" w:eastAsia="宋体" w:cs="Times New Roman"/>
                      <w:sz w:val="21"/>
                      <w:szCs w:val="21"/>
                    </w:rPr>
                    <w:instrText xml:space="preserve"> HYPERLINK "https://baike.baidu.com/item/%E7%9B%B8%E5%AF%B9%E5%AF%86%E5%BA%A6/5064282?fromModule=lemma_inlink" \t "https://baike.baidu.com/item/_blank" </w:instrText>
                  </w:r>
                  <w:r>
                    <w:rPr>
                      <w:rFonts w:hint="eastAsia" w:ascii="Times New Roman" w:hAnsi="Times New Roman" w:eastAsia="宋体" w:cs="Times New Roman"/>
                      <w:sz w:val="21"/>
                      <w:szCs w:val="21"/>
                    </w:rPr>
                    <w:fldChar w:fldCharType="separate"/>
                  </w:r>
                  <w:r>
                    <w:rPr>
                      <w:rFonts w:hint="eastAsia" w:ascii="Times New Roman" w:hAnsi="Times New Roman" w:eastAsia="宋体" w:cs="Times New Roman"/>
                      <w:sz w:val="21"/>
                      <w:szCs w:val="21"/>
                    </w:rPr>
                    <w:t>相对密度</w:t>
                  </w:r>
                  <w:r>
                    <w:rPr>
                      <w:rFonts w:hint="eastAsia" w:ascii="Times New Roman" w:hAnsi="Times New Roman" w:eastAsia="宋体" w:cs="Times New Roman"/>
                      <w:sz w:val="21"/>
                      <w:szCs w:val="21"/>
                    </w:rPr>
                    <w:fldChar w:fldCharType="end"/>
                  </w:r>
                  <w:r>
                    <w:rPr>
                      <w:rFonts w:hint="eastAsia" w:ascii="Times New Roman" w:hAnsi="Times New Roman" w:eastAsia="宋体" w:cs="Times New Roman"/>
                      <w:sz w:val="21"/>
                      <w:szCs w:val="21"/>
                    </w:rPr>
                    <w:t>为0.8825，折光率nD²⁰为1.3941，</w:t>
                  </w:r>
                  <w:r>
                    <w:rPr>
                      <w:rFonts w:hint="eastAsia" w:ascii="Times New Roman" w:hAnsi="Times New Roman" w:eastAsia="宋体" w:cs="Times New Roman"/>
                      <w:sz w:val="21"/>
                      <w:szCs w:val="21"/>
                    </w:rPr>
                    <w:fldChar w:fldCharType="begin"/>
                  </w:r>
                  <w:r>
                    <w:rPr>
                      <w:rFonts w:hint="eastAsia" w:ascii="Times New Roman" w:hAnsi="Times New Roman" w:eastAsia="宋体" w:cs="Times New Roman"/>
                      <w:sz w:val="21"/>
                      <w:szCs w:val="21"/>
                    </w:rPr>
                    <w:instrText xml:space="preserve"> HYPERLINK "https://baike.baidu.com/item/%E6%B2%B8%E7%82%B9/3784678?fromModule=lemma_inlink" \t "https://baike.baidu.com/item/_blank" </w:instrText>
                  </w:r>
                  <w:r>
                    <w:rPr>
                      <w:rFonts w:hint="eastAsia" w:ascii="Times New Roman" w:hAnsi="Times New Roman" w:eastAsia="宋体" w:cs="Times New Roman"/>
                      <w:sz w:val="21"/>
                      <w:szCs w:val="21"/>
                    </w:rPr>
                    <w:fldChar w:fldCharType="separate"/>
                  </w:r>
                  <w:r>
                    <w:rPr>
                      <w:rFonts w:hint="eastAsia" w:ascii="Times New Roman" w:hAnsi="Times New Roman" w:eastAsia="宋体" w:cs="Times New Roman"/>
                      <w:sz w:val="21"/>
                      <w:szCs w:val="21"/>
                    </w:rPr>
                    <w:t>沸点</w:t>
                  </w:r>
                  <w:r>
                    <w:rPr>
                      <w:rFonts w:hint="eastAsia" w:ascii="Times New Roman" w:hAnsi="Times New Roman" w:eastAsia="宋体" w:cs="Times New Roman"/>
                      <w:sz w:val="21"/>
                      <w:szCs w:val="21"/>
                    </w:rPr>
                    <w:fldChar w:fldCharType="end"/>
                  </w:r>
                  <w:r>
                    <w:rPr>
                      <w:rFonts w:hint="eastAsia" w:ascii="Times New Roman" w:hAnsi="Times New Roman" w:eastAsia="宋体" w:cs="Times New Roman"/>
                      <w:sz w:val="21"/>
                      <w:szCs w:val="21"/>
                    </w:rPr>
                    <w:t>为126.1℃，它能与醇、酮、酯和大多数常用有机</w:t>
                  </w:r>
                  <w:r>
                    <w:rPr>
                      <w:rFonts w:hint="eastAsia" w:ascii="Times New Roman" w:hAnsi="Times New Roman" w:eastAsia="宋体" w:cs="Times New Roman"/>
                      <w:sz w:val="21"/>
                      <w:szCs w:val="21"/>
                    </w:rPr>
                    <w:fldChar w:fldCharType="begin"/>
                  </w:r>
                  <w:r>
                    <w:rPr>
                      <w:rFonts w:hint="eastAsia" w:ascii="Times New Roman" w:hAnsi="Times New Roman" w:eastAsia="宋体" w:cs="Times New Roman"/>
                      <w:sz w:val="21"/>
                      <w:szCs w:val="21"/>
                    </w:rPr>
                    <w:instrText xml:space="preserve"> HYPERLINK "https://baike.baidu.com/item/%E6%BA%B6%E5%89%82/1134519?fromModule=lemma_inlink" \t "https://baike.baidu.com/item/_blank" </w:instrText>
                  </w:r>
                  <w:r>
                    <w:rPr>
                      <w:rFonts w:hint="eastAsia" w:ascii="Times New Roman" w:hAnsi="Times New Roman" w:eastAsia="宋体" w:cs="Times New Roman"/>
                      <w:sz w:val="21"/>
                      <w:szCs w:val="21"/>
                    </w:rPr>
                    <w:fldChar w:fldCharType="separate"/>
                  </w:r>
                  <w:r>
                    <w:rPr>
                      <w:rFonts w:hint="eastAsia" w:ascii="Times New Roman" w:hAnsi="Times New Roman" w:eastAsia="宋体" w:cs="Times New Roman"/>
                      <w:sz w:val="21"/>
                      <w:szCs w:val="21"/>
                    </w:rPr>
                    <w:t>溶剂</w:t>
                  </w:r>
                  <w:r>
                    <w:rPr>
                      <w:rFonts w:hint="eastAsia" w:ascii="Times New Roman" w:hAnsi="Times New Roman" w:eastAsia="宋体" w:cs="Times New Roman"/>
                      <w:sz w:val="21"/>
                      <w:szCs w:val="21"/>
                    </w:rPr>
                    <w:fldChar w:fldCharType="end"/>
                  </w:r>
                  <w:r>
                    <w:rPr>
                      <w:rFonts w:hint="eastAsia" w:ascii="Times New Roman" w:hAnsi="Times New Roman" w:eastAsia="宋体" w:cs="Times New Roman"/>
                      <w:sz w:val="21"/>
                      <w:szCs w:val="21"/>
                    </w:rPr>
                    <w:t>互溶</w:t>
                  </w:r>
                </w:p>
              </w:tc>
              <w:tc>
                <w:tcPr>
                  <w:tcW w:w="1530" w:type="dxa"/>
                  <w:noWrap w:val="0"/>
                  <w:vAlign w:val="center"/>
                </w:tcPr>
                <w:p w14:paraId="63640941">
                  <w:pPr>
                    <w:widowControl/>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易燃</w:t>
                  </w:r>
                  <w:r>
                    <w:rPr>
                      <w:rFonts w:hint="eastAsia" w:cs="Times New Roman"/>
                      <w:sz w:val="21"/>
                      <w:szCs w:val="21"/>
                      <w:lang w:eastAsia="zh-CN"/>
                    </w:rPr>
                    <w:t>，</w:t>
                  </w:r>
                  <w:r>
                    <w:rPr>
                      <w:rFonts w:hint="eastAsia" w:ascii="Times New Roman" w:hAnsi="Times New Roman" w:eastAsia="宋体" w:cs="Times New Roman"/>
                      <w:sz w:val="21"/>
                      <w:szCs w:val="21"/>
                    </w:rPr>
                    <w:t>其蒸气与空气可形成爆炸性混合物</w:t>
                  </w:r>
                </w:p>
              </w:tc>
              <w:tc>
                <w:tcPr>
                  <w:tcW w:w="1581" w:type="dxa"/>
                  <w:noWrap w:val="0"/>
                  <w:vAlign w:val="center"/>
                </w:tcPr>
                <w:p w14:paraId="4E49EBD4">
                  <w:pPr>
                    <w:widowControl/>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LD50：10768mg/kg（大鼠经口）；＞17600mg/kg（兔经皮）</w:t>
                  </w:r>
                </w:p>
              </w:tc>
            </w:tr>
          </w:tbl>
          <w:p w14:paraId="0475077D">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漆用量（喷漆工序）采用以下公式计算：</w:t>
            </w:r>
          </w:p>
          <w:p w14:paraId="3C27EE18">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Cs w:val="24"/>
                <w:highlight w:val="none"/>
              </w:rPr>
              <w:drawing>
                <wp:inline distT="0" distB="0" distL="0" distR="0">
                  <wp:extent cx="2399665" cy="323215"/>
                  <wp:effectExtent l="0" t="0" r="635"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2400000" cy="323810"/>
                          </a:xfrm>
                          <a:prstGeom prst="rect">
                            <a:avLst/>
                          </a:prstGeom>
                        </pic:spPr>
                      </pic:pic>
                    </a:graphicData>
                  </a:graphic>
                </wp:inline>
              </w:drawing>
            </w:r>
          </w:p>
          <w:p w14:paraId="6806DAD7">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其中：</w:t>
            </w:r>
            <w:r>
              <w:rPr>
                <w:rFonts w:ascii="Times New Roman" w:hAnsi="Times New Roman" w:eastAsia="宋体" w:cs="Times New Roman"/>
                <w:color w:val="auto"/>
                <w:sz w:val="24"/>
                <w:szCs w:val="24"/>
                <w:highlight w:val="none"/>
              </w:rPr>
              <w:t>m—</w:t>
            </w:r>
            <w:r>
              <w:rPr>
                <w:rFonts w:hint="eastAsia" w:cs="Times New Roman"/>
                <w:color w:val="auto"/>
                <w:sz w:val="24"/>
                <w:szCs w:val="24"/>
                <w:highlight w:val="none"/>
                <w:lang w:val="en-US" w:eastAsia="zh-CN"/>
              </w:rPr>
              <w:t>油漆</w:t>
            </w:r>
            <w:r>
              <w:rPr>
                <w:rFonts w:ascii="Times New Roman" w:hAnsi="Times New Roman" w:eastAsia="宋体" w:cs="Times New Roman"/>
                <w:color w:val="auto"/>
                <w:sz w:val="24"/>
                <w:szCs w:val="24"/>
                <w:highlight w:val="none"/>
              </w:rPr>
              <w:t>总用量</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rPr>
              <w:t>）；</w:t>
            </w:r>
          </w:p>
          <w:p w14:paraId="68722BA5">
            <w:pPr>
              <w:spacing w:line="360" w:lineRule="auto"/>
              <w:ind w:firstLine="1200" w:firstLineChars="5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ρ</w:t>
            </w:r>
            <w:r>
              <w:rPr>
                <w:rFonts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油漆</w:t>
            </w:r>
            <w:r>
              <w:rPr>
                <w:rFonts w:ascii="Times New Roman" w:hAnsi="Times New Roman" w:eastAsia="宋体" w:cs="Times New Roman"/>
                <w:color w:val="auto"/>
                <w:sz w:val="24"/>
                <w:szCs w:val="24"/>
                <w:highlight w:val="none"/>
              </w:rPr>
              <w:t>密度</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g/cm</w:t>
            </w:r>
            <w:r>
              <w:rPr>
                <w:rFonts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w:t>
            </w:r>
          </w:p>
          <w:p w14:paraId="1CAAAFF7">
            <w:pPr>
              <w:spacing w:line="360" w:lineRule="auto"/>
              <w:ind w:firstLine="1200" w:firstLineChars="5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δ</w:t>
            </w:r>
            <w:r>
              <w:rPr>
                <w:rFonts w:ascii="Times New Roman" w:hAnsi="Times New Roman" w:eastAsia="宋体" w:cs="Times New Roman"/>
                <w:color w:val="auto"/>
                <w:sz w:val="24"/>
                <w:szCs w:val="24"/>
                <w:highlight w:val="none"/>
              </w:rPr>
              <w:t>—涂层厚度（um）</w:t>
            </w:r>
            <w:r>
              <w:rPr>
                <w:rFonts w:hint="eastAsia" w:ascii="Times New Roman" w:hAnsi="Times New Roman" w:eastAsia="宋体" w:cs="Times New Roman"/>
                <w:color w:val="auto"/>
                <w:sz w:val="24"/>
                <w:szCs w:val="24"/>
                <w:highlight w:val="none"/>
              </w:rPr>
              <w:t>；</w:t>
            </w:r>
          </w:p>
          <w:p w14:paraId="7C2F549A">
            <w:pPr>
              <w:spacing w:line="360" w:lineRule="auto"/>
              <w:ind w:firstLine="1200" w:firstLineChars="500"/>
              <w:rPr>
                <w:rFonts w:hint="default" w:ascii="Times New Roman" w:hAnsi="Times New Roman" w:eastAsia="宋体" w:cs="Times New Roman"/>
                <w:color w:val="auto"/>
                <w:sz w:val="24"/>
                <w:szCs w:val="24"/>
                <w:highlight w:val="none"/>
                <w:vertAlign w:val="baseline"/>
                <w:lang w:val="en-US" w:eastAsia="zh-CN"/>
              </w:rPr>
            </w:pPr>
            <w:r>
              <w:rPr>
                <w:rFonts w:ascii="Times New Roman" w:hAnsi="Times New Roman" w:eastAsia="宋体" w:cs="Times New Roman"/>
                <w:color w:val="auto"/>
                <w:sz w:val="24"/>
                <w:szCs w:val="24"/>
                <w:highlight w:val="none"/>
              </w:rPr>
              <w:t>s—涂装总面积</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rPr>
              <w:t>）；</w:t>
            </w:r>
          </w:p>
          <w:p w14:paraId="6A0357E5">
            <w:pPr>
              <w:spacing w:line="360" w:lineRule="auto"/>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NV—</w:t>
            </w:r>
            <w:r>
              <w:rPr>
                <w:rFonts w:hint="eastAsia" w:ascii="Times New Roman" w:hAnsi="Times New Roman" w:eastAsia="宋体" w:cs="Times New Roman"/>
                <w:color w:val="auto"/>
                <w:sz w:val="24"/>
                <w:szCs w:val="24"/>
                <w:highlight w:val="none"/>
                <w:lang w:val="en-US" w:eastAsia="zh-CN"/>
              </w:rPr>
              <w:t>油漆中</w:t>
            </w:r>
            <w:r>
              <w:rPr>
                <w:rFonts w:ascii="Times New Roman" w:hAnsi="Times New Roman" w:eastAsia="宋体" w:cs="Times New Roman"/>
                <w:color w:val="auto"/>
                <w:sz w:val="24"/>
                <w:szCs w:val="24"/>
                <w:highlight w:val="none"/>
              </w:rPr>
              <w:t>的体积固体份（%），</w:t>
            </w:r>
          </w:p>
          <w:p w14:paraId="16BD20D4">
            <w:pPr>
              <w:spacing w:line="360" w:lineRule="auto"/>
              <w:ind w:left="480" w:leftChars="200" w:firstLine="720" w:firstLineChars="3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ε</w:t>
            </w:r>
            <w:r>
              <w:rPr>
                <w:rFonts w:ascii="Times New Roman" w:hAnsi="Times New Roman" w:eastAsia="宋体" w:cs="Times New Roman"/>
                <w:color w:val="auto"/>
                <w:sz w:val="24"/>
                <w:szCs w:val="24"/>
                <w:highlight w:val="none"/>
              </w:rPr>
              <w:t>—上漆率，</w:t>
            </w:r>
            <w:r>
              <w:rPr>
                <w:rFonts w:hint="eastAsia" w:ascii="Times New Roman" w:hAnsi="Times New Roman" w:eastAsia="宋体" w:cs="Times New Roman"/>
                <w:color w:val="auto"/>
                <w:sz w:val="24"/>
                <w:szCs w:val="24"/>
                <w:highlight w:val="none"/>
              </w:rPr>
              <w:t>类比同类行业，</w:t>
            </w:r>
            <w:r>
              <w:rPr>
                <w:rFonts w:hint="eastAsia" w:cs="Times New Roman"/>
                <w:color w:val="auto"/>
                <w:sz w:val="24"/>
                <w:szCs w:val="24"/>
                <w:highlight w:val="none"/>
                <w:lang w:val="en-US" w:eastAsia="zh-CN"/>
              </w:rPr>
              <w:t>使用喷枪</w:t>
            </w:r>
            <w:r>
              <w:rPr>
                <w:rFonts w:hint="eastAsia" w:ascii="Times New Roman" w:hAnsi="Times New Roman" w:eastAsia="宋体" w:cs="Times New Roman"/>
                <w:color w:val="auto"/>
                <w:sz w:val="24"/>
                <w:szCs w:val="24"/>
                <w:highlight w:val="none"/>
              </w:rPr>
              <w:t>喷</w:t>
            </w:r>
            <w:r>
              <w:rPr>
                <w:rFonts w:hint="eastAsia" w:cs="Times New Roman"/>
                <w:color w:val="auto"/>
                <w:sz w:val="24"/>
                <w:szCs w:val="24"/>
                <w:highlight w:val="none"/>
                <w:lang w:val="en-US" w:eastAsia="zh-CN"/>
              </w:rPr>
              <w:t>涂，</w:t>
            </w:r>
            <w:r>
              <w:rPr>
                <w:rFonts w:hint="eastAsia" w:ascii="Times New Roman" w:hAnsi="Times New Roman" w:eastAsia="宋体" w:cs="Times New Roman"/>
                <w:color w:val="auto"/>
                <w:sz w:val="24"/>
                <w:szCs w:val="24"/>
                <w:highlight w:val="none"/>
              </w:rPr>
              <w:t>上漆率均在60%</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80%，本项目上漆率</w:t>
            </w:r>
            <w:r>
              <w:rPr>
                <w:rFonts w:hint="eastAsia" w:cs="Times New Roman"/>
                <w:color w:val="auto"/>
                <w:sz w:val="24"/>
                <w:szCs w:val="24"/>
                <w:highlight w:val="none"/>
                <w:lang w:val="en-US" w:eastAsia="zh-CN"/>
              </w:rPr>
              <w:t>以7</w:t>
            </w:r>
            <w:r>
              <w:rPr>
                <w:rFonts w:hint="eastAsia" w:ascii="Times New Roman" w:hAnsi="Times New Roman" w:eastAsia="宋体" w:cs="Times New Roman"/>
                <w:color w:val="auto"/>
                <w:sz w:val="24"/>
                <w:szCs w:val="24"/>
                <w:highlight w:val="none"/>
              </w:rPr>
              <w:t>0%计</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油漆</w:t>
            </w:r>
            <w:r>
              <w:rPr>
                <w:rFonts w:hint="eastAsia" w:ascii="Times New Roman" w:hAnsi="Times New Roman" w:eastAsia="宋体" w:cs="Times New Roman"/>
                <w:color w:val="auto"/>
                <w:sz w:val="24"/>
                <w:szCs w:val="24"/>
                <w:highlight w:val="none"/>
              </w:rPr>
              <w:t>用量及计算结果见下表。</w:t>
            </w:r>
          </w:p>
          <w:p w14:paraId="48824A83">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油漆</w:t>
            </w:r>
            <w:r>
              <w:rPr>
                <w:rFonts w:hint="eastAsia" w:ascii="Times New Roman" w:hAnsi="Times New Roman" w:eastAsia="宋体" w:cs="Times New Roman"/>
                <w:color w:val="auto"/>
                <w:sz w:val="24"/>
                <w:szCs w:val="24"/>
                <w:highlight w:val="none"/>
              </w:rPr>
              <w:t>用量及计算结果见下表。</w:t>
            </w:r>
          </w:p>
          <w:p w14:paraId="632F110D">
            <w:pPr>
              <w:adjustRightInd w:val="0"/>
              <w:snapToGrid w:val="0"/>
              <w:jc w:val="center"/>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表</w:t>
            </w:r>
            <w:r>
              <w:rPr>
                <w:rFonts w:hint="eastAsia" w:cs="Times New Roman"/>
                <w:b/>
                <w:bCs/>
                <w:color w:val="auto"/>
                <w:kern w:val="0"/>
                <w:sz w:val="24"/>
                <w:szCs w:val="24"/>
                <w:highlight w:val="none"/>
                <w:lang w:val="en-US" w:eastAsia="zh-CN"/>
              </w:rPr>
              <w:t>2-6</w:t>
            </w:r>
            <w:r>
              <w:rPr>
                <w:rFonts w:ascii="Times New Roman" w:hAnsi="Times New Roman" w:eastAsia="宋体" w:cs="Times New Roman"/>
                <w:b/>
                <w:bCs/>
                <w:color w:val="auto"/>
                <w:kern w:val="0"/>
                <w:sz w:val="24"/>
                <w:szCs w:val="24"/>
                <w:highlight w:val="none"/>
              </w:rPr>
              <w:t xml:space="preserve">  </w:t>
            </w:r>
            <w:r>
              <w:rPr>
                <w:rFonts w:hint="eastAsia" w:cs="Times New Roman"/>
                <w:b/>
                <w:bCs/>
                <w:color w:val="auto"/>
                <w:kern w:val="0"/>
                <w:sz w:val="24"/>
                <w:szCs w:val="24"/>
                <w:highlight w:val="none"/>
                <w:lang w:val="en-US" w:eastAsia="zh-CN"/>
              </w:rPr>
              <w:t>油漆</w:t>
            </w:r>
            <w:r>
              <w:rPr>
                <w:rFonts w:ascii="Times New Roman" w:hAnsi="Times New Roman" w:eastAsia="宋体" w:cs="Times New Roman"/>
                <w:b/>
                <w:bCs/>
                <w:color w:val="auto"/>
                <w:kern w:val="0"/>
                <w:sz w:val="24"/>
                <w:szCs w:val="24"/>
                <w:highlight w:val="none"/>
              </w:rPr>
              <w:t>用量</w:t>
            </w:r>
            <w:r>
              <w:rPr>
                <w:rFonts w:hint="eastAsia" w:ascii="Times New Roman" w:hAnsi="Times New Roman" w:eastAsia="宋体" w:cs="Times New Roman"/>
                <w:b/>
                <w:bCs/>
                <w:color w:val="auto"/>
                <w:sz w:val="24"/>
                <w:szCs w:val="24"/>
                <w:highlight w:val="none"/>
              </w:rPr>
              <w:t>（喷漆工序）</w:t>
            </w:r>
            <w:r>
              <w:rPr>
                <w:rFonts w:ascii="Times New Roman" w:hAnsi="Times New Roman" w:eastAsia="宋体" w:cs="Times New Roman"/>
                <w:b/>
                <w:bCs/>
                <w:color w:val="auto"/>
                <w:kern w:val="0"/>
                <w:sz w:val="24"/>
                <w:szCs w:val="24"/>
                <w:highlight w:val="none"/>
              </w:rPr>
              <w:t>计算一览表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245"/>
              <w:gridCol w:w="1098"/>
              <w:gridCol w:w="1728"/>
              <w:gridCol w:w="1025"/>
              <w:gridCol w:w="1126"/>
              <w:gridCol w:w="831"/>
            </w:tblGrid>
            <w:tr w14:paraId="231B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21" w:type="dxa"/>
                  <w:vAlign w:val="center"/>
                </w:tcPr>
                <w:p w14:paraId="2B3EEC36">
                  <w:pPr>
                    <w:jc w:val="center"/>
                    <w:rPr>
                      <w:rFonts w:ascii="Times New Roman" w:hAnsi="Times New Roman" w:eastAsia="宋体" w:cs="Times New Roman"/>
                      <w:b/>
                      <w:bCs/>
                      <w:color w:val="auto"/>
                      <w:kern w:val="0"/>
                      <w:sz w:val="21"/>
                      <w:szCs w:val="21"/>
                      <w:highlight w:val="none"/>
                      <w:lang w:val="zh-CN"/>
                    </w:rPr>
                  </w:pPr>
                  <w:r>
                    <w:rPr>
                      <w:rFonts w:ascii="Times New Roman" w:hAnsi="Times New Roman" w:eastAsia="宋体" w:cs="Times New Roman"/>
                      <w:b/>
                      <w:bCs/>
                      <w:color w:val="auto"/>
                      <w:kern w:val="0"/>
                      <w:sz w:val="21"/>
                      <w:szCs w:val="21"/>
                      <w:highlight w:val="none"/>
                      <w:lang w:val="zh-CN"/>
                    </w:rPr>
                    <w:t>类型</w:t>
                  </w:r>
                </w:p>
              </w:tc>
              <w:tc>
                <w:tcPr>
                  <w:tcW w:w="1250" w:type="dxa"/>
                  <w:vAlign w:val="center"/>
                </w:tcPr>
                <w:p w14:paraId="41BA9183">
                  <w:pPr>
                    <w:jc w:val="center"/>
                    <w:rPr>
                      <w:rFonts w:ascii="Times New Roman" w:hAnsi="Times New Roman" w:eastAsia="宋体" w:cs="Times New Roman"/>
                      <w:b/>
                      <w:bCs/>
                      <w:color w:val="auto"/>
                      <w:kern w:val="0"/>
                      <w:sz w:val="21"/>
                      <w:szCs w:val="21"/>
                      <w:highlight w:val="none"/>
                      <w:lang w:val="zh-CN"/>
                    </w:rPr>
                  </w:pPr>
                  <w:r>
                    <w:rPr>
                      <w:rFonts w:ascii="Times New Roman" w:hAnsi="Times New Roman" w:eastAsia="宋体" w:cs="Times New Roman"/>
                      <w:b/>
                      <w:bCs/>
                      <w:color w:val="auto"/>
                      <w:kern w:val="0"/>
                      <w:sz w:val="21"/>
                      <w:szCs w:val="21"/>
                      <w:highlight w:val="none"/>
                    </w:rPr>
                    <w:t>漆密度（g/cm</w:t>
                  </w:r>
                  <w:r>
                    <w:rPr>
                      <w:rFonts w:ascii="Times New Roman" w:hAnsi="Times New Roman" w:eastAsia="宋体" w:cs="Times New Roman"/>
                      <w:b/>
                      <w:bCs/>
                      <w:color w:val="auto"/>
                      <w:kern w:val="0"/>
                      <w:sz w:val="21"/>
                      <w:szCs w:val="21"/>
                      <w:highlight w:val="none"/>
                      <w:vertAlign w:val="superscript"/>
                    </w:rPr>
                    <w:t>3</w:t>
                  </w:r>
                  <w:r>
                    <w:rPr>
                      <w:rFonts w:ascii="Times New Roman" w:hAnsi="Times New Roman" w:eastAsia="宋体" w:cs="Times New Roman"/>
                      <w:b/>
                      <w:bCs/>
                      <w:color w:val="auto"/>
                      <w:kern w:val="0"/>
                      <w:sz w:val="21"/>
                      <w:szCs w:val="21"/>
                      <w:highlight w:val="none"/>
                    </w:rPr>
                    <w:t>）</w:t>
                  </w:r>
                </w:p>
              </w:tc>
              <w:tc>
                <w:tcPr>
                  <w:tcW w:w="1103" w:type="dxa"/>
                  <w:vAlign w:val="center"/>
                </w:tcPr>
                <w:p w14:paraId="2361E967">
                  <w:pPr>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涂层厚度</w:t>
                  </w:r>
                </w:p>
                <w:p w14:paraId="6503904B">
                  <w:pPr>
                    <w:jc w:val="center"/>
                    <w:rPr>
                      <w:rFonts w:ascii="Times New Roman" w:hAnsi="Times New Roman" w:eastAsia="宋体" w:cs="Times New Roman"/>
                      <w:b/>
                      <w:bCs/>
                      <w:color w:val="auto"/>
                      <w:kern w:val="0"/>
                      <w:sz w:val="21"/>
                      <w:szCs w:val="21"/>
                      <w:highlight w:val="none"/>
                      <w:lang w:val="zh-CN"/>
                    </w:rPr>
                  </w:pPr>
                  <w:r>
                    <w:rPr>
                      <w:rFonts w:hint="eastAsia" w:cs="Times New Roman"/>
                      <w:b/>
                      <w:bCs/>
                      <w:color w:val="auto"/>
                      <w:kern w:val="0"/>
                      <w:sz w:val="21"/>
                      <w:szCs w:val="21"/>
                      <w:highlight w:val="none"/>
                      <w:lang w:eastAsia="zh-CN"/>
                    </w:rPr>
                    <w:t>(</w:t>
                  </w:r>
                  <w:r>
                    <w:rPr>
                      <w:rFonts w:ascii="Times New Roman" w:hAnsi="Times New Roman" w:eastAsia="宋体" w:cs="Times New Roman"/>
                      <w:b/>
                      <w:bCs/>
                      <w:color w:val="auto"/>
                      <w:kern w:val="0"/>
                      <w:sz w:val="21"/>
                      <w:szCs w:val="21"/>
                      <w:highlight w:val="none"/>
                    </w:rPr>
                    <w:t>μ</w:t>
                  </w:r>
                  <w:r>
                    <w:rPr>
                      <w:rFonts w:ascii="Times New Roman" w:hAnsi="Times New Roman" w:eastAsia="宋体" w:cs="Times New Roman"/>
                      <w:b/>
                      <w:bCs/>
                      <w:color w:val="auto"/>
                      <w:kern w:val="0"/>
                      <w:sz w:val="21"/>
                      <w:szCs w:val="21"/>
                      <w:highlight w:val="none"/>
                      <w:lang w:val="zh-CN"/>
                    </w:rPr>
                    <w:t>m</w:t>
                  </w:r>
                  <w:r>
                    <w:rPr>
                      <w:rFonts w:hint="eastAsia" w:cs="Times New Roman"/>
                      <w:b/>
                      <w:bCs/>
                      <w:color w:val="auto"/>
                      <w:kern w:val="0"/>
                      <w:sz w:val="21"/>
                      <w:szCs w:val="21"/>
                      <w:highlight w:val="none"/>
                      <w:lang w:val="zh-CN"/>
                    </w:rPr>
                    <w:t>)</w:t>
                  </w:r>
                </w:p>
              </w:tc>
              <w:tc>
                <w:tcPr>
                  <w:tcW w:w="1735" w:type="dxa"/>
                  <w:vAlign w:val="center"/>
                </w:tcPr>
                <w:p w14:paraId="43A1D64B">
                  <w:pPr>
                    <w:jc w:val="center"/>
                    <w:rPr>
                      <w:rFonts w:ascii="Times New Roman" w:hAnsi="Times New Roman" w:eastAsia="宋体" w:cs="Times New Roman"/>
                      <w:b/>
                      <w:bCs/>
                      <w:color w:val="auto"/>
                      <w:kern w:val="0"/>
                      <w:sz w:val="21"/>
                      <w:szCs w:val="21"/>
                      <w:highlight w:val="none"/>
                      <w:lang w:val="zh-CN"/>
                    </w:rPr>
                  </w:pPr>
                  <w:r>
                    <w:rPr>
                      <w:rFonts w:ascii="Times New Roman" w:hAnsi="Times New Roman" w:eastAsia="宋体" w:cs="Times New Roman"/>
                      <w:b/>
                      <w:bCs/>
                      <w:color w:val="auto"/>
                      <w:kern w:val="0"/>
                      <w:sz w:val="21"/>
                      <w:szCs w:val="21"/>
                      <w:highlight w:val="none"/>
                      <w:lang w:val="zh-CN"/>
                    </w:rPr>
                    <w:t>漆中（工作液）的固体份（%）</w:t>
                  </w:r>
                </w:p>
              </w:tc>
              <w:tc>
                <w:tcPr>
                  <w:tcW w:w="1030" w:type="dxa"/>
                  <w:vAlign w:val="center"/>
                </w:tcPr>
                <w:p w14:paraId="2650B5A4">
                  <w:pPr>
                    <w:jc w:val="center"/>
                    <w:rPr>
                      <w:rFonts w:ascii="Times New Roman" w:hAnsi="Times New Roman" w:eastAsia="宋体" w:cs="Times New Roman"/>
                      <w:b/>
                      <w:bCs/>
                      <w:color w:val="auto"/>
                      <w:kern w:val="0"/>
                      <w:sz w:val="21"/>
                      <w:szCs w:val="21"/>
                      <w:highlight w:val="none"/>
                      <w:lang w:val="zh-CN"/>
                    </w:rPr>
                  </w:pPr>
                  <w:r>
                    <w:rPr>
                      <w:rFonts w:ascii="Times New Roman" w:hAnsi="Times New Roman" w:eastAsia="宋体" w:cs="Times New Roman"/>
                      <w:b/>
                      <w:bCs/>
                      <w:color w:val="auto"/>
                      <w:kern w:val="0"/>
                      <w:sz w:val="21"/>
                      <w:szCs w:val="21"/>
                      <w:highlight w:val="none"/>
                      <w:lang w:val="zh-CN"/>
                    </w:rPr>
                    <w:t>上漆率（%）</w:t>
                  </w:r>
                </w:p>
              </w:tc>
              <w:tc>
                <w:tcPr>
                  <w:tcW w:w="1132" w:type="dxa"/>
                </w:tcPr>
                <w:p w14:paraId="1D8B236D">
                  <w:pPr>
                    <w:jc w:val="center"/>
                    <w:rPr>
                      <w:rFonts w:ascii="Times New Roman" w:hAnsi="Times New Roman" w:eastAsia="宋体" w:cs="Times New Roman"/>
                      <w:b/>
                      <w:bCs/>
                      <w:color w:val="auto"/>
                      <w:kern w:val="0"/>
                      <w:sz w:val="21"/>
                      <w:szCs w:val="21"/>
                      <w:highlight w:val="none"/>
                      <w:lang w:val="zh-CN"/>
                    </w:rPr>
                  </w:pPr>
                  <w:r>
                    <w:rPr>
                      <w:rFonts w:ascii="Times New Roman" w:hAnsi="Times New Roman" w:eastAsia="宋体" w:cs="Times New Roman"/>
                      <w:b/>
                      <w:bCs/>
                      <w:color w:val="auto"/>
                      <w:kern w:val="0"/>
                      <w:sz w:val="21"/>
                      <w:szCs w:val="21"/>
                      <w:highlight w:val="none"/>
                      <w:lang w:val="zh-CN"/>
                    </w:rPr>
                    <w:t>涂装面积（m</w:t>
                  </w:r>
                  <w:r>
                    <w:rPr>
                      <w:rFonts w:ascii="Times New Roman" w:hAnsi="Times New Roman" w:eastAsia="宋体" w:cs="Times New Roman"/>
                      <w:b/>
                      <w:bCs/>
                      <w:color w:val="auto"/>
                      <w:kern w:val="0"/>
                      <w:sz w:val="21"/>
                      <w:szCs w:val="21"/>
                      <w:highlight w:val="none"/>
                      <w:vertAlign w:val="superscript"/>
                      <w:lang w:val="zh-CN"/>
                    </w:rPr>
                    <w:t>2</w:t>
                  </w:r>
                  <w:r>
                    <w:rPr>
                      <w:rFonts w:ascii="Times New Roman" w:hAnsi="Times New Roman" w:eastAsia="宋体" w:cs="Times New Roman"/>
                      <w:b/>
                      <w:bCs/>
                      <w:color w:val="auto"/>
                      <w:kern w:val="0"/>
                      <w:sz w:val="21"/>
                      <w:szCs w:val="21"/>
                      <w:highlight w:val="none"/>
                      <w:lang w:val="zh-CN"/>
                    </w:rPr>
                    <w:t>）</w:t>
                  </w:r>
                </w:p>
              </w:tc>
              <w:tc>
                <w:tcPr>
                  <w:tcW w:w="835" w:type="dxa"/>
                </w:tcPr>
                <w:p w14:paraId="07205B63">
                  <w:pPr>
                    <w:jc w:val="center"/>
                    <w:rPr>
                      <w:rFonts w:hint="eastAsia"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用量（t）</w:t>
                  </w:r>
                </w:p>
              </w:tc>
            </w:tr>
            <w:tr w14:paraId="697E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1" w:type="dxa"/>
                  <w:vAlign w:val="center"/>
                </w:tcPr>
                <w:p w14:paraId="74B4C54D">
                  <w:pPr>
                    <w:widowControl/>
                    <w:spacing w:line="240" w:lineRule="auto"/>
                    <w:ind w:firstLine="0" w:firstLineChars="0"/>
                    <w:jc w:val="center"/>
                    <w:rPr>
                      <w:rFonts w:ascii="Times New Roman" w:hAnsi="Times New Roman" w:eastAsia="宋体" w:cs="Times New Roman"/>
                      <w:color w:val="auto"/>
                      <w:kern w:val="0"/>
                      <w:sz w:val="21"/>
                      <w:szCs w:val="21"/>
                      <w:highlight w:val="none"/>
                      <w:lang w:val="zh-CN"/>
                    </w:rPr>
                  </w:pPr>
                  <w:r>
                    <w:rPr>
                      <w:rFonts w:ascii="Times New Roman" w:hAnsi="Times New Roman"/>
                      <w:kern w:val="0"/>
                      <w:sz w:val="21"/>
                      <w:szCs w:val="21"/>
                      <w:highlight w:val="none"/>
                      <w:lang w:bidi="ar"/>
                    </w:rPr>
                    <w:t>UV面漆</w:t>
                  </w:r>
                </w:p>
              </w:tc>
              <w:tc>
                <w:tcPr>
                  <w:tcW w:w="1250" w:type="dxa"/>
                  <w:vAlign w:val="center"/>
                </w:tcPr>
                <w:p w14:paraId="51500212">
                  <w:pPr>
                    <w:widowControl/>
                    <w:jc w:val="center"/>
                    <w:textAlignment w:val="center"/>
                    <w:rPr>
                      <w:rFonts w:hint="default" w:ascii="Times New Roman" w:hAnsi="Times New Roman" w:eastAsia="等线"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rPr>
                    <w:t>1.2</w:t>
                  </w:r>
                </w:p>
              </w:tc>
              <w:tc>
                <w:tcPr>
                  <w:tcW w:w="1103" w:type="dxa"/>
                  <w:vAlign w:val="center"/>
                </w:tcPr>
                <w:p w14:paraId="1EF245B1">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c>
                <w:tcPr>
                  <w:tcW w:w="1735" w:type="dxa"/>
                  <w:vAlign w:val="center"/>
                </w:tcPr>
                <w:p w14:paraId="46046E58">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68.1</w:t>
                  </w:r>
                </w:p>
              </w:tc>
              <w:tc>
                <w:tcPr>
                  <w:tcW w:w="1030" w:type="dxa"/>
                  <w:vAlign w:val="center"/>
                </w:tcPr>
                <w:p w14:paraId="0557A243">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1132" w:type="dxa"/>
                  <w:vAlign w:val="center"/>
                </w:tcPr>
                <w:p w14:paraId="36FFF779">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12000</w:t>
                  </w:r>
                </w:p>
              </w:tc>
              <w:tc>
                <w:tcPr>
                  <w:tcW w:w="835" w:type="dxa"/>
                  <w:vAlign w:val="center"/>
                </w:tcPr>
                <w:p w14:paraId="30F5B16C">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0.512</w:t>
                  </w:r>
                </w:p>
              </w:tc>
            </w:tr>
            <w:tr w14:paraId="162E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21" w:type="dxa"/>
                  <w:vAlign w:val="center"/>
                </w:tcPr>
                <w:p w14:paraId="39AEAF6A">
                  <w:pPr>
                    <w:spacing w:line="240" w:lineRule="auto"/>
                    <w:ind w:firstLine="0" w:firstLineChars="0"/>
                    <w:jc w:val="center"/>
                    <w:rPr>
                      <w:rFonts w:hint="eastAsia"/>
                      <w:b w:val="0"/>
                      <w:bCs w:val="0"/>
                      <w:color w:val="auto"/>
                      <w:kern w:val="0"/>
                      <w:sz w:val="21"/>
                      <w:szCs w:val="21"/>
                      <w:highlight w:val="none"/>
                      <w:lang w:val="en-US" w:eastAsia="zh-CN"/>
                    </w:rPr>
                  </w:pPr>
                  <w:r>
                    <w:rPr>
                      <w:rFonts w:ascii="Times New Roman" w:hAnsi="Times New Roman"/>
                      <w:kern w:val="0"/>
                      <w:sz w:val="21"/>
                      <w:szCs w:val="21"/>
                      <w:highlight w:val="none"/>
                      <w:lang w:val="zh-CN"/>
                    </w:rPr>
                    <w:t>丙烯酸铝粉漆</w:t>
                  </w:r>
                </w:p>
              </w:tc>
              <w:tc>
                <w:tcPr>
                  <w:tcW w:w="1250" w:type="dxa"/>
                  <w:vAlign w:val="center"/>
                </w:tcPr>
                <w:p w14:paraId="25CBC90D">
                  <w:pPr>
                    <w:widowControl/>
                    <w:jc w:val="center"/>
                    <w:textAlignment w:val="center"/>
                    <w:rPr>
                      <w:rFonts w:hint="default" w:ascii="Times New Roman" w:hAnsi="Times New Roman"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1.2</w:t>
                  </w:r>
                </w:p>
              </w:tc>
              <w:tc>
                <w:tcPr>
                  <w:tcW w:w="1103" w:type="dxa"/>
                  <w:vAlign w:val="center"/>
                </w:tcPr>
                <w:p w14:paraId="3677FC51">
                  <w:pPr>
                    <w:widowControl/>
                    <w:jc w:val="center"/>
                    <w:textAlignment w:val="center"/>
                    <w:rPr>
                      <w:rFonts w:hint="default"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60</w:t>
                  </w:r>
                </w:p>
              </w:tc>
              <w:tc>
                <w:tcPr>
                  <w:tcW w:w="1735" w:type="dxa"/>
                  <w:vAlign w:val="center"/>
                </w:tcPr>
                <w:p w14:paraId="3FED9F95">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66.6</w:t>
                  </w:r>
                </w:p>
              </w:tc>
              <w:tc>
                <w:tcPr>
                  <w:tcW w:w="1030" w:type="dxa"/>
                  <w:vAlign w:val="center"/>
                </w:tcPr>
                <w:p w14:paraId="293F8A90">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1132" w:type="dxa"/>
                  <w:vAlign w:val="center"/>
                </w:tcPr>
                <w:p w14:paraId="71E423AC">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60000</w:t>
                  </w:r>
                </w:p>
              </w:tc>
              <w:tc>
                <w:tcPr>
                  <w:tcW w:w="835" w:type="dxa"/>
                  <w:vAlign w:val="center"/>
                </w:tcPr>
                <w:p w14:paraId="724F700D">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6.923</w:t>
                  </w:r>
                </w:p>
              </w:tc>
            </w:tr>
            <w:tr w14:paraId="597C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21" w:type="dxa"/>
                  <w:vAlign w:val="center"/>
                </w:tcPr>
                <w:p w14:paraId="24431ADC">
                  <w:pPr>
                    <w:spacing w:line="240" w:lineRule="auto"/>
                    <w:ind w:firstLine="0" w:firstLineChars="0"/>
                    <w:jc w:val="center"/>
                    <w:rPr>
                      <w:rFonts w:hint="eastAsia" w:ascii="Times New Roman" w:hAnsi="Times New Roman" w:eastAsia="宋体"/>
                      <w:kern w:val="0"/>
                      <w:sz w:val="21"/>
                      <w:szCs w:val="21"/>
                      <w:highlight w:val="none"/>
                      <w:lang w:val="en-US" w:eastAsia="zh-CN"/>
                    </w:rPr>
                  </w:pPr>
                  <w:r>
                    <w:rPr>
                      <w:rFonts w:hint="eastAsia" w:ascii="Times New Roman" w:hAnsi="Times New Roman"/>
                      <w:kern w:val="0"/>
                      <w:sz w:val="21"/>
                      <w:szCs w:val="21"/>
                      <w:highlight w:val="none"/>
                      <w:lang w:val="en-US" w:eastAsia="zh-CN"/>
                    </w:rPr>
                    <w:t>底漆稀释剂</w:t>
                  </w:r>
                </w:p>
              </w:tc>
              <w:tc>
                <w:tcPr>
                  <w:tcW w:w="1250" w:type="dxa"/>
                  <w:vAlign w:val="center"/>
                </w:tcPr>
                <w:p w14:paraId="22ABD7B3">
                  <w:pPr>
                    <w:widowControl/>
                    <w:jc w:val="center"/>
                    <w:textAlignment w:val="center"/>
                    <w:rPr>
                      <w:rFonts w:hint="default"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w:t>
                  </w:r>
                </w:p>
              </w:tc>
              <w:tc>
                <w:tcPr>
                  <w:tcW w:w="1103" w:type="dxa"/>
                  <w:vAlign w:val="center"/>
                </w:tcPr>
                <w:p w14:paraId="03170B80">
                  <w:pPr>
                    <w:widowControl/>
                    <w:jc w:val="center"/>
                    <w:textAlignment w:val="center"/>
                    <w:rPr>
                      <w:rFonts w:hint="eastAsia"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w:t>
                  </w:r>
                </w:p>
              </w:tc>
              <w:tc>
                <w:tcPr>
                  <w:tcW w:w="1735" w:type="dxa"/>
                  <w:vAlign w:val="center"/>
                </w:tcPr>
                <w:p w14:paraId="3683EAB5">
                  <w:pPr>
                    <w:widowControl/>
                    <w:jc w:val="center"/>
                    <w:textAlignment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1030" w:type="dxa"/>
                  <w:vAlign w:val="center"/>
                </w:tcPr>
                <w:p w14:paraId="485385CB">
                  <w:pPr>
                    <w:jc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1132" w:type="dxa"/>
                  <w:vAlign w:val="center"/>
                </w:tcPr>
                <w:p w14:paraId="0285D730">
                  <w:pPr>
                    <w:widowControl/>
                    <w:jc w:val="center"/>
                    <w:textAlignment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835" w:type="dxa"/>
                  <w:vAlign w:val="center"/>
                </w:tcPr>
                <w:p w14:paraId="32B6374D">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0.692</w:t>
                  </w:r>
                </w:p>
              </w:tc>
            </w:tr>
            <w:tr w14:paraId="7EC3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21" w:type="dxa"/>
                  <w:vAlign w:val="center"/>
                </w:tcPr>
                <w:p w14:paraId="5CF14062">
                  <w:pPr>
                    <w:spacing w:line="240" w:lineRule="auto"/>
                    <w:ind w:firstLine="0" w:firstLineChars="0"/>
                    <w:jc w:val="center"/>
                    <w:rPr>
                      <w:rFonts w:hint="default" w:ascii="Times New Roman" w:hAnsi="Times New Roman" w:eastAsia="宋体"/>
                      <w:kern w:val="0"/>
                      <w:sz w:val="21"/>
                      <w:szCs w:val="21"/>
                      <w:highlight w:val="none"/>
                      <w:lang w:val="en-US" w:eastAsia="zh-CN"/>
                    </w:rPr>
                  </w:pPr>
                  <w:r>
                    <w:rPr>
                      <w:rFonts w:hint="eastAsia" w:ascii="Times New Roman" w:hAnsi="Times New Roman"/>
                      <w:kern w:val="0"/>
                      <w:sz w:val="21"/>
                      <w:szCs w:val="21"/>
                      <w:highlight w:val="none"/>
                      <w:lang w:val="en-US" w:eastAsia="zh-CN"/>
                    </w:rPr>
                    <w:t>面漆稀释剂</w:t>
                  </w:r>
                </w:p>
              </w:tc>
              <w:tc>
                <w:tcPr>
                  <w:tcW w:w="1250" w:type="dxa"/>
                  <w:vAlign w:val="center"/>
                </w:tcPr>
                <w:p w14:paraId="5C83EC21">
                  <w:pPr>
                    <w:widowControl/>
                    <w:jc w:val="center"/>
                    <w:textAlignment w:val="center"/>
                    <w:rPr>
                      <w:rFonts w:hint="eastAsia"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w:t>
                  </w:r>
                </w:p>
              </w:tc>
              <w:tc>
                <w:tcPr>
                  <w:tcW w:w="1103" w:type="dxa"/>
                  <w:vAlign w:val="center"/>
                </w:tcPr>
                <w:p w14:paraId="2C5FF6F5">
                  <w:pPr>
                    <w:widowControl/>
                    <w:jc w:val="center"/>
                    <w:textAlignment w:val="center"/>
                    <w:rPr>
                      <w:rFonts w:hint="eastAsia"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w:t>
                  </w:r>
                </w:p>
              </w:tc>
              <w:tc>
                <w:tcPr>
                  <w:tcW w:w="1735" w:type="dxa"/>
                  <w:vAlign w:val="center"/>
                </w:tcPr>
                <w:p w14:paraId="0CCBCD01">
                  <w:pPr>
                    <w:widowControl/>
                    <w:jc w:val="center"/>
                    <w:textAlignment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1030" w:type="dxa"/>
                  <w:vAlign w:val="center"/>
                </w:tcPr>
                <w:p w14:paraId="1A3EF74E">
                  <w:pPr>
                    <w:jc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1132" w:type="dxa"/>
                  <w:vAlign w:val="center"/>
                </w:tcPr>
                <w:p w14:paraId="052210D3">
                  <w:pPr>
                    <w:widowControl/>
                    <w:jc w:val="center"/>
                    <w:textAlignment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835" w:type="dxa"/>
                  <w:vAlign w:val="center"/>
                </w:tcPr>
                <w:p w14:paraId="3BF31859">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0.051</w:t>
                  </w:r>
                </w:p>
              </w:tc>
            </w:tr>
            <w:tr w14:paraId="319D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21" w:type="dxa"/>
                  <w:vAlign w:val="center"/>
                </w:tcPr>
                <w:p w14:paraId="6DC331AE">
                  <w:pPr>
                    <w:spacing w:line="240" w:lineRule="auto"/>
                    <w:ind w:firstLine="0" w:firstLineChars="0"/>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固化剂</w:t>
                  </w:r>
                </w:p>
              </w:tc>
              <w:tc>
                <w:tcPr>
                  <w:tcW w:w="1250" w:type="dxa"/>
                  <w:vAlign w:val="center"/>
                </w:tcPr>
                <w:p w14:paraId="4A14396E">
                  <w:pPr>
                    <w:widowControl/>
                    <w:jc w:val="center"/>
                    <w:textAlignment w:val="center"/>
                    <w:rPr>
                      <w:rFonts w:hint="eastAsia"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w:t>
                  </w:r>
                </w:p>
              </w:tc>
              <w:tc>
                <w:tcPr>
                  <w:tcW w:w="1103" w:type="dxa"/>
                  <w:vAlign w:val="center"/>
                </w:tcPr>
                <w:p w14:paraId="12A815D8">
                  <w:pPr>
                    <w:widowControl/>
                    <w:jc w:val="center"/>
                    <w:textAlignment w:val="center"/>
                    <w:rPr>
                      <w:rFonts w:hint="eastAsia" w:eastAsia="等线" w:cs="Times New Roman"/>
                      <w:color w:val="auto"/>
                      <w:kern w:val="0"/>
                      <w:sz w:val="21"/>
                      <w:szCs w:val="21"/>
                      <w:highlight w:val="none"/>
                      <w:lang w:val="en-US" w:eastAsia="zh-CN" w:bidi="ar"/>
                    </w:rPr>
                  </w:pPr>
                  <w:r>
                    <w:rPr>
                      <w:rFonts w:hint="eastAsia" w:eastAsia="等线" w:cs="Times New Roman"/>
                      <w:color w:val="auto"/>
                      <w:kern w:val="0"/>
                      <w:sz w:val="21"/>
                      <w:szCs w:val="21"/>
                      <w:highlight w:val="none"/>
                      <w:lang w:val="en-US" w:eastAsia="zh-CN" w:bidi="ar"/>
                    </w:rPr>
                    <w:t>/</w:t>
                  </w:r>
                </w:p>
              </w:tc>
              <w:tc>
                <w:tcPr>
                  <w:tcW w:w="1735" w:type="dxa"/>
                  <w:vAlign w:val="center"/>
                </w:tcPr>
                <w:p w14:paraId="1E2EB08F">
                  <w:pPr>
                    <w:widowControl/>
                    <w:jc w:val="center"/>
                    <w:textAlignment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1030" w:type="dxa"/>
                  <w:vAlign w:val="center"/>
                </w:tcPr>
                <w:p w14:paraId="6098DDF6">
                  <w:pPr>
                    <w:jc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1132" w:type="dxa"/>
                  <w:vAlign w:val="center"/>
                </w:tcPr>
                <w:p w14:paraId="7E8F4647">
                  <w:pPr>
                    <w:widowControl/>
                    <w:jc w:val="center"/>
                    <w:textAlignment w:val="center"/>
                    <w:rPr>
                      <w:rFonts w:hint="eastAsia" w:cs="Times New Roman"/>
                      <w:color w:val="auto"/>
                      <w:kern w:val="0"/>
                      <w:sz w:val="21"/>
                      <w:szCs w:val="21"/>
                      <w:highlight w:val="none"/>
                      <w:lang w:val="en-US" w:eastAsia="zh-CN"/>
                    </w:rPr>
                  </w:pPr>
                  <w:r>
                    <w:rPr>
                      <w:rFonts w:hint="eastAsia" w:eastAsia="等线" w:cs="Times New Roman"/>
                      <w:color w:val="auto"/>
                      <w:kern w:val="0"/>
                      <w:sz w:val="21"/>
                      <w:szCs w:val="21"/>
                      <w:highlight w:val="none"/>
                      <w:lang w:val="en-US" w:eastAsia="zh-CN" w:bidi="ar"/>
                    </w:rPr>
                    <w:t>/</w:t>
                  </w:r>
                </w:p>
              </w:tc>
              <w:tc>
                <w:tcPr>
                  <w:tcW w:w="835" w:type="dxa"/>
                  <w:vAlign w:val="center"/>
                </w:tcPr>
                <w:p w14:paraId="095DA424">
                  <w:pPr>
                    <w:widowControl/>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1.038</w:t>
                  </w:r>
                </w:p>
              </w:tc>
            </w:tr>
            <w:tr w14:paraId="60D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106" w:type="dxa"/>
                  <w:gridSpan w:val="7"/>
                  <w:vAlign w:val="center"/>
                </w:tcPr>
                <w:p w14:paraId="435DDBE5">
                  <w:pPr>
                    <w:ind w:firstLine="420" w:firstLineChars="20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w:t>
                  </w:r>
                  <w:r>
                    <w:rPr>
                      <w:rFonts w:hint="eastAsia" w:cs="Times New Roman"/>
                      <w:color w:val="auto"/>
                      <w:sz w:val="21"/>
                      <w:szCs w:val="21"/>
                      <w:highlight w:val="none"/>
                      <w:lang w:val="en-US" w:eastAsia="zh-CN"/>
                    </w:rPr>
                    <w:t>面漆的涂装仅根据厂家要求部分涂装；底漆油漆∶稀释剂∶固化剂=10∶1∶1.5；面漆油漆∶稀释剂=10∶1。</w:t>
                  </w:r>
                </w:p>
              </w:tc>
            </w:tr>
          </w:tbl>
          <w:p w14:paraId="4AC92D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综上，本项目喷漆工序</w:t>
            </w:r>
            <w:r>
              <w:rPr>
                <w:rFonts w:hint="eastAsia" w:cs="Times New Roman"/>
                <w:color w:val="auto"/>
                <w:sz w:val="24"/>
                <w:szCs w:val="24"/>
                <w:highlight w:val="none"/>
                <w:lang w:val="en-US" w:eastAsia="zh-CN"/>
              </w:rPr>
              <w:t>涂料用量为9.217</w:t>
            </w:r>
            <w:r>
              <w:rPr>
                <w:rFonts w:hint="eastAsia" w:ascii="Times New Roman" w:hAnsi="Times New Roman" w:eastAsia="宋体" w:cs="Times New Roman"/>
                <w:color w:val="auto"/>
                <w:sz w:val="24"/>
                <w:szCs w:val="24"/>
                <w:highlight w:val="none"/>
              </w:rPr>
              <w:t>t/a。</w:t>
            </w:r>
          </w:p>
          <w:p w14:paraId="62743CF1">
            <w:pPr>
              <w:ind w:firstLine="498"/>
              <w:jc w:val="center"/>
              <w:rPr>
                <w:rFonts w:ascii="Times New Roman" w:hAnsi="Times New Roman"/>
                <w:b/>
                <w:color w:val="auto"/>
                <w:spacing w:val="4"/>
                <w:highlight w:val="none"/>
                <w:lang w:bidi="ar"/>
              </w:rPr>
            </w:pPr>
            <w:r>
              <w:rPr>
                <w:rFonts w:hint="eastAsia" w:ascii="Times New Roman" w:hAnsi="Times New Roman"/>
                <w:b/>
                <w:color w:val="auto"/>
                <w:spacing w:val="4"/>
                <w:highlight w:val="none"/>
                <w:lang w:bidi="ar"/>
              </w:rPr>
              <w:t>表</w:t>
            </w:r>
            <w:r>
              <w:rPr>
                <w:rFonts w:hint="eastAsia" w:ascii="Times New Roman" w:hAnsi="Times New Roman"/>
                <w:b/>
                <w:color w:val="auto"/>
                <w:spacing w:val="4"/>
                <w:highlight w:val="none"/>
                <w:lang w:val="en-US" w:eastAsia="zh-CN" w:bidi="ar"/>
              </w:rPr>
              <w:t>2</w:t>
            </w:r>
            <w:r>
              <w:rPr>
                <w:rFonts w:hint="eastAsia"/>
                <w:b/>
                <w:color w:val="auto"/>
                <w:spacing w:val="4"/>
                <w:highlight w:val="none"/>
                <w:lang w:val="en-US" w:eastAsia="zh-CN" w:bidi="ar"/>
              </w:rPr>
              <w:t>-7</w:t>
            </w:r>
            <w:r>
              <w:rPr>
                <w:rFonts w:hint="eastAsia" w:ascii="Times New Roman" w:hAnsi="Times New Roman"/>
                <w:b/>
                <w:color w:val="auto"/>
                <w:spacing w:val="4"/>
                <w:highlight w:val="none"/>
                <w:lang w:bidi="ar"/>
              </w:rPr>
              <w:t xml:space="preserve">  </w:t>
            </w:r>
            <w:r>
              <w:rPr>
                <w:rFonts w:ascii="Times New Roman" w:hAnsi="Times New Roman"/>
                <w:b/>
                <w:color w:val="auto"/>
                <w:spacing w:val="4"/>
                <w:highlight w:val="none"/>
                <w:lang w:bidi="ar"/>
              </w:rPr>
              <w:t>项目涂料VOCs含量一览表</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4"/>
              <w:gridCol w:w="1381"/>
              <w:gridCol w:w="1582"/>
              <w:gridCol w:w="775"/>
              <w:gridCol w:w="1592"/>
              <w:gridCol w:w="2052"/>
            </w:tblGrid>
            <w:tr w14:paraId="0B0A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restart"/>
                  <w:noWrap w:val="0"/>
                  <w:vAlign w:val="center"/>
                </w:tcPr>
                <w:p w14:paraId="7419B8AF">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涂料类别</w:t>
                  </w:r>
                </w:p>
              </w:tc>
              <w:tc>
                <w:tcPr>
                  <w:tcW w:w="857" w:type="pct"/>
                  <w:vMerge w:val="restart"/>
                  <w:noWrap w:val="0"/>
                  <w:vAlign w:val="center"/>
                </w:tcPr>
                <w:p w14:paraId="061D3005">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涂料名称</w:t>
                  </w:r>
                </w:p>
              </w:tc>
              <w:tc>
                <w:tcPr>
                  <w:tcW w:w="981" w:type="pct"/>
                  <w:noWrap w:val="0"/>
                  <w:vAlign w:val="center"/>
                </w:tcPr>
                <w:p w14:paraId="0EED21E9">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VOCs含量占比</w:t>
                  </w:r>
                </w:p>
              </w:tc>
              <w:tc>
                <w:tcPr>
                  <w:tcW w:w="481" w:type="pct"/>
                  <w:noWrap w:val="0"/>
                  <w:vAlign w:val="center"/>
                </w:tcPr>
                <w:p w14:paraId="5082CC1B">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用量</w:t>
                  </w:r>
                </w:p>
              </w:tc>
              <w:tc>
                <w:tcPr>
                  <w:tcW w:w="988" w:type="pct"/>
                  <w:noWrap w:val="0"/>
                  <w:vAlign w:val="center"/>
                </w:tcPr>
                <w:p w14:paraId="73361C8E">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密度</w:t>
                  </w:r>
                </w:p>
              </w:tc>
              <w:tc>
                <w:tcPr>
                  <w:tcW w:w="1273" w:type="pct"/>
                  <w:noWrap w:val="0"/>
                  <w:vAlign w:val="center"/>
                </w:tcPr>
                <w:p w14:paraId="1105D00F">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VOCs含量</w:t>
                  </w:r>
                </w:p>
              </w:tc>
            </w:tr>
            <w:tr w14:paraId="162C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continue"/>
                  <w:noWrap w:val="0"/>
                  <w:vAlign w:val="center"/>
                </w:tcPr>
                <w:p w14:paraId="22848AB8">
                  <w:pPr>
                    <w:spacing w:line="240" w:lineRule="auto"/>
                    <w:ind w:firstLine="0" w:firstLineChars="0"/>
                    <w:jc w:val="center"/>
                    <w:rPr>
                      <w:rFonts w:ascii="Times New Roman" w:hAnsi="Times New Roman"/>
                      <w:b/>
                      <w:bCs/>
                      <w:color w:val="auto"/>
                      <w:kern w:val="0"/>
                      <w:sz w:val="21"/>
                      <w:szCs w:val="21"/>
                      <w:highlight w:val="none"/>
                      <w:lang w:val="zh-CN"/>
                    </w:rPr>
                  </w:pPr>
                </w:p>
              </w:tc>
              <w:tc>
                <w:tcPr>
                  <w:tcW w:w="857" w:type="pct"/>
                  <w:vMerge w:val="continue"/>
                  <w:noWrap w:val="0"/>
                  <w:vAlign w:val="center"/>
                </w:tcPr>
                <w:p w14:paraId="49443FD5">
                  <w:pPr>
                    <w:spacing w:line="240" w:lineRule="auto"/>
                    <w:ind w:firstLine="0" w:firstLineChars="0"/>
                    <w:jc w:val="center"/>
                    <w:rPr>
                      <w:rFonts w:ascii="Times New Roman" w:hAnsi="Times New Roman"/>
                      <w:b/>
                      <w:bCs/>
                      <w:color w:val="auto"/>
                      <w:kern w:val="0"/>
                      <w:sz w:val="21"/>
                      <w:szCs w:val="21"/>
                      <w:highlight w:val="none"/>
                      <w:lang w:val="zh-CN"/>
                    </w:rPr>
                  </w:pPr>
                </w:p>
              </w:tc>
              <w:tc>
                <w:tcPr>
                  <w:tcW w:w="981" w:type="pct"/>
                  <w:noWrap w:val="0"/>
                  <w:vAlign w:val="center"/>
                </w:tcPr>
                <w:p w14:paraId="656CE685">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rPr>
                    <w:t>%</w:t>
                  </w:r>
                </w:p>
              </w:tc>
              <w:tc>
                <w:tcPr>
                  <w:tcW w:w="481" w:type="pct"/>
                  <w:noWrap w:val="0"/>
                  <w:vAlign w:val="center"/>
                </w:tcPr>
                <w:p w14:paraId="67131B9A">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t/a</w:t>
                  </w:r>
                </w:p>
              </w:tc>
              <w:tc>
                <w:tcPr>
                  <w:tcW w:w="988" w:type="pct"/>
                  <w:noWrap w:val="0"/>
                  <w:vAlign w:val="center"/>
                </w:tcPr>
                <w:p w14:paraId="55739203">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g/cm</w:t>
                  </w:r>
                  <w:r>
                    <w:rPr>
                      <w:rFonts w:ascii="Times New Roman" w:hAnsi="Times New Roman"/>
                      <w:b/>
                      <w:bCs/>
                      <w:color w:val="auto"/>
                      <w:kern w:val="0"/>
                      <w:sz w:val="21"/>
                      <w:szCs w:val="21"/>
                      <w:highlight w:val="none"/>
                      <w:vertAlign w:val="superscript"/>
                      <w:lang w:val="zh-CN"/>
                    </w:rPr>
                    <w:t>3</w:t>
                  </w:r>
                </w:p>
              </w:tc>
              <w:tc>
                <w:tcPr>
                  <w:tcW w:w="1273" w:type="pct"/>
                  <w:noWrap w:val="0"/>
                  <w:vAlign w:val="center"/>
                </w:tcPr>
                <w:p w14:paraId="29F0B4D1">
                  <w:pPr>
                    <w:spacing w:line="240" w:lineRule="auto"/>
                    <w:ind w:firstLine="0" w:firstLineChars="0"/>
                    <w:jc w:val="center"/>
                    <w:rPr>
                      <w:rFonts w:ascii="Times New Roman" w:hAnsi="Times New Roman"/>
                      <w:b/>
                      <w:bCs/>
                      <w:color w:val="auto"/>
                      <w:kern w:val="0"/>
                      <w:sz w:val="21"/>
                      <w:szCs w:val="21"/>
                      <w:highlight w:val="none"/>
                      <w:lang w:val="zh-CN"/>
                    </w:rPr>
                  </w:pPr>
                  <w:r>
                    <w:rPr>
                      <w:rFonts w:ascii="Times New Roman" w:hAnsi="Times New Roman"/>
                      <w:b/>
                      <w:bCs/>
                      <w:color w:val="auto"/>
                      <w:kern w:val="0"/>
                      <w:sz w:val="21"/>
                      <w:szCs w:val="21"/>
                      <w:highlight w:val="none"/>
                      <w:lang w:val="zh-CN"/>
                    </w:rPr>
                    <w:t>g/L</w:t>
                  </w:r>
                </w:p>
              </w:tc>
            </w:tr>
            <w:tr w14:paraId="6E04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restart"/>
                  <w:noWrap w:val="0"/>
                  <w:vAlign w:val="center"/>
                </w:tcPr>
                <w:p w14:paraId="372CF3E3">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底漆</w:t>
                  </w:r>
                </w:p>
              </w:tc>
              <w:tc>
                <w:tcPr>
                  <w:tcW w:w="857" w:type="pct"/>
                  <w:noWrap w:val="0"/>
                  <w:vAlign w:val="center"/>
                </w:tcPr>
                <w:p w14:paraId="5E3148E9">
                  <w:pPr>
                    <w:spacing w:line="240" w:lineRule="auto"/>
                    <w:ind w:firstLine="0" w:firstLineChars="0"/>
                    <w:jc w:val="center"/>
                    <w:rPr>
                      <w:rFonts w:hint="eastAsia" w:ascii="Times New Roman" w:hAnsi="Times New Roman" w:eastAsia="宋体"/>
                      <w:color w:val="auto"/>
                      <w:kern w:val="0"/>
                      <w:sz w:val="21"/>
                      <w:szCs w:val="21"/>
                      <w:highlight w:val="none"/>
                      <w:lang w:val="zh-CN" w:eastAsia="zh-CN"/>
                    </w:rPr>
                  </w:pPr>
                  <w:r>
                    <w:rPr>
                      <w:rFonts w:hint="eastAsia"/>
                      <w:b w:val="0"/>
                      <w:bCs w:val="0"/>
                      <w:color w:val="auto"/>
                      <w:kern w:val="0"/>
                      <w:sz w:val="21"/>
                      <w:szCs w:val="21"/>
                      <w:highlight w:val="none"/>
                      <w:lang w:val="en-US" w:eastAsia="zh-CN"/>
                    </w:rPr>
                    <w:t>丙烯酸酯涂料</w:t>
                  </w:r>
                </w:p>
              </w:tc>
              <w:tc>
                <w:tcPr>
                  <w:tcW w:w="981" w:type="pct"/>
                  <w:noWrap w:val="0"/>
                  <w:vAlign w:val="center"/>
                </w:tcPr>
                <w:p w14:paraId="2F397761">
                  <w:pPr>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16.8</w:t>
                  </w:r>
                </w:p>
              </w:tc>
              <w:tc>
                <w:tcPr>
                  <w:tcW w:w="481" w:type="pct"/>
                  <w:shd w:val="clear" w:color="auto" w:fill="auto"/>
                  <w:noWrap w:val="0"/>
                  <w:vAlign w:val="center"/>
                </w:tcPr>
                <w:p w14:paraId="44B7B2C8">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6.923</w:t>
                  </w:r>
                </w:p>
              </w:tc>
              <w:tc>
                <w:tcPr>
                  <w:tcW w:w="988" w:type="pct"/>
                  <w:noWrap w:val="0"/>
                  <w:vAlign w:val="center"/>
                </w:tcPr>
                <w:p w14:paraId="08AF63BF">
                  <w:pPr>
                    <w:widowControl/>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bidi="ar"/>
                    </w:rPr>
                    <w:t>1.2</w:t>
                  </w:r>
                </w:p>
              </w:tc>
              <w:tc>
                <w:tcPr>
                  <w:tcW w:w="1273" w:type="pct"/>
                  <w:vMerge w:val="restart"/>
                  <w:noWrap w:val="0"/>
                  <w:vAlign w:val="center"/>
                </w:tcPr>
                <w:p w14:paraId="56D9AFEE">
                  <w:pPr>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401.28</w:t>
                  </w:r>
                </w:p>
              </w:tc>
            </w:tr>
            <w:tr w14:paraId="49C7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continue"/>
                  <w:shd w:val="clear" w:color="auto" w:fill="auto"/>
                  <w:noWrap w:val="0"/>
                  <w:vAlign w:val="center"/>
                </w:tcPr>
                <w:p w14:paraId="2FAB8ECC">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c>
                <w:tcPr>
                  <w:tcW w:w="857" w:type="pct"/>
                  <w:shd w:val="clear" w:color="auto" w:fill="auto"/>
                  <w:noWrap w:val="0"/>
                  <w:vAlign w:val="center"/>
                </w:tcPr>
                <w:p w14:paraId="535144AC">
                  <w:pPr>
                    <w:spacing w:line="240" w:lineRule="auto"/>
                    <w:ind w:firstLine="0" w:firstLineChars="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kern w:val="0"/>
                      <w:sz w:val="21"/>
                      <w:szCs w:val="21"/>
                      <w:highlight w:val="none"/>
                      <w:lang w:val="en-US" w:eastAsia="zh-CN"/>
                    </w:rPr>
                    <w:t>底漆稀释剂</w:t>
                  </w:r>
                </w:p>
              </w:tc>
              <w:tc>
                <w:tcPr>
                  <w:tcW w:w="981" w:type="pct"/>
                  <w:shd w:val="clear" w:color="auto" w:fill="auto"/>
                  <w:noWrap w:val="0"/>
                  <w:vAlign w:val="center"/>
                </w:tcPr>
                <w:p w14:paraId="4673749E">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100</w:t>
                  </w:r>
                </w:p>
              </w:tc>
              <w:tc>
                <w:tcPr>
                  <w:tcW w:w="481" w:type="pct"/>
                  <w:shd w:val="clear" w:color="auto" w:fill="auto"/>
                  <w:noWrap w:val="0"/>
                  <w:vAlign w:val="center"/>
                </w:tcPr>
                <w:p w14:paraId="5840209F">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0.692</w:t>
                  </w:r>
                </w:p>
              </w:tc>
              <w:tc>
                <w:tcPr>
                  <w:tcW w:w="988" w:type="pct"/>
                  <w:noWrap w:val="0"/>
                  <w:vAlign w:val="center"/>
                </w:tcPr>
                <w:p w14:paraId="2D3E61E9">
                  <w:pPr>
                    <w:widowControl/>
                    <w:spacing w:line="240" w:lineRule="auto"/>
                    <w:ind w:firstLine="0" w:firstLineChars="0"/>
                    <w:jc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1273" w:type="pct"/>
                  <w:vMerge w:val="continue"/>
                  <w:noWrap w:val="0"/>
                  <w:vAlign w:val="center"/>
                </w:tcPr>
                <w:p w14:paraId="670127AB">
                  <w:pPr>
                    <w:spacing w:line="240" w:lineRule="auto"/>
                    <w:ind w:firstLine="0" w:firstLineChars="0"/>
                    <w:jc w:val="center"/>
                    <w:rPr>
                      <w:rFonts w:hint="eastAsia"/>
                      <w:color w:val="auto"/>
                      <w:kern w:val="0"/>
                      <w:sz w:val="21"/>
                      <w:szCs w:val="21"/>
                      <w:highlight w:val="none"/>
                      <w:lang w:val="en-US" w:eastAsia="zh-CN"/>
                    </w:rPr>
                  </w:pPr>
                </w:p>
              </w:tc>
            </w:tr>
            <w:tr w14:paraId="7502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continue"/>
                  <w:shd w:val="clear" w:color="auto" w:fill="auto"/>
                  <w:noWrap w:val="0"/>
                  <w:vAlign w:val="center"/>
                </w:tcPr>
                <w:p w14:paraId="3E248C46">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857" w:type="pct"/>
                  <w:shd w:val="clear" w:color="auto" w:fill="auto"/>
                  <w:noWrap w:val="0"/>
                  <w:vAlign w:val="center"/>
                </w:tcPr>
                <w:p w14:paraId="538D0855">
                  <w:pPr>
                    <w:spacing w:line="240" w:lineRule="auto"/>
                    <w:ind w:firstLine="0" w:firstLineChars="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kern w:val="0"/>
                      <w:sz w:val="21"/>
                      <w:szCs w:val="21"/>
                      <w:highlight w:val="none"/>
                      <w:lang w:val="en-US" w:eastAsia="zh-CN"/>
                    </w:rPr>
                    <w:t>固化剂</w:t>
                  </w:r>
                </w:p>
              </w:tc>
              <w:tc>
                <w:tcPr>
                  <w:tcW w:w="981" w:type="pct"/>
                  <w:shd w:val="clear" w:color="auto" w:fill="auto"/>
                  <w:noWrap w:val="0"/>
                  <w:vAlign w:val="center"/>
                </w:tcPr>
                <w:p w14:paraId="153C3B59">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100</w:t>
                  </w:r>
                </w:p>
              </w:tc>
              <w:tc>
                <w:tcPr>
                  <w:tcW w:w="481" w:type="pct"/>
                  <w:shd w:val="clear" w:color="auto" w:fill="auto"/>
                  <w:noWrap w:val="0"/>
                  <w:vAlign w:val="center"/>
                </w:tcPr>
                <w:p w14:paraId="17B7E523">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1.038</w:t>
                  </w:r>
                </w:p>
              </w:tc>
              <w:tc>
                <w:tcPr>
                  <w:tcW w:w="988" w:type="pct"/>
                  <w:noWrap w:val="0"/>
                  <w:vAlign w:val="center"/>
                </w:tcPr>
                <w:p w14:paraId="61B068C0">
                  <w:pPr>
                    <w:widowControl/>
                    <w:spacing w:line="240" w:lineRule="auto"/>
                    <w:ind w:firstLine="0" w:firstLineChars="0"/>
                    <w:jc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1273" w:type="pct"/>
                  <w:vMerge w:val="continue"/>
                  <w:noWrap w:val="0"/>
                  <w:vAlign w:val="center"/>
                </w:tcPr>
                <w:p w14:paraId="3CF514D3">
                  <w:pPr>
                    <w:spacing w:line="240" w:lineRule="auto"/>
                    <w:ind w:firstLine="0" w:firstLineChars="0"/>
                    <w:jc w:val="center"/>
                    <w:rPr>
                      <w:rFonts w:hint="eastAsia"/>
                      <w:color w:val="auto"/>
                      <w:kern w:val="0"/>
                      <w:sz w:val="21"/>
                      <w:szCs w:val="21"/>
                      <w:highlight w:val="none"/>
                      <w:lang w:val="en-US" w:eastAsia="zh-CN"/>
                    </w:rPr>
                  </w:pPr>
                </w:p>
              </w:tc>
            </w:tr>
            <w:tr w14:paraId="0B59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restart"/>
                  <w:shd w:val="clear" w:color="auto" w:fill="auto"/>
                  <w:noWrap w:val="0"/>
                  <w:vAlign w:val="center"/>
                </w:tcPr>
                <w:p w14:paraId="63DB472A">
                  <w:pPr>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面漆</w:t>
                  </w:r>
                </w:p>
                <w:p w14:paraId="34B8AA0D">
                  <w:pPr>
                    <w:spacing w:line="240" w:lineRule="auto"/>
                    <w:ind w:firstLine="0" w:firstLineChars="0"/>
                    <w:jc w:val="center"/>
                    <w:rPr>
                      <w:rFonts w:hint="eastAsia" w:ascii="Times New Roman" w:hAnsi="Times New Roman"/>
                      <w:color w:val="auto"/>
                      <w:kern w:val="0"/>
                      <w:sz w:val="21"/>
                      <w:szCs w:val="21"/>
                      <w:highlight w:val="none"/>
                      <w:lang w:val="en-US" w:eastAsia="zh-CN"/>
                    </w:rPr>
                  </w:pPr>
                </w:p>
              </w:tc>
              <w:tc>
                <w:tcPr>
                  <w:tcW w:w="857" w:type="pct"/>
                  <w:shd w:val="clear" w:color="auto" w:fill="auto"/>
                  <w:noWrap w:val="0"/>
                  <w:vAlign w:val="center"/>
                </w:tcPr>
                <w:p w14:paraId="1C024A89">
                  <w:pPr>
                    <w:spacing w:line="240" w:lineRule="auto"/>
                    <w:ind w:firstLine="0" w:firstLineChars="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ascii="Times New Roman" w:hAnsi="Times New Roman"/>
                      <w:kern w:val="0"/>
                      <w:sz w:val="21"/>
                      <w:szCs w:val="21"/>
                      <w:highlight w:val="none"/>
                      <w:lang w:bidi="ar"/>
                    </w:rPr>
                    <w:t>UV面漆</w:t>
                  </w:r>
                </w:p>
              </w:tc>
              <w:tc>
                <w:tcPr>
                  <w:tcW w:w="981" w:type="pct"/>
                  <w:shd w:val="clear" w:color="auto" w:fill="auto"/>
                  <w:noWrap w:val="0"/>
                  <w:vAlign w:val="center"/>
                </w:tcPr>
                <w:p w14:paraId="2BBFD805">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25</w:t>
                  </w:r>
                </w:p>
              </w:tc>
              <w:tc>
                <w:tcPr>
                  <w:tcW w:w="481" w:type="pct"/>
                  <w:shd w:val="clear" w:color="auto" w:fill="auto"/>
                  <w:noWrap w:val="0"/>
                  <w:vAlign w:val="center"/>
                </w:tcPr>
                <w:p w14:paraId="17D09B3E">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0.512</w:t>
                  </w:r>
                </w:p>
              </w:tc>
              <w:tc>
                <w:tcPr>
                  <w:tcW w:w="988" w:type="pct"/>
                  <w:noWrap w:val="0"/>
                  <w:vAlign w:val="center"/>
                </w:tcPr>
                <w:p w14:paraId="7D665D55">
                  <w:pPr>
                    <w:widowControl/>
                    <w:spacing w:line="240" w:lineRule="auto"/>
                    <w:ind w:firstLine="0" w:firstLineChars="0"/>
                    <w:jc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1.2</w:t>
                  </w:r>
                </w:p>
              </w:tc>
              <w:tc>
                <w:tcPr>
                  <w:tcW w:w="1273" w:type="pct"/>
                  <w:vMerge w:val="restart"/>
                  <w:noWrap w:val="0"/>
                  <w:vAlign w:val="center"/>
                </w:tcPr>
                <w:p w14:paraId="0AEAF885">
                  <w:pPr>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381.81</w:t>
                  </w:r>
                </w:p>
              </w:tc>
            </w:tr>
            <w:tr w14:paraId="5910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418" w:type="pct"/>
                  <w:vMerge w:val="continue"/>
                  <w:noWrap w:val="0"/>
                  <w:vAlign w:val="center"/>
                </w:tcPr>
                <w:p w14:paraId="2C993CB0">
                  <w:pPr>
                    <w:spacing w:line="240" w:lineRule="auto"/>
                    <w:ind w:firstLine="0" w:firstLineChars="0"/>
                    <w:jc w:val="center"/>
                    <w:rPr>
                      <w:rFonts w:hint="eastAsia" w:ascii="Times New Roman" w:hAnsi="Times New Roman"/>
                      <w:color w:val="auto"/>
                      <w:kern w:val="0"/>
                      <w:sz w:val="21"/>
                      <w:szCs w:val="21"/>
                      <w:highlight w:val="none"/>
                      <w:lang w:val="en-US" w:eastAsia="zh-CN"/>
                    </w:rPr>
                  </w:pPr>
                </w:p>
              </w:tc>
              <w:tc>
                <w:tcPr>
                  <w:tcW w:w="857" w:type="pct"/>
                  <w:noWrap w:val="0"/>
                  <w:vAlign w:val="center"/>
                </w:tcPr>
                <w:p w14:paraId="71DC5248">
                  <w:pPr>
                    <w:spacing w:line="240" w:lineRule="auto"/>
                    <w:ind w:firstLine="0" w:firstLineChars="0"/>
                    <w:jc w:val="center"/>
                    <w:rPr>
                      <w:rFonts w:hint="eastAsia"/>
                      <w:b w:val="0"/>
                      <w:bCs w:val="0"/>
                      <w:color w:val="auto"/>
                      <w:kern w:val="0"/>
                      <w:sz w:val="21"/>
                      <w:szCs w:val="21"/>
                      <w:highlight w:val="none"/>
                      <w:lang w:val="en-US" w:eastAsia="zh-CN"/>
                    </w:rPr>
                  </w:pPr>
                  <w:r>
                    <w:rPr>
                      <w:rFonts w:hint="eastAsia" w:ascii="Times New Roman" w:hAnsi="Times New Roman"/>
                      <w:kern w:val="0"/>
                      <w:sz w:val="21"/>
                      <w:szCs w:val="21"/>
                      <w:highlight w:val="none"/>
                      <w:lang w:val="en-US" w:eastAsia="zh-CN"/>
                    </w:rPr>
                    <w:t>面漆稀释剂</w:t>
                  </w:r>
                </w:p>
              </w:tc>
              <w:tc>
                <w:tcPr>
                  <w:tcW w:w="981" w:type="pct"/>
                  <w:noWrap w:val="0"/>
                  <w:vAlign w:val="center"/>
                </w:tcPr>
                <w:p w14:paraId="1411C544">
                  <w:pPr>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100</w:t>
                  </w:r>
                </w:p>
              </w:tc>
              <w:tc>
                <w:tcPr>
                  <w:tcW w:w="481" w:type="pct"/>
                  <w:noWrap w:val="0"/>
                  <w:vAlign w:val="center"/>
                </w:tcPr>
                <w:p w14:paraId="2589104A">
                  <w:pPr>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0.051</w:t>
                  </w:r>
                </w:p>
              </w:tc>
              <w:tc>
                <w:tcPr>
                  <w:tcW w:w="988" w:type="pct"/>
                  <w:noWrap w:val="0"/>
                  <w:vAlign w:val="center"/>
                </w:tcPr>
                <w:p w14:paraId="71949649">
                  <w:pPr>
                    <w:widowControl/>
                    <w:spacing w:line="240" w:lineRule="auto"/>
                    <w:ind w:firstLine="0" w:firstLineChars="0"/>
                    <w:jc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1273" w:type="pct"/>
                  <w:vMerge w:val="continue"/>
                  <w:noWrap w:val="0"/>
                  <w:vAlign w:val="center"/>
                </w:tcPr>
                <w:p w14:paraId="306F5535">
                  <w:pPr>
                    <w:spacing w:line="240" w:lineRule="auto"/>
                    <w:ind w:firstLine="0" w:firstLineChars="0"/>
                    <w:jc w:val="center"/>
                    <w:rPr>
                      <w:rFonts w:hint="eastAsia"/>
                      <w:color w:val="auto"/>
                      <w:kern w:val="0"/>
                      <w:sz w:val="21"/>
                      <w:szCs w:val="21"/>
                      <w:highlight w:val="none"/>
                      <w:lang w:val="en-US" w:eastAsia="zh-CN"/>
                    </w:rPr>
                  </w:pPr>
                </w:p>
              </w:tc>
            </w:tr>
          </w:tbl>
          <w:p w14:paraId="638EF7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eastAsia="zh-CN"/>
              </w:rPr>
            </w:pPr>
            <w:r>
              <w:rPr>
                <w:rFonts w:ascii="Times New Roman" w:hAnsi="Times New Roman"/>
                <w:color w:val="auto"/>
                <w:highlight w:val="none"/>
              </w:rPr>
              <w:t>本项目</w:t>
            </w:r>
            <w:r>
              <w:rPr>
                <w:rFonts w:hint="eastAsia"/>
                <w:color w:val="auto"/>
                <w:highlight w:val="none"/>
                <w:lang w:val="en-US" w:eastAsia="zh-CN"/>
              </w:rPr>
              <w:t>调漆之后使用的漆类</w:t>
            </w:r>
            <w:r>
              <w:rPr>
                <w:rFonts w:ascii="Times New Roman" w:hAnsi="Times New Roman"/>
                <w:color w:val="auto"/>
                <w:highlight w:val="none"/>
              </w:rPr>
              <w:t>，VOCs含量满足《低挥发性有机化合物含量涂料产品技术要求》（GB/T 38597-2020）表2中工业防护涂料（机械设备涂料）</w:t>
            </w:r>
            <w:r>
              <w:rPr>
                <w:rFonts w:hint="eastAsia"/>
                <w:color w:val="auto"/>
                <w:highlight w:val="none"/>
                <w:lang w:val="en-US" w:eastAsia="zh-CN"/>
              </w:rPr>
              <w:t xml:space="preserve">中 底漆 </w:t>
            </w:r>
            <w:r>
              <w:rPr>
                <w:color w:val="auto"/>
                <w:highlight w:val="none"/>
              </w:rPr>
              <w:t>VOCs≤4</w:t>
            </w:r>
            <w:r>
              <w:rPr>
                <w:rFonts w:hint="eastAsia"/>
                <w:color w:val="auto"/>
                <w:highlight w:val="none"/>
                <w:lang w:val="en-US" w:eastAsia="zh-CN"/>
              </w:rPr>
              <w:t>2</w:t>
            </w:r>
            <w:r>
              <w:rPr>
                <w:color w:val="auto"/>
                <w:highlight w:val="none"/>
              </w:rPr>
              <w:t>0g/L的要求。</w:t>
            </w:r>
            <w:r>
              <w:rPr>
                <w:rFonts w:hint="eastAsia"/>
                <w:color w:val="auto"/>
                <w:highlight w:val="none"/>
                <w:lang w:val="en-US" w:eastAsia="zh-CN"/>
              </w:rPr>
              <w:t>根据《安徽省低挥发性有机物含量原辅材料替代工作方案》，项目使用油漆，按照产品需求，需要使用耐腐蚀性强的油性漆，故无法代替，并已按照《低挥发性有机物含量原辅材料源头替代技术指引（试行）》要求，开展低VOCs原辅材料的使用，</w:t>
            </w:r>
            <w:r>
              <w:rPr>
                <w:color w:val="auto"/>
                <w:highlight w:val="none"/>
              </w:rPr>
              <w:t>因此，本项目所使用的涂料均为低挥发性有机物涂料</w:t>
            </w:r>
            <w:r>
              <w:rPr>
                <w:rFonts w:hint="eastAsia"/>
                <w:color w:val="auto"/>
                <w:highlight w:val="none"/>
                <w:lang w:eastAsia="zh-CN"/>
              </w:rPr>
              <w:t>。</w:t>
            </w:r>
          </w:p>
          <w:p w14:paraId="6152BF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b/>
                <w:bCs/>
                <w:color w:val="auto"/>
                <w:spacing w:val="0"/>
                <w:sz w:val="24"/>
                <w:highlight w:val="none"/>
                <w:lang w:val="en-US" w:eastAsia="zh-CN"/>
              </w:rPr>
            </w:pP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eastAsia"/>
                <w:b/>
                <w:bCs/>
                <w:color w:val="auto"/>
                <w:highlight w:val="none"/>
                <w:lang w:val="en-US" w:eastAsia="zh-CN"/>
              </w:rPr>
              <w:t>物料平衡</w:t>
            </w:r>
          </w:p>
          <w:p w14:paraId="321367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b/>
                <w:bCs/>
                <w:color w:val="auto"/>
                <w:spacing w:val="0"/>
                <w:sz w:val="24"/>
                <w:highlight w:val="none"/>
                <w:lang w:val="en-US" w:eastAsia="zh-CN"/>
              </w:rPr>
            </w:pPr>
            <w:r>
              <w:rPr>
                <w:rFonts w:hint="eastAsia" w:cs="Times New Roman"/>
                <w:b/>
                <w:color w:val="auto"/>
                <w:spacing w:val="0"/>
                <w:sz w:val="24"/>
                <w:szCs w:val="24"/>
                <w:highlight w:val="none"/>
                <w:lang w:val="en-US" w:eastAsia="zh-CN" w:bidi="ar"/>
              </w:rPr>
              <w:t xml:space="preserve">表2-8  </w:t>
            </w:r>
            <w:r>
              <w:rPr>
                <w:rFonts w:hint="eastAsia" w:ascii="Times New Roman" w:hAnsi="Times New Roman" w:eastAsia="宋体" w:cs="Times New Roman"/>
                <w:b/>
                <w:color w:val="auto"/>
                <w:spacing w:val="0"/>
                <w:sz w:val="24"/>
                <w:szCs w:val="24"/>
                <w:highlight w:val="none"/>
                <w:lang w:bidi="ar"/>
              </w:rPr>
              <w:t>漆</w:t>
            </w:r>
            <w:r>
              <w:rPr>
                <w:rFonts w:ascii="Times New Roman" w:hAnsi="Times New Roman" w:eastAsia="宋体" w:cs="Times New Roman"/>
                <w:b/>
                <w:bCs/>
                <w:color w:val="auto"/>
                <w:spacing w:val="0"/>
                <w:sz w:val="24"/>
                <w:szCs w:val="24"/>
                <w:highlight w:val="none"/>
                <w:lang w:bidi="ar"/>
              </w:rPr>
              <w:t>物料平衡</w:t>
            </w:r>
            <w:r>
              <w:rPr>
                <w:rFonts w:hint="eastAsia" w:ascii="Times New Roman" w:hAnsi="Times New Roman" w:eastAsia="宋体" w:cs="Times New Roman"/>
                <w:b/>
                <w:bCs/>
                <w:color w:val="auto"/>
                <w:spacing w:val="0"/>
                <w:sz w:val="24"/>
                <w:szCs w:val="24"/>
                <w:highlight w:val="none"/>
                <w:lang w:bidi="ar"/>
              </w:rPr>
              <w:t>表</w:t>
            </w:r>
          </w:p>
          <w:tbl>
            <w:tblPr>
              <w:tblStyle w:val="21"/>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1686"/>
              <w:gridCol w:w="1352"/>
              <w:gridCol w:w="1352"/>
              <w:gridCol w:w="1350"/>
            </w:tblGrid>
            <w:tr w14:paraId="1F2C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3" w:type="dxa"/>
                  <w:gridSpan w:val="2"/>
                  <w:vAlign w:val="center"/>
                </w:tcPr>
                <w:p w14:paraId="428B032B">
                  <w:pPr>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投入</w:t>
                  </w:r>
                </w:p>
              </w:tc>
              <w:tc>
                <w:tcPr>
                  <w:tcW w:w="4054" w:type="dxa"/>
                  <w:gridSpan w:val="3"/>
                  <w:vAlign w:val="center"/>
                </w:tcPr>
                <w:p w14:paraId="1FE6800D">
                  <w:pPr>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产出</w:t>
                  </w:r>
                </w:p>
              </w:tc>
            </w:tr>
            <w:tr w14:paraId="203A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3003F6B6">
                  <w:pPr>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名称</w:t>
                  </w:r>
                </w:p>
              </w:tc>
              <w:tc>
                <w:tcPr>
                  <w:tcW w:w="1686" w:type="dxa"/>
                  <w:vAlign w:val="center"/>
                </w:tcPr>
                <w:p w14:paraId="562BC2EC">
                  <w:pPr>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数量t/a</w:t>
                  </w:r>
                </w:p>
              </w:tc>
              <w:tc>
                <w:tcPr>
                  <w:tcW w:w="1352" w:type="dxa"/>
                  <w:vAlign w:val="center"/>
                </w:tcPr>
                <w:p w14:paraId="61507367">
                  <w:pPr>
                    <w:autoSpaceDE w:val="0"/>
                    <w:autoSpaceDN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类别</w:t>
                  </w:r>
                </w:p>
              </w:tc>
              <w:tc>
                <w:tcPr>
                  <w:tcW w:w="1352" w:type="dxa"/>
                  <w:vAlign w:val="center"/>
                </w:tcPr>
                <w:p w14:paraId="24EA9595">
                  <w:pPr>
                    <w:autoSpaceDE w:val="0"/>
                    <w:autoSpaceDN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名称</w:t>
                  </w:r>
                </w:p>
              </w:tc>
              <w:tc>
                <w:tcPr>
                  <w:tcW w:w="1350" w:type="dxa"/>
                  <w:vAlign w:val="center"/>
                </w:tcPr>
                <w:p w14:paraId="6669FABA">
                  <w:pPr>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数量t/a</w:t>
                  </w:r>
                </w:p>
              </w:tc>
            </w:tr>
            <w:tr w14:paraId="6DB1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703215EC">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底漆</w:t>
                  </w:r>
                </w:p>
              </w:tc>
              <w:tc>
                <w:tcPr>
                  <w:tcW w:w="1686" w:type="dxa"/>
                  <w:vAlign w:val="center"/>
                </w:tcPr>
                <w:p w14:paraId="1325FB9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6.923</w:t>
                  </w:r>
                </w:p>
              </w:tc>
              <w:tc>
                <w:tcPr>
                  <w:tcW w:w="1352" w:type="dxa"/>
                  <w:vAlign w:val="center"/>
                </w:tcPr>
                <w:p w14:paraId="0C661D46">
                  <w:pPr>
                    <w:autoSpaceDE w:val="0"/>
                    <w:autoSpaceDN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进入产品</w:t>
                  </w:r>
                </w:p>
              </w:tc>
              <w:tc>
                <w:tcPr>
                  <w:tcW w:w="1352" w:type="dxa"/>
                  <w:vAlign w:val="center"/>
                </w:tcPr>
                <w:p w14:paraId="6BF2B6BE">
                  <w:pPr>
                    <w:autoSpaceDE w:val="0"/>
                    <w:autoSpaceDN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漆膜</w:t>
                  </w:r>
                </w:p>
              </w:tc>
              <w:tc>
                <w:tcPr>
                  <w:tcW w:w="1350" w:type="dxa"/>
                  <w:vAlign w:val="center"/>
                </w:tcPr>
                <w:p w14:paraId="28B6E1E1">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4.608</w:t>
                  </w:r>
                </w:p>
              </w:tc>
            </w:tr>
            <w:tr w14:paraId="7ACB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760D639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kern w:val="0"/>
                      <w:sz w:val="21"/>
                      <w:szCs w:val="21"/>
                      <w:highlight w:val="none"/>
                      <w:lang w:val="en-US" w:eastAsia="zh-CN"/>
                    </w:rPr>
                    <w:t>底漆稀释剂</w:t>
                  </w:r>
                </w:p>
              </w:tc>
              <w:tc>
                <w:tcPr>
                  <w:tcW w:w="1686" w:type="dxa"/>
                  <w:vAlign w:val="center"/>
                </w:tcPr>
                <w:p w14:paraId="421DFA3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0.692</w:t>
                  </w:r>
                </w:p>
              </w:tc>
              <w:tc>
                <w:tcPr>
                  <w:tcW w:w="1352" w:type="dxa"/>
                  <w:vMerge w:val="restart"/>
                  <w:vAlign w:val="center"/>
                </w:tcPr>
                <w:p w14:paraId="333F8FCA">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废气处理装置</w:t>
                  </w:r>
                  <w:r>
                    <w:rPr>
                      <w:rFonts w:hint="eastAsia" w:ascii="Times New Roman" w:hAnsi="Times New Roman" w:eastAsia="宋体" w:cs="Times New Roman"/>
                      <w:color w:val="auto"/>
                      <w:sz w:val="21"/>
                      <w:szCs w:val="21"/>
                      <w:highlight w:val="none"/>
                    </w:rPr>
                    <w:t>处理</w:t>
                  </w:r>
                </w:p>
              </w:tc>
              <w:tc>
                <w:tcPr>
                  <w:tcW w:w="1352" w:type="dxa"/>
                  <w:vAlign w:val="center"/>
                </w:tcPr>
                <w:p w14:paraId="716F34B9">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非甲烷总烃</w:t>
                  </w:r>
                </w:p>
              </w:tc>
              <w:tc>
                <w:tcPr>
                  <w:tcW w:w="1350" w:type="dxa"/>
                  <w:vAlign w:val="center"/>
                </w:tcPr>
                <w:p w14:paraId="740D3891">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2.548</w:t>
                  </w:r>
                </w:p>
              </w:tc>
            </w:tr>
            <w:tr w14:paraId="0718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35905AF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kern w:val="0"/>
                      <w:sz w:val="21"/>
                      <w:szCs w:val="21"/>
                      <w:highlight w:val="none"/>
                      <w:lang w:val="en-US" w:eastAsia="zh-CN"/>
                    </w:rPr>
                    <w:t>固化剂</w:t>
                  </w:r>
                </w:p>
              </w:tc>
              <w:tc>
                <w:tcPr>
                  <w:tcW w:w="1686" w:type="dxa"/>
                  <w:vAlign w:val="center"/>
                </w:tcPr>
                <w:p w14:paraId="511EF38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1.038</w:t>
                  </w:r>
                </w:p>
              </w:tc>
              <w:tc>
                <w:tcPr>
                  <w:tcW w:w="1352" w:type="dxa"/>
                  <w:vMerge w:val="continue"/>
                  <w:vAlign w:val="center"/>
                </w:tcPr>
                <w:p w14:paraId="56B26FD8">
                  <w:pPr>
                    <w:jc w:val="center"/>
                    <w:rPr>
                      <w:rFonts w:ascii="Times New Roman" w:hAnsi="Times New Roman" w:eastAsia="宋体" w:cs="Times New Roman"/>
                      <w:color w:val="auto"/>
                      <w:sz w:val="21"/>
                      <w:szCs w:val="21"/>
                      <w:highlight w:val="none"/>
                    </w:rPr>
                  </w:pPr>
                </w:p>
              </w:tc>
              <w:tc>
                <w:tcPr>
                  <w:tcW w:w="1352" w:type="dxa"/>
                  <w:vAlign w:val="center"/>
                </w:tcPr>
                <w:p w14:paraId="522B452F">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350" w:type="dxa"/>
                  <w:vAlign w:val="center"/>
                </w:tcPr>
                <w:p w14:paraId="5E466FAE">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1.167</w:t>
                  </w:r>
                </w:p>
              </w:tc>
            </w:tr>
            <w:tr w14:paraId="302E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456F6B9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面漆</w:t>
                  </w:r>
                </w:p>
              </w:tc>
              <w:tc>
                <w:tcPr>
                  <w:tcW w:w="1686" w:type="dxa"/>
                  <w:vAlign w:val="center"/>
                </w:tcPr>
                <w:p w14:paraId="2132324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0.512</w:t>
                  </w:r>
                </w:p>
              </w:tc>
              <w:tc>
                <w:tcPr>
                  <w:tcW w:w="1352" w:type="dxa"/>
                  <w:vMerge w:val="restart"/>
                  <w:vAlign w:val="center"/>
                </w:tcPr>
                <w:p w14:paraId="021220B9">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有组织排放</w:t>
                  </w:r>
                </w:p>
              </w:tc>
              <w:tc>
                <w:tcPr>
                  <w:tcW w:w="1352" w:type="dxa"/>
                  <w:vAlign w:val="center"/>
                </w:tcPr>
                <w:p w14:paraId="795149ED">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非甲烷总烃</w:t>
                  </w:r>
                </w:p>
              </w:tc>
              <w:tc>
                <w:tcPr>
                  <w:tcW w:w="1350" w:type="dxa"/>
                  <w:vAlign w:val="center"/>
                </w:tcPr>
                <w:p w14:paraId="1B7DFAF3">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0.371</w:t>
                  </w:r>
                </w:p>
              </w:tc>
            </w:tr>
            <w:tr w14:paraId="6B7A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11BCAF3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kern w:val="0"/>
                      <w:sz w:val="21"/>
                      <w:szCs w:val="21"/>
                      <w:highlight w:val="none"/>
                      <w:lang w:val="en-US" w:eastAsia="zh-CN"/>
                    </w:rPr>
                    <w:t>面漆稀释剂</w:t>
                  </w:r>
                </w:p>
              </w:tc>
              <w:tc>
                <w:tcPr>
                  <w:tcW w:w="1686" w:type="dxa"/>
                  <w:vAlign w:val="center"/>
                </w:tcPr>
                <w:p w14:paraId="5A7F03D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0.051</w:t>
                  </w:r>
                </w:p>
              </w:tc>
              <w:tc>
                <w:tcPr>
                  <w:tcW w:w="1352" w:type="dxa"/>
                  <w:vMerge w:val="continue"/>
                  <w:vAlign w:val="center"/>
                </w:tcPr>
                <w:p w14:paraId="3E08F60C">
                  <w:pPr>
                    <w:jc w:val="center"/>
                    <w:rPr>
                      <w:rFonts w:ascii="Times New Roman" w:hAnsi="Times New Roman" w:eastAsia="宋体" w:cs="Times New Roman"/>
                      <w:color w:val="auto"/>
                      <w:sz w:val="21"/>
                      <w:szCs w:val="21"/>
                      <w:highlight w:val="none"/>
                    </w:rPr>
                  </w:pPr>
                </w:p>
              </w:tc>
              <w:tc>
                <w:tcPr>
                  <w:tcW w:w="1352" w:type="dxa"/>
                  <w:vAlign w:val="center"/>
                </w:tcPr>
                <w:p w14:paraId="6D93526A">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350" w:type="dxa"/>
                  <w:vAlign w:val="center"/>
                </w:tcPr>
                <w:p w14:paraId="47E57F02">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0.292</w:t>
                  </w:r>
                </w:p>
              </w:tc>
            </w:tr>
            <w:tr w14:paraId="4812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59DEEEDA">
                  <w:pPr>
                    <w:jc w:val="center"/>
                    <w:rPr>
                      <w:rFonts w:ascii="Times New Roman" w:hAnsi="Times New Roman" w:eastAsia="宋体" w:cs="Times New Roman"/>
                      <w:color w:val="auto"/>
                      <w:sz w:val="21"/>
                      <w:szCs w:val="21"/>
                      <w:highlight w:val="none"/>
                    </w:rPr>
                  </w:pPr>
                </w:p>
              </w:tc>
              <w:tc>
                <w:tcPr>
                  <w:tcW w:w="1686" w:type="dxa"/>
                  <w:vAlign w:val="center"/>
                </w:tcPr>
                <w:p w14:paraId="2D4F2F9E">
                  <w:pPr>
                    <w:widowControl/>
                    <w:jc w:val="center"/>
                    <w:textAlignment w:val="center"/>
                    <w:rPr>
                      <w:rFonts w:ascii="Times New Roman" w:hAnsi="Times New Roman" w:eastAsia="宋体" w:cs="Times New Roman"/>
                      <w:color w:val="auto"/>
                      <w:sz w:val="21"/>
                      <w:szCs w:val="21"/>
                      <w:highlight w:val="none"/>
                    </w:rPr>
                  </w:pPr>
                </w:p>
              </w:tc>
              <w:tc>
                <w:tcPr>
                  <w:tcW w:w="1352" w:type="dxa"/>
                  <w:vMerge w:val="restart"/>
                  <w:vAlign w:val="center"/>
                </w:tcPr>
                <w:p w14:paraId="5A6829E3">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无组织排放</w:t>
                  </w:r>
                </w:p>
              </w:tc>
              <w:tc>
                <w:tcPr>
                  <w:tcW w:w="1352" w:type="dxa"/>
                  <w:vAlign w:val="center"/>
                </w:tcPr>
                <w:p w14:paraId="4EC93283">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非甲烷总烃</w:t>
                  </w:r>
                </w:p>
              </w:tc>
              <w:tc>
                <w:tcPr>
                  <w:tcW w:w="1350" w:type="dxa"/>
                  <w:vAlign w:val="center"/>
                </w:tcPr>
                <w:p w14:paraId="42D65C93">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0.154</w:t>
                  </w:r>
                </w:p>
              </w:tc>
            </w:tr>
            <w:tr w14:paraId="5A23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501F4B70">
                  <w:pPr>
                    <w:jc w:val="center"/>
                    <w:rPr>
                      <w:rFonts w:ascii="Times New Roman" w:hAnsi="Times New Roman" w:eastAsia="宋体" w:cs="Times New Roman"/>
                      <w:color w:val="auto"/>
                      <w:sz w:val="21"/>
                      <w:szCs w:val="21"/>
                      <w:highlight w:val="none"/>
                    </w:rPr>
                  </w:pPr>
                </w:p>
              </w:tc>
              <w:tc>
                <w:tcPr>
                  <w:tcW w:w="1686" w:type="dxa"/>
                  <w:vAlign w:val="center"/>
                </w:tcPr>
                <w:p w14:paraId="7C8F7E7A">
                  <w:pPr>
                    <w:widowControl/>
                    <w:jc w:val="center"/>
                    <w:textAlignment w:val="center"/>
                    <w:rPr>
                      <w:rFonts w:ascii="Times New Roman" w:hAnsi="Times New Roman" w:eastAsia="宋体" w:cs="Times New Roman"/>
                      <w:color w:val="auto"/>
                      <w:sz w:val="21"/>
                      <w:szCs w:val="21"/>
                      <w:highlight w:val="none"/>
                    </w:rPr>
                  </w:pPr>
                </w:p>
              </w:tc>
              <w:tc>
                <w:tcPr>
                  <w:tcW w:w="1352" w:type="dxa"/>
                  <w:vMerge w:val="continue"/>
                  <w:vAlign w:val="center"/>
                </w:tcPr>
                <w:p w14:paraId="454B1F5F">
                  <w:pPr>
                    <w:jc w:val="center"/>
                    <w:rPr>
                      <w:rFonts w:hint="eastAsia" w:ascii="Times New Roman" w:hAnsi="Times New Roman" w:eastAsia="宋体" w:cs="Times New Roman"/>
                      <w:color w:val="auto"/>
                      <w:sz w:val="21"/>
                      <w:szCs w:val="21"/>
                      <w:highlight w:val="none"/>
                    </w:rPr>
                  </w:pPr>
                </w:p>
              </w:tc>
              <w:tc>
                <w:tcPr>
                  <w:tcW w:w="1352" w:type="dxa"/>
                  <w:vAlign w:val="center"/>
                </w:tcPr>
                <w:p w14:paraId="40514A55">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350" w:type="dxa"/>
                  <w:vAlign w:val="center"/>
                </w:tcPr>
                <w:p w14:paraId="0B9DFA81">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0.007</w:t>
                  </w:r>
                </w:p>
              </w:tc>
            </w:tr>
            <w:tr w14:paraId="6C65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429D155F">
                  <w:pPr>
                    <w:jc w:val="center"/>
                    <w:rPr>
                      <w:rFonts w:ascii="Times New Roman" w:hAnsi="Times New Roman" w:eastAsia="宋体" w:cs="Times New Roman"/>
                      <w:color w:val="auto"/>
                      <w:sz w:val="21"/>
                      <w:szCs w:val="21"/>
                      <w:highlight w:val="none"/>
                    </w:rPr>
                  </w:pPr>
                </w:p>
              </w:tc>
              <w:tc>
                <w:tcPr>
                  <w:tcW w:w="1686" w:type="dxa"/>
                  <w:vAlign w:val="center"/>
                </w:tcPr>
                <w:p w14:paraId="217EA73F">
                  <w:pPr>
                    <w:widowControl/>
                    <w:jc w:val="center"/>
                    <w:textAlignment w:val="center"/>
                    <w:rPr>
                      <w:rFonts w:ascii="Times New Roman" w:hAnsi="Times New Roman" w:eastAsia="宋体" w:cs="Times New Roman"/>
                      <w:color w:val="auto"/>
                      <w:sz w:val="21"/>
                      <w:szCs w:val="21"/>
                      <w:highlight w:val="none"/>
                    </w:rPr>
                  </w:pPr>
                </w:p>
              </w:tc>
              <w:tc>
                <w:tcPr>
                  <w:tcW w:w="2704" w:type="dxa"/>
                  <w:gridSpan w:val="2"/>
                  <w:vAlign w:val="center"/>
                </w:tcPr>
                <w:p w14:paraId="7B075CC2">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漆渣</w:t>
                  </w:r>
                </w:p>
              </w:tc>
              <w:tc>
                <w:tcPr>
                  <w:tcW w:w="1350" w:type="dxa"/>
                  <w:vAlign w:val="center"/>
                </w:tcPr>
                <w:p w14:paraId="47B3A20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r>
            <w:tr w14:paraId="75AA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dxa"/>
                  <w:vAlign w:val="center"/>
                </w:tcPr>
                <w:p w14:paraId="6E5708FB">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总计</w:t>
                  </w:r>
                </w:p>
              </w:tc>
              <w:tc>
                <w:tcPr>
                  <w:tcW w:w="1686" w:type="dxa"/>
                  <w:vAlign w:val="center"/>
                </w:tcPr>
                <w:p w14:paraId="4206AF4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9.217</w:t>
                  </w:r>
                </w:p>
              </w:tc>
              <w:tc>
                <w:tcPr>
                  <w:tcW w:w="2704" w:type="dxa"/>
                  <w:gridSpan w:val="2"/>
                  <w:vAlign w:val="center"/>
                </w:tcPr>
                <w:p w14:paraId="7B28BDF3">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总计</w:t>
                  </w:r>
                </w:p>
              </w:tc>
              <w:tc>
                <w:tcPr>
                  <w:tcW w:w="1350" w:type="dxa"/>
                  <w:vAlign w:val="center"/>
                </w:tcPr>
                <w:p w14:paraId="0A4C8D7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9.217</w:t>
                  </w:r>
                </w:p>
              </w:tc>
            </w:tr>
          </w:tbl>
          <w:p w14:paraId="31B0C31D">
            <w:pPr>
              <w:numPr>
                <w:ilvl w:val="0"/>
                <w:numId w:val="0"/>
              </w:numPr>
              <w:adjustRightInd w:val="0"/>
              <w:snapToGrid w:val="0"/>
              <w:spacing w:before="120" w:beforeLines="50" w:line="360" w:lineRule="auto"/>
              <w:ind w:leftChars="0"/>
              <w:jc w:val="both"/>
              <w:rPr>
                <w:rFonts w:hint="default"/>
                <w:b/>
                <w:bCs/>
                <w:color w:val="auto"/>
                <w:highlight w:val="none"/>
                <w:lang w:val="en-US" w:eastAsia="zh-CN"/>
              </w:rPr>
            </w:pPr>
            <w:r>
              <w:rPr>
                <w:rFonts w:hint="default"/>
                <w:b/>
                <w:bCs/>
                <w:color w:val="auto"/>
                <w:highlight w:val="none"/>
                <w:lang w:val="en-US" w:eastAsia="zh-CN"/>
              </w:rPr>
              <w:drawing>
                <wp:inline distT="0" distB="0" distL="114300" distR="114300">
                  <wp:extent cx="5091430" cy="2733675"/>
                  <wp:effectExtent l="0" t="0" r="0" b="0"/>
                  <wp:docPr id="2" name="ECB019B1-382A-4266-B25C-5B523AA43C14-1" descr="C:/Users/Administrator/AppData/Local/Temp/wps.pLkun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dministrator/AppData/Local/Temp/wps.pLkunywps"/>
                          <pic:cNvPicPr>
                            <a:picLocks noChangeAspect="1"/>
                          </pic:cNvPicPr>
                        </pic:nvPicPr>
                        <pic:blipFill>
                          <a:blip r:embed="rId14"/>
                          <a:stretch>
                            <a:fillRect/>
                          </a:stretch>
                        </pic:blipFill>
                        <pic:spPr>
                          <a:xfrm>
                            <a:off x="0" y="0"/>
                            <a:ext cx="5091430" cy="2733675"/>
                          </a:xfrm>
                          <a:prstGeom prst="rect">
                            <a:avLst/>
                          </a:prstGeom>
                        </pic:spPr>
                      </pic:pic>
                    </a:graphicData>
                  </a:graphic>
                </wp:inline>
              </w:drawing>
            </w:r>
          </w:p>
          <w:p w14:paraId="78B34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highlight w:val="none"/>
                <w:lang w:val="en-US" w:eastAsia="zh-CN"/>
              </w:rPr>
            </w:pPr>
            <w:r>
              <w:rPr>
                <w:rFonts w:hint="eastAsia" w:ascii="Times New Roman" w:hAnsi="Times New Roman" w:eastAsia="宋体" w:cs="Times New Roman"/>
                <w:b/>
                <w:bCs/>
                <w:color w:val="auto"/>
                <w:highlight w:val="none"/>
                <w:lang w:val="en-US" w:eastAsia="zh-CN"/>
              </w:rPr>
              <w:t>图2</w:t>
            </w:r>
            <w:r>
              <w:rPr>
                <w:rFonts w:hint="eastAsia" w:cs="Times New Roman"/>
                <w:b/>
                <w:bCs/>
                <w:color w:val="auto"/>
                <w:highlight w:val="none"/>
                <w:lang w:val="en-US" w:eastAsia="zh-CN"/>
              </w:rPr>
              <w:t>-1</w:t>
            </w:r>
            <w:r>
              <w:rPr>
                <w:rFonts w:hint="eastAsia" w:ascii="Times New Roman" w:hAnsi="Times New Roman" w:eastAsia="宋体" w:cs="Times New Roman"/>
                <w:b/>
                <w:bCs/>
                <w:color w:val="auto"/>
                <w:kern w:val="0"/>
                <w:sz w:val="24"/>
                <w:szCs w:val="24"/>
                <w:highlight w:val="none"/>
                <w:lang w:bidi="en-US"/>
              </w:rPr>
              <w:t>油漆</w:t>
            </w:r>
            <w:r>
              <w:rPr>
                <w:rFonts w:ascii="Times New Roman" w:hAnsi="Times New Roman" w:eastAsia="宋体" w:cs="Times New Roman"/>
                <w:b/>
                <w:bCs/>
                <w:color w:val="auto"/>
                <w:kern w:val="0"/>
                <w:sz w:val="24"/>
                <w:szCs w:val="24"/>
                <w:highlight w:val="none"/>
                <w:lang w:bidi="en-US"/>
              </w:rPr>
              <w:t>物料平衡图（单位：t/a）</w:t>
            </w:r>
          </w:p>
          <w:p w14:paraId="0A2B9447">
            <w:pPr>
              <w:adjustRightInd w:val="0"/>
              <w:snapToGrid w:val="0"/>
              <w:spacing w:before="120" w:beforeLines="50" w:line="360" w:lineRule="auto"/>
              <w:rPr>
                <w:b/>
                <w:bCs/>
                <w:color w:val="auto"/>
                <w:highlight w:val="none"/>
              </w:rPr>
            </w:pPr>
            <w:r>
              <w:rPr>
                <w:rFonts w:hint="eastAsia"/>
                <w:b/>
                <w:bCs/>
                <w:color w:val="auto"/>
                <w:highlight w:val="none"/>
                <w:lang w:val="en-US" w:eastAsia="zh-CN"/>
              </w:rPr>
              <w:t>6</w:t>
            </w:r>
            <w:r>
              <w:rPr>
                <w:rFonts w:hint="eastAsia"/>
                <w:b/>
                <w:bCs/>
                <w:color w:val="auto"/>
                <w:highlight w:val="none"/>
              </w:rPr>
              <w:t>、水量平衡</w:t>
            </w:r>
          </w:p>
          <w:p w14:paraId="74BD8DEB">
            <w:pPr>
              <w:spacing w:line="360" w:lineRule="auto"/>
              <w:ind w:firstLine="480" w:firstLineChars="200"/>
              <w:rPr>
                <w:rFonts w:hint="default" w:eastAsia="宋体"/>
                <w:color w:val="auto"/>
                <w:highlight w:val="none"/>
                <w:lang w:val="en-US" w:eastAsia="zh-CN"/>
              </w:rPr>
            </w:pPr>
            <w:r>
              <w:rPr>
                <w:color w:val="auto"/>
                <w:highlight w:val="none"/>
              </w:rPr>
              <w:t>项目用水主要是</w:t>
            </w:r>
            <w:r>
              <w:rPr>
                <w:rFonts w:hint="eastAsia"/>
                <w:color w:val="auto"/>
                <w:highlight w:val="none"/>
                <w:lang w:val="en-US" w:eastAsia="zh-CN"/>
              </w:rPr>
              <w:t>员工生活用水、冷却循环水、喷淋塔用水、转印用水。</w:t>
            </w:r>
          </w:p>
          <w:p w14:paraId="3298CD91">
            <w:pPr>
              <w:spacing w:line="360" w:lineRule="auto"/>
              <w:ind w:firstLine="480" w:firstLineChars="200"/>
              <w:rPr>
                <w:rFonts w:hint="eastAsia"/>
                <w:color w:val="auto"/>
                <w:highlight w:val="none"/>
              </w:rPr>
            </w:pPr>
            <w:r>
              <w:rPr>
                <w:rFonts w:hint="eastAsia"/>
                <w:color w:val="auto"/>
                <w:highlight w:val="none"/>
                <w:lang w:val="en-US" w:eastAsia="zh-CN"/>
              </w:rPr>
              <w:t>①员工生活用水：</w:t>
            </w:r>
            <w:bookmarkStart w:id="38" w:name="_Hlk156469152"/>
            <w:r>
              <w:rPr>
                <w:color w:val="auto"/>
                <w:sz w:val="24"/>
                <w:highlight w:val="none"/>
              </w:rPr>
              <w:t>项目劳动定员</w:t>
            </w:r>
            <w:r>
              <w:rPr>
                <w:rFonts w:hint="eastAsia"/>
                <w:color w:val="auto"/>
                <w:sz w:val="24"/>
                <w:highlight w:val="none"/>
                <w:lang w:val="en-US" w:eastAsia="zh-CN"/>
              </w:rPr>
              <w:t>40</w:t>
            </w:r>
            <w:r>
              <w:rPr>
                <w:color w:val="auto"/>
                <w:sz w:val="24"/>
                <w:highlight w:val="none"/>
              </w:rPr>
              <w:t>人，</w:t>
            </w:r>
            <w:r>
              <w:rPr>
                <w:rFonts w:hint="eastAsia"/>
                <w:color w:val="auto"/>
                <w:sz w:val="24"/>
                <w:highlight w:val="none"/>
              </w:rPr>
              <w:t>年工作3</w:t>
            </w:r>
            <w:r>
              <w:rPr>
                <w:color w:val="auto"/>
                <w:sz w:val="24"/>
                <w:highlight w:val="none"/>
              </w:rPr>
              <w:t>00</w:t>
            </w:r>
            <w:r>
              <w:rPr>
                <w:rFonts w:hint="eastAsia"/>
                <w:color w:val="auto"/>
                <w:sz w:val="24"/>
                <w:highlight w:val="none"/>
              </w:rPr>
              <w:t>天，厂区不</w:t>
            </w:r>
            <w:r>
              <w:rPr>
                <w:color w:val="auto"/>
                <w:sz w:val="24"/>
                <w:highlight w:val="none"/>
              </w:rPr>
              <w:t>提供食宿。根据《</w:t>
            </w:r>
            <w:r>
              <w:rPr>
                <w:rFonts w:hint="eastAsia"/>
                <w:color w:val="auto"/>
                <w:sz w:val="24"/>
                <w:highlight w:val="none"/>
              </w:rPr>
              <w:t>宿州市城市</w:t>
            </w:r>
            <w:r>
              <w:rPr>
                <w:color w:val="auto"/>
                <w:sz w:val="24"/>
                <w:highlight w:val="none"/>
              </w:rPr>
              <w:t>行业用水定额》（DB3413</w:t>
            </w:r>
            <w:r>
              <w:rPr>
                <w:rFonts w:hint="eastAsia"/>
                <w:color w:val="auto"/>
                <w:sz w:val="24"/>
                <w:highlight w:val="none"/>
              </w:rPr>
              <w:t>/</w:t>
            </w:r>
            <w:r>
              <w:rPr>
                <w:color w:val="auto"/>
                <w:sz w:val="24"/>
                <w:highlight w:val="none"/>
              </w:rPr>
              <w:t>T0001-2020），员工用水定额按70L/人·d计算，生活用水量为</w:t>
            </w:r>
            <w:r>
              <w:rPr>
                <w:rFonts w:hint="eastAsia"/>
                <w:color w:val="auto"/>
                <w:sz w:val="24"/>
                <w:highlight w:val="none"/>
                <w:lang w:val="en-US" w:eastAsia="zh-CN"/>
              </w:rPr>
              <w:t>840</w:t>
            </w:r>
            <w:r>
              <w:rPr>
                <w:rFonts w:hint="eastAsia"/>
                <w:color w:val="auto"/>
                <w:sz w:val="24"/>
                <w:highlight w:val="none"/>
              </w:rPr>
              <w:t>t/a，</w:t>
            </w:r>
            <w:r>
              <w:rPr>
                <w:color w:val="auto"/>
                <w:sz w:val="24"/>
                <w:highlight w:val="none"/>
              </w:rPr>
              <w:t>污水产生量按照用水量80%计算，则</w:t>
            </w:r>
            <w:r>
              <w:rPr>
                <w:rFonts w:hint="eastAsia"/>
                <w:color w:val="auto"/>
                <w:sz w:val="24"/>
                <w:highlight w:val="none"/>
                <w:lang w:val="en-US" w:eastAsia="zh-CN"/>
              </w:rPr>
              <w:t>生活污水</w:t>
            </w:r>
            <w:r>
              <w:rPr>
                <w:rFonts w:hint="eastAsia"/>
                <w:color w:val="auto"/>
                <w:sz w:val="24"/>
                <w:highlight w:val="none"/>
              </w:rPr>
              <w:t>产生量为</w:t>
            </w:r>
            <w:r>
              <w:rPr>
                <w:rFonts w:hint="eastAsia"/>
                <w:color w:val="auto"/>
                <w:sz w:val="24"/>
                <w:highlight w:val="none"/>
                <w:lang w:val="en-US" w:eastAsia="zh-CN"/>
              </w:rPr>
              <w:t>672</w:t>
            </w:r>
            <w:r>
              <w:rPr>
                <w:color w:val="auto"/>
                <w:sz w:val="24"/>
                <w:highlight w:val="none"/>
              </w:rPr>
              <w:t>t/a</w:t>
            </w:r>
            <w:bookmarkEnd w:id="38"/>
            <w:r>
              <w:rPr>
                <w:rFonts w:hint="eastAsia"/>
                <w:color w:val="auto"/>
                <w:highlight w:val="none"/>
              </w:rPr>
              <w:t>。</w:t>
            </w:r>
          </w:p>
          <w:p w14:paraId="304339A7">
            <w:pPr>
              <w:spacing w:line="360" w:lineRule="auto"/>
              <w:ind w:firstLine="480" w:firstLineChars="200"/>
              <w:rPr>
                <w:rFonts w:hint="eastAsia"/>
                <w:color w:val="auto"/>
                <w:highlight w:val="none"/>
                <w:lang w:val="en-US" w:eastAsia="zh-CN"/>
              </w:rPr>
            </w:pPr>
            <w:r>
              <w:rPr>
                <w:rFonts w:hint="eastAsia"/>
                <w:color w:val="auto"/>
                <w:highlight w:val="none"/>
                <w:lang w:val="en-US" w:eastAsia="zh-CN"/>
              </w:rPr>
              <w:t>②</w:t>
            </w:r>
            <w:r>
              <w:rPr>
                <w:rFonts w:hint="eastAsia"/>
                <w:color w:val="auto"/>
                <w:highlight w:val="none"/>
                <w:vertAlign w:val="baseline"/>
                <w:lang w:val="en-US" w:eastAsia="zh-CN"/>
              </w:rPr>
              <w:t>冷却循环水：</w:t>
            </w:r>
            <w:r>
              <w:rPr>
                <w:rFonts w:hint="default" w:ascii="Times New Roman" w:hAnsi="Times New Roman" w:eastAsia="宋体" w:cs="Times New Roman"/>
                <w:sz w:val="24"/>
                <w:szCs w:val="24"/>
              </w:rPr>
              <w:t>项目冷却塔冷却</w:t>
            </w:r>
            <w:r>
              <w:rPr>
                <w:rFonts w:hint="eastAsia" w:ascii="Times New Roman" w:hAnsi="Times New Roman" w:eastAsia="宋体" w:cs="Times New Roman"/>
                <w:sz w:val="24"/>
                <w:szCs w:val="24"/>
                <w:lang w:val="en-US" w:eastAsia="zh-CN"/>
              </w:rPr>
              <w:t>能力为</w:t>
            </w: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rPr>
              <w:t>/h，运行</w:t>
            </w:r>
            <w:r>
              <w:rPr>
                <w:rFonts w:hint="eastAsia" w:ascii="Times New Roman" w:hAnsi="Times New Roman" w:eastAsia="宋体" w:cs="Times New Roman"/>
                <w:sz w:val="24"/>
                <w:szCs w:val="24"/>
                <w:lang w:val="en-US" w:eastAsia="zh-CN"/>
              </w:rPr>
              <w:t>时长</w:t>
            </w:r>
            <w:r>
              <w:rPr>
                <w:rFonts w:hint="eastAsia" w:cs="Times New Roman"/>
                <w:sz w:val="24"/>
                <w:szCs w:val="24"/>
                <w:lang w:val="en-US" w:eastAsia="zh-CN"/>
              </w:rPr>
              <w:t>7200h/a</w:t>
            </w:r>
            <w:r>
              <w:rPr>
                <w:rFonts w:hint="default" w:ascii="Times New Roman" w:hAnsi="Times New Roman" w:eastAsia="宋体" w:cs="Times New Roman"/>
                <w:sz w:val="24"/>
                <w:szCs w:val="24"/>
              </w:rPr>
              <w:t>，则该冷却循环水量为</w:t>
            </w:r>
            <w:r>
              <w:rPr>
                <w:rFonts w:hint="eastAsia" w:cs="Times New Roman"/>
                <w:sz w:val="24"/>
                <w:szCs w:val="24"/>
                <w:lang w:val="en-US" w:eastAsia="zh-CN"/>
              </w:rPr>
              <w:t>144000</w:t>
            </w:r>
            <w:r>
              <w:rPr>
                <w:rFonts w:hint="eastAsia"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rPr>
              <w:t>a。循环冷却水循环使用，定期补充新鲜水，新鲜水补充占循环水量的2%。本项目循环冷却塔的补水量为</w:t>
            </w:r>
            <w:r>
              <w:rPr>
                <w:rFonts w:hint="eastAsia" w:cs="Times New Roman"/>
                <w:sz w:val="24"/>
                <w:szCs w:val="24"/>
                <w:lang w:val="en-US" w:eastAsia="zh-CN"/>
              </w:rPr>
              <w:t>2880</w:t>
            </w:r>
            <w:r>
              <w:rPr>
                <w:rFonts w:hint="eastAsia"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eastAsia="zh-CN"/>
              </w:rPr>
              <w:t>。</w:t>
            </w:r>
          </w:p>
          <w:p w14:paraId="279C7B84">
            <w:pPr>
              <w:spacing w:line="360" w:lineRule="auto"/>
              <w:ind w:firstLine="480" w:firstLineChars="200"/>
              <w:jc w:val="left"/>
              <w:rPr>
                <w:rFonts w:hint="eastAsia"/>
                <w:color w:val="auto"/>
                <w:highlight w:val="none"/>
                <w:vertAlign w:val="baseline"/>
                <w:lang w:val="en-US" w:eastAsia="zh-CN"/>
              </w:rPr>
            </w:pPr>
            <w:r>
              <w:rPr>
                <w:rFonts w:hint="eastAsia"/>
                <w:color w:val="auto"/>
                <w:highlight w:val="none"/>
                <w:lang w:val="en-US" w:eastAsia="zh-CN"/>
              </w:rPr>
              <w:t>③喷淋塔用水：项目废气处理装置采用喷淋塔处理装置，喷淋塔定期捞渣，定期补充新鲜水，补充量0.1t/d（30t/a），</w:t>
            </w:r>
            <w:r>
              <w:rPr>
                <w:rFonts w:hint="eastAsia"/>
                <w:color w:val="auto"/>
                <w:highlight w:val="none"/>
                <w:vertAlign w:val="baseline"/>
                <w:lang w:val="en-US" w:eastAsia="zh-CN"/>
              </w:rPr>
              <w:t>喷淋水箱1m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内部水一年一换</w:t>
            </w:r>
            <w:r>
              <w:rPr>
                <w:rFonts w:hint="eastAsia"/>
                <w:color w:val="auto"/>
                <w:highlight w:val="none"/>
                <w:vertAlign w:val="baseline"/>
                <w:lang w:val="en-US" w:eastAsia="zh-CN"/>
              </w:rPr>
              <w:t>，故喷淋废水1t/a，作为危废处理。</w:t>
            </w:r>
          </w:p>
          <w:p w14:paraId="371DF21D">
            <w:pPr>
              <w:autoSpaceDE w:val="0"/>
              <w:autoSpaceDN w:val="0"/>
              <w:adjustRightInd w:val="0"/>
              <w:spacing w:line="360" w:lineRule="auto"/>
              <w:ind w:firstLine="480" w:firstLineChars="200"/>
              <w:jc w:val="left"/>
              <w:rPr>
                <w:rFonts w:hint="eastAsia"/>
                <w:color w:val="auto"/>
                <w:highlight w:val="none"/>
                <w:lang w:val="en-US" w:eastAsia="zh-CN"/>
              </w:rPr>
            </w:pPr>
            <w:r>
              <w:rPr>
                <w:rFonts w:hint="eastAsia"/>
                <w:color w:val="auto"/>
                <w:highlight w:val="none"/>
                <w:vertAlign w:val="baseline"/>
                <w:lang w:val="en-US" w:eastAsia="zh-CN"/>
              </w:rPr>
              <w:t>④</w:t>
            </w:r>
            <w:r>
              <w:rPr>
                <w:rFonts w:hint="eastAsia"/>
                <w:color w:val="auto"/>
                <w:highlight w:val="none"/>
                <w:lang w:val="en-US" w:eastAsia="zh-CN"/>
              </w:rPr>
              <w:t>转印活化水用水：项目转印工序中会使用到活化水，企业外购，年使用量10t，</w:t>
            </w:r>
            <w:r>
              <w:rPr>
                <w:rFonts w:hint="eastAsia"/>
                <w:color w:val="auto"/>
                <w:kern w:val="0"/>
                <w:szCs w:val="24"/>
                <w:highlight w:val="none"/>
                <w:lang w:val="en-US" w:eastAsia="zh-CN"/>
              </w:rPr>
              <w:t>转印线蓄水池为1.5m</w:t>
            </w:r>
            <w:r>
              <w:rPr>
                <w:rFonts w:hint="eastAsia"/>
                <w:color w:val="auto"/>
                <w:kern w:val="0"/>
                <w:szCs w:val="24"/>
                <w:highlight w:val="none"/>
                <w:vertAlign w:val="superscript"/>
                <w:lang w:val="en-US" w:eastAsia="zh-CN"/>
              </w:rPr>
              <w:t>3</w:t>
            </w:r>
            <w:r>
              <w:rPr>
                <w:rFonts w:hint="eastAsia"/>
                <w:color w:val="auto"/>
                <w:kern w:val="0"/>
                <w:szCs w:val="24"/>
                <w:highlight w:val="none"/>
                <w:vertAlign w:val="baseline"/>
                <w:lang w:val="en-US" w:eastAsia="zh-CN"/>
              </w:rPr>
              <w:t>，日常使用定期添加新鲜活化水，一年一换，本次计算以蓄水池量为废水，故废活化水量为1.5t，作为危险废物处理，无废水外排</w:t>
            </w:r>
            <w:r>
              <w:rPr>
                <w:rFonts w:hint="eastAsia"/>
                <w:color w:val="auto"/>
                <w:highlight w:val="none"/>
                <w:lang w:val="en-US" w:eastAsia="zh-CN"/>
              </w:rPr>
              <w:t>。</w:t>
            </w:r>
          </w:p>
          <w:p w14:paraId="515764CE">
            <w:pPr>
              <w:autoSpaceDE w:val="0"/>
              <w:autoSpaceDN w:val="0"/>
              <w:adjustRightInd w:val="0"/>
              <w:spacing w:line="360" w:lineRule="auto"/>
              <w:jc w:val="left"/>
              <w:rPr>
                <w:rFonts w:hint="default"/>
                <w:color w:val="auto"/>
                <w:highlight w:val="none"/>
                <w:lang w:val="en-US" w:eastAsia="zh-CN"/>
              </w:rPr>
            </w:pPr>
            <w:r>
              <w:rPr>
                <w:rFonts w:hint="default"/>
                <w:color w:val="auto"/>
                <w:highlight w:val="none"/>
                <w:lang w:val="en-US" w:eastAsia="zh-CN"/>
              </w:rPr>
              <w:drawing>
                <wp:inline distT="0" distB="0" distL="114300" distR="114300">
                  <wp:extent cx="5123815" cy="2740025"/>
                  <wp:effectExtent l="0" t="0" r="0" b="0"/>
                  <wp:docPr id="30" name="ECB019B1-382A-4266-B25C-5B523AA43C14-2" descr="C:/Users/Administrator/AppData/Local/Temp/wps.rocJy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2" descr="C:/Users/Administrator/AppData/Local/Temp/wps.rocJypwps"/>
                          <pic:cNvPicPr>
                            <a:picLocks noChangeAspect="1"/>
                          </pic:cNvPicPr>
                        </pic:nvPicPr>
                        <pic:blipFill>
                          <a:blip r:embed="rId15"/>
                          <a:stretch>
                            <a:fillRect/>
                          </a:stretch>
                        </pic:blipFill>
                        <pic:spPr>
                          <a:xfrm>
                            <a:off x="0" y="0"/>
                            <a:ext cx="5123815" cy="2740025"/>
                          </a:xfrm>
                          <a:prstGeom prst="rect">
                            <a:avLst/>
                          </a:prstGeom>
                        </pic:spPr>
                      </pic:pic>
                    </a:graphicData>
                  </a:graphic>
                </wp:inline>
              </w:drawing>
            </w:r>
          </w:p>
          <w:p w14:paraId="35211056">
            <w:pPr>
              <w:spacing w:line="360" w:lineRule="auto"/>
              <w:jc w:val="center"/>
              <w:rPr>
                <w:rFonts w:hint="eastAsia"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图2</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 xml:space="preserve">  项目水平衡图  t/</w:t>
            </w:r>
            <w:r>
              <w:rPr>
                <w:rFonts w:hint="eastAsia" w:cs="Times New Roman"/>
                <w:b/>
                <w:bCs/>
                <w:color w:val="auto"/>
                <w:highlight w:val="none"/>
                <w:lang w:val="en-US" w:eastAsia="zh-CN"/>
              </w:rPr>
              <w:t>a</w:t>
            </w:r>
          </w:p>
          <w:p w14:paraId="39EAA44B">
            <w:pPr>
              <w:adjustRightInd w:val="0"/>
              <w:snapToGrid w:val="0"/>
              <w:spacing w:line="360" w:lineRule="auto"/>
              <w:rPr>
                <w:b/>
                <w:color w:val="auto"/>
                <w:kern w:val="0"/>
                <w:highlight w:val="none"/>
              </w:rPr>
            </w:pPr>
            <w:r>
              <w:rPr>
                <w:rFonts w:hint="eastAsia"/>
                <w:b/>
                <w:color w:val="auto"/>
                <w:kern w:val="0"/>
                <w:highlight w:val="none"/>
                <w:lang w:val="en-US" w:eastAsia="zh-CN"/>
              </w:rPr>
              <w:t>7</w:t>
            </w:r>
            <w:r>
              <w:rPr>
                <w:rFonts w:hint="eastAsia"/>
                <w:b/>
                <w:color w:val="auto"/>
                <w:kern w:val="0"/>
                <w:highlight w:val="none"/>
              </w:rPr>
              <w:t>、</w:t>
            </w:r>
            <w:r>
              <w:rPr>
                <w:b/>
                <w:color w:val="auto"/>
                <w:kern w:val="0"/>
                <w:highlight w:val="none"/>
              </w:rPr>
              <w:t>职工人数及工作制度</w:t>
            </w:r>
          </w:p>
          <w:p w14:paraId="23FDD66B">
            <w:pPr>
              <w:spacing w:line="360" w:lineRule="auto"/>
              <w:ind w:firstLine="480" w:firstLineChars="200"/>
              <w:rPr>
                <w:b/>
                <w:bCs/>
                <w:color w:val="auto"/>
                <w:highlight w:val="none"/>
              </w:rPr>
            </w:pPr>
            <w:r>
              <w:rPr>
                <w:color w:val="auto"/>
                <w:highlight w:val="none"/>
              </w:rPr>
              <w:t>项目劳动定员</w:t>
            </w:r>
            <w:r>
              <w:rPr>
                <w:rFonts w:hint="eastAsia"/>
                <w:color w:val="auto"/>
                <w:highlight w:val="none"/>
                <w:lang w:val="en-US" w:eastAsia="zh-CN"/>
              </w:rPr>
              <w:t>40</w:t>
            </w:r>
            <w:r>
              <w:rPr>
                <w:color w:val="auto"/>
                <w:highlight w:val="none"/>
              </w:rPr>
              <w:t>人</w:t>
            </w:r>
            <w:r>
              <w:rPr>
                <w:rFonts w:hint="eastAsia"/>
                <w:color w:val="auto"/>
                <w:highlight w:val="none"/>
                <w:lang w:val="en-US" w:eastAsia="zh-CN"/>
              </w:rPr>
              <w:t>，</w:t>
            </w:r>
            <w:r>
              <w:rPr>
                <w:bCs/>
                <w:color w:val="auto"/>
                <w:kern w:val="0"/>
                <w:highlight w:val="none"/>
              </w:rPr>
              <w:t>年工作3</w:t>
            </w:r>
            <w:r>
              <w:rPr>
                <w:rFonts w:hint="eastAsia"/>
                <w:bCs/>
                <w:color w:val="auto"/>
                <w:kern w:val="0"/>
                <w:highlight w:val="none"/>
                <w:lang w:val="en-US" w:eastAsia="zh-CN"/>
              </w:rPr>
              <w:t>0</w:t>
            </w:r>
            <w:r>
              <w:rPr>
                <w:bCs/>
                <w:color w:val="auto"/>
                <w:kern w:val="0"/>
                <w:highlight w:val="none"/>
              </w:rPr>
              <w:t>0天，</w:t>
            </w:r>
            <w:r>
              <w:rPr>
                <w:rFonts w:hint="eastAsia"/>
                <w:bCs/>
                <w:color w:val="auto"/>
                <w:kern w:val="0"/>
                <w:highlight w:val="none"/>
                <w:lang w:val="en-US" w:eastAsia="zh-CN"/>
              </w:rPr>
              <w:t>注塑2</w:t>
            </w:r>
            <w:r>
              <w:rPr>
                <w:bCs/>
                <w:color w:val="auto"/>
                <w:kern w:val="0"/>
                <w:highlight w:val="none"/>
              </w:rPr>
              <w:t>班制，每班</w:t>
            </w:r>
            <w:r>
              <w:rPr>
                <w:rFonts w:hint="eastAsia"/>
                <w:bCs/>
                <w:color w:val="auto"/>
                <w:kern w:val="0"/>
                <w:highlight w:val="none"/>
                <w:lang w:val="en-US" w:eastAsia="zh-CN"/>
              </w:rPr>
              <w:t>12h</w:t>
            </w:r>
            <w:r>
              <w:rPr>
                <w:rFonts w:hint="eastAsia"/>
                <w:bCs/>
                <w:color w:val="auto"/>
                <w:kern w:val="0"/>
                <w:highlight w:val="none"/>
                <w:lang w:eastAsia="zh-CN"/>
              </w:rPr>
              <w:t>，</w:t>
            </w:r>
            <w:r>
              <w:rPr>
                <w:rFonts w:hint="eastAsia"/>
                <w:bCs/>
                <w:color w:val="auto"/>
                <w:kern w:val="0"/>
                <w:highlight w:val="none"/>
                <w:lang w:val="en-US" w:eastAsia="zh-CN"/>
              </w:rPr>
              <w:t>喷漆工序一班制，每班8h</w:t>
            </w:r>
            <w:r>
              <w:rPr>
                <w:rFonts w:hint="eastAsia"/>
                <w:bCs/>
                <w:color w:val="auto"/>
                <w:kern w:val="0"/>
                <w:highlight w:val="none"/>
                <w:lang w:eastAsia="zh-CN"/>
              </w:rPr>
              <w:t>，</w:t>
            </w:r>
            <w:r>
              <w:rPr>
                <w:bCs/>
                <w:color w:val="auto"/>
                <w:kern w:val="0"/>
                <w:highlight w:val="none"/>
              </w:rPr>
              <w:t>厂区</w:t>
            </w:r>
            <w:r>
              <w:rPr>
                <w:rFonts w:hint="eastAsia"/>
                <w:bCs/>
                <w:color w:val="auto"/>
                <w:kern w:val="0"/>
                <w:highlight w:val="none"/>
                <w:lang w:val="en-US" w:eastAsia="zh-CN"/>
              </w:rPr>
              <w:t>不</w:t>
            </w:r>
            <w:r>
              <w:rPr>
                <w:bCs/>
                <w:color w:val="auto"/>
                <w:kern w:val="0"/>
                <w:highlight w:val="none"/>
              </w:rPr>
              <w:t>设置食</w:t>
            </w:r>
            <w:r>
              <w:rPr>
                <w:color w:val="auto"/>
                <w:highlight w:val="none"/>
              </w:rPr>
              <w:t>宿</w:t>
            </w:r>
            <w:r>
              <w:rPr>
                <w:bCs/>
                <w:color w:val="auto"/>
                <w:kern w:val="0"/>
                <w:highlight w:val="none"/>
              </w:rPr>
              <w:t>。</w:t>
            </w:r>
          </w:p>
          <w:p w14:paraId="0C717D2E">
            <w:pPr>
              <w:spacing w:line="360" w:lineRule="auto"/>
              <w:rPr>
                <w:b/>
                <w:bCs/>
                <w:color w:val="auto"/>
                <w:highlight w:val="none"/>
              </w:rPr>
            </w:pPr>
            <w:r>
              <w:rPr>
                <w:rFonts w:hint="eastAsia"/>
                <w:b/>
                <w:bCs/>
                <w:color w:val="auto"/>
                <w:highlight w:val="none"/>
                <w:lang w:val="en-US" w:eastAsia="zh-CN"/>
              </w:rPr>
              <w:t>8</w:t>
            </w:r>
            <w:r>
              <w:rPr>
                <w:rFonts w:hint="eastAsia"/>
                <w:b/>
                <w:bCs/>
                <w:color w:val="auto"/>
                <w:highlight w:val="none"/>
              </w:rPr>
              <w:t>、</w:t>
            </w:r>
            <w:r>
              <w:rPr>
                <w:b/>
                <w:bCs/>
                <w:color w:val="auto"/>
                <w:highlight w:val="none"/>
              </w:rPr>
              <w:t>平面布局</w:t>
            </w:r>
          </w:p>
          <w:p w14:paraId="61C56187">
            <w:pPr>
              <w:spacing w:before="0" w:beforeAutospacing="0" w:after="0" w:afterAutospacing="0" w:line="360" w:lineRule="auto"/>
              <w:ind w:firstLine="480" w:firstLineChars="200"/>
              <w:rPr>
                <w:rFonts w:hint="default" w:eastAsia="宋体"/>
                <w:color w:val="auto"/>
                <w:highlight w:val="none"/>
                <w:lang w:val="en-US" w:eastAsia="zh-CN"/>
              </w:rPr>
            </w:pPr>
            <w:r>
              <w:rPr>
                <w:rFonts w:hint="eastAsia"/>
                <w:color w:val="auto"/>
                <w:sz w:val="24"/>
                <w:szCs w:val="24"/>
                <w:highlight w:val="none"/>
                <w:lang w:val="en-US" w:eastAsia="zh-CN"/>
              </w:rPr>
              <w:t>项目位于安徽省泗县经济开发区蟠龙山路与南柳路交口东南角地块，</w:t>
            </w:r>
            <w:r>
              <w:rPr>
                <w:rFonts w:ascii="Times New Roman" w:hAnsi="Times New Roman" w:cs="Times New Roman"/>
                <w:color w:val="auto"/>
                <w:highlight w:val="none"/>
              </w:rPr>
              <w:t>根据项目功能要求和场地地形，</w:t>
            </w:r>
            <w:r>
              <w:rPr>
                <w:rFonts w:hint="eastAsia" w:cs="Times New Roman"/>
                <w:color w:val="auto"/>
                <w:highlight w:val="none"/>
                <w:lang w:val="en-US" w:eastAsia="zh-CN"/>
              </w:rPr>
              <w:t>厂区出入口设置在西侧，车间从西侧到东侧依次设置原料区、成品区以及生产区；生产车间北侧自西向东依次设置机喷漆房及配套设施、注塑区等</w:t>
            </w:r>
            <w:r>
              <w:rPr>
                <w:rFonts w:hint="eastAsia"/>
                <w:color w:val="auto"/>
                <w:highlight w:val="none"/>
              </w:rPr>
              <w:t>。</w:t>
            </w:r>
            <w:r>
              <w:rPr>
                <w:rFonts w:hint="eastAsia" w:cs="Times New Roman"/>
                <w:color w:val="auto"/>
                <w:highlight w:val="none"/>
                <w:lang w:val="en-US" w:eastAsia="zh-CN"/>
              </w:rPr>
              <w:t>危废间设置在车间的东侧。办公区位于车间的西南角。</w:t>
            </w:r>
          </w:p>
          <w:p w14:paraId="46AE5CE7">
            <w:pPr>
              <w:spacing w:before="0" w:beforeAutospacing="0" w:after="0" w:afterAutospacing="0" w:line="360" w:lineRule="auto"/>
              <w:ind w:firstLine="480" w:firstLineChars="200"/>
              <w:rPr>
                <w:rFonts w:hint="eastAsia" w:ascii="Times New Roman" w:hAnsi="Times New Roman" w:eastAsia="宋体" w:cs="Times New Roman"/>
                <w:b/>
                <w:color w:val="auto"/>
                <w:highlight w:val="none"/>
                <w:lang w:eastAsia="zh-CN"/>
              </w:rPr>
            </w:pPr>
            <w:r>
              <w:rPr>
                <w:rFonts w:hint="eastAsia"/>
                <w:color w:val="auto"/>
                <w:highlight w:val="none"/>
                <w:lang w:val="en-US" w:eastAsia="zh-CN"/>
              </w:rPr>
              <w:t>车间布局从原料至成品按照工序依次布设，流程顺畅；生产区与生活区分离，生活区位于生产区的上方，</w:t>
            </w:r>
            <w:r>
              <w:rPr>
                <w:rFonts w:hint="eastAsia" w:ascii="Times New Roman" w:hAnsi="Times New Roman"/>
                <w:color w:val="auto"/>
                <w:highlight w:val="none"/>
              </w:rPr>
              <w:t>总体上做到按功能分区，系统分明，布置整齐。</w:t>
            </w:r>
            <w:r>
              <w:rPr>
                <w:rFonts w:ascii="Times New Roman" w:hAnsi="Times New Roman" w:cs="Times New Roman"/>
                <w:color w:val="auto"/>
                <w:highlight w:val="none"/>
              </w:rPr>
              <w:t>项目平面布置满足生产</w:t>
            </w:r>
            <w:r>
              <w:rPr>
                <w:rFonts w:hint="eastAsia" w:cs="Times New Roman"/>
                <w:color w:val="auto"/>
                <w:highlight w:val="none"/>
                <w:lang w:eastAsia="zh-CN"/>
              </w:rPr>
              <w:t>、</w:t>
            </w:r>
            <w:r>
              <w:rPr>
                <w:rFonts w:ascii="Times New Roman" w:hAnsi="Times New Roman" w:cs="Times New Roman"/>
                <w:color w:val="auto"/>
                <w:highlight w:val="none"/>
              </w:rPr>
              <w:t>人流、物流分离、互不交叉干扰的原则（具体见附图）</w:t>
            </w:r>
            <w:r>
              <w:rPr>
                <w:rFonts w:hint="eastAsia" w:cs="Times New Roman"/>
                <w:color w:val="auto"/>
                <w:highlight w:val="none"/>
                <w:lang w:eastAsia="zh-CN"/>
              </w:rPr>
              <w:t>。</w:t>
            </w:r>
          </w:p>
          <w:p w14:paraId="1BE541E8">
            <w:pPr>
              <w:pStyle w:val="10"/>
              <w:adjustRightInd w:val="0"/>
              <w:snapToGrid w:val="0"/>
              <w:spacing w:line="360" w:lineRule="auto"/>
              <w:ind w:firstLine="480" w:firstLineChars="200"/>
              <w:rPr>
                <w:rFonts w:hint="default"/>
                <w:color w:val="auto"/>
                <w:highlight w:val="none"/>
                <w:lang w:val="en-US" w:eastAsia="zh-CN"/>
              </w:rPr>
            </w:pPr>
            <w:r>
              <w:rPr>
                <w:color w:val="auto"/>
                <w:highlight w:val="none"/>
              </w:rPr>
              <w:t>综上所述，项目厂区平面布局较合理</w:t>
            </w:r>
            <w:r>
              <w:rPr>
                <w:rFonts w:hint="eastAsia"/>
                <w:color w:val="auto"/>
                <w:highlight w:val="none"/>
              </w:rPr>
              <w:t>。</w:t>
            </w:r>
          </w:p>
        </w:tc>
      </w:tr>
    </w:tbl>
    <w:p w14:paraId="178D388A">
      <w:pPr>
        <w:numPr>
          <w:ilvl w:val="0"/>
          <w:numId w:val="0"/>
        </w:numPr>
        <w:spacing w:line="360" w:lineRule="auto"/>
        <w:jc w:val="center"/>
        <w:outlineLvl w:val="9"/>
        <w:rPr>
          <w:rFonts w:hint="eastAsia" w:ascii="宋体" w:hAnsi="宋体" w:eastAsia="宋体" w:cs="宋体"/>
          <w:b/>
          <w:bCs/>
          <w:snapToGrid w:val="0"/>
          <w:color w:val="auto"/>
          <w:sz w:val="30"/>
          <w:szCs w:val="30"/>
          <w:highlight w:val="none"/>
        </w:rPr>
        <w:sectPr>
          <w:headerReference r:id="rId6" w:type="default"/>
          <w:footerReference r:id="rId7" w:type="default"/>
          <w:pgSz w:w="11907" w:h="16840"/>
          <w:pgMar w:top="1701" w:right="1531" w:bottom="2127"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8332"/>
      </w:tblGrid>
      <w:tr w14:paraId="5C7C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Align w:val="center"/>
          </w:tcPr>
          <w:p w14:paraId="049BCBA0">
            <w:pPr>
              <w:adjustRightInd w:val="0"/>
              <w:snapToGrid w:val="0"/>
              <w:spacing w:before="0" w:beforeAutospacing="0" w:after="0" w:afterAutospacing="0"/>
              <w:jc w:val="center"/>
              <w:rPr>
                <w:rFonts w:hint="eastAsia" w:ascii="宋体" w:hAnsi="宋体" w:eastAsia="宋体" w:cs="宋体"/>
                <w:b/>
                <w:bCs/>
                <w:snapToGrid w:val="0"/>
                <w:color w:val="auto"/>
                <w:sz w:val="30"/>
                <w:szCs w:val="30"/>
                <w:highlight w:val="none"/>
              </w:rPr>
            </w:pPr>
            <w:r>
              <w:rPr>
                <w:rFonts w:ascii="Times New Roman" w:hAnsi="Times New Roman"/>
                <w:color w:val="auto"/>
                <w:szCs w:val="24"/>
                <w:highlight w:val="none"/>
              </w:rPr>
              <w:t>工艺流程和产排污环节</w:t>
            </w:r>
          </w:p>
        </w:tc>
        <w:tc>
          <w:tcPr>
            <w:tcW w:w="8332" w:type="dxa"/>
            <w:vAlign w:val="top"/>
          </w:tcPr>
          <w:p w14:paraId="0F4706F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工艺流程</w:t>
            </w:r>
            <w:r>
              <w:rPr>
                <w:rFonts w:hint="eastAsia" w:ascii="Times New Roman" w:hAnsi="Times New Roman" w:eastAsia="宋体" w:cs="Times New Roman"/>
                <w:color w:val="auto"/>
                <w:kern w:val="2"/>
                <w:sz w:val="24"/>
                <w:szCs w:val="24"/>
                <w:highlight w:val="none"/>
                <w:lang w:val="en-US" w:eastAsia="zh-CN" w:bidi="ar-SA"/>
              </w:rPr>
              <w:t>见下图所示：</w:t>
            </w:r>
          </w:p>
          <w:p w14:paraId="535D288A">
            <w:pPr>
              <w:adjustRightInd w:val="0"/>
              <w:snapToGrid w:val="0"/>
              <w:jc w:val="center"/>
              <w:rPr>
                <w:b/>
                <w:bCs/>
                <w:color w:val="auto"/>
                <w:highlight w:val="none"/>
              </w:rPr>
            </w:pPr>
            <w:r>
              <w:rPr>
                <w:b/>
                <w:bCs/>
                <w:color w:val="auto"/>
                <w:highlight w:val="none"/>
              </w:rPr>
              <w:drawing>
                <wp:inline distT="0" distB="0" distL="114300" distR="114300">
                  <wp:extent cx="3789680" cy="4721860"/>
                  <wp:effectExtent l="0" t="0" r="0" b="0"/>
                  <wp:docPr id="27" name="ECB019B1-382A-4266-B25C-5B523AA43C14-3" descr="C:/Users/Administrator/AppData/Local/Temp/wps.YZjbo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B019B1-382A-4266-B25C-5B523AA43C14-3" descr="C:/Users/Administrator/AppData/Local/Temp/wps.YZjboAwps"/>
                          <pic:cNvPicPr>
                            <a:picLocks noChangeAspect="1"/>
                          </pic:cNvPicPr>
                        </pic:nvPicPr>
                        <pic:blipFill>
                          <a:blip r:embed="rId16"/>
                          <a:stretch>
                            <a:fillRect/>
                          </a:stretch>
                        </pic:blipFill>
                        <pic:spPr>
                          <a:xfrm>
                            <a:off x="0" y="0"/>
                            <a:ext cx="3789680" cy="4721860"/>
                          </a:xfrm>
                          <a:prstGeom prst="rect">
                            <a:avLst/>
                          </a:prstGeom>
                          <a:noFill/>
                          <a:ln>
                            <a:noFill/>
                          </a:ln>
                        </pic:spPr>
                      </pic:pic>
                    </a:graphicData>
                  </a:graphic>
                </wp:inline>
              </w:drawing>
            </w:r>
          </w:p>
          <w:p w14:paraId="0219C095">
            <w:pPr>
              <w:adjustRightInd w:val="0"/>
              <w:snapToGrid w:val="0"/>
              <w:jc w:val="center"/>
              <w:rPr>
                <w:b/>
                <w:bCs/>
                <w:color w:val="auto"/>
                <w:highlight w:val="none"/>
              </w:rPr>
            </w:pPr>
            <w:r>
              <w:rPr>
                <w:rFonts w:hint="eastAsia"/>
                <w:b/>
                <w:bCs/>
                <w:color w:val="auto"/>
                <w:highlight w:val="none"/>
                <w:lang w:val="en-US" w:eastAsia="zh-CN"/>
              </w:rPr>
              <w:t xml:space="preserve">图2-3  </w:t>
            </w:r>
            <w:r>
              <w:rPr>
                <w:b/>
                <w:bCs/>
                <w:color w:val="auto"/>
                <w:highlight w:val="none"/>
              </w:rPr>
              <w:t>生产工艺流程及产污节点图</w:t>
            </w:r>
          </w:p>
          <w:p w14:paraId="1B97A188">
            <w:pPr>
              <w:numPr>
                <w:ilvl w:val="0"/>
                <w:numId w:val="0"/>
              </w:numPr>
              <w:spacing w:line="360" w:lineRule="auto"/>
              <w:jc w:val="center"/>
              <w:rPr>
                <w:rFonts w:hint="eastAsia"/>
                <w:b/>
                <w:bCs/>
                <w:color w:val="auto"/>
                <w:highlight w:val="none"/>
              </w:rPr>
            </w:pPr>
            <w:r>
              <w:rPr>
                <w:rFonts w:hint="eastAsia"/>
                <w:b/>
                <w:bCs/>
                <w:color w:val="auto"/>
                <w:highlight w:val="none"/>
              </w:rPr>
              <w:t>（S：固废 G：废气）</w:t>
            </w:r>
          </w:p>
          <w:p w14:paraId="761AED42">
            <w:pPr>
              <w:pStyle w:val="27"/>
              <w:ind w:firstLine="480"/>
            </w:pPr>
            <w:r>
              <w:rPr>
                <w:rFonts w:hint="eastAsia"/>
                <w:b w:val="0"/>
                <w:bCs/>
              </w:rPr>
              <w:t>1、注塑：</w:t>
            </w:r>
            <w:r>
              <w:rPr>
                <w:rFonts w:hint="eastAsia"/>
                <w:b w:val="0"/>
                <w:bCs/>
                <w:lang w:val="en-US" w:eastAsia="zh-CN"/>
              </w:rPr>
              <w:t>注塑机上方为料仓</w:t>
            </w:r>
            <w:r>
              <w:rPr>
                <w:rFonts w:hint="eastAsia"/>
                <w:b w:val="0"/>
                <w:bCs/>
              </w:rPr>
              <w:t>，将塑料颗粒输送至注塑机模头中加热，高温熔化成流体，利用压力注进塑料制品模具中，冷却成型得到塑料件</w:t>
            </w:r>
            <w:r>
              <w:rPr>
                <w:rFonts w:hint="eastAsia"/>
                <w:b w:val="0"/>
                <w:bCs/>
                <w:lang w:eastAsia="zh-CN"/>
              </w:rPr>
              <w:t>，</w:t>
            </w:r>
            <w:r>
              <w:rPr>
                <w:rFonts w:hint="eastAsia"/>
                <w:b w:val="0"/>
                <w:bCs/>
              </w:rPr>
              <w:t>熔料温度</w:t>
            </w:r>
            <w:r>
              <w:rPr>
                <w:rFonts w:hint="eastAsia"/>
                <w:b w:val="0"/>
                <w:bCs/>
                <w:lang w:val="en-US" w:eastAsia="zh-CN"/>
              </w:rPr>
              <w:t>180</w:t>
            </w:r>
            <w:r>
              <w:rPr>
                <w:rFonts w:hint="eastAsia"/>
                <w:b w:val="0"/>
                <w:bCs/>
              </w:rPr>
              <w:t>~</w:t>
            </w:r>
            <w:r>
              <w:rPr>
                <w:rFonts w:hint="eastAsia"/>
                <w:b w:val="0"/>
                <w:bCs/>
                <w:lang w:val="en-US" w:eastAsia="zh-CN"/>
              </w:rPr>
              <w:t>200</w:t>
            </w:r>
            <w:r>
              <w:rPr>
                <w:rFonts w:hint="eastAsia"/>
                <w:b w:val="0"/>
                <w:bCs/>
              </w:rPr>
              <w:t>℃</w:t>
            </w:r>
            <w:r>
              <w:rPr>
                <w:rFonts w:hint="eastAsia"/>
                <w:b w:val="0"/>
                <w:bCs/>
                <w:lang w:eastAsia="zh-CN"/>
              </w:rPr>
              <w:t>，</w:t>
            </w:r>
            <w:r>
              <w:rPr>
                <w:rFonts w:hint="eastAsia"/>
                <w:b w:val="0"/>
                <w:bCs/>
                <w:lang w:val="en-US" w:eastAsia="zh-CN"/>
              </w:rPr>
              <w:t>该设备自带修边</w:t>
            </w:r>
            <w:r>
              <w:rPr>
                <w:rFonts w:hint="eastAsia"/>
                <w:b w:val="0"/>
                <w:bCs/>
              </w:rPr>
              <w:t>。该工艺产生的污染物主要是注塑废气（G</w:t>
            </w:r>
            <w:r>
              <w:rPr>
                <w:rFonts w:hint="eastAsia"/>
                <w:b w:val="0"/>
                <w:bCs/>
                <w:lang w:val="en-US" w:eastAsia="zh-CN"/>
              </w:rPr>
              <w:t>1</w:t>
            </w:r>
            <w:r>
              <w:rPr>
                <w:rFonts w:hint="eastAsia"/>
                <w:b w:val="0"/>
                <w:bCs/>
              </w:rPr>
              <w:t>）</w:t>
            </w:r>
            <w:r>
              <w:rPr>
                <w:rFonts w:hint="eastAsia"/>
                <w:b w:val="0"/>
                <w:bCs/>
                <w:lang w:val="en-US" w:eastAsia="zh-CN"/>
              </w:rPr>
              <w:t>以及不合格品、边角料（S1）</w:t>
            </w:r>
            <w:r>
              <w:rPr>
                <w:rFonts w:hint="eastAsia"/>
              </w:rPr>
              <w:t>。</w:t>
            </w:r>
          </w:p>
          <w:p w14:paraId="7A1E9315">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2、破碎：对注塑工序产生的不合格品</w:t>
            </w:r>
            <w:r>
              <w:rPr>
                <w:rFonts w:hint="eastAsia" w:cs="Times New Roman"/>
                <w:kern w:val="2"/>
                <w:sz w:val="24"/>
                <w:szCs w:val="24"/>
                <w:lang w:val="en-US" w:eastAsia="zh-CN" w:bidi="ar-SA"/>
              </w:rPr>
              <w:t>以及边角料，使用破碎机</w:t>
            </w:r>
            <w:r>
              <w:rPr>
                <w:rFonts w:hint="eastAsia" w:ascii="Times New Roman" w:hAnsi="Times New Roman" w:eastAsia="宋体" w:cs="Times New Roman"/>
                <w:kern w:val="2"/>
                <w:sz w:val="24"/>
                <w:szCs w:val="24"/>
                <w:lang w:val="en-US" w:eastAsia="zh-CN" w:bidi="ar-SA"/>
              </w:rPr>
              <w:t>进行回收利用</w:t>
            </w:r>
            <w:r>
              <w:rPr>
                <w:rFonts w:hint="eastAsia" w:cs="Times New Roman"/>
                <w:kern w:val="2"/>
                <w:sz w:val="24"/>
                <w:szCs w:val="24"/>
                <w:lang w:val="en-US" w:eastAsia="zh-CN" w:bidi="ar-SA"/>
              </w:rPr>
              <w:t>，根据相关企业经验，设置破碎口加盖进行防尘，且效果良好，本项目再次基础上并设置破碎单独隔间</w:t>
            </w:r>
            <w:r>
              <w:rPr>
                <w:rFonts w:hint="eastAsia" w:ascii="Times New Roman" w:hAnsi="Times New Roman" w:eastAsia="宋体" w:cs="Times New Roman"/>
                <w:kern w:val="2"/>
                <w:sz w:val="24"/>
                <w:szCs w:val="24"/>
                <w:lang w:val="en-US" w:eastAsia="zh-CN" w:bidi="ar-SA"/>
              </w:rPr>
              <w:t>。该工艺产生的污染物主要是破碎废气（G2）。</w:t>
            </w:r>
          </w:p>
          <w:p w14:paraId="5E7ABC42">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eastAsia" w:cs="Times New Roman"/>
                <w:kern w:val="2"/>
                <w:sz w:val="24"/>
                <w:szCs w:val="24"/>
                <w:lang w:val="en-US" w:eastAsia="zh-CN" w:bidi="ar-SA"/>
              </w:rPr>
              <w:t>擦拭吹气</w:t>
            </w:r>
            <w:r>
              <w:rPr>
                <w:rFonts w:hint="eastAsia" w:ascii="Times New Roman" w:hAnsi="Times New Roman" w:eastAsia="宋体" w:cs="Times New Roman"/>
                <w:kern w:val="2"/>
                <w:sz w:val="24"/>
                <w:szCs w:val="24"/>
                <w:lang w:val="en-US" w:eastAsia="zh-CN" w:bidi="ar-SA"/>
              </w:rPr>
              <w:t>除尘：主要是通过人工擦拭或者用吹气泵吹去器件表面浮灰，清洁注塑件表面，以加强注塑件表面喷漆的上漆率，该工序不产生污染物。</w:t>
            </w:r>
          </w:p>
          <w:p w14:paraId="21A47158">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4、调漆：调漆工序为人工在调漆房进行，使用电子秤进行配料，</w:t>
            </w:r>
            <w:r>
              <w:rPr>
                <w:rFonts w:hint="eastAsia" w:ascii="Times New Roman" w:hAnsi="Times New Roman" w:eastAsia="宋体" w:cs="Times New Roman"/>
                <w:kern w:val="2"/>
                <w:sz w:val="24"/>
                <w:szCs w:val="24"/>
                <w:lang w:val="en-US" w:eastAsia="zh-CN" w:bidi="ar-SA"/>
              </w:rPr>
              <w:t>项目用丙烯酸铝粉漆与稀释剂、固化剂经比例10:</w:t>
            </w:r>
            <w:r>
              <w:rPr>
                <w:rFonts w:hint="eastAsia"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1.5</w:t>
            </w:r>
            <w:r>
              <w:rPr>
                <w:rFonts w:hint="eastAsia" w:ascii="Times New Roman" w:hAnsi="Times New Roman" w:eastAsia="宋体" w:cs="Times New Roman"/>
                <w:kern w:val="2"/>
                <w:sz w:val="24"/>
                <w:szCs w:val="24"/>
                <w:lang w:val="en-US" w:eastAsia="zh-CN" w:bidi="ar-SA"/>
              </w:rPr>
              <w:t>调配后作为底漆喷涂</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UV与稀释剂经比例10:1调配后作为面漆喷涂</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该工序污染物主要是</w:t>
            </w:r>
            <w:r>
              <w:rPr>
                <w:rFonts w:hint="eastAsia" w:cs="Times New Roman"/>
                <w:kern w:val="2"/>
                <w:sz w:val="24"/>
                <w:szCs w:val="24"/>
                <w:lang w:val="en-US" w:eastAsia="zh-CN" w:bidi="ar-SA"/>
              </w:rPr>
              <w:t>调漆</w:t>
            </w:r>
            <w:r>
              <w:rPr>
                <w:rFonts w:hint="eastAsia" w:ascii="Times New Roman" w:hAnsi="Times New Roman" w:eastAsia="宋体" w:cs="Times New Roman"/>
                <w:kern w:val="2"/>
                <w:sz w:val="24"/>
                <w:szCs w:val="24"/>
                <w:lang w:val="en-US" w:eastAsia="zh-CN" w:bidi="ar-SA"/>
              </w:rPr>
              <w:t>废气（G</w:t>
            </w: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w:t>
            </w:r>
          </w:p>
          <w:p w14:paraId="207AF074">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4、喷</w:t>
            </w:r>
            <w:r>
              <w:rPr>
                <w:rFonts w:hint="eastAsia" w:cs="Times New Roman"/>
                <w:kern w:val="2"/>
                <w:sz w:val="24"/>
                <w:szCs w:val="24"/>
                <w:lang w:val="en-US" w:eastAsia="zh-CN" w:bidi="ar-SA"/>
              </w:rPr>
              <w:t>底</w:t>
            </w:r>
            <w:r>
              <w:rPr>
                <w:rFonts w:hint="eastAsia" w:ascii="Times New Roman" w:hAnsi="Times New Roman" w:eastAsia="宋体" w:cs="Times New Roman"/>
                <w:kern w:val="2"/>
                <w:sz w:val="24"/>
                <w:szCs w:val="24"/>
                <w:lang w:val="en-US" w:eastAsia="zh-CN" w:bidi="ar-SA"/>
              </w:rPr>
              <w:t>漆：项目用丙烯酸铝粉漆与稀释剂、固化剂经比例10:</w:t>
            </w:r>
            <w:r>
              <w:rPr>
                <w:rFonts w:hint="eastAsia"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1.5</w:t>
            </w:r>
            <w:r>
              <w:rPr>
                <w:rFonts w:hint="eastAsia" w:ascii="Times New Roman" w:hAnsi="Times New Roman" w:eastAsia="宋体" w:cs="Times New Roman"/>
                <w:kern w:val="2"/>
                <w:sz w:val="24"/>
                <w:szCs w:val="24"/>
                <w:lang w:val="en-US" w:eastAsia="zh-CN" w:bidi="ar-SA"/>
              </w:rPr>
              <w:t>调配后作为底漆喷涂。该工序通过前线操作人员利用喷漆枪借助压力，分散成均匀而微细的雾滴，喷射至注塑件表面。该工序污染物主要是喷漆废气（G</w:t>
            </w: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）以及</w:t>
            </w:r>
            <w:r>
              <w:rPr>
                <w:rFonts w:hint="eastAsia" w:cs="Times New Roman"/>
                <w:kern w:val="2"/>
                <w:sz w:val="24"/>
                <w:szCs w:val="24"/>
                <w:lang w:val="en-US" w:eastAsia="zh-CN" w:bidi="ar-SA"/>
              </w:rPr>
              <w:t>漆渣（S2）</w:t>
            </w:r>
            <w:r>
              <w:rPr>
                <w:rFonts w:hint="eastAsia" w:ascii="Times New Roman" w:hAnsi="Times New Roman" w:eastAsia="宋体" w:cs="Times New Roman"/>
                <w:kern w:val="2"/>
                <w:sz w:val="24"/>
                <w:szCs w:val="24"/>
                <w:lang w:val="en-US" w:eastAsia="zh-CN" w:bidi="ar-SA"/>
              </w:rPr>
              <w:t>。</w:t>
            </w:r>
          </w:p>
          <w:p w14:paraId="366B9625">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5、底漆烘干：底漆喷漆后的注塑件进入烘道烘干，烘道采用</w:t>
            </w:r>
            <w:r>
              <w:rPr>
                <w:rFonts w:hint="eastAsia" w:cs="Times New Roman"/>
                <w:kern w:val="2"/>
                <w:sz w:val="24"/>
                <w:szCs w:val="24"/>
                <w:lang w:val="en-US" w:eastAsia="zh-CN" w:bidi="ar-SA"/>
              </w:rPr>
              <w:t>电</w:t>
            </w:r>
            <w:r>
              <w:rPr>
                <w:rFonts w:hint="eastAsia" w:ascii="Times New Roman" w:hAnsi="Times New Roman" w:eastAsia="宋体" w:cs="Times New Roman"/>
                <w:kern w:val="2"/>
                <w:sz w:val="24"/>
                <w:szCs w:val="24"/>
                <w:lang w:val="en-US" w:eastAsia="zh-CN" w:bidi="ar-SA"/>
              </w:rPr>
              <w:t>加热，烘干温度保持在90℃左右。该工序产生的污染物主要是烘干废气（G</w:t>
            </w:r>
            <w:r>
              <w:rPr>
                <w:rFonts w:hint="eastAsia"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w:t>
            </w:r>
          </w:p>
          <w:p w14:paraId="00162C37">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6、喷面漆：UV与稀释剂经比例10:1调配后作为面漆喷涂。该工序通过前线操作人员利用喷漆枪借助压力，分散成均匀而微细的雾滴，喷射至注塑件表面。该工序污染物主要是喷漆废气（G</w:t>
            </w:r>
            <w:r>
              <w:rPr>
                <w:rFonts w:hint="eastAsia"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）以及漆渣（S</w:t>
            </w: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w:t>
            </w:r>
          </w:p>
          <w:p w14:paraId="3F82596E">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、面漆烘干：面漆喷漆后的注塑件进入烘道烘干，烘道采用设定的加热</w:t>
            </w:r>
            <w:r>
              <w:rPr>
                <w:rFonts w:hint="eastAsia" w:cs="Times New Roman"/>
                <w:kern w:val="2"/>
                <w:sz w:val="24"/>
                <w:szCs w:val="24"/>
                <w:lang w:val="en-US" w:eastAsia="zh-CN" w:bidi="ar-SA"/>
              </w:rPr>
              <w:t>紫外</w:t>
            </w:r>
            <w:r>
              <w:rPr>
                <w:rFonts w:hint="eastAsia" w:ascii="Times New Roman" w:hAnsi="Times New Roman" w:eastAsia="宋体" w:cs="Times New Roman"/>
                <w:kern w:val="2"/>
                <w:sz w:val="24"/>
                <w:szCs w:val="24"/>
                <w:lang w:val="en-US" w:eastAsia="zh-CN" w:bidi="ar-SA"/>
              </w:rPr>
              <w:t>灯管对面漆进行固化。该工序产生的污染物主要是烘干废气（G</w:t>
            </w:r>
            <w:r>
              <w:rPr>
                <w:rFonts w:hint="eastAsia"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w:t>
            </w:r>
          </w:p>
          <w:p w14:paraId="27381D36">
            <w:pPr>
              <w:pStyle w:val="11"/>
              <w:keepNext w:val="0"/>
              <w:keepLines w:val="0"/>
              <w:pageBreakBefore w:val="0"/>
              <w:kinsoku/>
              <w:wordWrap/>
              <w:overflowPunct/>
              <w:topLinePunct w:val="0"/>
              <w:autoSpaceDE/>
              <w:autoSpaceDN/>
              <w:bidi w:val="0"/>
              <w:adjustRightInd/>
              <w:spacing w:before="0" w:after="0" w:line="360" w:lineRule="auto"/>
              <w:ind w:right="0" w:firstLine="480"/>
              <w:jc w:val="left"/>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8</w:t>
            </w:r>
            <w:r>
              <w:rPr>
                <w:rFonts w:hint="eastAsia" w:ascii="Times New Roman" w:hAnsi="Times New Roman" w:eastAsia="宋体" w:cs="Times New Roman"/>
                <w:kern w:val="2"/>
                <w:sz w:val="24"/>
                <w:szCs w:val="24"/>
                <w:lang w:val="en-US" w:eastAsia="zh-CN" w:bidi="ar-SA"/>
              </w:rPr>
              <w:t>、转印：</w:t>
            </w:r>
            <w:r>
              <w:rPr>
                <w:rFonts w:hint="eastAsia" w:cs="Times New Roman"/>
                <w:kern w:val="2"/>
                <w:sz w:val="24"/>
                <w:szCs w:val="24"/>
                <w:lang w:val="en-US" w:eastAsia="zh-CN" w:bidi="ar-SA"/>
              </w:rPr>
              <w:t>部分</w:t>
            </w:r>
            <w:r>
              <w:rPr>
                <w:rFonts w:hint="eastAsia" w:ascii="Times New Roman" w:hAnsi="Times New Roman" w:eastAsia="宋体" w:cs="Times New Roman"/>
                <w:kern w:val="2"/>
                <w:sz w:val="24"/>
                <w:szCs w:val="24"/>
                <w:lang w:val="en-US" w:eastAsia="zh-CN" w:bidi="ar-SA"/>
              </w:rPr>
              <w:t>烘干后的工件通过</w:t>
            </w:r>
            <w:r>
              <w:rPr>
                <w:rFonts w:hint="eastAsia" w:cs="Times New Roman"/>
                <w:kern w:val="2"/>
                <w:sz w:val="24"/>
                <w:szCs w:val="24"/>
                <w:lang w:val="en-US" w:eastAsia="zh-CN" w:bidi="ar-SA"/>
              </w:rPr>
              <w:t>人工使用</w:t>
            </w:r>
            <w:r>
              <w:rPr>
                <w:rFonts w:hint="eastAsia" w:ascii="Times New Roman" w:hAnsi="Times New Roman" w:eastAsia="宋体" w:cs="Times New Roman"/>
                <w:kern w:val="2"/>
                <w:sz w:val="24"/>
                <w:szCs w:val="24"/>
                <w:lang w:val="en-US" w:eastAsia="zh-CN" w:bidi="ar-SA"/>
              </w:rPr>
              <w:t>转印机</w:t>
            </w:r>
            <w:r>
              <w:rPr>
                <w:rFonts w:hint="eastAsia" w:cs="Times New Roman"/>
                <w:kern w:val="2"/>
                <w:sz w:val="24"/>
                <w:szCs w:val="24"/>
                <w:lang w:val="en-US" w:eastAsia="zh-CN" w:bidi="ar-SA"/>
              </w:rPr>
              <w:t>/移印机</w:t>
            </w:r>
            <w:r>
              <w:rPr>
                <w:rFonts w:hint="eastAsia" w:ascii="Times New Roman" w:hAnsi="Times New Roman" w:eastAsia="宋体" w:cs="Times New Roman"/>
                <w:kern w:val="2"/>
                <w:sz w:val="24"/>
                <w:szCs w:val="24"/>
                <w:lang w:val="en-US" w:eastAsia="zh-CN" w:bidi="ar-SA"/>
              </w:rPr>
              <w:t>将膜纸上的文字转印在工件中，</w:t>
            </w:r>
            <w:r>
              <w:rPr>
                <w:rFonts w:hint="eastAsia" w:cs="Times New Roman"/>
                <w:kern w:val="2"/>
                <w:sz w:val="24"/>
                <w:szCs w:val="24"/>
                <w:lang w:val="en-US" w:eastAsia="zh-CN" w:bidi="ar-SA"/>
              </w:rPr>
              <w:t>主要操作是</w:t>
            </w:r>
            <w:r>
              <w:rPr>
                <w:rFonts w:hint="eastAsia" w:ascii="Arial" w:hAnsi="Arial" w:eastAsia="Arial" w:cs="Arial"/>
                <w:i w:val="0"/>
                <w:iCs w:val="0"/>
                <w:caps w:val="0"/>
                <w:color w:val="191919"/>
                <w:spacing w:val="0"/>
                <w:sz w:val="24"/>
                <w:szCs w:val="24"/>
                <w:shd w:val="clear" w:fill="FFFFFF"/>
              </w:rPr>
              <w:t>将转印薄膜平铺于转印水槽水面上，图文层朝上，保持水槽中的水清洁，</w:t>
            </w:r>
            <w:r>
              <w:rPr>
                <w:rFonts w:hint="eastAsia" w:ascii="Arial" w:hAnsi="Arial" w:eastAsia="宋体" w:cs="Arial"/>
                <w:i w:val="0"/>
                <w:iCs w:val="0"/>
                <w:caps w:val="0"/>
                <w:color w:val="191919"/>
                <w:spacing w:val="0"/>
                <w:sz w:val="24"/>
                <w:szCs w:val="24"/>
                <w:shd w:val="clear" w:fill="FFFFFF"/>
                <w:lang w:val="en-US" w:eastAsia="zh-CN"/>
              </w:rPr>
              <w:t>水槽内为外购活化水，槽内</w:t>
            </w:r>
            <w:r>
              <w:rPr>
                <w:rFonts w:hint="eastAsia" w:ascii="Arial" w:hAnsi="Arial" w:eastAsia="Arial" w:cs="Arial"/>
                <w:i w:val="0"/>
                <w:iCs w:val="0"/>
                <w:caps w:val="0"/>
                <w:color w:val="191919"/>
                <w:spacing w:val="0"/>
                <w:sz w:val="24"/>
                <w:szCs w:val="24"/>
                <w:shd w:val="clear" w:fill="FFFFFF"/>
              </w:rPr>
              <w:t>基本处于中性状态，将需要水转印的物品，沿其轮廓逐渐贴近水转印薄膜，图文层会在水压的作用下慢慢转移到产品表面，</w:t>
            </w:r>
            <w:r>
              <w:rPr>
                <w:rFonts w:hint="eastAsia" w:ascii="Arial" w:hAnsi="Arial" w:eastAsia="宋体" w:cs="Arial"/>
                <w:i w:val="0"/>
                <w:iCs w:val="0"/>
                <w:caps w:val="0"/>
                <w:color w:val="191919"/>
                <w:spacing w:val="0"/>
                <w:sz w:val="24"/>
                <w:szCs w:val="24"/>
                <w:shd w:val="clear" w:fill="FFFFFF"/>
                <w:lang w:val="en-US" w:eastAsia="zh-CN"/>
              </w:rPr>
              <w:t>由于活化水的水温是需要严格把控在40~50℃之间，故该工序为电加热，</w:t>
            </w:r>
            <w:r>
              <w:rPr>
                <w:rFonts w:hint="eastAsia" w:ascii="Times New Roman" w:hAnsi="Times New Roman" w:eastAsia="宋体" w:cs="Times New Roman"/>
                <w:kern w:val="2"/>
                <w:sz w:val="24"/>
                <w:szCs w:val="24"/>
                <w:lang w:val="en-US" w:eastAsia="zh-CN" w:bidi="ar-SA"/>
              </w:rPr>
              <w:t>该工序产生的污染物主要是转印废物（S</w:t>
            </w: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w:t>
            </w:r>
          </w:p>
          <w:p w14:paraId="2A8ADBA1">
            <w:pPr>
              <w:numPr>
                <w:ilvl w:val="0"/>
                <w:numId w:val="0"/>
              </w:numPr>
              <w:spacing w:line="360" w:lineRule="auto"/>
              <w:jc w:val="right"/>
              <w:rPr>
                <w:rFonts w:hint="eastAsia" w:ascii="Times New Roman" w:hAnsi="Times New Roman" w:eastAsia="宋体" w:cs="Times New Roman"/>
                <w:sz w:val="24"/>
                <w:szCs w:val="32"/>
                <w:lang w:val="en-US" w:eastAsia="zh-CN"/>
              </w:rPr>
            </w:pPr>
            <w:r>
              <w:rPr>
                <w:rFonts w:hint="eastAsia" w:cs="Times New Roman"/>
                <w:kern w:val="2"/>
                <w:sz w:val="24"/>
                <w:szCs w:val="24"/>
                <w:lang w:val="en-US" w:eastAsia="zh-CN" w:bidi="ar-SA"/>
              </w:rPr>
              <w:t>9</w:t>
            </w:r>
            <w:r>
              <w:rPr>
                <w:rFonts w:hint="eastAsia" w:ascii="Times New Roman" w:hAnsi="Times New Roman" w:eastAsia="宋体" w:cs="Times New Roman"/>
                <w:kern w:val="2"/>
                <w:sz w:val="24"/>
                <w:szCs w:val="24"/>
                <w:lang w:val="en-US" w:eastAsia="zh-CN" w:bidi="ar-SA"/>
              </w:rPr>
              <w:t>、包装待发货：半成品</w:t>
            </w:r>
            <w:r>
              <w:rPr>
                <w:rFonts w:hint="eastAsia" w:cs="Times New Roman"/>
                <w:kern w:val="2"/>
                <w:sz w:val="24"/>
                <w:szCs w:val="24"/>
                <w:lang w:val="en-US" w:eastAsia="zh-CN" w:bidi="ar-SA"/>
              </w:rPr>
              <w:t>作为</w:t>
            </w:r>
            <w:r>
              <w:rPr>
                <w:rFonts w:hint="eastAsia" w:ascii="Times New Roman" w:hAnsi="Times New Roman" w:eastAsia="宋体" w:cs="Times New Roman"/>
                <w:kern w:val="2"/>
                <w:sz w:val="24"/>
                <w:szCs w:val="24"/>
                <w:lang w:val="en-US" w:eastAsia="zh-CN" w:bidi="ar-SA"/>
              </w:rPr>
              <w:t>零部件包装，待发货，下游买家自行组装。</w:t>
            </w:r>
          </w:p>
          <w:p w14:paraId="548DE8A3">
            <w:pPr>
              <w:pStyle w:val="9"/>
              <w:adjustRightInd w:val="0"/>
              <w:snapToGrid w:val="0"/>
              <w:spacing w:before="0" w:line="240" w:lineRule="auto"/>
              <w:rPr>
                <w:rFonts w:ascii="Times New Roman" w:hAnsi="Times New Roman" w:eastAsia="宋体" w:cs="Times New Roman"/>
                <w:b/>
                <w:bCs/>
                <w:szCs w:val="24"/>
              </w:rPr>
            </w:pPr>
            <w:r>
              <w:rPr>
                <w:rFonts w:ascii="Times New Roman" w:hAnsi="Times New Roman" w:eastAsia="宋体" w:cs="Times New Roman"/>
                <w:b/>
                <w:bCs/>
                <w:szCs w:val="24"/>
              </w:rPr>
              <w:t>表</w:t>
            </w:r>
            <w:r>
              <w:rPr>
                <w:rFonts w:hint="eastAsia" w:eastAsia="宋体" w:cs="Times New Roman"/>
                <w:b/>
                <w:bCs/>
                <w:szCs w:val="24"/>
                <w:lang w:val="en-US" w:eastAsia="zh-CN"/>
              </w:rPr>
              <w:t>2-9</w:t>
            </w:r>
            <w:r>
              <w:rPr>
                <w:rFonts w:ascii="Times New Roman" w:hAnsi="Times New Roman" w:eastAsia="宋体" w:cs="Times New Roman"/>
                <w:b/>
                <w:bCs/>
                <w:szCs w:val="24"/>
              </w:rPr>
              <w:t xml:space="preserve">  产污环节一览表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12"/>
              <w:gridCol w:w="1074"/>
              <w:gridCol w:w="2519"/>
              <w:gridCol w:w="1732"/>
              <w:gridCol w:w="1400"/>
            </w:tblGrid>
            <w:tr w14:paraId="3D0D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69" w:type="dxa"/>
                  <w:noWrap w:val="0"/>
                  <w:vAlign w:val="center"/>
                </w:tcPr>
                <w:p w14:paraId="7A796CDB">
                  <w:pPr>
                    <w:jc w:val="center"/>
                    <w:rPr>
                      <w:b/>
                      <w:bCs/>
                      <w:sz w:val="21"/>
                      <w:szCs w:val="21"/>
                    </w:rPr>
                  </w:pPr>
                  <w:r>
                    <w:rPr>
                      <w:b/>
                      <w:bCs/>
                      <w:sz w:val="21"/>
                      <w:szCs w:val="21"/>
                    </w:rPr>
                    <w:t>污染物类型</w:t>
                  </w:r>
                </w:p>
              </w:tc>
              <w:tc>
                <w:tcPr>
                  <w:tcW w:w="712" w:type="dxa"/>
                  <w:noWrap w:val="0"/>
                  <w:vAlign w:val="center"/>
                </w:tcPr>
                <w:p w14:paraId="70E2B95A">
                  <w:pPr>
                    <w:jc w:val="center"/>
                    <w:rPr>
                      <w:b/>
                      <w:bCs/>
                      <w:sz w:val="21"/>
                      <w:szCs w:val="21"/>
                    </w:rPr>
                  </w:pPr>
                  <w:r>
                    <w:rPr>
                      <w:b/>
                      <w:bCs/>
                      <w:sz w:val="21"/>
                      <w:szCs w:val="21"/>
                    </w:rPr>
                    <w:t>污染物来源</w:t>
                  </w:r>
                </w:p>
              </w:tc>
              <w:tc>
                <w:tcPr>
                  <w:tcW w:w="1074" w:type="dxa"/>
                  <w:noWrap w:val="0"/>
                  <w:vAlign w:val="center"/>
                </w:tcPr>
                <w:p w14:paraId="1BECA0AA">
                  <w:pPr>
                    <w:jc w:val="center"/>
                    <w:rPr>
                      <w:b/>
                      <w:bCs/>
                      <w:sz w:val="21"/>
                      <w:szCs w:val="21"/>
                    </w:rPr>
                  </w:pPr>
                  <w:r>
                    <w:rPr>
                      <w:b/>
                      <w:bCs/>
                      <w:sz w:val="21"/>
                      <w:szCs w:val="21"/>
                    </w:rPr>
                    <w:t>产污环节</w:t>
                  </w:r>
                </w:p>
              </w:tc>
              <w:tc>
                <w:tcPr>
                  <w:tcW w:w="2519" w:type="dxa"/>
                  <w:noWrap w:val="0"/>
                  <w:vAlign w:val="center"/>
                </w:tcPr>
                <w:p w14:paraId="7AEC26C2">
                  <w:pPr>
                    <w:jc w:val="center"/>
                    <w:rPr>
                      <w:b/>
                      <w:bCs/>
                      <w:sz w:val="21"/>
                      <w:szCs w:val="21"/>
                    </w:rPr>
                  </w:pPr>
                  <w:r>
                    <w:rPr>
                      <w:b/>
                      <w:bCs/>
                      <w:sz w:val="21"/>
                      <w:szCs w:val="21"/>
                    </w:rPr>
                    <w:t>污染因子</w:t>
                  </w:r>
                </w:p>
              </w:tc>
              <w:tc>
                <w:tcPr>
                  <w:tcW w:w="1732" w:type="dxa"/>
                  <w:noWrap w:val="0"/>
                  <w:vAlign w:val="center"/>
                </w:tcPr>
                <w:p w14:paraId="6FA9E94B">
                  <w:pPr>
                    <w:jc w:val="center"/>
                    <w:rPr>
                      <w:b/>
                      <w:bCs/>
                      <w:sz w:val="21"/>
                      <w:szCs w:val="21"/>
                    </w:rPr>
                  </w:pPr>
                  <w:r>
                    <w:rPr>
                      <w:b/>
                      <w:bCs/>
                      <w:sz w:val="21"/>
                      <w:szCs w:val="21"/>
                    </w:rPr>
                    <w:t>处理措施</w:t>
                  </w:r>
                </w:p>
              </w:tc>
              <w:tc>
                <w:tcPr>
                  <w:tcW w:w="1400" w:type="dxa"/>
                  <w:noWrap w:val="0"/>
                  <w:vAlign w:val="center"/>
                </w:tcPr>
                <w:p w14:paraId="3226A5C3">
                  <w:pPr>
                    <w:jc w:val="center"/>
                    <w:rPr>
                      <w:b/>
                      <w:bCs/>
                      <w:sz w:val="21"/>
                      <w:szCs w:val="21"/>
                    </w:rPr>
                  </w:pPr>
                  <w:r>
                    <w:rPr>
                      <w:b/>
                      <w:bCs/>
                      <w:sz w:val="21"/>
                      <w:szCs w:val="21"/>
                    </w:rPr>
                    <w:t>排放去向</w:t>
                  </w:r>
                </w:p>
              </w:tc>
            </w:tr>
            <w:tr w14:paraId="3B25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69" w:type="dxa"/>
                  <w:vMerge w:val="restart"/>
                  <w:noWrap w:val="0"/>
                  <w:vAlign w:val="center"/>
                </w:tcPr>
                <w:p w14:paraId="3AABEB3E">
                  <w:pPr>
                    <w:jc w:val="center"/>
                    <w:rPr>
                      <w:rFonts w:hint="eastAsia" w:eastAsia="宋体"/>
                      <w:sz w:val="21"/>
                      <w:szCs w:val="21"/>
                      <w:lang w:val="en-US" w:eastAsia="zh-CN"/>
                    </w:rPr>
                  </w:pPr>
                  <w:r>
                    <w:rPr>
                      <w:rFonts w:hint="eastAsia"/>
                      <w:sz w:val="21"/>
                      <w:szCs w:val="21"/>
                      <w:lang w:val="en-US" w:eastAsia="zh-CN"/>
                    </w:rPr>
                    <w:t>废气</w:t>
                  </w:r>
                </w:p>
              </w:tc>
              <w:tc>
                <w:tcPr>
                  <w:tcW w:w="712" w:type="dxa"/>
                  <w:noWrap w:val="0"/>
                  <w:vAlign w:val="center"/>
                </w:tcPr>
                <w:p w14:paraId="7B2E0779">
                  <w:pPr>
                    <w:jc w:val="center"/>
                    <w:rPr>
                      <w:rFonts w:hint="default"/>
                      <w:sz w:val="21"/>
                      <w:szCs w:val="21"/>
                      <w:lang w:val="en-US" w:eastAsia="zh-CN"/>
                    </w:rPr>
                  </w:pPr>
                  <w:r>
                    <w:rPr>
                      <w:rFonts w:hint="eastAsia"/>
                      <w:sz w:val="21"/>
                      <w:szCs w:val="21"/>
                      <w:lang w:val="en-US" w:eastAsia="zh-CN"/>
                    </w:rPr>
                    <w:t>注塑</w:t>
                  </w:r>
                </w:p>
              </w:tc>
              <w:tc>
                <w:tcPr>
                  <w:tcW w:w="1074" w:type="dxa"/>
                  <w:noWrap w:val="0"/>
                  <w:vAlign w:val="center"/>
                </w:tcPr>
                <w:p w14:paraId="599D1148">
                  <w:pPr>
                    <w:jc w:val="center"/>
                    <w:rPr>
                      <w:rFonts w:hint="default"/>
                      <w:sz w:val="21"/>
                      <w:szCs w:val="21"/>
                      <w:lang w:val="en-US" w:eastAsia="zh-CN"/>
                    </w:rPr>
                  </w:pPr>
                  <w:r>
                    <w:rPr>
                      <w:rFonts w:hint="eastAsia"/>
                      <w:sz w:val="21"/>
                      <w:szCs w:val="21"/>
                      <w:lang w:val="en-US" w:eastAsia="zh-CN"/>
                    </w:rPr>
                    <w:t>注塑</w:t>
                  </w:r>
                </w:p>
              </w:tc>
              <w:tc>
                <w:tcPr>
                  <w:tcW w:w="2519" w:type="dxa"/>
                  <w:noWrap w:val="0"/>
                  <w:vAlign w:val="center"/>
                </w:tcPr>
                <w:p w14:paraId="06C8469C">
                  <w:pPr>
                    <w:jc w:val="center"/>
                    <w:rPr>
                      <w:rFonts w:hint="default"/>
                      <w:sz w:val="21"/>
                      <w:szCs w:val="21"/>
                      <w:lang w:val="en-US" w:eastAsia="zh-CN"/>
                    </w:rPr>
                  </w:pPr>
                  <w:r>
                    <w:rPr>
                      <w:rFonts w:hint="eastAsia"/>
                      <w:sz w:val="21"/>
                      <w:szCs w:val="21"/>
                      <w:lang w:val="en-US" w:eastAsia="zh-CN"/>
                    </w:rPr>
                    <w:t>非甲烷总烃、苯乙烯、丙烯腈</w:t>
                  </w:r>
                </w:p>
              </w:tc>
              <w:tc>
                <w:tcPr>
                  <w:tcW w:w="1732" w:type="dxa"/>
                  <w:noWrap w:val="0"/>
                  <w:vAlign w:val="center"/>
                </w:tcPr>
                <w:p w14:paraId="10D718E6">
                  <w:pPr>
                    <w:jc w:val="center"/>
                    <w:rPr>
                      <w:rFonts w:hint="default"/>
                      <w:sz w:val="21"/>
                      <w:szCs w:val="21"/>
                      <w:lang w:val="en-US" w:eastAsia="zh-CN"/>
                    </w:rPr>
                  </w:pPr>
                  <w:r>
                    <w:rPr>
                      <w:rFonts w:hint="eastAsia"/>
                      <w:sz w:val="21"/>
                      <w:szCs w:val="21"/>
                      <w:lang w:val="en-US" w:eastAsia="zh-CN"/>
                    </w:rPr>
                    <w:t>二级活性炭吸附装置</w:t>
                  </w:r>
                </w:p>
              </w:tc>
              <w:tc>
                <w:tcPr>
                  <w:tcW w:w="1400" w:type="dxa"/>
                  <w:noWrap w:val="0"/>
                  <w:vAlign w:val="center"/>
                </w:tcPr>
                <w:p w14:paraId="002BF0DA">
                  <w:pPr>
                    <w:jc w:val="center"/>
                    <w:rPr>
                      <w:rFonts w:hint="default" w:eastAsia="宋体"/>
                      <w:sz w:val="21"/>
                      <w:szCs w:val="21"/>
                      <w:lang w:val="en-US" w:eastAsia="zh-CN"/>
                    </w:rPr>
                  </w:pPr>
                  <w:r>
                    <w:rPr>
                      <w:rFonts w:hint="eastAsia"/>
                      <w:sz w:val="21"/>
                      <w:szCs w:val="21"/>
                      <w:lang w:val="en-US" w:eastAsia="zh-CN"/>
                    </w:rPr>
                    <w:t>DA001</w:t>
                  </w:r>
                </w:p>
              </w:tc>
            </w:tr>
            <w:tr w14:paraId="6642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continue"/>
                  <w:noWrap w:val="0"/>
                  <w:vAlign w:val="center"/>
                </w:tcPr>
                <w:p w14:paraId="0702B158">
                  <w:pPr>
                    <w:jc w:val="center"/>
                    <w:rPr>
                      <w:rFonts w:hint="eastAsia"/>
                      <w:sz w:val="21"/>
                      <w:szCs w:val="21"/>
                      <w:lang w:val="en-US" w:eastAsia="zh-CN"/>
                    </w:rPr>
                  </w:pPr>
                </w:p>
              </w:tc>
              <w:tc>
                <w:tcPr>
                  <w:tcW w:w="712" w:type="dxa"/>
                  <w:vMerge w:val="restart"/>
                  <w:noWrap w:val="0"/>
                  <w:vAlign w:val="center"/>
                </w:tcPr>
                <w:p w14:paraId="5245716E">
                  <w:pPr>
                    <w:jc w:val="center"/>
                    <w:rPr>
                      <w:rFonts w:hint="default"/>
                      <w:sz w:val="21"/>
                      <w:szCs w:val="21"/>
                      <w:lang w:val="en-US" w:eastAsia="zh-CN"/>
                    </w:rPr>
                  </w:pPr>
                  <w:r>
                    <w:rPr>
                      <w:rFonts w:hint="eastAsia"/>
                      <w:sz w:val="21"/>
                      <w:szCs w:val="21"/>
                      <w:lang w:val="en-US" w:eastAsia="zh-CN"/>
                    </w:rPr>
                    <w:t>喷漆</w:t>
                  </w:r>
                </w:p>
              </w:tc>
              <w:tc>
                <w:tcPr>
                  <w:tcW w:w="1074" w:type="dxa"/>
                  <w:vMerge w:val="restart"/>
                  <w:noWrap w:val="0"/>
                  <w:vAlign w:val="center"/>
                </w:tcPr>
                <w:p w14:paraId="62FBB365">
                  <w:pPr>
                    <w:jc w:val="center"/>
                    <w:rPr>
                      <w:rFonts w:hint="default"/>
                      <w:sz w:val="21"/>
                      <w:szCs w:val="21"/>
                      <w:lang w:val="en-US" w:eastAsia="zh-CN"/>
                    </w:rPr>
                  </w:pPr>
                  <w:r>
                    <w:rPr>
                      <w:rFonts w:hint="eastAsia"/>
                      <w:sz w:val="21"/>
                      <w:szCs w:val="21"/>
                      <w:lang w:val="en-US" w:eastAsia="zh-CN"/>
                    </w:rPr>
                    <w:t>喷漆（底漆、面漆）</w:t>
                  </w:r>
                </w:p>
              </w:tc>
              <w:tc>
                <w:tcPr>
                  <w:tcW w:w="2519" w:type="dxa"/>
                  <w:noWrap w:val="0"/>
                  <w:vAlign w:val="center"/>
                </w:tcPr>
                <w:p w14:paraId="75A23A40">
                  <w:pPr>
                    <w:jc w:val="center"/>
                    <w:rPr>
                      <w:rFonts w:hint="default"/>
                      <w:sz w:val="21"/>
                      <w:szCs w:val="21"/>
                      <w:lang w:val="en-US" w:eastAsia="zh-CN"/>
                    </w:rPr>
                  </w:pPr>
                  <w:r>
                    <w:rPr>
                      <w:rFonts w:hint="eastAsia"/>
                      <w:sz w:val="21"/>
                      <w:szCs w:val="21"/>
                      <w:lang w:val="en-US" w:eastAsia="zh-CN"/>
                    </w:rPr>
                    <w:t>颗粒物</w:t>
                  </w:r>
                </w:p>
              </w:tc>
              <w:tc>
                <w:tcPr>
                  <w:tcW w:w="1732" w:type="dxa"/>
                  <w:noWrap w:val="0"/>
                  <w:vAlign w:val="center"/>
                </w:tcPr>
                <w:p w14:paraId="3CBCF173">
                  <w:pPr>
                    <w:jc w:val="center"/>
                    <w:rPr>
                      <w:rFonts w:hint="default"/>
                      <w:sz w:val="21"/>
                      <w:szCs w:val="21"/>
                      <w:lang w:val="en-US" w:eastAsia="zh-CN"/>
                    </w:rPr>
                  </w:pPr>
                  <w:r>
                    <w:rPr>
                      <w:rFonts w:hint="eastAsia"/>
                      <w:sz w:val="21"/>
                      <w:szCs w:val="21"/>
                      <w:lang w:val="en-US" w:eastAsia="zh-CN"/>
                    </w:rPr>
                    <w:t>一级水喷淋设施</w:t>
                  </w:r>
                </w:p>
              </w:tc>
              <w:tc>
                <w:tcPr>
                  <w:tcW w:w="1400" w:type="dxa"/>
                  <w:vMerge w:val="restart"/>
                  <w:noWrap w:val="0"/>
                  <w:vAlign w:val="center"/>
                </w:tcPr>
                <w:p w14:paraId="7B980C20">
                  <w:pPr>
                    <w:jc w:val="center"/>
                    <w:rPr>
                      <w:rFonts w:hint="default"/>
                      <w:sz w:val="21"/>
                      <w:szCs w:val="21"/>
                      <w:lang w:val="en-US" w:eastAsia="zh-CN"/>
                    </w:rPr>
                  </w:pPr>
                  <w:r>
                    <w:rPr>
                      <w:rFonts w:hint="eastAsia"/>
                      <w:sz w:val="21"/>
                      <w:szCs w:val="21"/>
                      <w:lang w:val="en-US" w:eastAsia="zh-CN"/>
                    </w:rPr>
                    <w:t>DA002</w:t>
                  </w:r>
                </w:p>
              </w:tc>
            </w:tr>
            <w:tr w14:paraId="34EA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continue"/>
                  <w:noWrap w:val="0"/>
                  <w:vAlign w:val="center"/>
                </w:tcPr>
                <w:p w14:paraId="0414366B">
                  <w:pPr>
                    <w:jc w:val="center"/>
                    <w:rPr>
                      <w:rFonts w:hint="eastAsia"/>
                      <w:sz w:val="21"/>
                      <w:szCs w:val="21"/>
                      <w:lang w:val="en-US" w:eastAsia="zh-CN"/>
                    </w:rPr>
                  </w:pPr>
                </w:p>
              </w:tc>
              <w:tc>
                <w:tcPr>
                  <w:tcW w:w="712" w:type="dxa"/>
                  <w:vMerge w:val="continue"/>
                  <w:noWrap w:val="0"/>
                  <w:vAlign w:val="center"/>
                </w:tcPr>
                <w:p w14:paraId="2BF169C5">
                  <w:pPr>
                    <w:jc w:val="center"/>
                    <w:rPr>
                      <w:rFonts w:hint="default"/>
                      <w:sz w:val="21"/>
                      <w:szCs w:val="21"/>
                      <w:lang w:val="en-US" w:eastAsia="zh-CN"/>
                    </w:rPr>
                  </w:pPr>
                </w:p>
              </w:tc>
              <w:tc>
                <w:tcPr>
                  <w:tcW w:w="1074" w:type="dxa"/>
                  <w:vMerge w:val="continue"/>
                  <w:noWrap w:val="0"/>
                  <w:vAlign w:val="center"/>
                </w:tcPr>
                <w:p w14:paraId="6D5163F8">
                  <w:pPr>
                    <w:jc w:val="center"/>
                    <w:rPr>
                      <w:rFonts w:hint="default"/>
                      <w:sz w:val="21"/>
                      <w:szCs w:val="21"/>
                      <w:lang w:val="en-US" w:eastAsia="zh-CN"/>
                    </w:rPr>
                  </w:pPr>
                </w:p>
              </w:tc>
              <w:tc>
                <w:tcPr>
                  <w:tcW w:w="2519" w:type="dxa"/>
                  <w:vMerge w:val="restart"/>
                  <w:noWrap w:val="0"/>
                  <w:vAlign w:val="center"/>
                </w:tcPr>
                <w:p w14:paraId="50DF4D2D">
                  <w:pPr>
                    <w:jc w:val="center"/>
                    <w:rPr>
                      <w:rFonts w:hint="default"/>
                      <w:sz w:val="21"/>
                      <w:szCs w:val="21"/>
                      <w:lang w:val="en-US" w:eastAsia="zh-CN"/>
                    </w:rPr>
                  </w:pPr>
                  <w:r>
                    <w:rPr>
                      <w:rFonts w:hint="eastAsia"/>
                      <w:sz w:val="21"/>
                      <w:szCs w:val="21"/>
                      <w:lang w:val="en-US" w:eastAsia="zh-CN"/>
                    </w:rPr>
                    <w:t>非甲烷总烃、二甲苯、醋酸丁酯</w:t>
                  </w:r>
                </w:p>
              </w:tc>
              <w:tc>
                <w:tcPr>
                  <w:tcW w:w="1732" w:type="dxa"/>
                  <w:vMerge w:val="restart"/>
                  <w:noWrap w:val="0"/>
                  <w:vAlign w:val="center"/>
                </w:tcPr>
                <w:p w14:paraId="558C7336">
                  <w:pPr>
                    <w:jc w:val="center"/>
                    <w:rPr>
                      <w:rFonts w:hint="default"/>
                      <w:sz w:val="21"/>
                      <w:szCs w:val="21"/>
                      <w:lang w:val="en-US" w:eastAsia="zh-CN"/>
                    </w:rPr>
                  </w:pPr>
                  <w:r>
                    <w:rPr>
                      <w:rFonts w:hint="eastAsia"/>
                      <w:sz w:val="21"/>
                      <w:szCs w:val="21"/>
                      <w:lang w:val="en-US" w:eastAsia="zh-CN"/>
                    </w:rPr>
                    <w:t>活性炭吸附/脱附+催化燃烧装置</w:t>
                  </w:r>
                </w:p>
              </w:tc>
              <w:tc>
                <w:tcPr>
                  <w:tcW w:w="1400" w:type="dxa"/>
                  <w:vMerge w:val="continue"/>
                  <w:noWrap w:val="0"/>
                  <w:vAlign w:val="center"/>
                </w:tcPr>
                <w:p w14:paraId="744045AF">
                  <w:pPr>
                    <w:jc w:val="center"/>
                    <w:rPr>
                      <w:rFonts w:hint="default"/>
                      <w:sz w:val="21"/>
                      <w:szCs w:val="21"/>
                      <w:lang w:val="en-US" w:eastAsia="zh-CN"/>
                    </w:rPr>
                  </w:pPr>
                </w:p>
              </w:tc>
            </w:tr>
            <w:tr w14:paraId="76F2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continue"/>
                  <w:noWrap w:val="0"/>
                  <w:vAlign w:val="center"/>
                </w:tcPr>
                <w:p w14:paraId="632DFE12">
                  <w:pPr>
                    <w:jc w:val="center"/>
                    <w:rPr>
                      <w:rFonts w:hint="eastAsia"/>
                      <w:sz w:val="21"/>
                      <w:szCs w:val="21"/>
                      <w:lang w:val="en-US" w:eastAsia="zh-CN"/>
                    </w:rPr>
                  </w:pPr>
                </w:p>
              </w:tc>
              <w:tc>
                <w:tcPr>
                  <w:tcW w:w="712" w:type="dxa"/>
                  <w:noWrap w:val="0"/>
                  <w:vAlign w:val="center"/>
                </w:tcPr>
                <w:p w14:paraId="1137E58E">
                  <w:pPr>
                    <w:jc w:val="center"/>
                    <w:rPr>
                      <w:rFonts w:hint="default"/>
                      <w:sz w:val="21"/>
                      <w:szCs w:val="21"/>
                      <w:lang w:val="en-US" w:eastAsia="zh-CN"/>
                    </w:rPr>
                  </w:pPr>
                  <w:r>
                    <w:rPr>
                      <w:rFonts w:hint="eastAsia"/>
                      <w:sz w:val="21"/>
                      <w:szCs w:val="21"/>
                      <w:lang w:val="en-US" w:eastAsia="zh-CN"/>
                    </w:rPr>
                    <w:t>烘干</w:t>
                  </w:r>
                </w:p>
              </w:tc>
              <w:tc>
                <w:tcPr>
                  <w:tcW w:w="1074" w:type="dxa"/>
                  <w:noWrap w:val="0"/>
                  <w:vAlign w:val="center"/>
                </w:tcPr>
                <w:p w14:paraId="7177BE64">
                  <w:pPr>
                    <w:jc w:val="center"/>
                    <w:rPr>
                      <w:rFonts w:hint="default"/>
                      <w:sz w:val="21"/>
                      <w:szCs w:val="21"/>
                      <w:lang w:val="en-US" w:eastAsia="zh-CN"/>
                    </w:rPr>
                  </w:pPr>
                  <w:r>
                    <w:rPr>
                      <w:rFonts w:hint="eastAsia"/>
                      <w:sz w:val="21"/>
                      <w:szCs w:val="21"/>
                      <w:lang w:val="en-US" w:eastAsia="zh-CN"/>
                    </w:rPr>
                    <w:t>烘干</w:t>
                  </w:r>
                </w:p>
              </w:tc>
              <w:tc>
                <w:tcPr>
                  <w:tcW w:w="2519" w:type="dxa"/>
                  <w:vMerge w:val="continue"/>
                  <w:noWrap w:val="0"/>
                  <w:vAlign w:val="center"/>
                </w:tcPr>
                <w:p w14:paraId="219B1496">
                  <w:pPr>
                    <w:jc w:val="center"/>
                    <w:rPr>
                      <w:rFonts w:hint="default"/>
                      <w:sz w:val="21"/>
                      <w:szCs w:val="21"/>
                      <w:lang w:val="en-US" w:eastAsia="zh-CN"/>
                    </w:rPr>
                  </w:pPr>
                </w:p>
              </w:tc>
              <w:tc>
                <w:tcPr>
                  <w:tcW w:w="1732" w:type="dxa"/>
                  <w:vMerge w:val="continue"/>
                  <w:noWrap w:val="0"/>
                  <w:vAlign w:val="center"/>
                </w:tcPr>
                <w:p w14:paraId="6F8B517F">
                  <w:pPr>
                    <w:jc w:val="center"/>
                    <w:rPr>
                      <w:rFonts w:hint="eastAsia"/>
                      <w:sz w:val="21"/>
                      <w:szCs w:val="21"/>
                      <w:lang w:val="en-US" w:eastAsia="zh-CN"/>
                    </w:rPr>
                  </w:pPr>
                </w:p>
              </w:tc>
              <w:tc>
                <w:tcPr>
                  <w:tcW w:w="1400" w:type="dxa"/>
                  <w:vMerge w:val="continue"/>
                  <w:noWrap w:val="0"/>
                  <w:vAlign w:val="center"/>
                </w:tcPr>
                <w:p w14:paraId="1B2D2D1F">
                  <w:pPr>
                    <w:jc w:val="center"/>
                    <w:rPr>
                      <w:rFonts w:hint="default"/>
                      <w:sz w:val="21"/>
                      <w:szCs w:val="21"/>
                      <w:lang w:val="en-US" w:eastAsia="zh-CN"/>
                    </w:rPr>
                  </w:pPr>
                </w:p>
              </w:tc>
            </w:tr>
            <w:tr w14:paraId="2694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restart"/>
                  <w:noWrap w:val="0"/>
                  <w:vAlign w:val="center"/>
                </w:tcPr>
                <w:p w14:paraId="32C9D8F6">
                  <w:pPr>
                    <w:jc w:val="center"/>
                    <w:rPr>
                      <w:sz w:val="21"/>
                      <w:szCs w:val="21"/>
                    </w:rPr>
                  </w:pPr>
                  <w:r>
                    <w:rPr>
                      <w:sz w:val="21"/>
                      <w:szCs w:val="21"/>
                    </w:rPr>
                    <w:t>废水</w:t>
                  </w:r>
                </w:p>
              </w:tc>
              <w:tc>
                <w:tcPr>
                  <w:tcW w:w="1786" w:type="dxa"/>
                  <w:gridSpan w:val="2"/>
                  <w:noWrap w:val="0"/>
                  <w:vAlign w:val="center"/>
                </w:tcPr>
                <w:p w14:paraId="023D5E26">
                  <w:pPr>
                    <w:jc w:val="center"/>
                    <w:rPr>
                      <w:sz w:val="21"/>
                      <w:szCs w:val="21"/>
                    </w:rPr>
                  </w:pPr>
                  <w:r>
                    <w:rPr>
                      <w:sz w:val="21"/>
                      <w:szCs w:val="21"/>
                    </w:rPr>
                    <w:t>生活污水</w:t>
                  </w:r>
                </w:p>
              </w:tc>
              <w:tc>
                <w:tcPr>
                  <w:tcW w:w="2519" w:type="dxa"/>
                  <w:noWrap w:val="0"/>
                  <w:vAlign w:val="center"/>
                </w:tcPr>
                <w:p w14:paraId="3FCAF0F6">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sz w:val="21"/>
                      <w:szCs w:val="21"/>
                    </w:rPr>
                    <w:t>pH、COD、BOD</w:t>
                  </w:r>
                  <w:r>
                    <w:rPr>
                      <w:sz w:val="21"/>
                      <w:szCs w:val="21"/>
                      <w:vertAlign w:val="subscript"/>
                    </w:rPr>
                    <w:t>5</w:t>
                  </w:r>
                  <w:r>
                    <w:rPr>
                      <w:sz w:val="21"/>
                      <w:szCs w:val="21"/>
                    </w:rPr>
                    <w:t>、SS、NH</w:t>
                  </w:r>
                  <w:r>
                    <w:rPr>
                      <w:sz w:val="21"/>
                      <w:szCs w:val="21"/>
                      <w:vertAlign w:val="subscript"/>
                    </w:rPr>
                    <w:t>3</w:t>
                  </w:r>
                  <w:r>
                    <w:rPr>
                      <w:sz w:val="21"/>
                      <w:szCs w:val="21"/>
                    </w:rPr>
                    <w:t>-N</w:t>
                  </w:r>
                </w:p>
              </w:tc>
              <w:tc>
                <w:tcPr>
                  <w:tcW w:w="1732" w:type="dxa"/>
                  <w:noWrap w:val="0"/>
                  <w:vAlign w:val="center"/>
                </w:tcPr>
                <w:p w14:paraId="3FF65812">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sz w:val="21"/>
                      <w:szCs w:val="21"/>
                    </w:rPr>
                    <w:t>化粪池</w:t>
                  </w:r>
                </w:p>
              </w:tc>
              <w:tc>
                <w:tcPr>
                  <w:tcW w:w="1400" w:type="dxa"/>
                  <w:noWrap w:val="0"/>
                  <w:vAlign w:val="center"/>
                </w:tcPr>
                <w:p w14:paraId="2033A822">
                  <w:pPr>
                    <w:jc w:val="center"/>
                    <w:rPr>
                      <w:rFonts w:hint="eastAsia" w:eastAsia="宋体"/>
                      <w:sz w:val="21"/>
                      <w:szCs w:val="21"/>
                      <w:lang w:val="en-US" w:eastAsia="zh-CN"/>
                    </w:rPr>
                  </w:pPr>
                  <w:r>
                    <w:rPr>
                      <w:rFonts w:hint="eastAsia"/>
                      <w:sz w:val="21"/>
                      <w:szCs w:val="21"/>
                      <w:lang w:val="en-US" w:eastAsia="zh-CN"/>
                    </w:rPr>
                    <w:t>DW001</w:t>
                  </w:r>
                </w:p>
              </w:tc>
            </w:tr>
            <w:tr w14:paraId="78C1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continue"/>
                  <w:noWrap w:val="0"/>
                  <w:vAlign w:val="center"/>
                </w:tcPr>
                <w:p w14:paraId="6E368260">
                  <w:pPr>
                    <w:jc w:val="center"/>
                    <w:rPr>
                      <w:sz w:val="21"/>
                      <w:szCs w:val="21"/>
                    </w:rPr>
                  </w:pPr>
                </w:p>
              </w:tc>
              <w:tc>
                <w:tcPr>
                  <w:tcW w:w="1786" w:type="dxa"/>
                  <w:gridSpan w:val="2"/>
                  <w:noWrap w:val="0"/>
                  <w:vAlign w:val="center"/>
                </w:tcPr>
                <w:p w14:paraId="51E6266D">
                  <w:pPr>
                    <w:jc w:val="center"/>
                    <w:rPr>
                      <w:rFonts w:hint="eastAsia"/>
                      <w:sz w:val="21"/>
                      <w:szCs w:val="21"/>
                      <w:lang w:val="en-US" w:eastAsia="zh-CN"/>
                    </w:rPr>
                  </w:pPr>
                  <w:r>
                    <w:rPr>
                      <w:rFonts w:hint="eastAsia"/>
                      <w:sz w:val="21"/>
                      <w:szCs w:val="21"/>
                      <w:lang w:val="en-US" w:eastAsia="zh-CN"/>
                    </w:rPr>
                    <w:t>生产废水</w:t>
                  </w:r>
                </w:p>
                <w:p w14:paraId="67DB94FE">
                  <w:pPr>
                    <w:jc w:val="center"/>
                    <w:rPr>
                      <w:rFonts w:hint="default" w:eastAsia="宋体"/>
                      <w:sz w:val="21"/>
                      <w:szCs w:val="21"/>
                      <w:lang w:val="en-US" w:eastAsia="zh-CN"/>
                    </w:rPr>
                  </w:pPr>
                  <w:r>
                    <w:rPr>
                      <w:rFonts w:hint="eastAsia"/>
                      <w:sz w:val="21"/>
                      <w:szCs w:val="21"/>
                      <w:lang w:val="en-US" w:eastAsia="zh-CN"/>
                    </w:rPr>
                    <w:t>（转印废水、喷淋塔废水）</w:t>
                  </w:r>
                </w:p>
              </w:tc>
              <w:tc>
                <w:tcPr>
                  <w:tcW w:w="2519" w:type="dxa"/>
                  <w:noWrap w:val="0"/>
                  <w:vAlign w:val="center"/>
                </w:tcPr>
                <w:p w14:paraId="7C3925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 w:val="21"/>
                      <w:szCs w:val="21"/>
                      <w:lang w:val="en-US" w:eastAsia="zh-CN"/>
                    </w:rPr>
                  </w:pPr>
                  <w:r>
                    <w:rPr>
                      <w:sz w:val="21"/>
                      <w:szCs w:val="21"/>
                    </w:rPr>
                    <w:t>pH、COD、BOD</w:t>
                  </w:r>
                  <w:r>
                    <w:rPr>
                      <w:sz w:val="21"/>
                      <w:szCs w:val="21"/>
                      <w:vertAlign w:val="subscript"/>
                    </w:rPr>
                    <w:t>5</w:t>
                  </w:r>
                  <w:r>
                    <w:rPr>
                      <w:sz w:val="21"/>
                      <w:szCs w:val="21"/>
                    </w:rPr>
                    <w:t>、SS、NH</w:t>
                  </w:r>
                  <w:r>
                    <w:rPr>
                      <w:sz w:val="21"/>
                      <w:szCs w:val="21"/>
                      <w:vertAlign w:val="subscript"/>
                    </w:rPr>
                    <w:t>3</w:t>
                  </w:r>
                  <w:r>
                    <w:rPr>
                      <w:sz w:val="21"/>
                      <w:szCs w:val="21"/>
                    </w:rPr>
                    <w:t>-N</w:t>
                  </w:r>
                  <w:r>
                    <w:rPr>
                      <w:rFonts w:hint="eastAsia"/>
                      <w:sz w:val="21"/>
                      <w:szCs w:val="21"/>
                      <w:lang w:eastAsia="zh-CN"/>
                    </w:rPr>
                    <w:t>、</w:t>
                  </w:r>
                  <w:r>
                    <w:rPr>
                      <w:rFonts w:hint="eastAsia"/>
                      <w:sz w:val="21"/>
                      <w:szCs w:val="21"/>
                      <w:lang w:val="en-US" w:eastAsia="zh-CN"/>
                    </w:rPr>
                    <w:t>石油类、二甲苯等</w:t>
                  </w:r>
                </w:p>
              </w:tc>
              <w:tc>
                <w:tcPr>
                  <w:tcW w:w="1732" w:type="dxa"/>
                  <w:noWrap w:val="0"/>
                  <w:vAlign w:val="center"/>
                </w:tcPr>
                <w:p w14:paraId="39F1F7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作为危废处理</w:t>
                  </w:r>
                </w:p>
              </w:tc>
              <w:tc>
                <w:tcPr>
                  <w:tcW w:w="1400" w:type="dxa"/>
                  <w:noWrap w:val="0"/>
                  <w:vAlign w:val="center"/>
                </w:tcPr>
                <w:p w14:paraId="27828F27">
                  <w:pPr>
                    <w:jc w:val="center"/>
                    <w:rPr>
                      <w:rFonts w:hint="eastAsia" w:eastAsia="宋体"/>
                      <w:sz w:val="21"/>
                      <w:szCs w:val="21"/>
                      <w:lang w:val="en-US" w:eastAsia="zh-CN"/>
                    </w:rPr>
                  </w:pPr>
                  <w:r>
                    <w:rPr>
                      <w:rFonts w:hint="eastAsia"/>
                      <w:sz w:val="21"/>
                      <w:szCs w:val="21"/>
                      <w:lang w:val="en-US" w:eastAsia="zh-CN"/>
                    </w:rPr>
                    <w:t>/</w:t>
                  </w:r>
                </w:p>
              </w:tc>
            </w:tr>
            <w:tr w14:paraId="783A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noWrap w:val="0"/>
                  <w:vAlign w:val="center"/>
                </w:tcPr>
                <w:p w14:paraId="3758A509">
                  <w:pPr>
                    <w:jc w:val="center"/>
                    <w:rPr>
                      <w:sz w:val="21"/>
                      <w:szCs w:val="21"/>
                    </w:rPr>
                  </w:pPr>
                  <w:r>
                    <w:rPr>
                      <w:sz w:val="21"/>
                      <w:szCs w:val="21"/>
                    </w:rPr>
                    <w:t>噪声</w:t>
                  </w:r>
                </w:p>
              </w:tc>
              <w:tc>
                <w:tcPr>
                  <w:tcW w:w="712" w:type="dxa"/>
                  <w:noWrap w:val="0"/>
                  <w:vAlign w:val="center"/>
                </w:tcPr>
                <w:p w14:paraId="17D1FB3F">
                  <w:pPr>
                    <w:jc w:val="center"/>
                    <w:rPr>
                      <w:sz w:val="21"/>
                      <w:szCs w:val="21"/>
                    </w:rPr>
                  </w:pPr>
                  <w:r>
                    <w:rPr>
                      <w:sz w:val="21"/>
                      <w:szCs w:val="21"/>
                    </w:rPr>
                    <w:t>生产设备</w:t>
                  </w:r>
                </w:p>
              </w:tc>
              <w:tc>
                <w:tcPr>
                  <w:tcW w:w="1074" w:type="dxa"/>
                  <w:noWrap w:val="0"/>
                  <w:vAlign w:val="center"/>
                </w:tcPr>
                <w:p w14:paraId="5D23A431">
                  <w:pPr>
                    <w:jc w:val="center"/>
                    <w:rPr>
                      <w:sz w:val="21"/>
                      <w:szCs w:val="21"/>
                    </w:rPr>
                  </w:pPr>
                  <w:r>
                    <w:rPr>
                      <w:sz w:val="21"/>
                      <w:szCs w:val="21"/>
                    </w:rPr>
                    <w:t>设备运转</w:t>
                  </w:r>
                </w:p>
              </w:tc>
              <w:tc>
                <w:tcPr>
                  <w:tcW w:w="2519" w:type="dxa"/>
                  <w:noWrap w:val="0"/>
                  <w:vAlign w:val="center"/>
                </w:tcPr>
                <w:p w14:paraId="481A14A5">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sz w:val="21"/>
                      <w:szCs w:val="21"/>
                    </w:rPr>
                    <w:t>/</w:t>
                  </w:r>
                </w:p>
              </w:tc>
              <w:tc>
                <w:tcPr>
                  <w:tcW w:w="1732" w:type="dxa"/>
                  <w:noWrap w:val="0"/>
                  <w:vAlign w:val="center"/>
                </w:tcPr>
                <w:p w14:paraId="4A39AAAE">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sz w:val="21"/>
                      <w:szCs w:val="21"/>
                    </w:rPr>
                    <w:t>选用低噪声设备，并安装减振垫</w:t>
                  </w:r>
                </w:p>
              </w:tc>
              <w:tc>
                <w:tcPr>
                  <w:tcW w:w="1400" w:type="dxa"/>
                  <w:noWrap w:val="0"/>
                  <w:vAlign w:val="center"/>
                </w:tcPr>
                <w:p w14:paraId="47C20F35">
                  <w:pPr>
                    <w:jc w:val="center"/>
                    <w:rPr>
                      <w:sz w:val="21"/>
                      <w:szCs w:val="21"/>
                    </w:rPr>
                  </w:pPr>
                  <w:r>
                    <w:rPr>
                      <w:sz w:val="21"/>
                      <w:szCs w:val="21"/>
                    </w:rPr>
                    <w:t>/</w:t>
                  </w:r>
                </w:p>
              </w:tc>
            </w:tr>
            <w:tr w14:paraId="57AB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69" w:type="dxa"/>
                  <w:vMerge w:val="restart"/>
                  <w:noWrap w:val="0"/>
                  <w:vAlign w:val="center"/>
                </w:tcPr>
                <w:p w14:paraId="7FA7B441">
                  <w:pPr>
                    <w:jc w:val="center"/>
                    <w:rPr>
                      <w:sz w:val="21"/>
                      <w:szCs w:val="21"/>
                    </w:rPr>
                  </w:pPr>
                  <w:r>
                    <w:rPr>
                      <w:sz w:val="21"/>
                      <w:szCs w:val="21"/>
                    </w:rPr>
                    <w:t>固废</w:t>
                  </w:r>
                </w:p>
              </w:tc>
              <w:tc>
                <w:tcPr>
                  <w:tcW w:w="712" w:type="dxa"/>
                  <w:vMerge w:val="restart"/>
                  <w:noWrap w:val="0"/>
                  <w:vAlign w:val="center"/>
                </w:tcPr>
                <w:p w14:paraId="2CA5059F">
                  <w:pPr>
                    <w:jc w:val="center"/>
                    <w:rPr>
                      <w:sz w:val="21"/>
                      <w:szCs w:val="21"/>
                    </w:rPr>
                  </w:pPr>
                  <w:r>
                    <w:rPr>
                      <w:sz w:val="21"/>
                      <w:szCs w:val="21"/>
                    </w:rPr>
                    <w:t>/</w:t>
                  </w:r>
                </w:p>
              </w:tc>
              <w:tc>
                <w:tcPr>
                  <w:tcW w:w="1074" w:type="dxa"/>
                  <w:noWrap w:val="0"/>
                  <w:vAlign w:val="center"/>
                </w:tcPr>
                <w:p w14:paraId="3AE8FAD5">
                  <w:pPr>
                    <w:jc w:val="center"/>
                    <w:rPr>
                      <w:sz w:val="21"/>
                      <w:szCs w:val="21"/>
                    </w:rPr>
                  </w:pPr>
                  <w:r>
                    <w:rPr>
                      <w:sz w:val="21"/>
                      <w:szCs w:val="21"/>
                    </w:rPr>
                    <w:t>日常生活</w:t>
                  </w:r>
                </w:p>
              </w:tc>
              <w:tc>
                <w:tcPr>
                  <w:tcW w:w="2519" w:type="dxa"/>
                  <w:noWrap w:val="0"/>
                  <w:vAlign w:val="center"/>
                </w:tcPr>
                <w:p w14:paraId="6213BC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生活垃圾</w:t>
                  </w:r>
                </w:p>
              </w:tc>
              <w:tc>
                <w:tcPr>
                  <w:tcW w:w="1732" w:type="dxa"/>
                  <w:noWrap w:val="0"/>
                  <w:vAlign w:val="center"/>
                </w:tcPr>
                <w:p w14:paraId="04A358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设置垃圾桶定期清理</w:t>
                  </w:r>
                </w:p>
              </w:tc>
              <w:tc>
                <w:tcPr>
                  <w:tcW w:w="1400" w:type="dxa"/>
                  <w:noWrap w:val="0"/>
                  <w:vAlign w:val="center"/>
                </w:tcPr>
                <w:p w14:paraId="3B60EC74">
                  <w:pPr>
                    <w:jc w:val="center"/>
                    <w:rPr>
                      <w:sz w:val="21"/>
                      <w:szCs w:val="21"/>
                    </w:rPr>
                  </w:pPr>
                  <w:r>
                    <w:rPr>
                      <w:sz w:val="21"/>
                      <w:szCs w:val="21"/>
                    </w:rPr>
                    <w:t>交由环卫部门</w:t>
                  </w:r>
                </w:p>
              </w:tc>
            </w:tr>
            <w:tr w14:paraId="51C3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continue"/>
                  <w:noWrap w:val="0"/>
                  <w:vAlign w:val="center"/>
                </w:tcPr>
                <w:p w14:paraId="38B2202D">
                  <w:pPr>
                    <w:jc w:val="center"/>
                    <w:rPr>
                      <w:sz w:val="21"/>
                      <w:szCs w:val="21"/>
                    </w:rPr>
                  </w:pPr>
                </w:p>
              </w:tc>
              <w:tc>
                <w:tcPr>
                  <w:tcW w:w="712" w:type="dxa"/>
                  <w:vMerge w:val="continue"/>
                  <w:noWrap w:val="0"/>
                  <w:vAlign w:val="center"/>
                </w:tcPr>
                <w:p w14:paraId="1CD9A44C">
                  <w:pPr>
                    <w:jc w:val="center"/>
                    <w:rPr>
                      <w:sz w:val="21"/>
                      <w:szCs w:val="21"/>
                    </w:rPr>
                  </w:pPr>
                </w:p>
              </w:tc>
              <w:tc>
                <w:tcPr>
                  <w:tcW w:w="1074" w:type="dxa"/>
                  <w:vMerge w:val="restart"/>
                  <w:noWrap w:val="0"/>
                  <w:vAlign w:val="center"/>
                </w:tcPr>
                <w:p w14:paraId="6BE492BE">
                  <w:pPr>
                    <w:jc w:val="center"/>
                    <w:rPr>
                      <w:rFonts w:hint="default"/>
                      <w:sz w:val="21"/>
                      <w:szCs w:val="21"/>
                      <w:lang w:val="en-US" w:eastAsia="zh-CN"/>
                    </w:rPr>
                  </w:pPr>
                  <w:r>
                    <w:rPr>
                      <w:rFonts w:hint="eastAsia"/>
                      <w:sz w:val="21"/>
                      <w:szCs w:val="21"/>
                      <w:lang w:val="en-US" w:eastAsia="zh-CN"/>
                    </w:rPr>
                    <w:t>固废</w:t>
                  </w:r>
                </w:p>
              </w:tc>
              <w:tc>
                <w:tcPr>
                  <w:tcW w:w="2519" w:type="dxa"/>
                  <w:noWrap w:val="0"/>
                  <w:vAlign w:val="center"/>
                </w:tcPr>
                <w:p w14:paraId="632F380B">
                  <w:pPr>
                    <w:jc w:val="center"/>
                    <w:rPr>
                      <w:rFonts w:hint="default"/>
                      <w:sz w:val="21"/>
                      <w:szCs w:val="21"/>
                      <w:lang w:val="en-US" w:eastAsia="zh-CN"/>
                    </w:rPr>
                  </w:pPr>
                  <w:r>
                    <w:rPr>
                      <w:rFonts w:hint="eastAsia"/>
                      <w:sz w:val="21"/>
                      <w:szCs w:val="21"/>
                      <w:lang w:val="en-US" w:eastAsia="zh-CN"/>
                    </w:rPr>
                    <w:t>不合格品及边角料</w:t>
                  </w:r>
                </w:p>
              </w:tc>
              <w:tc>
                <w:tcPr>
                  <w:tcW w:w="1732" w:type="dxa"/>
                  <w:noWrap w:val="0"/>
                  <w:vAlign w:val="center"/>
                </w:tcPr>
                <w:p w14:paraId="026E884B">
                  <w:pPr>
                    <w:jc w:val="center"/>
                    <w:rPr>
                      <w:rFonts w:hint="eastAsia" w:eastAsia="宋体"/>
                      <w:sz w:val="21"/>
                      <w:szCs w:val="21"/>
                      <w:lang w:val="en-US" w:eastAsia="zh-CN"/>
                    </w:rPr>
                  </w:pPr>
                  <w:r>
                    <w:rPr>
                      <w:rFonts w:hint="eastAsia"/>
                      <w:sz w:val="21"/>
                      <w:szCs w:val="21"/>
                      <w:lang w:val="en-US" w:eastAsia="zh-CN"/>
                    </w:rPr>
                    <w:t>厂家收集</w:t>
                  </w:r>
                </w:p>
              </w:tc>
              <w:tc>
                <w:tcPr>
                  <w:tcW w:w="1400" w:type="dxa"/>
                  <w:noWrap w:val="0"/>
                  <w:vAlign w:val="center"/>
                </w:tcPr>
                <w:p w14:paraId="51FB740A">
                  <w:pPr>
                    <w:jc w:val="center"/>
                    <w:rPr>
                      <w:rFonts w:hint="default" w:eastAsia="宋体"/>
                      <w:sz w:val="21"/>
                      <w:szCs w:val="21"/>
                      <w:lang w:val="en-US" w:eastAsia="zh-CN" w:bidi="ar"/>
                    </w:rPr>
                  </w:pPr>
                  <w:r>
                    <w:rPr>
                      <w:rFonts w:hint="eastAsia"/>
                      <w:sz w:val="21"/>
                      <w:szCs w:val="21"/>
                      <w:lang w:val="en-US" w:eastAsia="zh-CN" w:bidi="ar"/>
                    </w:rPr>
                    <w:t>厂家收集回用于生产</w:t>
                  </w:r>
                </w:p>
              </w:tc>
            </w:tr>
            <w:tr w14:paraId="3AD4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669" w:type="dxa"/>
                  <w:vMerge w:val="continue"/>
                  <w:noWrap w:val="0"/>
                  <w:vAlign w:val="center"/>
                </w:tcPr>
                <w:p w14:paraId="48E72ECE">
                  <w:pPr>
                    <w:jc w:val="center"/>
                    <w:rPr>
                      <w:sz w:val="21"/>
                      <w:szCs w:val="21"/>
                    </w:rPr>
                  </w:pPr>
                </w:p>
              </w:tc>
              <w:tc>
                <w:tcPr>
                  <w:tcW w:w="712" w:type="dxa"/>
                  <w:vMerge w:val="continue"/>
                  <w:noWrap w:val="0"/>
                  <w:vAlign w:val="center"/>
                </w:tcPr>
                <w:p w14:paraId="1A43C283">
                  <w:pPr>
                    <w:jc w:val="center"/>
                    <w:rPr>
                      <w:sz w:val="21"/>
                      <w:szCs w:val="21"/>
                    </w:rPr>
                  </w:pPr>
                </w:p>
              </w:tc>
              <w:tc>
                <w:tcPr>
                  <w:tcW w:w="1074" w:type="dxa"/>
                  <w:vMerge w:val="continue"/>
                  <w:noWrap w:val="0"/>
                  <w:vAlign w:val="center"/>
                </w:tcPr>
                <w:p w14:paraId="32BE9C13">
                  <w:pPr>
                    <w:jc w:val="center"/>
                    <w:rPr>
                      <w:rFonts w:hint="default" w:eastAsia="宋体"/>
                      <w:sz w:val="21"/>
                      <w:szCs w:val="21"/>
                      <w:lang w:val="en-US" w:eastAsia="zh-CN"/>
                    </w:rPr>
                  </w:pPr>
                </w:p>
              </w:tc>
              <w:tc>
                <w:tcPr>
                  <w:tcW w:w="2519" w:type="dxa"/>
                  <w:noWrap w:val="0"/>
                  <w:vAlign w:val="center"/>
                </w:tcPr>
                <w:p w14:paraId="23EF8F04">
                  <w:pPr>
                    <w:jc w:val="center"/>
                    <w:rPr>
                      <w:rFonts w:hint="default" w:eastAsia="宋体"/>
                      <w:sz w:val="21"/>
                      <w:szCs w:val="21"/>
                      <w:lang w:val="en-US" w:eastAsia="zh-CN"/>
                    </w:rPr>
                  </w:pPr>
                  <w:r>
                    <w:rPr>
                      <w:rFonts w:hint="default" w:eastAsia="宋体"/>
                      <w:sz w:val="21"/>
                      <w:szCs w:val="21"/>
                      <w:lang w:val="en-US" w:eastAsia="zh-CN"/>
                    </w:rPr>
                    <w:t>漆渣、废活性炭、废紫外线灯、废机油、废油桶、废桶（废漆桶、废稀释剂桶、废固化剂桶）、废活化水、废催化剂、喷淋废水</w:t>
                  </w:r>
                </w:p>
              </w:tc>
              <w:tc>
                <w:tcPr>
                  <w:tcW w:w="1732" w:type="dxa"/>
                  <w:noWrap w:val="0"/>
                  <w:vAlign w:val="center"/>
                </w:tcPr>
                <w:p w14:paraId="557FA178">
                  <w:pPr>
                    <w:jc w:val="center"/>
                    <w:rPr>
                      <w:sz w:val="21"/>
                      <w:szCs w:val="21"/>
                    </w:rPr>
                  </w:pPr>
                  <w:r>
                    <w:rPr>
                      <w:sz w:val="21"/>
                      <w:szCs w:val="21"/>
                    </w:rPr>
                    <w:t>暂存在危险废物暂存间</w:t>
                  </w:r>
                </w:p>
              </w:tc>
              <w:tc>
                <w:tcPr>
                  <w:tcW w:w="1400" w:type="dxa"/>
                  <w:noWrap w:val="0"/>
                  <w:vAlign w:val="center"/>
                </w:tcPr>
                <w:p w14:paraId="12D48E56">
                  <w:pPr>
                    <w:jc w:val="center"/>
                    <w:rPr>
                      <w:sz w:val="21"/>
                      <w:szCs w:val="21"/>
                    </w:rPr>
                  </w:pPr>
                  <w:r>
                    <w:rPr>
                      <w:sz w:val="21"/>
                      <w:szCs w:val="21"/>
                    </w:rPr>
                    <w:t>委托有危废处置资质的单位进行处理</w:t>
                  </w:r>
                </w:p>
              </w:tc>
            </w:tr>
          </w:tbl>
          <w:p w14:paraId="7754C6CD">
            <w:pPr>
              <w:spacing w:line="360" w:lineRule="auto"/>
              <w:ind w:firstLine="0" w:firstLineChars="0"/>
              <w:jc w:val="left"/>
              <w:rPr>
                <w:rFonts w:hint="default" w:eastAsia="宋体"/>
                <w:color w:val="auto"/>
                <w:highlight w:val="none"/>
                <w:lang w:val="en-US" w:eastAsia="zh-CN"/>
              </w:rPr>
            </w:pPr>
          </w:p>
        </w:tc>
      </w:tr>
      <w:tr w14:paraId="3E5F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8" w:hRule="atLeast"/>
        </w:trPr>
        <w:tc>
          <w:tcPr>
            <w:tcW w:w="729" w:type="dxa"/>
            <w:vAlign w:val="center"/>
          </w:tcPr>
          <w:p w14:paraId="4CE3B127">
            <w:pPr>
              <w:adjustRightInd w:val="0"/>
              <w:snapToGrid w:val="0"/>
              <w:spacing w:before="0" w:beforeAutospacing="0" w:after="0" w:afterAutospacing="0"/>
              <w:jc w:val="center"/>
              <w:rPr>
                <w:rFonts w:ascii="Times New Roman" w:hAnsi="Times New Roman"/>
                <w:color w:val="auto"/>
                <w:szCs w:val="24"/>
                <w:highlight w:val="none"/>
              </w:rPr>
            </w:pPr>
            <w:r>
              <w:rPr>
                <w:rFonts w:hint="eastAsia" w:cs="宋体"/>
                <w:bCs/>
                <w:color w:val="auto"/>
                <w:kern w:val="2"/>
                <w:szCs w:val="24"/>
                <w:highlight w:val="none"/>
              </w:rPr>
              <w:t>与项目有关的原有环境污染问题</w:t>
            </w:r>
          </w:p>
        </w:tc>
        <w:tc>
          <w:tcPr>
            <w:tcW w:w="8332" w:type="dxa"/>
            <w:vAlign w:val="center"/>
          </w:tcPr>
          <w:p w14:paraId="1B373CF7">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color w:val="auto"/>
                <w:highlight w:val="none"/>
              </w:rPr>
            </w:pPr>
            <w:r>
              <w:rPr>
                <w:bCs/>
                <w:color w:val="auto"/>
                <w:sz w:val="24"/>
                <w:highlight w:val="none"/>
              </w:rPr>
              <w:t>本项目属于新建项目，</w:t>
            </w:r>
            <w:r>
              <w:rPr>
                <w:rFonts w:hint="eastAsia"/>
                <w:bCs/>
                <w:color w:val="auto"/>
                <w:sz w:val="24"/>
                <w:highlight w:val="none"/>
                <w:lang w:val="en-US" w:eastAsia="zh-CN"/>
              </w:rPr>
              <w:t>位于</w:t>
            </w:r>
            <w:r>
              <w:rPr>
                <w:rFonts w:hint="eastAsia"/>
                <w:color w:val="auto"/>
                <w:sz w:val="24"/>
                <w:szCs w:val="24"/>
                <w:highlight w:val="none"/>
                <w:lang w:val="en-US" w:eastAsia="zh-CN"/>
              </w:rPr>
              <w:t>安徽省泗县经济开发区蟠龙山路与南柳路交口东南角地块</w:t>
            </w:r>
            <w:r>
              <w:rPr>
                <w:rFonts w:hint="eastAsia"/>
                <w:bCs/>
                <w:color w:val="auto"/>
                <w:sz w:val="24"/>
                <w:highlight w:val="none"/>
              </w:rPr>
              <w:t>，</w:t>
            </w:r>
            <w:r>
              <w:rPr>
                <w:rFonts w:hint="eastAsia"/>
                <w:bCs/>
                <w:color w:val="auto"/>
                <w:sz w:val="24"/>
                <w:highlight w:val="none"/>
                <w:lang w:val="en-US" w:eastAsia="zh-CN"/>
              </w:rPr>
              <w:t>租赁现有闲置厂房，</w:t>
            </w:r>
            <w:r>
              <w:rPr>
                <w:rFonts w:hint="eastAsia"/>
                <w:bCs/>
                <w:color w:val="auto"/>
                <w:sz w:val="24"/>
                <w:highlight w:val="none"/>
              </w:rPr>
              <w:t>经现场勘探，</w:t>
            </w:r>
            <w:r>
              <w:rPr>
                <w:rFonts w:hint="eastAsia"/>
                <w:bCs/>
                <w:color w:val="auto"/>
                <w:sz w:val="24"/>
                <w:highlight w:val="none"/>
                <w:lang w:val="en-US" w:eastAsia="zh-CN"/>
              </w:rPr>
              <w:t>项目租赁的厂房现状为空置状态</w:t>
            </w:r>
            <w:r>
              <w:rPr>
                <w:rFonts w:hint="eastAsia"/>
                <w:bCs/>
                <w:color w:val="auto"/>
                <w:sz w:val="24"/>
                <w:highlight w:val="none"/>
                <w:lang w:eastAsia="zh-CN"/>
              </w:rPr>
              <w:t>，</w:t>
            </w:r>
            <w:r>
              <w:rPr>
                <w:bCs/>
                <w:color w:val="auto"/>
                <w:sz w:val="24"/>
                <w:highlight w:val="none"/>
              </w:rPr>
              <w:t>不存在与项目有关的原有环境污染问题。</w:t>
            </w:r>
          </w:p>
        </w:tc>
      </w:tr>
    </w:tbl>
    <w:p w14:paraId="54D7229C">
      <w:pPr>
        <w:spacing w:line="360" w:lineRule="auto"/>
        <w:jc w:val="center"/>
        <w:outlineLvl w:val="9"/>
        <w:rPr>
          <w:rFonts w:hint="eastAsia" w:ascii="宋体" w:hAnsi="宋体" w:eastAsia="宋体" w:cs="宋体"/>
          <w:b/>
          <w:bCs/>
          <w:snapToGrid w:val="0"/>
          <w:color w:val="auto"/>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878CFE4">
      <w:pPr>
        <w:spacing w:line="360" w:lineRule="auto"/>
        <w:jc w:val="center"/>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sz w:val="30"/>
          <w:szCs w:val="30"/>
          <w:highlight w:val="none"/>
        </w:rPr>
        <w:t>三、区域环境质量现状、环境保护目标及评价标准</w:t>
      </w:r>
    </w:p>
    <w:tbl>
      <w:tblPr>
        <w:tblStyle w:val="21"/>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4A78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800" w:type="dxa"/>
            <w:vAlign w:val="center"/>
          </w:tcPr>
          <w:p w14:paraId="67BC464F">
            <w:pPr>
              <w:adjustRightInd w:val="0"/>
              <w:snapToGrid w:val="0"/>
              <w:jc w:val="center"/>
              <w:rPr>
                <w:color w:val="auto"/>
                <w:kern w:val="0"/>
                <w:highlight w:val="none"/>
              </w:rPr>
            </w:pPr>
            <w:r>
              <w:rPr>
                <w:color w:val="auto"/>
                <w:kern w:val="0"/>
                <w:highlight w:val="none"/>
              </w:rPr>
              <w:t>区域环境质量现状</w:t>
            </w:r>
          </w:p>
        </w:tc>
        <w:tc>
          <w:tcPr>
            <w:tcW w:w="8190" w:type="dxa"/>
            <w:vAlign w:val="center"/>
          </w:tcPr>
          <w:p w14:paraId="4369646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highlight w:val="none"/>
              </w:rPr>
            </w:pPr>
            <w:r>
              <w:rPr>
                <w:color w:val="auto"/>
                <w:highlight w:val="none"/>
              </w:rPr>
              <w:t>建设项目所在地区域环境质量现状及主要环境问题</w:t>
            </w:r>
            <w:r>
              <w:rPr>
                <w:rFonts w:hint="eastAsia"/>
                <w:color w:val="auto"/>
                <w:highlight w:val="none"/>
              </w:rPr>
              <w:t>（</w:t>
            </w:r>
            <w:r>
              <w:rPr>
                <w:color w:val="auto"/>
                <w:highlight w:val="none"/>
              </w:rPr>
              <w:t>环境空气、地面水、地下水、声环境、生态环境等</w:t>
            </w:r>
            <w:r>
              <w:rPr>
                <w:rFonts w:hint="eastAsia"/>
                <w:color w:val="auto"/>
                <w:highlight w:val="none"/>
              </w:rPr>
              <w:t>）</w:t>
            </w:r>
          </w:p>
          <w:p w14:paraId="5DE08FCA">
            <w:pPr>
              <w:adjustRightInd w:val="0"/>
              <w:snapToGrid w:val="0"/>
              <w:spacing w:line="360" w:lineRule="auto"/>
              <w:jc w:val="left"/>
              <w:rPr>
                <w:b/>
                <w:bCs/>
                <w:color w:val="auto"/>
                <w:kern w:val="0"/>
                <w:highlight w:val="none"/>
              </w:rPr>
            </w:pPr>
            <w:r>
              <w:rPr>
                <w:b/>
                <w:bCs/>
                <w:color w:val="auto"/>
                <w:kern w:val="0"/>
                <w:highlight w:val="none"/>
              </w:rPr>
              <w:t>1、</w:t>
            </w:r>
            <w:r>
              <w:rPr>
                <w:b/>
                <w:bCs/>
                <w:color w:val="auto"/>
                <w:highlight w:val="none"/>
              </w:rPr>
              <w:t>环境空气质量现状</w:t>
            </w:r>
          </w:p>
          <w:p w14:paraId="42AC334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color w:val="auto"/>
                <w:highlight w:val="none"/>
              </w:rPr>
            </w:pPr>
            <w:r>
              <w:rPr>
                <w:rFonts w:hint="default"/>
                <w:color w:val="auto"/>
                <w:highlight w:val="none"/>
              </w:rPr>
              <w:t>根据《环境空气质量模型技术支持服务系统》对区域达标情况进行判定，宿州市202</w:t>
            </w:r>
            <w:r>
              <w:rPr>
                <w:rFonts w:hint="eastAsia"/>
                <w:color w:val="auto"/>
                <w:highlight w:val="none"/>
                <w:lang w:val="en-US" w:eastAsia="zh-CN"/>
              </w:rPr>
              <w:t>4</w:t>
            </w:r>
            <w:r>
              <w:rPr>
                <w:rFonts w:hint="default"/>
                <w:color w:val="auto"/>
                <w:highlight w:val="none"/>
              </w:rPr>
              <w:t>年SO</w:t>
            </w:r>
            <w:r>
              <w:rPr>
                <w:rFonts w:hint="default"/>
                <w:color w:val="auto"/>
                <w:highlight w:val="none"/>
                <w:vertAlign w:val="subscript"/>
              </w:rPr>
              <w:t>2</w:t>
            </w:r>
            <w:r>
              <w:rPr>
                <w:rFonts w:hint="default"/>
                <w:color w:val="auto"/>
                <w:highlight w:val="none"/>
              </w:rPr>
              <w:t>、NO</w:t>
            </w:r>
            <w:r>
              <w:rPr>
                <w:rFonts w:hint="default"/>
                <w:color w:val="auto"/>
                <w:highlight w:val="none"/>
                <w:vertAlign w:val="subscript"/>
              </w:rPr>
              <w:t>2</w:t>
            </w:r>
            <w:r>
              <w:rPr>
                <w:rFonts w:hint="default"/>
                <w:color w:val="auto"/>
                <w:highlight w:val="none"/>
              </w:rPr>
              <w:t>、PM</w:t>
            </w:r>
            <w:r>
              <w:rPr>
                <w:rFonts w:hint="default"/>
                <w:color w:val="auto"/>
                <w:highlight w:val="none"/>
                <w:vertAlign w:val="subscript"/>
              </w:rPr>
              <w:t>1</w:t>
            </w:r>
            <w:r>
              <w:rPr>
                <w:rFonts w:hint="default"/>
                <w:color w:val="auto"/>
                <w:highlight w:val="none"/>
              </w:rPr>
              <w:t>0、PM</w:t>
            </w:r>
            <w:r>
              <w:rPr>
                <w:rFonts w:hint="default"/>
                <w:color w:val="auto"/>
                <w:highlight w:val="none"/>
                <w:vertAlign w:val="subscript"/>
              </w:rPr>
              <w:t>2.5</w:t>
            </w:r>
            <w:r>
              <w:rPr>
                <w:rFonts w:hint="default"/>
                <w:color w:val="auto"/>
                <w:highlight w:val="none"/>
              </w:rPr>
              <w:t>年均浓度分别为6</w:t>
            </w:r>
            <w:r>
              <w:rPr>
                <w:rFonts w:hint="default"/>
                <w:color w:val="auto"/>
                <w:highlight w:val="none"/>
                <w:lang w:eastAsia="zh-CN"/>
              </w:rPr>
              <w:t>μg/m</w:t>
            </w:r>
            <w:r>
              <w:rPr>
                <w:rFonts w:hint="default"/>
                <w:color w:val="auto"/>
                <w:highlight w:val="none"/>
                <w:vertAlign w:val="superscript"/>
                <w:lang w:eastAsia="zh-CN"/>
              </w:rPr>
              <w:t>3</w:t>
            </w:r>
            <w:r>
              <w:rPr>
                <w:rFonts w:hint="default"/>
                <w:color w:val="auto"/>
                <w:highlight w:val="none"/>
              </w:rPr>
              <w:t>、</w:t>
            </w:r>
            <w:r>
              <w:rPr>
                <w:rFonts w:hint="eastAsia"/>
                <w:color w:val="auto"/>
                <w:highlight w:val="none"/>
                <w:lang w:val="en-US" w:eastAsia="zh-CN"/>
              </w:rPr>
              <w:t>1</w:t>
            </w:r>
            <w:r>
              <w:rPr>
                <w:rFonts w:hint="default"/>
                <w:color w:val="auto"/>
                <w:highlight w:val="none"/>
              </w:rPr>
              <w:t>8</w:t>
            </w:r>
            <w:r>
              <w:rPr>
                <w:rFonts w:hint="default"/>
                <w:color w:val="auto"/>
                <w:highlight w:val="none"/>
                <w:lang w:eastAsia="zh-CN"/>
              </w:rPr>
              <w:t>μg/m</w:t>
            </w:r>
            <w:r>
              <w:rPr>
                <w:rFonts w:hint="default"/>
                <w:color w:val="auto"/>
                <w:highlight w:val="none"/>
                <w:vertAlign w:val="superscript"/>
                <w:lang w:eastAsia="zh-CN"/>
              </w:rPr>
              <w:t>3</w:t>
            </w:r>
            <w:r>
              <w:rPr>
                <w:rFonts w:hint="default"/>
                <w:color w:val="auto"/>
                <w:highlight w:val="none"/>
              </w:rPr>
              <w:t>、</w:t>
            </w:r>
            <w:r>
              <w:rPr>
                <w:rFonts w:hint="eastAsia"/>
                <w:color w:val="auto"/>
                <w:highlight w:val="none"/>
                <w:lang w:val="en-US" w:eastAsia="zh-CN"/>
              </w:rPr>
              <w:t>71</w:t>
            </w:r>
            <w:r>
              <w:rPr>
                <w:rFonts w:hint="default"/>
                <w:color w:val="auto"/>
                <w:highlight w:val="none"/>
                <w:lang w:eastAsia="zh-CN"/>
              </w:rPr>
              <w:t>μg/m3</w:t>
            </w:r>
            <w:r>
              <w:rPr>
                <w:rFonts w:hint="default"/>
                <w:color w:val="auto"/>
                <w:highlight w:val="none"/>
              </w:rPr>
              <w:t>、4</w:t>
            </w:r>
            <w:r>
              <w:rPr>
                <w:rFonts w:hint="eastAsia"/>
                <w:color w:val="auto"/>
                <w:highlight w:val="none"/>
                <w:lang w:val="en-US" w:eastAsia="zh-CN"/>
              </w:rPr>
              <w:t>3</w:t>
            </w:r>
            <w:r>
              <w:rPr>
                <w:rFonts w:hint="default"/>
                <w:color w:val="auto"/>
                <w:highlight w:val="none"/>
                <w:lang w:eastAsia="zh-CN"/>
              </w:rPr>
              <w:t>μg/m</w:t>
            </w:r>
            <w:r>
              <w:rPr>
                <w:rFonts w:hint="default"/>
                <w:color w:val="auto"/>
                <w:highlight w:val="none"/>
                <w:vertAlign w:val="superscript"/>
                <w:lang w:eastAsia="zh-CN"/>
              </w:rPr>
              <w:t>3</w:t>
            </w:r>
            <w:r>
              <w:rPr>
                <w:rFonts w:hint="default"/>
                <w:color w:val="auto"/>
                <w:highlight w:val="none"/>
              </w:rPr>
              <w:t>；CO24小时平均第95百分位数为</w:t>
            </w:r>
            <w:r>
              <w:rPr>
                <w:rFonts w:hint="eastAsia"/>
                <w:color w:val="auto"/>
                <w:highlight w:val="none"/>
                <w:lang w:val="en-US" w:eastAsia="zh-CN"/>
              </w:rPr>
              <w:t>0.9</w:t>
            </w:r>
            <w:r>
              <w:rPr>
                <w:rFonts w:hint="default"/>
                <w:color w:val="auto"/>
                <w:highlight w:val="none"/>
              </w:rPr>
              <w:t>mg/m</w:t>
            </w:r>
            <w:r>
              <w:rPr>
                <w:rFonts w:hint="default"/>
                <w:color w:val="auto"/>
                <w:highlight w:val="none"/>
                <w:vertAlign w:val="superscript"/>
              </w:rPr>
              <w:t>3</w:t>
            </w:r>
            <w:r>
              <w:rPr>
                <w:rFonts w:hint="default"/>
                <w:color w:val="auto"/>
                <w:highlight w:val="none"/>
              </w:rPr>
              <w:t>，O3日最大8小时平均第90百分位数为1</w:t>
            </w:r>
            <w:r>
              <w:rPr>
                <w:rFonts w:hint="eastAsia"/>
                <w:color w:val="auto"/>
                <w:highlight w:val="none"/>
                <w:lang w:val="en-US" w:eastAsia="zh-CN"/>
              </w:rPr>
              <w:t>70</w:t>
            </w:r>
            <w:r>
              <w:rPr>
                <w:rFonts w:hint="default"/>
                <w:color w:val="auto"/>
                <w:highlight w:val="none"/>
                <w:lang w:eastAsia="zh-CN"/>
              </w:rPr>
              <w:t>μg/m</w:t>
            </w:r>
            <w:r>
              <w:rPr>
                <w:rFonts w:hint="default"/>
                <w:color w:val="auto"/>
                <w:highlight w:val="none"/>
                <w:vertAlign w:val="superscript"/>
                <w:lang w:eastAsia="zh-CN"/>
              </w:rPr>
              <w:t>3</w:t>
            </w:r>
            <w:r>
              <w:rPr>
                <w:rFonts w:hint="default"/>
                <w:color w:val="auto"/>
                <w:highlight w:val="none"/>
              </w:rPr>
              <w:t>；超过《环境空气质量标准》（GB3095-2012）中二级标准限值的污染物为PM</w:t>
            </w:r>
            <w:r>
              <w:rPr>
                <w:rFonts w:hint="default"/>
                <w:color w:val="auto"/>
                <w:highlight w:val="none"/>
                <w:vertAlign w:val="subscript"/>
              </w:rPr>
              <w:t>10</w:t>
            </w:r>
            <w:r>
              <w:rPr>
                <w:rFonts w:hint="default"/>
                <w:color w:val="auto"/>
                <w:highlight w:val="none"/>
              </w:rPr>
              <w:t>、O</w:t>
            </w:r>
            <w:r>
              <w:rPr>
                <w:rFonts w:hint="default"/>
                <w:color w:val="auto"/>
                <w:highlight w:val="none"/>
                <w:vertAlign w:val="subscript"/>
              </w:rPr>
              <w:t>3</w:t>
            </w:r>
            <w:r>
              <w:rPr>
                <w:rFonts w:hint="default"/>
                <w:color w:val="auto"/>
                <w:highlight w:val="none"/>
              </w:rPr>
              <w:t>、PM</w:t>
            </w:r>
            <w:r>
              <w:rPr>
                <w:rFonts w:hint="default"/>
                <w:color w:val="auto"/>
                <w:highlight w:val="none"/>
                <w:vertAlign w:val="subscript"/>
              </w:rPr>
              <w:t>2.5</w:t>
            </w:r>
            <w:r>
              <w:rPr>
                <w:rFonts w:hint="default"/>
                <w:color w:val="auto"/>
                <w:highlight w:val="none"/>
              </w:rPr>
              <w:t>。</w:t>
            </w:r>
            <w:r>
              <w:rPr>
                <w:rFonts w:hint="eastAsia"/>
                <w:color w:val="auto"/>
                <w:highlight w:val="none"/>
                <w:lang w:val="en-US" w:eastAsia="zh-CN"/>
              </w:rPr>
              <w:t>宿州市为不达标区。</w:t>
            </w:r>
            <w:r>
              <w:rPr>
                <w:rFonts w:hint="default"/>
                <w:color w:val="auto"/>
                <w:highlight w:val="none"/>
              </w:rPr>
              <w:t>宿州市202</w:t>
            </w:r>
            <w:r>
              <w:rPr>
                <w:rFonts w:hint="eastAsia"/>
                <w:color w:val="auto"/>
                <w:highlight w:val="none"/>
                <w:lang w:val="en-US" w:eastAsia="zh-CN"/>
              </w:rPr>
              <w:t>4</w:t>
            </w:r>
            <w:r>
              <w:rPr>
                <w:rFonts w:hint="default"/>
                <w:color w:val="auto"/>
                <w:highlight w:val="none"/>
              </w:rPr>
              <w:t>年环境空气质量基础污染物监测浓度见下表</w:t>
            </w:r>
            <w:r>
              <w:rPr>
                <w:rFonts w:hint="default"/>
                <w:color w:val="auto"/>
                <w:highlight w:val="none"/>
                <w:lang w:eastAsia="zh-CN"/>
              </w:rPr>
              <w:t>。</w:t>
            </w:r>
          </w:p>
          <w:p w14:paraId="1743F93F">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-1 区域基本污染物环境质量现状评价表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843"/>
              <w:gridCol w:w="1248"/>
              <w:gridCol w:w="1267"/>
              <w:gridCol w:w="1240"/>
              <w:gridCol w:w="1328"/>
            </w:tblGrid>
            <w:tr w14:paraId="7738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68BBB0F">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污染物</w:t>
                  </w:r>
                </w:p>
              </w:tc>
              <w:tc>
                <w:tcPr>
                  <w:tcW w:w="1923" w:type="dxa"/>
                  <w:vAlign w:val="center"/>
                </w:tcPr>
                <w:p w14:paraId="18EC4D96">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评价标准</w:t>
                  </w:r>
                </w:p>
              </w:tc>
              <w:tc>
                <w:tcPr>
                  <w:tcW w:w="1299" w:type="dxa"/>
                  <w:vAlign w:val="center"/>
                </w:tcPr>
                <w:p w14:paraId="2EEC119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年均浓度（μg/m</w:t>
                  </w:r>
                  <w:r>
                    <w:rPr>
                      <w:rFonts w:hint="default" w:ascii="Times New Roman" w:hAnsi="Times New Roman" w:cs="Times New Roman"/>
                      <w:b/>
                      <w:bCs w:val="0"/>
                      <w:sz w:val="21"/>
                      <w:szCs w:val="21"/>
                      <w:vertAlign w:val="superscript"/>
                    </w:rPr>
                    <w:t>3</w:t>
                  </w:r>
                  <w:r>
                    <w:rPr>
                      <w:rFonts w:hint="default" w:ascii="Times New Roman" w:hAnsi="Times New Roman" w:cs="Times New Roman"/>
                      <w:b/>
                      <w:bCs w:val="0"/>
                      <w:sz w:val="21"/>
                      <w:szCs w:val="21"/>
                    </w:rPr>
                    <w:t>）</w:t>
                  </w:r>
                </w:p>
              </w:tc>
              <w:tc>
                <w:tcPr>
                  <w:tcW w:w="1319" w:type="dxa"/>
                  <w:vAlign w:val="center"/>
                </w:tcPr>
                <w:p w14:paraId="0FD9379A">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标准值（μg/m</w:t>
                  </w:r>
                  <w:r>
                    <w:rPr>
                      <w:rFonts w:hint="default" w:ascii="Times New Roman" w:hAnsi="Times New Roman" w:cs="Times New Roman"/>
                      <w:b/>
                      <w:bCs w:val="0"/>
                      <w:sz w:val="21"/>
                      <w:szCs w:val="21"/>
                      <w:vertAlign w:val="superscript"/>
                    </w:rPr>
                    <w:t>3</w:t>
                  </w:r>
                  <w:r>
                    <w:rPr>
                      <w:rFonts w:hint="default" w:ascii="Times New Roman" w:hAnsi="Times New Roman" w:cs="Times New Roman"/>
                      <w:b/>
                      <w:bCs w:val="0"/>
                      <w:sz w:val="21"/>
                      <w:szCs w:val="21"/>
                    </w:rPr>
                    <w:t>）</w:t>
                  </w:r>
                </w:p>
              </w:tc>
              <w:tc>
                <w:tcPr>
                  <w:tcW w:w="1290" w:type="dxa"/>
                  <w:vAlign w:val="center"/>
                </w:tcPr>
                <w:p w14:paraId="5AE9049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占标率</w:t>
                  </w:r>
                  <w:r>
                    <w:rPr>
                      <w:rFonts w:hint="default" w:ascii="Times New Roman" w:hAnsi="Times New Roman" w:cs="Times New Roman"/>
                      <w:b/>
                      <w:bCs w:val="0"/>
                      <w:sz w:val="21"/>
                      <w:szCs w:val="21"/>
                      <w:lang w:eastAsia="zh-CN"/>
                    </w:rPr>
                    <w:t>（</w:t>
                  </w:r>
                  <w:r>
                    <w:rPr>
                      <w:rFonts w:hint="default" w:ascii="Times New Roman" w:hAnsi="Times New Roman" w:cs="Times New Roman"/>
                      <w:b/>
                      <w:bCs w:val="0"/>
                      <w:sz w:val="21"/>
                      <w:szCs w:val="21"/>
                    </w:rPr>
                    <w:t>%</w:t>
                  </w:r>
                  <w:r>
                    <w:rPr>
                      <w:rFonts w:hint="default" w:ascii="Times New Roman" w:hAnsi="Times New Roman" w:cs="Times New Roman"/>
                      <w:b/>
                      <w:bCs w:val="0"/>
                      <w:sz w:val="21"/>
                      <w:szCs w:val="21"/>
                      <w:lang w:eastAsia="zh-CN"/>
                    </w:rPr>
                    <w:t>）</w:t>
                  </w:r>
                </w:p>
              </w:tc>
              <w:tc>
                <w:tcPr>
                  <w:tcW w:w="1383" w:type="dxa"/>
                  <w:vAlign w:val="center"/>
                </w:tcPr>
                <w:p w14:paraId="740D8FB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达标情况</w:t>
                  </w:r>
                </w:p>
              </w:tc>
            </w:tr>
            <w:tr w14:paraId="7977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4ECA9DF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p>
              </w:tc>
              <w:tc>
                <w:tcPr>
                  <w:tcW w:w="1923" w:type="dxa"/>
                  <w:vAlign w:val="center"/>
                </w:tcPr>
                <w:p w14:paraId="717C0D08">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年平均浓度</w:t>
                  </w:r>
                </w:p>
              </w:tc>
              <w:tc>
                <w:tcPr>
                  <w:tcW w:w="1299" w:type="dxa"/>
                  <w:vAlign w:val="center"/>
                </w:tcPr>
                <w:p w14:paraId="62541333">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1319" w:type="dxa"/>
                  <w:vAlign w:val="center"/>
                </w:tcPr>
                <w:p w14:paraId="5298F2A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70</w:t>
                  </w:r>
                </w:p>
              </w:tc>
              <w:tc>
                <w:tcPr>
                  <w:tcW w:w="1290" w:type="dxa"/>
                  <w:vAlign w:val="center"/>
                </w:tcPr>
                <w:p w14:paraId="03D8C68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101.4</w:t>
                  </w:r>
                </w:p>
              </w:tc>
              <w:tc>
                <w:tcPr>
                  <w:tcW w:w="1383" w:type="dxa"/>
                  <w:vAlign w:val="center"/>
                </w:tcPr>
                <w:p w14:paraId="08D9EAD2">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不达标</w:t>
                  </w:r>
                </w:p>
              </w:tc>
            </w:tr>
            <w:tr w14:paraId="6888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785A264">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2.5</w:t>
                  </w:r>
                </w:p>
              </w:tc>
              <w:tc>
                <w:tcPr>
                  <w:tcW w:w="1923" w:type="dxa"/>
                  <w:vAlign w:val="center"/>
                </w:tcPr>
                <w:p w14:paraId="2C479F28">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年平均浓度</w:t>
                  </w:r>
                </w:p>
              </w:tc>
              <w:tc>
                <w:tcPr>
                  <w:tcW w:w="1299" w:type="dxa"/>
                  <w:vAlign w:val="center"/>
                </w:tcPr>
                <w:p w14:paraId="43BF438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w:t>
                  </w:r>
                </w:p>
              </w:tc>
              <w:tc>
                <w:tcPr>
                  <w:tcW w:w="1319" w:type="dxa"/>
                  <w:vAlign w:val="center"/>
                </w:tcPr>
                <w:p w14:paraId="259A91B8">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35</w:t>
                  </w:r>
                </w:p>
              </w:tc>
              <w:tc>
                <w:tcPr>
                  <w:tcW w:w="1290" w:type="dxa"/>
                  <w:vAlign w:val="center"/>
                </w:tcPr>
                <w:p w14:paraId="119CBE8D">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122.9</w:t>
                  </w:r>
                </w:p>
              </w:tc>
              <w:tc>
                <w:tcPr>
                  <w:tcW w:w="1383" w:type="dxa"/>
                  <w:vAlign w:val="center"/>
                </w:tcPr>
                <w:p w14:paraId="09AB85EA">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不达标</w:t>
                  </w:r>
                </w:p>
              </w:tc>
            </w:tr>
            <w:tr w14:paraId="0E1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38244DD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1923" w:type="dxa"/>
                  <w:vAlign w:val="center"/>
                </w:tcPr>
                <w:p w14:paraId="2D08E82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年平均浓度</w:t>
                  </w:r>
                </w:p>
              </w:tc>
              <w:tc>
                <w:tcPr>
                  <w:tcW w:w="1299" w:type="dxa"/>
                  <w:vAlign w:val="center"/>
                </w:tcPr>
                <w:p w14:paraId="245D8091">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319" w:type="dxa"/>
                  <w:vAlign w:val="center"/>
                </w:tcPr>
                <w:p w14:paraId="6610E27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290" w:type="dxa"/>
                  <w:vAlign w:val="center"/>
                </w:tcPr>
                <w:p w14:paraId="2494B71D">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10.0</w:t>
                  </w:r>
                </w:p>
              </w:tc>
              <w:tc>
                <w:tcPr>
                  <w:tcW w:w="1383" w:type="dxa"/>
                  <w:vAlign w:val="center"/>
                </w:tcPr>
                <w:p w14:paraId="175878B8">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5983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4B4924F4">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p>
              </w:tc>
              <w:tc>
                <w:tcPr>
                  <w:tcW w:w="1923" w:type="dxa"/>
                  <w:vAlign w:val="center"/>
                </w:tcPr>
                <w:p w14:paraId="6BF67A70">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年平均浓度</w:t>
                  </w:r>
                </w:p>
              </w:tc>
              <w:tc>
                <w:tcPr>
                  <w:tcW w:w="1299" w:type="dxa"/>
                  <w:vAlign w:val="center"/>
                </w:tcPr>
                <w:p w14:paraId="42EECDEF">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w:t>
                  </w:r>
                </w:p>
              </w:tc>
              <w:tc>
                <w:tcPr>
                  <w:tcW w:w="1319" w:type="dxa"/>
                  <w:vAlign w:val="center"/>
                </w:tcPr>
                <w:p w14:paraId="6E7DA09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290" w:type="dxa"/>
                  <w:vAlign w:val="center"/>
                </w:tcPr>
                <w:p w14:paraId="2D0B2BE2">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45.0</w:t>
                  </w:r>
                </w:p>
              </w:tc>
              <w:tc>
                <w:tcPr>
                  <w:tcW w:w="1383" w:type="dxa"/>
                  <w:vAlign w:val="center"/>
                </w:tcPr>
                <w:p w14:paraId="7246A276">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6B85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E06367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CO</w:t>
                  </w:r>
                </w:p>
              </w:tc>
              <w:tc>
                <w:tcPr>
                  <w:tcW w:w="1923" w:type="dxa"/>
                  <w:vAlign w:val="center"/>
                </w:tcPr>
                <w:p w14:paraId="088E0019">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日平均第95百分位质量浓度</w:t>
                  </w:r>
                </w:p>
              </w:tc>
              <w:tc>
                <w:tcPr>
                  <w:tcW w:w="1299" w:type="dxa"/>
                  <w:vAlign w:val="center"/>
                </w:tcPr>
                <w:p w14:paraId="124D0438">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0.9</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319" w:type="dxa"/>
                  <w:vAlign w:val="center"/>
                </w:tcPr>
                <w:p w14:paraId="5A0B481D">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4mg/m</w:t>
                  </w:r>
                  <w:r>
                    <w:rPr>
                      <w:rFonts w:hint="default" w:ascii="Times New Roman" w:hAnsi="Times New Roman" w:cs="Times New Roman"/>
                      <w:sz w:val="21"/>
                      <w:szCs w:val="21"/>
                      <w:vertAlign w:val="superscript"/>
                    </w:rPr>
                    <w:t>3</w:t>
                  </w:r>
                </w:p>
              </w:tc>
              <w:tc>
                <w:tcPr>
                  <w:tcW w:w="1290" w:type="dxa"/>
                  <w:vAlign w:val="center"/>
                </w:tcPr>
                <w:p w14:paraId="00BBA47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22.5</w:t>
                  </w:r>
                </w:p>
              </w:tc>
              <w:tc>
                <w:tcPr>
                  <w:tcW w:w="1383" w:type="dxa"/>
                  <w:vAlign w:val="center"/>
                </w:tcPr>
                <w:p w14:paraId="02F7A604">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1E8B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53BCDFBD">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3</w:t>
                  </w:r>
                </w:p>
              </w:tc>
              <w:tc>
                <w:tcPr>
                  <w:tcW w:w="1923" w:type="dxa"/>
                  <w:vAlign w:val="center"/>
                </w:tcPr>
                <w:p w14:paraId="454E685D">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日最大8小时平均第90百分位质量浓度</w:t>
                  </w:r>
                </w:p>
              </w:tc>
              <w:tc>
                <w:tcPr>
                  <w:tcW w:w="1299" w:type="dxa"/>
                  <w:vAlign w:val="center"/>
                </w:tcPr>
                <w:p w14:paraId="593D3F57">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170</w:t>
                  </w:r>
                </w:p>
              </w:tc>
              <w:tc>
                <w:tcPr>
                  <w:tcW w:w="1319" w:type="dxa"/>
                  <w:vAlign w:val="center"/>
                </w:tcPr>
                <w:p w14:paraId="433E3870">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160</w:t>
                  </w:r>
                </w:p>
              </w:tc>
              <w:tc>
                <w:tcPr>
                  <w:tcW w:w="1290" w:type="dxa"/>
                  <w:vAlign w:val="center"/>
                </w:tcPr>
                <w:p w14:paraId="6A60237D">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106.3</w:t>
                  </w:r>
                </w:p>
              </w:tc>
              <w:tc>
                <w:tcPr>
                  <w:tcW w:w="1383" w:type="dxa"/>
                  <w:vAlign w:val="center"/>
                </w:tcPr>
                <w:p w14:paraId="01D20C3F">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不达标</w:t>
                  </w:r>
                </w:p>
              </w:tc>
            </w:tr>
          </w:tbl>
          <w:p w14:paraId="1229F2E8">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color w:val="auto"/>
                <w:highlight w:val="none"/>
              </w:rPr>
            </w:pPr>
            <w:r>
              <w:rPr>
                <w:rFonts w:hint="default"/>
                <w:color w:val="auto"/>
                <w:highlight w:val="none"/>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w:t>
            </w:r>
            <w:r>
              <w:rPr>
                <w:rFonts w:hint="eastAsia"/>
                <w:color w:val="auto"/>
                <w:highlight w:val="none"/>
              </w:rPr>
              <w:t>；</w:t>
            </w:r>
            <w:r>
              <w:rPr>
                <w:rFonts w:hint="default"/>
                <w:color w:val="auto"/>
                <w:highlight w:val="none"/>
              </w:rPr>
              <w:t>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w:t>
            </w:r>
            <w:r>
              <w:rPr>
                <w:rFonts w:hint="eastAsia"/>
                <w:color w:val="auto"/>
                <w:highlight w:val="none"/>
              </w:rPr>
              <w:t>“</w:t>
            </w:r>
            <w:r>
              <w:rPr>
                <w:rFonts w:hint="default"/>
                <w:color w:val="auto"/>
                <w:highlight w:val="none"/>
              </w:rPr>
              <w:t>两高</w:t>
            </w:r>
            <w:r>
              <w:rPr>
                <w:rFonts w:hint="eastAsia"/>
                <w:color w:val="auto"/>
                <w:highlight w:val="none"/>
              </w:rPr>
              <w:t>”</w:t>
            </w:r>
            <w:r>
              <w:rPr>
                <w:rFonts w:hint="default"/>
                <w:color w:val="auto"/>
                <w:highlight w:val="none"/>
              </w:rPr>
              <w:t>行业产能；强化</w:t>
            </w:r>
            <w:r>
              <w:rPr>
                <w:rFonts w:hint="eastAsia"/>
                <w:color w:val="auto"/>
                <w:highlight w:val="none"/>
              </w:rPr>
              <w:t>“</w:t>
            </w:r>
            <w:r>
              <w:rPr>
                <w:rFonts w:hint="default"/>
                <w:color w:val="auto"/>
                <w:highlight w:val="none"/>
              </w:rPr>
              <w:t>散乱污</w:t>
            </w:r>
            <w:r>
              <w:rPr>
                <w:rFonts w:hint="eastAsia"/>
                <w:color w:val="auto"/>
                <w:highlight w:val="none"/>
              </w:rPr>
              <w:t>”</w:t>
            </w:r>
            <w:r>
              <w:rPr>
                <w:rFonts w:hint="default"/>
                <w:color w:val="auto"/>
                <w:highlight w:val="none"/>
              </w:rPr>
              <w:t>企业综合整治；深化工业污染治理；大力培育绿色环保产业；加快调整能源结构，构建清洁低碳高效能源体系；积极调整运输结构，发展绿色交通体系等，采取以上措施，使宿州市区域环境空气质量大大改善。</w:t>
            </w:r>
          </w:p>
          <w:p w14:paraId="43C35B45">
            <w:pPr>
              <w:adjustRightInd w:val="0"/>
              <w:snapToGrid w:val="0"/>
              <w:spacing w:line="360" w:lineRule="auto"/>
              <w:ind w:firstLine="0"/>
              <w:rPr>
                <w:rFonts w:hint="eastAsia" w:eastAsia="宋体" w:cs="Times New Roman"/>
                <w:b/>
                <w:bCs/>
                <w:color w:val="auto"/>
                <w:sz w:val="24"/>
                <w:szCs w:val="24"/>
                <w:highlight w:val="none"/>
                <w:lang w:eastAsia="zh-CN"/>
              </w:rPr>
            </w:pPr>
            <w:r>
              <w:rPr>
                <w:rFonts w:hint="eastAsia" w:cs="Times New Roman"/>
                <w:b/>
                <w:bCs/>
                <w:color w:val="auto"/>
                <w:sz w:val="24"/>
                <w:szCs w:val="24"/>
                <w:highlight w:val="none"/>
              </w:rPr>
              <w:t>1.1引用监测</w:t>
            </w:r>
          </w:p>
          <w:p w14:paraId="5EBFD69B">
            <w:pPr>
              <w:pStyle w:val="52"/>
              <w:adjustRightInd w:val="0"/>
              <w:snapToGrid w:val="0"/>
              <w:spacing w:line="360" w:lineRule="auto"/>
              <w:ind w:firstLineChars="200"/>
              <w:rPr>
                <w:rFonts w:hint="eastAsia" w:eastAsia="宋体" w:cs="Times New Roman"/>
                <w:sz w:val="24"/>
                <w:szCs w:val="24"/>
                <w:lang w:eastAsia="zh-CN"/>
              </w:rPr>
            </w:pPr>
            <w:r>
              <w:rPr>
                <w:rFonts w:hint="eastAsia" w:cs="Times New Roman"/>
                <w:sz w:val="24"/>
                <w:szCs w:val="24"/>
              </w:rPr>
              <w:t>根据《建设项目环境影响报告表编制技术指南（污染影响类）》（试行）可知，排放国家、地方环境空气质量标准中有标准限值要求的特征污染物时，引用建设项目周边5千米范围内近3年的现有监测数据，无相关数据的选择当季主导风向下风向1个点位补充不少于3天的监测数据。</w:t>
            </w:r>
          </w:p>
          <w:p w14:paraId="2B5D735A">
            <w:pPr>
              <w:adjustRightInd w:val="0"/>
              <w:snapToGrid w:val="0"/>
              <w:spacing w:line="360" w:lineRule="auto"/>
              <w:ind w:firstLine="480" w:firstLineChars="200"/>
              <w:jc w:val="left"/>
              <w:rPr>
                <w:kern w:val="0"/>
              </w:rPr>
            </w:pPr>
            <w:r>
              <w:rPr>
                <w:rFonts w:hint="eastAsia"/>
              </w:rPr>
              <w:t>项目据此引用《</w:t>
            </w:r>
            <w:r>
              <w:rPr>
                <w:rFonts w:hint="eastAsia"/>
                <w:lang w:val="en-US" w:eastAsia="zh-CN"/>
              </w:rPr>
              <w:t>泗县凌冰工贸有限公司年产1.5万吨功能性塑料母料项目</w:t>
            </w:r>
            <w:r>
              <w:t>》</w:t>
            </w:r>
            <w:r>
              <w:rPr>
                <w:rFonts w:hint="eastAsia"/>
                <w:lang w:eastAsia="zh-CN"/>
              </w:rPr>
              <w:t>（</w:t>
            </w:r>
            <w:r>
              <w:rPr>
                <w:rFonts w:hint="eastAsia"/>
                <w:lang w:val="en-US" w:eastAsia="zh-CN"/>
              </w:rPr>
              <w:t>2023年4月28日</w:t>
            </w:r>
            <w:r>
              <w:rPr>
                <w:rFonts w:hint="eastAsia"/>
                <w:lang w:eastAsia="zh-CN"/>
              </w:rPr>
              <w:t>）</w:t>
            </w:r>
            <w:r>
              <w:rPr>
                <w:rFonts w:hint="eastAsia"/>
              </w:rPr>
              <w:t>中TSP现状监测数据。引用数据监测位点为G1</w:t>
            </w:r>
            <w:r>
              <w:rPr>
                <w:rFonts w:hint="eastAsia"/>
                <w:lang w:val="en-US" w:eastAsia="zh-CN"/>
              </w:rPr>
              <w:t>凌冰项目所在地</w:t>
            </w:r>
            <w:r>
              <w:rPr>
                <w:rFonts w:hint="eastAsia"/>
              </w:rPr>
              <w:t>，本项目位于安徽省宿州市泗县经济开发区当涂路以东，蟠龙山路以西，清水沟路以北，距G1</w:t>
            </w:r>
            <w:r>
              <w:rPr>
                <w:rFonts w:hint="eastAsia"/>
                <w:lang w:val="en-US" w:eastAsia="zh-CN"/>
              </w:rPr>
              <w:t>凌冰项目所在地正北方向730</w:t>
            </w:r>
            <w:r>
              <w:rPr>
                <w:rFonts w:hint="eastAsia"/>
              </w:rPr>
              <w:t>m，监测数据引用可行。</w:t>
            </w:r>
          </w:p>
          <w:p w14:paraId="1F7CB163">
            <w:pPr>
              <w:adjustRightInd w:val="0"/>
              <w:snapToGrid w:val="0"/>
              <w:spacing w:line="360" w:lineRule="auto"/>
              <w:ind w:firstLine="480" w:firstLineChars="200"/>
              <w:jc w:val="left"/>
              <w:rPr>
                <w:kern w:val="0"/>
              </w:rPr>
            </w:pPr>
            <w:r>
              <w:rPr>
                <w:kern w:val="0"/>
              </w:rPr>
              <w:t>①监测点位</w:t>
            </w:r>
          </w:p>
          <w:p w14:paraId="6A7B1159">
            <w:pPr>
              <w:adjustRightInd w:val="0"/>
              <w:snapToGrid w:val="0"/>
              <w:ind w:firstLine="12" w:firstLineChars="5"/>
              <w:jc w:val="center"/>
              <w:rPr>
                <w:b/>
                <w:bCs/>
                <w:kern w:val="0"/>
                <w:highlight w:val="none"/>
              </w:rPr>
            </w:pPr>
            <w:r>
              <w:rPr>
                <w:b/>
                <w:bCs/>
                <w:kern w:val="0"/>
                <w:highlight w:val="none"/>
              </w:rPr>
              <w:t>表</w:t>
            </w:r>
            <w:r>
              <w:rPr>
                <w:rFonts w:hint="eastAsia"/>
                <w:b/>
                <w:bCs/>
                <w:kern w:val="0"/>
                <w:highlight w:val="none"/>
                <w:lang w:val="en-US" w:eastAsia="zh-CN"/>
              </w:rPr>
              <w:t>3-</w:t>
            </w:r>
            <w:r>
              <w:rPr>
                <w:rFonts w:hint="eastAsia"/>
                <w:b/>
                <w:bCs/>
                <w:kern w:val="0"/>
                <w:highlight w:val="none"/>
              </w:rPr>
              <w:t>2</w:t>
            </w:r>
            <w:r>
              <w:rPr>
                <w:b/>
                <w:bCs/>
                <w:kern w:val="0"/>
                <w:highlight w:val="none"/>
              </w:rPr>
              <w:t xml:space="preserve"> </w:t>
            </w:r>
            <w:r>
              <w:rPr>
                <w:rFonts w:hint="eastAsia"/>
                <w:b/>
                <w:bCs/>
                <w:kern w:val="0"/>
                <w:highlight w:val="none"/>
              </w:rPr>
              <w:t xml:space="preserve"> </w:t>
            </w:r>
            <w:r>
              <w:rPr>
                <w:b/>
                <w:bCs/>
                <w:kern w:val="0"/>
                <w:highlight w:val="none"/>
              </w:rPr>
              <w:t>监测点位分布</w:t>
            </w:r>
          </w:p>
          <w:tbl>
            <w:tblPr>
              <w:tblStyle w:val="22"/>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902"/>
              <w:gridCol w:w="1991"/>
              <w:gridCol w:w="1991"/>
            </w:tblGrid>
            <w:tr w14:paraId="3999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56D6F381">
                  <w:pPr>
                    <w:adjustRightInd w:val="0"/>
                    <w:snapToGrid w:val="0"/>
                    <w:spacing w:line="240" w:lineRule="auto"/>
                    <w:jc w:val="center"/>
                    <w:rPr>
                      <w:b/>
                      <w:bCs/>
                      <w:kern w:val="0"/>
                      <w:sz w:val="21"/>
                      <w:szCs w:val="21"/>
                    </w:rPr>
                  </w:pPr>
                  <w:r>
                    <w:rPr>
                      <w:b/>
                      <w:bCs/>
                      <w:kern w:val="0"/>
                      <w:sz w:val="21"/>
                      <w:szCs w:val="21"/>
                    </w:rPr>
                    <w:t>序号</w:t>
                  </w:r>
                </w:p>
              </w:tc>
              <w:tc>
                <w:tcPr>
                  <w:tcW w:w="2902" w:type="dxa"/>
                  <w:vAlign w:val="center"/>
                </w:tcPr>
                <w:p w14:paraId="2F74A53A">
                  <w:pPr>
                    <w:adjustRightInd w:val="0"/>
                    <w:snapToGrid w:val="0"/>
                    <w:spacing w:line="240" w:lineRule="auto"/>
                    <w:jc w:val="center"/>
                    <w:rPr>
                      <w:b/>
                      <w:bCs/>
                      <w:kern w:val="0"/>
                      <w:sz w:val="21"/>
                      <w:szCs w:val="21"/>
                    </w:rPr>
                  </w:pPr>
                  <w:r>
                    <w:rPr>
                      <w:b/>
                      <w:bCs/>
                      <w:kern w:val="0"/>
                      <w:sz w:val="21"/>
                      <w:szCs w:val="21"/>
                    </w:rPr>
                    <w:t>监测点位</w:t>
                  </w:r>
                </w:p>
              </w:tc>
              <w:tc>
                <w:tcPr>
                  <w:tcW w:w="1991" w:type="dxa"/>
                  <w:vAlign w:val="center"/>
                </w:tcPr>
                <w:p w14:paraId="6E5D9AA5">
                  <w:pPr>
                    <w:adjustRightInd w:val="0"/>
                    <w:snapToGrid w:val="0"/>
                    <w:spacing w:line="240" w:lineRule="auto"/>
                    <w:jc w:val="center"/>
                    <w:rPr>
                      <w:b/>
                      <w:bCs/>
                      <w:kern w:val="0"/>
                      <w:sz w:val="21"/>
                      <w:szCs w:val="21"/>
                    </w:rPr>
                  </w:pPr>
                  <w:r>
                    <w:rPr>
                      <w:b/>
                      <w:bCs/>
                      <w:kern w:val="0"/>
                      <w:sz w:val="21"/>
                      <w:szCs w:val="21"/>
                    </w:rPr>
                    <w:t>方位</w:t>
                  </w:r>
                </w:p>
              </w:tc>
              <w:tc>
                <w:tcPr>
                  <w:tcW w:w="1991" w:type="dxa"/>
                  <w:vAlign w:val="center"/>
                </w:tcPr>
                <w:p w14:paraId="79CBE5DA">
                  <w:pPr>
                    <w:adjustRightInd w:val="0"/>
                    <w:snapToGrid w:val="0"/>
                    <w:spacing w:line="240" w:lineRule="auto"/>
                    <w:jc w:val="center"/>
                    <w:rPr>
                      <w:b/>
                      <w:bCs/>
                      <w:kern w:val="0"/>
                      <w:sz w:val="21"/>
                      <w:szCs w:val="21"/>
                    </w:rPr>
                  </w:pPr>
                  <w:r>
                    <w:rPr>
                      <w:b/>
                      <w:bCs/>
                      <w:kern w:val="0"/>
                      <w:sz w:val="21"/>
                      <w:szCs w:val="21"/>
                    </w:rPr>
                    <w:t>距离</w:t>
                  </w:r>
                </w:p>
              </w:tc>
            </w:tr>
            <w:tr w14:paraId="4BA2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05AC5F5A">
                  <w:pPr>
                    <w:adjustRightInd w:val="0"/>
                    <w:snapToGrid w:val="0"/>
                    <w:spacing w:line="240" w:lineRule="auto"/>
                    <w:jc w:val="center"/>
                    <w:rPr>
                      <w:kern w:val="0"/>
                      <w:sz w:val="21"/>
                      <w:szCs w:val="21"/>
                    </w:rPr>
                  </w:pPr>
                  <w:r>
                    <w:rPr>
                      <w:kern w:val="0"/>
                      <w:sz w:val="21"/>
                      <w:szCs w:val="21"/>
                    </w:rPr>
                    <w:t>1</w:t>
                  </w:r>
                </w:p>
              </w:tc>
              <w:tc>
                <w:tcPr>
                  <w:tcW w:w="2902" w:type="dxa"/>
                  <w:vAlign w:val="center"/>
                </w:tcPr>
                <w:p w14:paraId="59A83CA7">
                  <w:pPr>
                    <w:adjustRightInd w:val="0"/>
                    <w:snapToGrid w:val="0"/>
                    <w:spacing w:line="240" w:lineRule="auto"/>
                    <w:jc w:val="center"/>
                    <w:rPr>
                      <w:kern w:val="0"/>
                      <w:sz w:val="21"/>
                      <w:szCs w:val="21"/>
                    </w:rPr>
                  </w:pPr>
                  <w:r>
                    <w:rPr>
                      <w:kern w:val="0"/>
                      <w:sz w:val="21"/>
                      <w:szCs w:val="21"/>
                    </w:rPr>
                    <w:t>G1</w:t>
                  </w:r>
                  <w:r>
                    <w:rPr>
                      <w:rFonts w:hint="eastAsia"/>
                      <w:kern w:val="0"/>
                      <w:sz w:val="21"/>
                      <w:szCs w:val="21"/>
                      <w:lang w:val="en-US" w:eastAsia="zh-CN"/>
                    </w:rPr>
                    <w:t>凌冰项目所在地</w:t>
                  </w:r>
                </w:p>
              </w:tc>
              <w:tc>
                <w:tcPr>
                  <w:tcW w:w="1991" w:type="dxa"/>
                  <w:vAlign w:val="center"/>
                </w:tcPr>
                <w:p w14:paraId="795BA463">
                  <w:pPr>
                    <w:adjustRightInd w:val="0"/>
                    <w:snapToGrid w:val="0"/>
                    <w:spacing w:line="240" w:lineRule="auto"/>
                    <w:jc w:val="center"/>
                    <w:rPr>
                      <w:rFonts w:hint="eastAsia" w:eastAsia="宋体"/>
                      <w:kern w:val="0"/>
                      <w:sz w:val="21"/>
                      <w:szCs w:val="21"/>
                      <w:lang w:val="en-US" w:eastAsia="zh-CN"/>
                    </w:rPr>
                  </w:pPr>
                  <w:r>
                    <w:rPr>
                      <w:rFonts w:hint="eastAsia"/>
                      <w:kern w:val="0"/>
                      <w:sz w:val="21"/>
                      <w:szCs w:val="21"/>
                      <w:lang w:val="en-US" w:eastAsia="zh-CN"/>
                    </w:rPr>
                    <w:t>北</w:t>
                  </w:r>
                </w:p>
              </w:tc>
              <w:tc>
                <w:tcPr>
                  <w:tcW w:w="1991" w:type="dxa"/>
                  <w:vAlign w:val="center"/>
                </w:tcPr>
                <w:p w14:paraId="1FB3CDBB">
                  <w:pPr>
                    <w:adjustRightInd w:val="0"/>
                    <w:snapToGrid w:val="0"/>
                    <w:spacing w:line="240" w:lineRule="auto"/>
                    <w:jc w:val="center"/>
                    <w:rPr>
                      <w:rFonts w:hint="default" w:eastAsia="宋体"/>
                      <w:kern w:val="0"/>
                      <w:sz w:val="21"/>
                      <w:szCs w:val="21"/>
                      <w:lang w:val="en-US" w:eastAsia="zh-CN"/>
                    </w:rPr>
                  </w:pPr>
                  <w:r>
                    <w:rPr>
                      <w:rFonts w:hint="eastAsia"/>
                      <w:kern w:val="0"/>
                      <w:sz w:val="21"/>
                      <w:szCs w:val="21"/>
                      <w:lang w:val="en-US" w:eastAsia="zh-CN"/>
                    </w:rPr>
                    <w:t>730m</w:t>
                  </w:r>
                </w:p>
              </w:tc>
            </w:tr>
          </w:tbl>
          <w:p w14:paraId="6F20EEC1">
            <w:pPr>
              <w:keepNext w:val="0"/>
              <w:keepLines w:val="0"/>
              <w:pageBreakBefore w:val="0"/>
              <w:widowControl w:val="0"/>
              <w:kinsoku/>
              <w:wordWrap/>
              <w:overflowPunct/>
              <w:topLinePunct w:val="0"/>
              <w:autoSpaceDE/>
              <w:autoSpaceDN/>
              <w:bidi w:val="0"/>
              <w:adjustRightInd w:val="0"/>
              <w:snapToGrid w:val="0"/>
              <w:spacing w:line="240" w:lineRule="auto"/>
              <w:ind w:left="0" w:hanging="480" w:hangingChars="200"/>
              <w:jc w:val="center"/>
              <w:textAlignment w:val="auto"/>
              <w:rPr>
                <w:rFonts w:hint="eastAsia" w:eastAsia="宋体"/>
                <w:b/>
                <w:bCs/>
                <w:color w:val="auto"/>
                <w:highlight w:val="none"/>
                <w:lang w:eastAsia="zh-CN"/>
              </w:rPr>
            </w:pPr>
            <w:r>
              <w:drawing>
                <wp:inline distT="0" distB="0" distL="114300" distR="114300">
                  <wp:extent cx="4685030" cy="3556000"/>
                  <wp:effectExtent l="0" t="0" r="1270" b="635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17"/>
                          <a:stretch>
                            <a:fillRect/>
                          </a:stretch>
                        </pic:blipFill>
                        <pic:spPr>
                          <a:xfrm>
                            <a:off x="0" y="0"/>
                            <a:ext cx="4685030" cy="3556000"/>
                          </a:xfrm>
                          <a:prstGeom prst="rect">
                            <a:avLst/>
                          </a:prstGeom>
                          <a:noFill/>
                          <a:ln>
                            <a:noFill/>
                          </a:ln>
                        </pic:spPr>
                      </pic:pic>
                    </a:graphicData>
                  </a:graphic>
                </wp:inline>
              </w:drawing>
            </w:r>
          </w:p>
          <w:p w14:paraId="58E25684">
            <w:pPr>
              <w:keepNext w:val="0"/>
              <w:keepLines w:val="0"/>
              <w:pageBreakBefore w:val="0"/>
              <w:widowControl w:val="0"/>
              <w:kinsoku/>
              <w:wordWrap/>
              <w:overflowPunct/>
              <w:topLinePunct w:val="0"/>
              <w:autoSpaceDE/>
              <w:autoSpaceDN/>
              <w:bidi w:val="0"/>
              <w:adjustRightInd w:val="0"/>
              <w:snapToGrid w:val="0"/>
              <w:spacing w:line="360" w:lineRule="auto"/>
              <w:ind w:left="482" w:leftChars="0" w:hanging="482" w:hangingChars="200"/>
              <w:jc w:val="center"/>
              <w:textAlignment w:val="auto"/>
              <w:rPr>
                <w:b/>
                <w:bCs/>
                <w:color w:val="auto"/>
                <w:highlight w:val="none"/>
              </w:rPr>
            </w:pPr>
            <w:r>
              <w:rPr>
                <w:rFonts w:hint="eastAsia"/>
                <w:b/>
                <w:bCs/>
                <w:color w:val="auto"/>
                <w:highlight w:val="none"/>
              </w:rPr>
              <w:t>图3</w:t>
            </w:r>
            <w:r>
              <w:rPr>
                <w:rFonts w:hint="eastAsia"/>
                <w:b/>
                <w:bCs/>
                <w:color w:val="auto"/>
                <w:highlight w:val="none"/>
                <w:lang w:val="en-US" w:eastAsia="zh-CN"/>
              </w:rPr>
              <w:t>-1</w:t>
            </w:r>
            <w:r>
              <w:rPr>
                <w:rFonts w:hint="eastAsia"/>
                <w:b/>
                <w:bCs/>
                <w:color w:val="auto"/>
                <w:highlight w:val="none"/>
              </w:rPr>
              <w:t xml:space="preserve">  监测点位图</w:t>
            </w:r>
          </w:p>
          <w:p w14:paraId="3F08D2F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kern w:val="0"/>
              </w:rPr>
            </w:pPr>
            <w:r>
              <w:rPr>
                <w:kern w:val="0"/>
              </w:rPr>
              <w:t>②</w:t>
            </w:r>
            <w:r>
              <w:rPr>
                <w:rFonts w:hint="eastAsia"/>
                <w:kern w:val="0"/>
              </w:rPr>
              <w:t>检测</w:t>
            </w:r>
            <w:r>
              <w:rPr>
                <w:kern w:val="0"/>
              </w:rPr>
              <w:t>日期和监测单位</w:t>
            </w:r>
          </w:p>
          <w:p w14:paraId="008A9695">
            <w:pPr>
              <w:adjustRightInd w:val="0"/>
              <w:snapToGrid w:val="0"/>
              <w:spacing w:line="360" w:lineRule="auto"/>
              <w:ind w:firstLine="480" w:firstLineChars="200"/>
              <w:jc w:val="left"/>
              <w:rPr>
                <w:kern w:val="0"/>
              </w:rPr>
            </w:pPr>
            <w:r>
              <w:rPr>
                <w:rFonts w:hint="eastAsia"/>
              </w:rPr>
              <w:t>安徽</w:t>
            </w:r>
            <w:r>
              <w:rPr>
                <w:rFonts w:hint="eastAsia"/>
                <w:lang w:val="en-US" w:eastAsia="zh-CN"/>
              </w:rPr>
              <w:t>国晟</w:t>
            </w:r>
            <w:r>
              <w:rPr>
                <w:rFonts w:hint="eastAsia"/>
              </w:rPr>
              <w:t>检测技术有限公司</w:t>
            </w:r>
            <w:r>
              <w:rPr>
                <w:kern w:val="0"/>
              </w:rPr>
              <w:t>分别于202</w:t>
            </w:r>
            <w:r>
              <w:rPr>
                <w:rFonts w:hint="eastAsia"/>
                <w:kern w:val="0"/>
                <w:lang w:val="en-US" w:eastAsia="zh-CN"/>
              </w:rPr>
              <w:t>3</w:t>
            </w:r>
            <w:r>
              <w:rPr>
                <w:rFonts w:hint="eastAsia"/>
                <w:kern w:val="0"/>
              </w:rPr>
              <w:t>年</w:t>
            </w:r>
            <w:r>
              <w:rPr>
                <w:rFonts w:hint="eastAsia"/>
                <w:kern w:val="0"/>
                <w:lang w:val="en-US" w:eastAsia="zh-CN"/>
              </w:rPr>
              <w:t>4</w:t>
            </w:r>
            <w:r>
              <w:rPr>
                <w:rFonts w:hint="eastAsia"/>
                <w:kern w:val="0"/>
              </w:rPr>
              <w:t>月</w:t>
            </w:r>
            <w:r>
              <w:rPr>
                <w:rFonts w:hint="eastAsia"/>
                <w:kern w:val="0"/>
                <w:lang w:val="en-US" w:eastAsia="zh-CN"/>
              </w:rPr>
              <w:t>15</w:t>
            </w:r>
            <w:r>
              <w:rPr>
                <w:rFonts w:hint="eastAsia"/>
                <w:kern w:val="0"/>
              </w:rPr>
              <w:t>日</w:t>
            </w:r>
            <w:r>
              <w:rPr>
                <w:kern w:val="0"/>
              </w:rPr>
              <w:t>~202</w:t>
            </w:r>
            <w:r>
              <w:rPr>
                <w:rFonts w:hint="eastAsia"/>
                <w:kern w:val="0"/>
                <w:lang w:val="en-US" w:eastAsia="zh-CN"/>
              </w:rPr>
              <w:t>3</w:t>
            </w:r>
            <w:r>
              <w:rPr>
                <w:rFonts w:hint="eastAsia"/>
                <w:kern w:val="0"/>
              </w:rPr>
              <w:t>年</w:t>
            </w:r>
            <w:r>
              <w:rPr>
                <w:rFonts w:hint="eastAsia"/>
                <w:kern w:val="0"/>
                <w:lang w:val="en-US" w:eastAsia="zh-CN"/>
              </w:rPr>
              <w:t>4</w:t>
            </w:r>
            <w:r>
              <w:rPr>
                <w:rFonts w:hint="eastAsia"/>
                <w:kern w:val="0"/>
              </w:rPr>
              <w:t>月</w:t>
            </w:r>
            <w:r>
              <w:rPr>
                <w:rFonts w:hint="eastAsia"/>
                <w:kern w:val="0"/>
                <w:lang w:val="en-US" w:eastAsia="zh-CN"/>
              </w:rPr>
              <w:t>22</w:t>
            </w:r>
            <w:r>
              <w:rPr>
                <w:rFonts w:hint="eastAsia"/>
                <w:kern w:val="0"/>
              </w:rPr>
              <w:t>日</w:t>
            </w:r>
            <w:r>
              <w:rPr>
                <w:kern w:val="0"/>
              </w:rPr>
              <w:t>对项目区大气环境质量现状进行</w:t>
            </w:r>
            <w:r>
              <w:rPr>
                <w:rFonts w:hint="eastAsia"/>
                <w:kern w:val="0"/>
              </w:rPr>
              <w:t>检测</w:t>
            </w:r>
            <w:r>
              <w:rPr>
                <w:kern w:val="0"/>
              </w:rPr>
              <w:t>。</w:t>
            </w:r>
          </w:p>
          <w:p w14:paraId="1878B27B">
            <w:pPr>
              <w:adjustRightInd w:val="0"/>
              <w:snapToGrid w:val="0"/>
              <w:spacing w:line="360" w:lineRule="auto"/>
              <w:ind w:firstLine="480" w:firstLineChars="200"/>
              <w:jc w:val="left"/>
              <w:rPr>
                <w:kern w:val="0"/>
              </w:rPr>
            </w:pPr>
            <w:r>
              <w:rPr>
                <w:kern w:val="0"/>
              </w:rPr>
              <w:t>③</w:t>
            </w:r>
            <w:r>
              <w:rPr>
                <w:rFonts w:hint="eastAsia"/>
                <w:kern w:val="0"/>
              </w:rPr>
              <w:t>检测</w:t>
            </w:r>
            <w:r>
              <w:rPr>
                <w:kern w:val="0"/>
              </w:rPr>
              <w:t>因子</w:t>
            </w:r>
          </w:p>
          <w:p w14:paraId="351948AD">
            <w:pPr>
              <w:adjustRightInd w:val="0"/>
              <w:snapToGrid w:val="0"/>
              <w:spacing w:line="360" w:lineRule="auto"/>
              <w:ind w:firstLine="480" w:firstLineChars="200"/>
              <w:jc w:val="left"/>
              <w:rPr>
                <w:kern w:val="0"/>
              </w:rPr>
            </w:pPr>
            <w:r>
              <w:rPr>
                <w:rFonts w:hint="eastAsia"/>
                <w:kern w:val="0"/>
              </w:rPr>
              <w:t>TSP</w:t>
            </w:r>
          </w:p>
          <w:p w14:paraId="4A6390CA">
            <w:pPr>
              <w:adjustRightInd w:val="0"/>
              <w:snapToGrid w:val="0"/>
              <w:spacing w:line="360" w:lineRule="auto"/>
              <w:ind w:firstLine="480" w:firstLineChars="200"/>
              <w:jc w:val="left"/>
              <w:rPr>
                <w:kern w:val="0"/>
              </w:rPr>
            </w:pPr>
            <w:r>
              <w:rPr>
                <w:rFonts w:hint="eastAsia" w:ascii="宋体" w:hAnsi="宋体" w:cs="宋体"/>
                <w:kern w:val="0"/>
              </w:rPr>
              <w:t>④</w:t>
            </w:r>
            <w:r>
              <w:rPr>
                <w:kern w:val="0"/>
              </w:rPr>
              <w:t>监测结果</w:t>
            </w:r>
          </w:p>
          <w:p w14:paraId="15C393AC">
            <w:pPr>
              <w:adjustRightInd w:val="0"/>
              <w:snapToGrid w:val="0"/>
              <w:spacing w:line="360" w:lineRule="auto"/>
              <w:ind w:firstLine="480" w:firstLineChars="200"/>
              <w:jc w:val="left"/>
              <w:rPr>
                <w:rFonts w:ascii="Times New Roman" w:hAnsi="Times New Roman"/>
                <w:b/>
                <w:bCs/>
                <w:kern w:val="2"/>
                <w:szCs w:val="24"/>
                <w:lang w:bidi="ar"/>
              </w:rPr>
            </w:pPr>
            <w:r>
              <w:rPr>
                <w:kern w:val="0"/>
              </w:rPr>
              <w:t>监测数据如下：</w:t>
            </w:r>
          </w:p>
          <w:p w14:paraId="2367408B">
            <w:pPr>
              <w:pStyle w:val="19"/>
              <w:spacing w:before="0" w:beforeAutospacing="0" w:after="0" w:afterAutospacing="0"/>
              <w:jc w:val="center"/>
              <w:rPr>
                <w:rFonts w:ascii="Times New Roman" w:hAnsi="Times New Roman"/>
              </w:rPr>
            </w:pPr>
            <w:r>
              <w:rPr>
                <w:rFonts w:ascii="Times New Roman" w:hAnsi="Times New Roman"/>
                <w:b/>
                <w:bCs/>
                <w:kern w:val="2"/>
                <w:szCs w:val="24"/>
                <w:lang w:bidi="ar"/>
              </w:rPr>
              <w:t>表3</w:t>
            </w:r>
            <w:r>
              <w:rPr>
                <w:rFonts w:hint="eastAsia"/>
                <w:b/>
                <w:bCs/>
                <w:kern w:val="2"/>
                <w:szCs w:val="24"/>
                <w:lang w:val="en-US" w:eastAsia="zh-CN" w:bidi="ar"/>
              </w:rPr>
              <w:t xml:space="preserve">-3 </w:t>
            </w:r>
            <w:r>
              <w:rPr>
                <w:rFonts w:hint="eastAsia" w:ascii="Times New Roman" w:hAnsi="Times New Roman"/>
                <w:b/>
                <w:bCs/>
                <w:kern w:val="2"/>
                <w:szCs w:val="24"/>
                <w:lang w:bidi="ar"/>
              </w:rPr>
              <w:t xml:space="preserve"> </w:t>
            </w:r>
            <w:r>
              <w:rPr>
                <w:rFonts w:hint="eastAsia" w:ascii="Times New Roman" w:hAnsi="Times New Roman"/>
                <w:b/>
                <w:bCs/>
                <w:kern w:val="2"/>
                <w:szCs w:val="24"/>
                <w:lang w:val="en-US" w:eastAsia="zh-CN" w:bidi="ar"/>
              </w:rPr>
              <w:t>TSP</w:t>
            </w:r>
            <w:r>
              <w:rPr>
                <w:rFonts w:cs="宋体"/>
                <w:b/>
                <w:bCs/>
                <w:lang w:val="zh-CN" w:bidi="zh-CN"/>
              </w:rPr>
              <w:t>监测结果一览表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990"/>
              <w:gridCol w:w="765"/>
              <w:gridCol w:w="840"/>
              <w:gridCol w:w="780"/>
              <w:gridCol w:w="855"/>
              <w:gridCol w:w="820"/>
              <w:gridCol w:w="875"/>
              <w:gridCol w:w="844"/>
            </w:tblGrid>
            <w:tr w14:paraId="64AD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Merge w:val="restart"/>
                  <w:vAlign w:val="center"/>
                </w:tcPr>
                <w:p w14:paraId="094B3453">
                  <w:pPr>
                    <w:pStyle w:val="19"/>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b/>
                      <w:bCs/>
                      <w:kern w:val="2"/>
                      <w:sz w:val="21"/>
                      <w:szCs w:val="21"/>
                      <w:lang w:bidi="ar"/>
                    </w:rPr>
                    <w:t>监测点位</w:t>
                  </w:r>
                </w:p>
              </w:tc>
              <w:tc>
                <w:tcPr>
                  <w:tcW w:w="990" w:type="dxa"/>
                  <w:vMerge w:val="restart"/>
                  <w:vAlign w:val="center"/>
                </w:tcPr>
                <w:p w14:paraId="451701FE">
                  <w:pPr>
                    <w:pStyle w:val="19"/>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b/>
                      <w:bCs/>
                      <w:kern w:val="2"/>
                      <w:sz w:val="21"/>
                      <w:szCs w:val="21"/>
                      <w:lang w:bidi="ar"/>
                    </w:rPr>
                    <w:t>监测项目</w:t>
                  </w:r>
                </w:p>
              </w:tc>
              <w:tc>
                <w:tcPr>
                  <w:tcW w:w="5779" w:type="dxa"/>
                  <w:gridSpan w:val="7"/>
                  <w:vAlign w:val="center"/>
                </w:tcPr>
                <w:p w14:paraId="668531D9">
                  <w:pPr>
                    <w:pStyle w:val="19"/>
                    <w:spacing w:before="0" w:beforeAutospacing="0" w:after="0" w:afterAutospacing="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检测结果（</w:t>
                  </w:r>
                  <w:r>
                    <w:rPr>
                      <w:rFonts w:hint="eastAsia" w:cs="Times New Roman"/>
                      <w:b/>
                      <w:bCs/>
                      <w:sz w:val="21"/>
                      <w:szCs w:val="21"/>
                      <w:lang w:val="en-US" w:eastAsia="zh-CN"/>
                    </w:rPr>
                    <w:t>μg/m3</w:t>
                  </w:r>
                  <w:r>
                    <w:rPr>
                      <w:rFonts w:hint="default" w:ascii="Times New Roman" w:hAnsi="Times New Roman" w:eastAsia="宋体" w:cs="Times New Roman"/>
                      <w:b/>
                      <w:bCs/>
                      <w:sz w:val="21"/>
                      <w:szCs w:val="21"/>
                      <w:lang w:val="en-US" w:eastAsia="zh-CN"/>
                    </w:rPr>
                    <w:t>）</w:t>
                  </w:r>
                </w:p>
              </w:tc>
            </w:tr>
            <w:tr w14:paraId="5E00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Merge w:val="continue"/>
                  <w:vAlign w:val="center"/>
                </w:tcPr>
                <w:p w14:paraId="377B3D04">
                  <w:pPr>
                    <w:pStyle w:val="19"/>
                    <w:spacing w:before="0" w:beforeAutospacing="0" w:after="0" w:afterAutospacing="0"/>
                    <w:jc w:val="center"/>
                    <w:rPr>
                      <w:rFonts w:hint="default" w:ascii="Times New Roman" w:hAnsi="Times New Roman" w:eastAsia="宋体" w:cs="Times New Roman"/>
                      <w:sz w:val="21"/>
                      <w:szCs w:val="21"/>
                    </w:rPr>
                  </w:pPr>
                </w:p>
              </w:tc>
              <w:tc>
                <w:tcPr>
                  <w:tcW w:w="990" w:type="dxa"/>
                  <w:vMerge w:val="continue"/>
                  <w:vAlign w:val="center"/>
                </w:tcPr>
                <w:p w14:paraId="5327CB56">
                  <w:pPr>
                    <w:pStyle w:val="19"/>
                    <w:spacing w:before="0" w:beforeAutospacing="0" w:after="0" w:afterAutospacing="0"/>
                    <w:jc w:val="center"/>
                    <w:rPr>
                      <w:rFonts w:hint="default" w:ascii="Times New Roman" w:hAnsi="Times New Roman" w:eastAsia="宋体" w:cs="Times New Roman"/>
                      <w:sz w:val="21"/>
                      <w:szCs w:val="21"/>
                    </w:rPr>
                  </w:pPr>
                </w:p>
              </w:tc>
              <w:tc>
                <w:tcPr>
                  <w:tcW w:w="765" w:type="dxa"/>
                  <w:vAlign w:val="center"/>
                </w:tcPr>
                <w:p w14:paraId="72B0EA4E">
                  <w:pPr>
                    <w:pStyle w:val="19"/>
                    <w:spacing w:before="0" w:beforeAutospacing="0" w:after="0" w:afterAutospacing="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4月15~16日</w:t>
                  </w:r>
                </w:p>
              </w:tc>
              <w:tc>
                <w:tcPr>
                  <w:tcW w:w="840" w:type="dxa"/>
                  <w:vAlign w:val="center"/>
                </w:tcPr>
                <w:p w14:paraId="03278C72">
                  <w:pPr>
                    <w:spacing w:before="0" w:beforeAutospacing="0" w:after="0" w:afterAutospacing="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sz w:val="21"/>
                      <w:szCs w:val="21"/>
                      <w:lang w:val="en-US" w:eastAsia="zh-CN"/>
                    </w:rPr>
                    <w:t>4月16~17日</w:t>
                  </w:r>
                </w:p>
              </w:tc>
              <w:tc>
                <w:tcPr>
                  <w:tcW w:w="780" w:type="dxa"/>
                  <w:vAlign w:val="center"/>
                </w:tcPr>
                <w:p w14:paraId="509F7D3F">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4月17~18日</w:t>
                  </w:r>
                </w:p>
              </w:tc>
              <w:tc>
                <w:tcPr>
                  <w:tcW w:w="855" w:type="dxa"/>
                  <w:vAlign w:val="center"/>
                </w:tcPr>
                <w:p w14:paraId="49CA5355">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4月18~19日</w:t>
                  </w:r>
                </w:p>
              </w:tc>
              <w:tc>
                <w:tcPr>
                  <w:tcW w:w="820" w:type="dxa"/>
                  <w:vAlign w:val="center"/>
                </w:tcPr>
                <w:p w14:paraId="6762EF0C">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4月19~20日</w:t>
                  </w:r>
                </w:p>
              </w:tc>
              <w:tc>
                <w:tcPr>
                  <w:tcW w:w="875" w:type="dxa"/>
                  <w:vAlign w:val="center"/>
                </w:tcPr>
                <w:p w14:paraId="37521810">
                  <w:pPr>
                    <w:spacing w:before="0" w:beforeAutospacing="0" w:after="0" w:afterAutospacing="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sz w:val="21"/>
                      <w:szCs w:val="21"/>
                      <w:lang w:val="en-US" w:eastAsia="zh-CN"/>
                    </w:rPr>
                    <w:t>4月20~21日</w:t>
                  </w:r>
                </w:p>
              </w:tc>
              <w:tc>
                <w:tcPr>
                  <w:tcW w:w="844" w:type="dxa"/>
                  <w:vAlign w:val="center"/>
                </w:tcPr>
                <w:p w14:paraId="6B4BC1B5">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4月21~22日</w:t>
                  </w:r>
                </w:p>
              </w:tc>
            </w:tr>
            <w:tr w14:paraId="3B3C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Align w:val="center"/>
                </w:tcPr>
                <w:p w14:paraId="443233AA">
                  <w:pPr>
                    <w:pStyle w:val="19"/>
                    <w:spacing w:before="0" w:beforeAutospacing="0" w:after="0" w:afterAutospacing="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bidi="ar"/>
                    </w:rPr>
                    <w:t>G1</w:t>
                  </w:r>
                  <w:r>
                    <w:rPr>
                      <w:rFonts w:hint="default" w:ascii="Times New Roman" w:hAnsi="Times New Roman" w:eastAsia="宋体" w:cs="Times New Roman"/>
                      <w:kern w:val="2"/>
                      <w:sz w:val="21"/>
                      <w:szCs w:val="21"/>
                      <w:lang w:val="en-US" w:eastAsia="zh-CN" w:bidi="ar"/>
                    </w:rPr>
                    <w:t>凌冰项目所在地</w:t>
                  </w:r>
                </w:p>
              </w:tc>
              <w:tc>
                <w:tcPr>
                  <w:tcW w:w="990" w:type="dxa"/>
                  <w:vAlign w:val="center"/>
                </w:tcPr>
                <w:p w14:paraId="428B21B8">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总悬浮颗粒物</w:t>
                  </w:r>
                </w:p>
              </w:tc>
              <w:tc>
                <w:tcPr>
                  <w:tcW w:w="765" w:type="dxa"/>
                  <w:vAlign w:val="center"/>
                </w:tcPr>
                <w:p w14:paraId="6E19F213">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277</w:t>
                  </w:r>
                </w:p>
              </w:tc>
              <w:tc>
                <w:tcPr>
                  <w:tcW w:w="840" w:type="dxa"/>
                  <w:vAlign w:val="center"/>
                </w:tcPr>
                <w:p w14:paraId="18956A5D">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289</w:t>
                  </w:r>
                </w:p>
              </w:tc>
              <w:tc>
                <w:tcPr>
                  <w:tcW w:w="780" w:type="dxa"/>
                  <w:vAlign w:val="center"/>
                </w:tcPr>
                <w:p w14:paraId="39392E5F">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220</w:t>
                  </w:r>
                </w:p>
              </w:tc>
              <w:tc>
                <w:tcPr>
                  <w:tcW w:w="855" w:type="dxa"/>
                  <w:vAlign w:val="center"/>
                </w:tcPr>
                <w:p w14:paraId="7DFAC2BE">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235</w:t>
                  </w:r>
                </w:p>
              </w:tc>
              <w:tc>
                <w:tcPr>
                  <w:tcW w:w="820" w:type="dxa"/>
                  <w:vAlign w:val="center"/>
                </w:tcPr>
                <w:p w14:paraId="21C4C472">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241</w:t>
                  </w:r>
                </w:p>
              </w:tc>
              <w:tc>
                <w:tcPr>
                  <w:tcW w:w="875" w:type="dxa"/>
                  <w:vAlign w:val="center"/>
                </w:tcPr>
                <w:p w14:paraId="4FBEDF61">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242</w:t>
                  </w:r>
                </w:p>
              </w:tc>
              <w:tc>
                <w:tcPr>
                  <w:tcW w:w="844" w:type="dxa"/>
                  <w:vAlign w:val="center"/>
                </w:tcPr>
                <w:p w14:paraId="0176F4FD">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235</w:t>
                  </w:r>
                </w:p>
              </w:tc>
            </w:tr>
          </w:tbl>
          <w:p w14:paraId="03289392">
            <w:pPr>
              <w:adjustRightInd w:val="0"/>
              <w:snapToGrid w:val="0"/>
              <w:spacing w:before="120" w:beforeLines="50" w:line="360" w:lineRule="auto"/>
              <w:ind w:firstLine="480" w:firstLineChars="200"/>
            </w:pPr>
            <w:r>
              <w:rPr>
                <w:kern w:val="0"/>
              </w:rPr>
              <w:t>现状监测结果表明：</w:t>
            </w:r>
            <w:r>
              <w:rPr>
                <w:rFonts w:hint="eastAsia"/>
                <w:lang w:bidi="ar"/>
              </w:rPr>
              <w:t>区域空气中的TSP</w:t>
            </w:r>
            <w:r>
              <w:rPr>
                <w:color w:val="000000"/>
              </w:rPr>
              <w:t>满足《环境空气质量标准》（GB3095-2012）中二级标准限值要求</w:t>
            </w:r>
            <w:r>
              <w:rPr>
                <w:kern w:val="0"/>
              </w:rPr>
              <w:t>。</w:t>
            </w:r>
          </w:p>
          <w:p w14:paraId="387CB0FB">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2、水环境质量</w:t>
            </w:r>
          </w:p>
          <w:p w14:paraId="2FBAEF1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lang w:bidi="ar"/>
              </w:rPr>
            </w:pPr>
            <w:r>
              <w:rPr>
                <w:rFonts w:hint="default" w:ascii="Times New Roman" w:hAnsi="Times New Roman" w:cs="Times New Roman"/>
                <w:color w:val="auto"/>
                <w:sz w:val="24"/>
                <w:highlight w:val="none"/>
                <w:lang w:val="en-US" w:eastAsia="zh-CN"/>
              </w:rPr>
              <w:t>根据2024年宿州市环境质量状况，宿州市水环境质量：2024年，宿州市水环境质量稳中向好、稳中趋优。全市13个地表水国家考核断面中10个水质达到Ⅲ类，水质优良比例为76.9%，较上一年同比提升7.7个百分点；10个地表水省考核断面中5个断面水质为Ⅲ类，水质优良比例为50%。9个县级及以上集中式饮用水水源地水质达标率保持100%。</w:t>
            </w:r>
          </w:p>
          <w:p w14:paraId="01F7CADD">
            <w:pPr>
              <w:adjustRightInd w:val="0"/>
              <w:snapToGrid w:val="0"/>
              <w:spacing w:line="360" w:lineRule="auto"/>
              <w:jc w:val="left"/>
              <w:rPr>
                <w:b/>
                <w:bCs/>
                <w:color w:val="auto"/>
                <w:kern w:val="0"/>
                <w:highlight w:val="none"/>
              </w:rPr>
            </w:pPr>
            <w:r>
              <w:rPr>
                <w:b/>
                <w:bCs/>
                <w:color w:val="auto"/>
                <w:kern w:val="0"/>
                <w:highlight w:val="none"/>
              </w:rPr>
              <w:t>3、声环境</w:t>
            </w:r>
          </w:p>
          <w:p w14:paraId="65FB1114">
            <w:pPr>
              <w:adjustRightInd w:val="0"/>
              <w:snapToGrid w:val="0"/>
              <w:spacing w:line="360" w:lineRule="auto"/>
              <w:ind w:firstLine="480" w:firstLineChars="200"/>
              <w:jc w:val="left"/>
              <w:rPr>
                <w:color w:val="auto"/>
                <w:kern w:val="0"/>
                <w:highlight w:val="none"/>
              </w:rPr>
            </w:pPr>
            <w:r>
              <w:rPr>
                <w:rFonts w:hint="eastAsia"/>
                <w:color w:val="auto"/>
                <w:kern w:val="0"/>
                <w:highlight w:val="none"/>
              </w:rPr>
              <w:t>本项目厂界周边50米范围内无声环境保护目标，不需要进行保护目标声环境质量现状监测。</w:t>
            </w:r>
          </w:p>
          <w:p w14:paraId="763B8B6F">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b/>
                <w:bCs/>
                <w:color w:val="auto"/>
                <w:kern w:val="0"/>
                <w:highlight w:val="none"/>
                <w:lang w:val="en-US" w:eastAsia="zh-CN"/>
              </w:rPr>
              <w:t>4、</w:t>
            </w:r>
            <w:r>
              <w:rPr>
                <w:rFonts w:hint="default" w:ascii="Times New Roman" w:hAnsi="Times New Roman" w:eastAsia="宋体" w:cs="Times New Roman"/>
                <w:b/>
                <w:bCs/>
                <w:color w:val="auto"/>
                <w:sz w:val="24"/>
                <w:szCs w:val="24"/>
                <w:highlight w:val="none"/>
              </w:rPr>
              <w:t>地下水、土壤环境质量现状</w:t>
            </w:r>
          </w:p>
          <w:p w14:paraId="2AB217D0">
            <w:pPr>
              <w:pStyle w:val="33"/>
              <w:keepNext w:val="0"/>
              <w:keepLines w:val="0"/>
              <w:pageBreakBefore w:val="0"/>
              <w:widowControl w:val="0"/>
              <w:kinsoku/>
              <w:wordWrap/>
              <w:overflowPunct/>
              <w:topLinePunct w:val="0"/>
              <w:bidi w:val="0"/>
              <w:snapToGrid w:val="0"/>
              <w:spacing w:line="360" w:lineRule="auto"/>
              <w:ind w:firstLine="480" w:firstLineChars="200"/>
              <w:jc w:val="both"/>
              <w:textAlignment w:val="auto"/>
              <w:outlineLvl w:val="9"/>
              <w:rPr>
                <w:rFonts w:hint="eastAsia"/>
                <w:b/>
                <w:bCs/>
                <w:color w:val="auto"/>
                <w:kern w:val="0"/>
                <w:highlight w:val="none"/>
                <w:lang w:val="en-US" w:eastAsia="zh-CN"/>
              </w:rPr>
            </w:pPr>
            <w:r>
              <w:rPr>
                <w:rFonts w:hint="default" w:ascii="Times New Roman" w:hAnsi="Times New Roman" w:eastAsia="宋体" w:cs="Times New Roman"/>
                <w:color w:val="auto"/>
                <w:sz w:val="24"/>
                <w:szCs w:val="24"/>
                <w:highlight w:val="none"/>
              </w:rPr>
              <w:t>根据《建设项目环境影响报告表编制技术指南(污染影响类)（试行）》，原则上不开展土壤和地下水环境质量现状调查。本项目厂界外500米范围内无地下水集中式饮用水水源和热水、矿泉水、温泉等特殊地下水资源，并且本项目严格按照导则要求对厂区进行分区防控，因此</w:t>
            </w:r>
            <w:r>
              <w:rPr>
                <w:rFonts w:hint="eastAsia" w:cs="Times New Roman"/>
                <w:color w:val="auto"/>
                <w:sz w:val="24"/>
                <w:szCs w:val="24"/>
                <w:highlight w:val="none"/>
                <w:lang w:val="en-US" w:eastAsia="zh-CN"/>
              </w:rPr>
              <w:t>本项目不</w:t>
            </w:r>
            <w:r>
              <w:rPr>
                <w:rFonts w:hint="default" w:ascii="Times New Roman" w:hAnsi="Times New Roman" w:eastAsia="宋体" w:cs="Times New Roman"/>
                <w:color w:val="auto"/>
                <w:sz w:val="24"/>
                <w:szCs w:val="24"/>
                <w:highlight w:val="none"/>
              </w:rPr>
              <w:t>开展地下水、土壤环境质量现状调查。</w:t>
            </w:r>
          </w:p>
          <w:p w14:paraId="654FB97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b/>
                <w:bCs/>
                <w:color w:val="auto"/>
                <w:kern w:val="0"/>
                <w:highlight w:val="none"/>
              </w:rPr>
            </w:pPr>
            <w:r>
              <w:rPr>
                <w:rFonts w:hint="eastAsia"/>
                <w:b/>
                <w:bCs/>
                <w:color w:val="auto"/>
                <w:kern w:val="0"/>
                <w:highlight w:val="none"/>
                <w:lang w:val="en-US" w:eastAsia="zh-CN"/>
              </w:rPr>
              <w:t>5</w:t>
            </w:r>
            <w:r>
              <w:rPr>
                <w:rFonts w:hint="eastAsia"/>
                <w:b/>
                <w:bCs/>
                <w:color w:val="auto"/>
                <w:kern w:val="0"/>
                <w:highlight w:val="none"/>
              </w:rPr>
              <w:t>、生态环境</w:t>
            </w:r>
          </w:p>
          <w:p w14:paraId="51E7B104">
            <w:pPr>
              <w:adjustRightInd w:val="0"/>
              <w:snapToGrid w:val="0"/>
              <w:spacing w:line="360" w:lineRule="auto"/>
              <w:ind w:firstLine="480" w:firstLineChars="200"/>
              <w:jc w:val="left"/>
              <w:rPr>
                <w:color w:val="auto"/>
                <w:kern w:val="0"/>
                <w:highlight w:val="none"/>
              </w:rPr>
            </w:pPr>
            <w:r>
              <w:rPr>
                <w:rFonts w:hint="eastAsia"/>
                <w:color w:val="auto"/>
                <w:kern w:val="0"/>
                <w:highlight w:val="none"/>
              </w:rPr>
              <w:t>本项目位于</w:t>
            </w:r>
            <w:r>
              <w:rPr>
                <w:rFonts w:hint="eastAsia"/>
                <w:color w:val="auto"/>
                <w:kern w:val="0"/>
                <w:highlight w:val="none"/>
                <w:lang w:val="en-US" w:eastAsia="zh-CN"/>
              </w:rPr>
              <w:t>安徽省</w:t>
            </w:r>
            <w:r>
              <w:rPr>
                <w:rFonts w:hint="default" w:eastAsia="宋体"/>
                <w:color w:val="auto"/>
                <w:highlight w:val="none"/>
                <w:lang w:val="en-US" w:eastAsia="zh-CN"/>
              </w:rPr>
              <w:t>泗县经济开发区蟠龙山路与南柳路交口东南角地块</w:t>
            </w:r>
            <w:r>
              <w:rPr>
                <w:rFonts w:hint="eastAsia"/>
                <w:color w:val="auto"/>
                <w:kern w:val="0"/>
                <w:highlight w:val="none"/>
              </w:rPr>
              <w:t>，属于工业用地，不涉及新增用地。</w:t>
            </w:r>
          </w:p>
          <w:p w14:paraId="689C5B42">
            <w:pPr>
              <w:adjustRightInd w:val="0"/>
              <w:snapToGrid w:val="0"/>
              <w:spacing w:line="360" w:lineRule="auto"/>
              <w:jc w:val="left"/>
              <w:rPr>
                <w:b/>
                <w:bCs/>
                <w:color w:val="auto"/>
                <w:kern w:val="0"/>
                <w:highlight w:val="none"/>
              </w:rPr>
            </w:pPr>
            <w:r>
              <w:rPr>
                <w:rFonts w:hint="eastAsia"/>
                <w:b/>
                <w:bCs/>
                <w:color w:val="auto"/>
                <w:kern w:val="0"/>
                <w:highlight w:val="none"/>
                <w:lang w:val="en-US" w:eastAsia="zh-CN"/>
              </w:rPr>
              <w:t>6</w:t>
            </w:r>
            <w:r>
              <w:rPr>
                <w:rFonts w:hint="eastAsia"/>
                <w:b/>
                <w:bCs/>
                <w:color w:val="auto"/>
                <w:kern w:val="0"/>
                <w:highlight w:val="none"/>
              </w:rPr>
              <w:t>、电磁辐射</w:t>
            </w:r>
          </w:p>
          <w:p w14:paraId="770D1698">
            <w:pPr>
              <w:adjustRightInd w:val="0"/>
              <w:snapToGrid w:val="0"/>
              <w:spacing w:line="360" w:lineRule="auto"/>
              <w:ind w:firstLine="480" w:firstLineChars="200"/>
              <w:jc w:val="left"/>
              <w:rPr>
                <w:rFonts w:hint="default" w:eastAsia="宋体"/>
                <w:color w:val="auto"/>
                <w:highlight w:val="none"/>
                <w:lang w:val="en-US" w:eastAsia="zh-CN"/>
              </w:rPr>
            </w:pPr>
            <w:r>
              <w:rPr>
                <w:rFonts w:hint="eastAsia"/>
                <w:color w:val="auto"/>
                <w:kern w:val="0"/>
                <w:highlight w:val="none"/>
              </w:rPr>
              <w:t>本项目无电磁辐射。</w:t>
            </w:r>
          </w:p>
        </w:tc>
      </w:tr>
      <w:tr w14:paraId="3A8F3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00" w:type="dxa"/>
            <w:vAlign w:val="center"/>
          </w:tcPr>
          <w:p w14:paraId="186156F4">
            <w:pPr>
              <w:adjustRightInd w:val="0"/>
              <w:snapToGrid w:val="0"/>
              <w:spacing w:before="0" w:beforeAutospacing="0" w:after="0" w:afterAutospacing="0" w:line="240" w:lineRule="auto"/>
              <w:jc w:val="center"/>
              <w:outlineLvl w:val="0"/>
              <w:rPr>
                <w:rFonts w:ascii="Times New Roman" w:hAnsi="Times New Roman"/>
                <w:color w:val="auto"/>
                <w:highlight w:val="none"/>
              </w:rPr>
            </w:pPr>
            <w:r>
              <w:rPr>
                <w:rFonts w:hint="eastAsia" w:ascii="Times New Roman" w:hAnsi="Times New Roman"/>
                <w:snapToGrid w:val="0"/>
                <w:color w:val="auto"/>
                <w:szCs w:val="24"/>
                <w:highlight w:val="none"/>
              </w:rPr>
              <w:t>环境保护目标</w:t>
            </w:r>
          </w:p>
        </w:tc>
        <w:tc>
          <w:tcPr>
            <w:tcW w:w="8190" w:type="dxa"/>
          </w:tcPr>
          <w:p w14:paraId="25933ED9">
            <w:pPr>
              <w:adjustRightInd w:val="0"/>
              <w:snapToGrid w:val="0"/>
              <w:spacing w:before="120" w:beforeLines="50" w:line="360" w:lineRule="auto"/>
              <w:rPr>
                <w:b/>
                <w:bCs/>
                <w:color w:val="auto"/>
                <w:kern w:val="0"/>
                <w:highlight w:val="none"/>
              </w:rPr>
            </w:pPr>
            <w:r>
              <w:rPr>
                <w:b/>
                <w:bCs/>
                <w:color w:val="auto"/>
                <w:kern w:val="0"/>
                <w:highlight w:val="none"/>
              </w:rPr>
              <w:t>1、大气环境</w:t>
            </w:r>
          </w:p>
          <w:p w14:paraId="2559220C">
            <w:pPr>
              <w:ind w:left="-7" w:leftChars="-19" w:hanging="39" w:hangingChars="16"/>
              <w:jc w:val="center"/>
              <w:rPr>
                <w:color w:val="auto"/>
                <w:highlight w:val="none"/>
              </w:rPr>
            </w:pPr>
            <w:r>
              <w:rPr>
                <w:b/>
                <w:color w:val="auto"/>
                <w:highlight w:val="none"/>
              </w:rPr>
              <w:t>表3</w:t>
            </w:r>
            <w:r>
              <w:rPr>
                <w:rFonts w:hint="eastAsia"/>
                <w:b/>
                <w:color w:val="auto"/>
                <w:highlight w:val="none"/>
                <w:lang w:val="en-US" w:eastAsia="zh-CN"/>
              </w:rPr>
              <w:t>-4</w:t>
            </w:r>
            <w:r>
              <w:rPr>
                <w:b/>
                <w:color w:val="auto"/>
                <w:highlight w:val="none"/>
              </w:rPr>
              <w:t xml:space="preserve">  大气环境保护目标一览表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690"/>
              <w:gridCol w:w="735"/>
              <w:gridCol w:w="1080"/>
              <w:gridCol w:w="1440"/>
              <w:gridCol w:w="885"/>
              <w:gridCol w:w="825"/>
              <w:gridCol w:w="780"/>
            </w:tblGrid>
            <w:tr w14:paraId="7ABB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9" w:type="dxa"/>
                  <w:vMerge w:val="restart"/>
                  <w:tcBorders>
                    <w:top w:val="single" w:color="auto" w:sz="4" w:space="0"/>
                  </w:tcBorders>
                  <w:vAlign w:val="center"/>
                </w:tcPr>
                <w:p w14:paraId="191003E3">
                  <w:pPr>
                    <w:pStyle w:val="76"/>
                    <w:jc w:val="center"/>
                    <w:rPr>
                      <w:b/>
                      <w:bCs/>
                      <w:color w:val="auto"/>
                      <w:sz w:val="21"/>
                      <w:szCs w:val="21"/>
                      <w:highlight w:val="none"/>
                    </w:rPr>
                  </w:pPr>
                  <w:r>
                    <w:rPr>
                      <w:b/>
                      <w:bCs/>
                      <w:color w:val="auto"/>
                      <w:sz w:val="21"/>
                      <w:szCs w:val="21"/>
                      <w:highlight w:val="none"/>
                    </w:rPr>
                    <w:t>环境保护</w:t>
                  </w:r>
                </w:p>
                <w:p w14:paraId="0FF0DA4D">
                  <w:pPr>
                    <w:pStyle w:val="76"/>
                    <w:jc w:val="center"/>
                    <w:rPr>
                      <w:b/>
                      <w:bCs/>
                      <w:color w:val="auto"/>
                      <w:sz w:val="21"/>
                      <w:szCs w:val="21"/>
                      <w:highlight w:val="none"/>
                    </w:rPr>
                  </w:pPr>
                  <w:r>
                    <w:rPr>
                      <w:b/>
                      <w:bCs/>
                      <w:color w:val="auto"/>
                      <w:sz w:val="21"/>
                      <w:szCs w:val="21"/>
                      <w:highlight w:val="none"/>
                    </w:rPr>
                    <w:t>目标名称</w:t>
                  </w:r>
                </w:p>
              </w:tc>
              <w:tc>
                <w:tcPr>
                  <w:tcW w:w="1425" w:type="dxa"/>
                  <w:gridSpan w:val="2"/>
                  <w:tcBorders>
                    <w:top w:val="single" w:color="auto" w:sz="4" w:space="0"/>
                    <w:bottom w:val="single" w:color="auto" w:sz="4" w:space="0"/>
                  </w:tcBorders>
                  <w:vAlign w:val="center"/>
                </w:tcPr>
                <w:p w14:paraId="48E2FE1C">
                  <w:pPr>
                    <w:pStyle w:val="76"/>
                    <w:jc w:val="center"/>
                    <w:rPr>
                      <w:b/>
                      <w:bCs/>
                      <w:color w:val="auto"/>
                      <w:sz w:val="21"/>
                      <w:szCs w:val="21"/>
                      <w:highlight w:val="none"/>
                    </w:rPr>
                  </w:pPr>
                  <w:r>
                    <w:rPr>
                      <w:b/>
                      <w:bCs/>
                      <w:color w:val="auto"/>
                      <w:sz w:val="21"/>
                      <w:szCs w:val="21"/>
                      <w:highlight w:val="none"/>
                    </w:rPr>
                    <w:t>坐标/m</w:t>
                  </w:r>
                </w:p>
              </w:tc>
              <w:tc>
                <w:tcPr>
                  <w:tcW w:w="1080" w:type="dxa"/>
                  <w:vMerge w:val="restart"/>
                  <w:tcBorders>
                    <w:top w:val="single" w:color="auto" w:sz="4" w:space="0"/>
                  </w:tcBorders>
                  <w:vAlign w:val="center"/>
                </w:tcPr>
                <w:p w14:paraId="590A0F11">
                  <w:pPr>
                    <w:pStyle w:val="76"/>
                    <w:jc w:val="center"/>
                    <w:rPr>
                      <w:b/>
                      <w:bCs/>
                      <w:color w:val="auto"/>
                      <w:sz w:val="21"/>
                      <w:szCs w:val="21"/>
                      <w:highlight w:val="none"/>
                    </w:rPr>
                  </w:pPr>
                  <w:r>
                    <w:rPr>
                      <w:b/>
                      <w:bCs/>
                      <w:color w:val="auto"/>
                      <w:sz w:val="21"/>
                      <w:szCs w:val="21"/>
                      <w:highlight w:val="none"/>
                    </w:rPr>
                    <w:t>保护</w:t>
                  </w:r>
                </w:p>
                <w:p w14:paraId="21FC2DFB">
                  <w:pPr>
                    <w:pStyle w:val="76"/>
                    <w:jc w:val="center"/>
                    <w:rPr>
                      <w:b/>
                      <w:bCs/>
                      <w:color w:val="auto"/>
                      <w:sz w:val="21"/>
                      <w:szCs w:val="21"/>
                      <w:highlight w:val="none"/>
                    </w:rPr>
                  </w:pPr>
                  <w:r>
                    <w:rPr>
                      <w:b/>
                      <w:bCs/>
                      <w:color w:val="auto"/>
                      <w:sz w:val="21"/>
                      <w:szCs w:val="21"/>
                      <w:highlight w:val="none"/>
                    </w:rPr>
                    <w:t>对象</w:t>
                  </w:r>
                </w:p>
              </w:tc>
              <w:tc>
                <w:tcPr>
                  <w:tcW w:w="1440" w:type="dxa"/>
                  <w:vMerge w:val="restart"/>
                  <w:tcBorders>
                    <w:top w:val="single" w:color="auto" w:sz="4" w:space="0"/>
                  </w:tcBorders>
                  <w:vAlign w:val="center"/>
                </w:tcPr>
                <w:p w14:paraId="465C0C31">
                  <w:pPr>
                    <w:pStyle w:val="76"/>
                    <w:jc w:val="center"/>
                    <w:rPr>
                      <w:b/>
                      <w:bCs/>
                      <w:color w:val="auto"/>
                      <w:sz w:val="21"/>
                      <w:szCs w:val="21"/>
                      <w:highlight w:val="none"/>
                    </w:rPr>
                  </w:pPr>
                  <w:r>
                    <w:rPr>
                      <w:b/>
                      <w:bCs/>
                      <w:color w:val="auto"/>
                      <w:sz w:val="21"/>
                      <w:szCs w:val="21"/>
                      <w:highlight w:val="none"/>
                    </w:rPr>
                    <w:t>保护内容</w:t>
                  </w:r>
                </w:p>
              </w:tc>
              <w:tc>
                <w:tcPr>
                  <w:tcW w:w="885" w:type="dxa"/>
                  <w:vMerge w:val="restart"/>
                  <w:tcBorders>
                    <w:top w:val="single" w:color="auto" w:sz="4" w:space="0"/>
                  </w:tcBorders>
                  <w:vAlign w:val="center"/>
                </w:tcPr>
                <w:p w14:paraId="6173D2E5">
                  <w:pPr>
                    <w:pStyle w:val="76"/>
                    <w:jc w:val="center"/>
                    <w:rPr>
                      <w:b/>
                      <w:bCs/>
                      <w:color w:val="auto"/>
                      <w:sz w:val="21"/>
                      <w:szCs w:val="21"/>
                      <w:highlight w:val="none"/>
                    </w:rPr>
                  </w:pPr>
                  <w:r>
                    <w:rPr>
                      <w:b/>
                      <w:bCs/>
                      <w:color w:val="auto"/>
                      <w:sz w:val="21"/>
                      <w:szCs w:val="21"/>
                      <w:highlight w:val="none"/>
                    </w:rPr>
                    <w:t>环境功能区</w:t>
                  </w:r>
                </w:p>
              </w:tc>
              <w:tc>
                <w:tcPr>
                  <w:tcW w:w="825" w:type="dxa"/>
                  <w:vMerge w:val="restart"/>
                  <w:tcBorders>
                    <w:top w:val="single" w:color="auto" w:sz="4" w:space="0"/>
                  </w:tcBorders>
                  <w:vAlign w:val="center"/>
                </w:tcPr>
                <w:p w14:paraId="5EFBBF15">
                  <w:pPr>
                    <w:pStyle w:val="76"/>
                    <w:jc w:val="center"/>
                    <w:rPr>
                      <w:b/>
                      <w:bCs/>
                      <w:color w:val="auto"/>
                      <w:sz w:val="21"/>
                      <w:szCs w:val="21"/>
                      <w:highlight w:val="none"/>
                    </w:rPr>
                  </w:pPr>
                  <w:r>
                    <w:rPr>
                      <w:b/>
                      <w:bCs/>
                      <w:color w:val="auto"/>
                      <w:sz w:val="21"/>
                      <w:szCs w:val="21"/>
                      <w:highlight w:val="none"/>
                    </w:rPr>
                    <w:t>相对厂址方位</w:t>
                  </w:r>
                </w:p>
              </w:tc>
              <w:tc>
                <w:tcPr>
                  <w:tcW w:w="780" w:type="dxa"/>
                  <w:vMerge w:val="restart"/>
                  <w:tcBorders>
                    <w:top w:val="single" w:color="auto" w:sz="4" w:space="0"/>
                  </w:tcBorders>
                  <w:vAlign w:val="center"/>
                </w:tcPr>
                <w:p w14:paraId="2EE1CF09">
                  <w:pPr>
                    <w:pStyle w:val="76"/>
                    <w:jc w:val="center"/>
                    <w:rPr>
                      <w:b/>
                      <w:bCs/>
                      <w:color w:val="auto"/>
                      <w:sz w:val="21"/>
                      <w:szCs w:val="21"/>
                      <w:highlight w:val="none"/>
                    </w:rPr>
                  </w:pPr>
                  <w:r>
                    <w:rPr>
                      <w:b/>
                      <w:bCs/>
                      <w:color w:val="auto"/>
                      <w:sz w:val="21"/>
                      <w:szCs w:val="21"/>
                      <w:highlight w:val="none"/>
                    </w:rPr>
                    <w:t>距离（m）</w:t>
                  </w:r>
                </w:p>
              </w:tc>
            </w:tr>
            <w:tr w14:paraId="6486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9" w:type="dxa"/>
                  <w:vMerge w:val="continue"/>
                  <w:tcBorders>
                    <w:bottom w:val="single" w:color="auto" w:sz="4" w:space="0"/>
                  </w:tcBorders>
                  <w:vAlign w:val="center"/>
                </w:tcPr>
                <w:p w14:paraId="54151302">
                  <w:pPr>
                    <w:pStyle w:val="76"/>
                    <w:jc w:val="center"/>
                    <w:rPr>
                      <w:color w:val="auto"/>
                      <w:sz w:val="21"/>
                      <w:szCs w:val="21"/>
                      <w:highlight w:val="none"/>
                    </w:rPr>
                  </w:pPr>
                </w:p>
              </w:tc>
              <w:tc>
                <w:tcPr>
                  <w:tcW w:w="690" w:type="dxa"/>
                  <w:tcBorders>
                    <w:top w:val="single" w:color="auto" w:sz="4" w:space="0"/>
                    <w:bottom w:val="single" w:color="auto" w:sz="4" w:space="0"/>
                  </w:tcBorders>
                  <w:vAlign w:val="center"/>
                </w:tcPr>
                <w:p w14:paraId="56A5FF0C">
                  <w:pPr>
                    <w:pStyle w:val="76"/>
                    <w:jc w:val="center"/>
                    <w:rPr>
                      <w:b/>
                      <w:bCs/>
                      <w:color w:val="auto"/>
                      <w:sz w:val="21"/>
                      <w:szCs w:val="21"/>
                      <w:highlight w:val="none"/>
                    </w:rPr>
                  </w:pPr>
                  <w:r>
                    <w:rPr>
                      <w:b/>
                      <w:bCs/>
                      <w:color w:val="auto"/>
                      <w:sz w:val="21"/>
                      <w:szCs w:val="21"/>
                      <w:highlight w:val="none"/>
                    </w:rPr>
                    <w:t>X</w:t>
                  </w:r>
                </w:p>
              </w:tc>
              <w:tc>
                <w:tcPr>
                  <w:tcW w:w="735" w:type="dxa"/>
                  <w:tcBorders>
                    <w:top w:val="single" w:color="auto" w:sz="4" w:space="0"/>
                    <w:bottom w:val="single" w:color="auto" w:sz="4" w:space="0"/>
                  </w:tcBorders>
                  <w:vAlign w:val="center"/>
                </w:tcPr>
                <w:p w14:paraId="4651FB93">
                  <w:pPr>
                    <w:pStyle w:val="76"/>
                    <w:jc w:val="center"/>
                    <w:rPr>
                      <w:b/>
                      <w:bCs/>
                      <w:color w:val="auto"/>
                      <w:sz w:val="21"/>
                      <w:szCs w:val="21"/>
                      <w:highlight w:val="none"/>
                    </w:rPr>
                  </w:pPr>
                  <w:r>
                    <w:rPr>
                      <w:b/>
                      <w:bCs/>
                      <w:color w:val="auto"/>
                      <w:sz w:val="21"/>
                      <w:szCs w:val="21"/>
                      <w:highlight w:val="none"/>
                    </w:rPr>
                    <w:t>Y</w:t>
                  </w:r>
                </w:p>
              </w:tc>
              <w:tc>
                <w:tcPr>
                  <w:tcW w:w="1080" w:type="dxa"/>
                  <w:vMerge w:val="continue"/>
                  <w:tcBorders>
                    <w:bottom w:val="single" w:color="auto" w:sz="4" w:space="0"/>
                  </w:tcBorders>
                  <w:vAlign w:val="center"/>
                </w:tcPr>
                <w:p w14:paraId="3AD72247">
                  <w:pPr>
                    <w:pStyle w:val="76"/>
                    <w:jc w:val="center"/>
                    <w:rPr>
                      <w:color w:val="auto"/>
                      <w:sz w:val="21"/>
                      <w:szCs w:val="21"/>
                      <w:highlight w:val="none"/>
                    </w:rPr>
                  </w:pPr>
                </w:p>
              </w:tc>
              <w:tc>
                <w:tcPr>
                  <w:tcW w:w="1440" w:type="dxa"/>
                  <w:vMerge w:val="continue"/>
                  <w:tcBorders>
                    <w:bottom w:val="single" w:color="auto" w:sz="4" w:space="0"/>
                  </w:tcBorders>
                  <w:vAlign w:val="center"/>
                </w:tcPr>
                <w:p w14:paraId="0B9807E5">
                  <w:pPr>
                    <w:pStyle w:val="76"/>
                    <w:jc w:val="center"/>
                    <w:rPr>
                      <w:color w:val="auto"/>
                      <w:sz w:val="21"/>
                      <w:szCs w:val="21"/>
                      <w:highlight w:val="none"/>
                    </w:rPr>
                  </w:pPr>
                </w:p>
              </w:tc>
              <w:tc>
                <w:tcPr>
                  <w:tcW w:w="885" w:type="dxa"/>
                  <w:vMerge w:val="continue"/>
                  <w:tcBorders>
                    <w:bottom w:val="single" w:color="auto" w:sz="4" w:space="0"/>
                  </w:tcBorders>
                  <w:vAlign w:val="center"/>
                </w:tcPr>
                <w:p w14:paraId="6B9B16B0">
                  <w:pPr>
                    <w:pStyle w:val="76"/>
                    <w:jc w:val="center"/>
                    <w:rPr>
                      <w:color w:val="auto"/>
                      <w:sz w:val="21"/>
                      <w:szCs w:val="21"/>
                      <w:highlight w:val="none"/>
                    </w:rPr>
                  </w:pPr>
                </w:p>
              </w:tc>
              <w:tc>
                <w:tcPr>
                  <w:tcW w:w="825" w:type="dxa"/>
                  <w:vMerge w:val="continue"/>
                  <w:tcBorders>
                    <w:bottom w:val="single" w:color="auto" w:sz="4" w:space="0"/>
                  </w:tcBorders>
                  <w:vAlign w:val="center"/>
                </w:tcPr>
                <w:p w14:paraId="6848F395">
                  <w:pPr>
                    <w:pStyle w:val="76"/>
                    <w:jc w:val="center"/>
                    <w:rPr>
                      <w:color w:val="auto"/>
                      <w:sz w:val="21"/>
                      <w:szCs w:val="21"/>
                      <w:highlight w:val="none"/>
                    </w:rPr>
                  </w:pPr>
                </w:p>
              </w:tc>
              <w:tc>
                <w:tcPr>
                  <w:tcW w:w="780" w:type="dxa"/>
                  <w:vMerge w:val="continue"/>
                  <w:tcBorders>
                    <w:bottom w:val="single" w:color="auto" w:sz="4" w:space="0"/>
                  </w:tcBorders>
                  <w:vAlign w:val="center"/>
                </w:tcPr>
                <w:p w14:paraId="713C3995">
                  <w:pPr>
                    <w:pStyle w:val="76"/>
                    <w:jc w:val="center"/>
                    <w:rPr>
                      <w:color w:val="auto"/>
                      <w:sz w:val="21"/>
                      <w:szCs w:val="21"/>
                      <w:highlight w:val="none"/>
                    </w:rPr>
                  </w:pPr>
                </w:p>
              </w:tc>
            </w:tr>
            <w:tr w14:paraId="01E6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9" w:type="dxa"/>
                  <w:tcBorders>
                    <w:top w:val="single" w:color="auto" w:sz="4" w:space="0"/>
                    <w:bottom w:val="single" w:color="auto" w:sz="4" w:space="0"/>
                  </w:tcBorders>
                  <w:vAlign w:val="center"/>
                </w:tcPr>
                <w:p w14:paraId="77AC03E3">
                  <w:pPr>
                    <w:pStyle w:val="8"/>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泗县经济开发区管委会</w:t>
                  </w:r>
                </w:p>
              </w:tc>
              <w:tc>
                <w:tcPr>
                  <w:tcW w:w="690" w:type="dxa"/>
                  <w:tcBorders>
                    <w:top w:val="single" w:color="auto" w:sz="4" w:space="0"/>
                    <w:bottom w:val="single" w:color="auto" w:sz="4" w:space="0"/>
                  </w:tcBorders>
                  <w:vAlign w:val="center"/>
                </w:tcPr>
                <w:p w14:paraId="59AF600C">
                  <w:pPr>
                    <w:jc w:val="center"/>
                    <w:rPr>
                      <w:rFonts w:hint="default"/>
                      <w:color w:val="auto"/>
                      <w:sz w:val="21"/>
                      <w:szCs w:val="21"/>
                      <w:highlight w:val="none"/>
                      <w:lang w:val="en-US" w:eastAsia="zh-CN"/>
                    </w:rPr>
                  </w:pPr>
                  <w:r>
                    <w:rPr>
                      <w:rFonts w:hint="eastAsia"/>
                      <w:color w:val="auto"/>
                      <w:sz w:val="21"/>
                      <w:szCs w:val="21"/>
                      <w:highlight w:val="none"/>
                      <w:lang w:val="en-US" w:eastAsia="zh-CN"/>
                    </w:rPr>
                    <w:t>-470</w:t>
                  </w:r>
                </w:p>
              </w:tc>
              <w:tc>
                <w:tcPr>
                  <w:tcW w:w="735" w:type="dxa"/>
                  <w:tcBorders>
                    <w:top w:val="single" w:color="auto" w:sz="4" w:space="0"/>
                    <w:bottom w:val="single" w:color="auto" w:sz="4" w:space="0"/>
                  </w:tcBorders>
                  <w:vAlign w:val="center"/>
                </w:tcPr>
                <w:p w14:paraId="005BA580">
                  <w:pPr>
                    <w:jc w:val="center"/>
                    <w:rPr>
                      <w:rFonts w:hint="default"/>
                      <w:color w:val="auto"/>
                      <w:sz w:val="21"/>
                      <w:szCs w:val="21"/>
                      <w:highlight w:val="none"/>
                      <w:lang w:val="en-US" w:eastAsia="zh-CN"/>
                    </w:rPr>
                  </w:pPr>
                  <w:r>
                    <w:rPr>
                      <w:rFonts w:hint="eastAsia"/>
                      <w:color w:val="auto"/>
                      <w:sz w:val="21"/>
                      <w:szCs w:val="21"/>
                      <w:highlight w:val="none"/>
                      <w:lang w:val="en-US" w:eastAsia="zh-CN"/>
                    </w:rPr>
                    <w:t>126</w:t>
                  </w:r>
                </w:p>
              </w:tc>
              <w:tc>
                <w:tcPr>
                  <w:tcW w:w="1080" w:type="dxa"/>
                  <w:vAlign w:val="center"/>
                </w:tcPr>
                <w:p w14:paraId="464C0E1C">
                  <w:pPr>
                    <w:jc w:val="center"/>
                    <w:rPr>
                      <w:rFonts w:hint="default"/>
                      <w:color w:val="auto"/>
                      <w:sz w:val="21"/>
                      <w:szCs w:val="21"/>
                      <w:highlight w:val="none"/>
                      <w:lang w:val="en-US" w:eastAsia="zh-CN"/>
                    </w:rPr>
                  </w:pPr>
                  <w:r>
                    <w:rPr>
                      <w:rFonts w:hint="eastAsia"/>
                      <w:color w:val="auto"/>
                      <w:sz w:val="21"/>
                      <w:szCs w:val="21"/>
                      <w:highlight w:val="none"/>
                      <w:lang w:val="en-US" w:eastAsia="zh-CN"/>
                    </w:rPr>
                    <w:t>政府机构</w:t>
                  </w:r>
                </w:p>
              </w:tc>
              <w:tc>
                <w:tcPr>
                  <w:tcW w:w="1440" w:type="dxa"/>
                  <w:tcBorders>
                    <w:top w:val="single" w:color="auto" w:sz="4" w:space="0"/>
                    <w:bottom w:val="single" w:color="auto" w:sz="4" w:space="0"/>
                  </w:tcBorders>
                  <w:vAlign w:val="center"/>
                </w:tcPr>
                <w:p w14:paraId="3882D54A">
                  <w:pPr>
                    <w:jc w:val="center"/>
                    <w:rPr>
                      <w:rFonts w:hint="default"/>
                      <w:color w:val="auto"/>
                      <w:sz w:val="21"/>
                      <w:szCs w:val="21"/>
                      <w:highlight w:val="none"/>
                      <w:lang w:val="en-US" w:eastAsia="zh-CN"/>
                    </w:rPr>
                  </w:pPr>
                  <w:r>
                    <w:rPr>
                      <w:rFonts w:hint="eastAsia"/>
                      <w:color w:val="auto"/>
                      <w:sz w:val="21"/>
                      <w:szCs w:val="21"/>
                      <w:highlight w:val="none"/>
                      <w:lang w:val="en-US" w:eastAsia="zh-CN"/>
                    </w:rPr>
                    <w:t>300人</w:t>
                  </w:r>
                </w:p>
              </w:tc>
              <w:tc>
                <w:tcPr>
                  <w:tcW w:w="885" w:type="dxa"/>
                  <w:vAlign w:val="center"/>
                </w:tcPr>
                <w:p w14:paraId="433C3FE9">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二类区</w:t>
                  </w:r>
                </w:p>
              </w:tc>
              <w:tc>
                <w:tcPr>
                  <w:tcW w:w="825" w:type="dxa"/>
                  <w:tcBorders>
                    <w:top w:val="single" w:color="auto" w:sz="4" w:space="0"/>
                    <w:bottom w:val="single" w:color="auto" w:sz="4" w:space="0"/>
                  </w:tcBorders>
                  <w:vAlign w:val="center"/>
                </w:tcPr>
                <w:p w14:paraId="05C9C2A8">
                  <w:pPr>
                    <w:jc w:val="center"/>
                    <w:rPr>
                      <w:rFonts w:hint="default"/>
                      <w:color w:val="auto"/>
                      <w:sz w:val="21"/>
                      <w:szCs w:val="21"/>
                      <w:highlight w:val="none"/>
                      <w:lang w:val="en-US" w:eastAsia="zh-CN"/>
                    </w:rPr>
                  </w:pPr>
                  <w:r>
                    <w:rPr>
                      <w:rFonts w:hint="eastAsia"/>
                      <w:color w:val="auto"/>
                      <w:sz w:val="21"/>
                      <w:szCs w:val="21"/>
                      <w:highlight w:val="none"/>
                      <w:lang w:val="en-US" w:eastAsia="zh-CN"/>
                    </w:rPr>
                    <w:t>西北</w:t>
                  </w:r>
                </w:p>
              </w:tc>
              <w:tc>
                <w:tcPr>
                  <w:tcW w:w="780" w:type="dxa"/>
                  <w:tcBorders>
                    <w:top w:val="single" w:color="auto" w:sz="4" w:space="0"/>
                    <w:bottom w:val="single" w:color="auto" w:sz="4" w:space="0"/>
                  </w:tcBorders>
                  <w:vAlign w:val="center"/>
                </w:tcPr>
                <w:p w14:paraId="4BBF96FB">
                  <w:pPr>
                    <w:jc w:val="center"/>
                    <w:rPr>
                      <w:rFonts w:hint="default"/>
                      <w:color w:val="auto"/>
                      <w:sz w:val="21"/>
                      <w:szCs w:val="21"/>
                      <w:highlight w:val="none"/>
                      <w:lang w:val="en-US" w:eastAsia="zh-CN"/>
                    </w:rPr>
                  </w:pPr>
                  <w:r>
                    <w:rPr>
                      <w:rFonts w:hint="eastAsia"/>
                      <w:color w:val="auto"/>
                      <w:sz w:val="21"/>
                      <w:szCs w:val="21"/>
                      <w:highlight w:val="none"/>
                      <w:lang w:val="en-US" w:eastAsia="zh-CN"/>
                    </w:rPr>
                    <w:t>392</w:t>
                  </w:r>
                </w:p>
              </w:tc>
            </w:tr>
          </w:tbl>
          <w:p w14:paraId="15BC58DE">
            <w:pPr>
              <w:pStyle w:val="5"/>
              <w:pageBreakBefore w:val="0"/>
              <w:widowControl w:val="0"/>
              <w:kinsoku/>
              <w:wordWrap/>
              <w:overflowPunct/>
              <w:topLinePunct w:val="0"/>
              <w:autoSpaceDE/>
              <w:autoSpaceDN/>
              <w:bidi w:val="0"/>
              <w:adjustRightInd w:val="0"/>
              <w:snapToGrid w:val="0"/>
              <w:spacing w:before="0" w:after="0" w:line="360" w:lineRule="auto"/>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注：项目以厂区中心点为坐标原</w:t>
            </w:r>
            <w:r>
              <w:rPr>
                <w:rFonts w:ascii="Times New Roman" w:hAnsi="Times New Roman" w:eastAsia="宋体"/>
                <w:b w:val="0"/>
                <w:bCs/>
                <w:color w:val="auto"/>
                <w:sz w:val="21"/>
                <w:szCs w:val="21"/>
                <w:highlight w:val="none"/>
              </w:rPr>
              <w:t>点，正东为X轴，正北为Y轴</w:t>
            </w:r>
          </w:p>
          <w:p w14:paraId="37D3940C">
            <w:pPr>
              <w:pageBreakBefore w:val="0"/>
              <w:widowControl w:val="0"/>
              <w:kinsoku/>
              <w:wordWrap/>
              <w:overflowPunct/>
              <w:topLinePunct w:val="0"/>
              <w:autoSpaceDE/>
              <w:autoSpaceDN/>
              <w:bidi w:val="0"/>
              <w:adjustRightInd w:val="0"/>
              <w:snapToGrid w:val="0"/>
              <w:spacing w:line="360" w:lineRule="auto"/>
              <w:textAlignment w:val="auto"/>
              <w:rPr>
                <w:b/>
                <w:bCs/>
                <w:color w:val="auto"/>
                <w:kern w:val="0"/>
                <w:highlight w:val="none"/>
              </w:rPr>
            </w:pPr>
            <w:r>
              <w:rPr>
                <w:rFonts w:hint="eastAsia"/>
                <w:b/>
                <w:bCs/>
                <w:color w:val="auto"/>
                <w:kern w:val="0"/>
                <w:highlight w:val="none"/>
                <w:lang w:val="en-US" w:eastAsia="zh-CN"/>
              </w:rPr>
              <w:t>2</w:t>
            </w:r>
            <w:r>
              <w:rPr>
                <w:b/>
                <w:bCs/>
                <w:color w:val="auto"/>
                <w:kern w:val="0"/>
                <w:highlight w:val="none"/>
              </w:rPr>
              <w:t>、声环境</w:t>
            </w:r>
          </w:p>
          <w:p w14:paraId="50DDE33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highlight w:val="none"/>
              </w:rPr>
            </w:pPr>
            <w:r>
              <w:rPr>
                <w:rFonts w:hint="eastAsia"/>
                <w:color w:val="auto"/>
                <w:kern w:val="0"/>
                <w:highlight w:val="none"/>
              </w:rPr>
              <w:t>厂界外50m范围内没有声环境保护目标。</w:t>
            </w:r>
          </w:p>
          <w:p w14:paraId="74680FD4">
            <w:pPr>
              <w:adjustRightInd w:val="0"/>
              <w:snapToGrid w:val="0"/>
              <w:spacing w:line="360" w:lineRule="auto"/>
              <w:rPr>
                <w:b/>
                <w:bCs/>
                <w:color w:val="auto"/>
                <w:kern w:val="0"/>
                <w:highlight w:val="none"/>
              </w:rPr>
            </w:pPr>
            <w:r>
              <w:rPr>
                <w:rFonts w:hint="eastAsia"/>
                <w:b/>
                <w:bCs/>
                <w:color w:val="auto"/>
                <w:kern w:val="0"/>
                <w:highlight w:val="none"/>
                <w:lang w:val="en-US" w:eastAsia="zh-CN"/>
              </w:rPr>
              <w:t>3</w:t>
            </w:r>
            <w:r>
              <w:rPr>
                <w:b/>
                <w:bCs/>
                <w:color w:val="auto"/>
                <w:kern w:val="0"/>
                <w:highlight w:val="none"/>
              </w:rPr>
              <w:t>、地下水环境</w:t>
            </w:r>
          </w:p>
          <w:p w14:paraId="7D34700F">
            <w:pPr>
              <w:adjustRightInd w:val="0"/>
              <w:snapToGrid w:val="0"/>
              <w:spacing w:line="360" w:lineRule="auto"/>
              <w:ind w:firstLine="480" w:firstLineChars="200"/>
              <w:rPr>
                <w:color w:val="auto"/>
                <w:kern w:val="0"/>
                <w:highlight w:val="none"/>
              </w:rPr>
            </w:pPr>
            <w:r>
              <w:rPr>
                <w:rFonts w:hint="eastAsia"/>
                <w:color w:val="auto"/>
                <w:kern w:val="0"/>
                <w:highlight w:val="none"/>
              </w:rPr>
              <w:t>厂界外500m范围内无地下水集中式</w:t>
            </w:r>
            <w:r>
              <w:rPr>
                <w:rFonts w:hint="eastAsia"/>
                <w:color w:val="auto"/>
                <w:kern w:val="0"/>
                <w:highlight w:val="none"/>
                <w:lang w:eastAsia="zh-CN"/>
              </w:rPr>
              <w:t>饮用水</w:t>
            </w:r>
            <w:r>
              <w:rPr>
                <w:rFonts w:hint="eastAsia"/>
                <w:color w:val="auto"/>
                <w:kern w:val="0"/>
                <w:highlight w:val="none"/>
              </w:rPr>
              <w:t>水源和热水、矿泉水、温泉等特殊地下水资源。</w:t>
            </w:r>
          </w:p>
          <w:p w14:paraId="2BA95EDB">
            <w:pPr>
              <w:adjustRightInd w:val="0"/>
              <w:snapToGrid w:val="0"/>
              <w:spacing w:line="360" w:lineRule="auto"/>
              <w:rPr>
                <w:b/>
                <w:bCs/>
                <w:color w:val="auto"/>
                <w:kern w:val="0"/>
                <w:highlight w:val="none"/>
              </w:rPr>
            </w:pPr>
            <w:r>
              <w:rPr>
                <w:rFonts w:hint="eastAsia"/>
                <w:b/>
                <w:bCs/>
                <w:color w:val="auto"/>
                <w:kern w:val="0"/>
                <w:highlight w:val="none"/>
                <w:lang w:val="en-US" w:eastAsia="zh-CN"/>
              </w:rPr>
              <w:t>4</w:t>
            </w:r>
            <w:r>
              <w:rPr>
                <w:rFonts w:hint="eastAsia"/>
                <w:b/>
                <w:bCs/>
                <w:color w:val="auto"/>
                <w:kern w:val="0"/>
                <w:highlight w:val="none"/>
              </w:rPr>
              <w:t>、生态环境</w:t>
            </w:r>
          </w:p>
          <w:p w14:paraId="3E07D7C9">
            <w:pPr>
              <w:adjustRightInd w:val="0"/>
              <w:snapToGrid w:val="0"/>
              <w:spacing w:line="360" w:lineRule="auto"/>
              <w:ind w:firstLine="480" w:firstLineChars="200"/>
              <w:rPr>
                <w:rFonts w:hint="eastAsia"/>
                <w:color w:val="auto"/>
                <w:kern w:val="0"/>
                <w:highlight w:val="none"/>
                <w:lang w:val="en-US" w:eastAsia="zh-CN"/>
              </w:rPr>
            </w:pPr>
            <w:r>
              <w:rPr>
                <w:rFonts w:hint="eastAsia"/>
                <w:color w:val="auto"/>
                <w:highlight w:val="none"/>
              </w:rPr>
              <w:t>本项目</w:t>
            </w:r>
            <w:r>
              <w:rPr>
                <w:rFonts w:hint="eastAsia"/>
                <w:color w:val="auto"/>
                <w:highlight w:val="none"/>
                <w:lang w:val="en-US" w:eastAsia="zh-CN"/>
              </w:rPr>
              <w:t>位于安徽省泗县经济开发区蟠龙山路与南柳路交口东南角地块</w:t>
            </w:r>
            <w:r>
              <w:rPr>
                <w:rFonts w:hint="eastAsia"/>
                <w:color w:val="auto"/>
                <w:kern w:val="0"/>
                <w:highlight w:val="none"/>
              </w:rPr>
              <w:t>，不涉及</w:t>
            </w:r>
            <w:r>
              <w:rPr>
                <w:rFonts w:hint="eastAsia"/>
                <w:color w:val="auto"/>
                <w:kern w:val="0"/>
                <w:highlight w:val="none"/>
                <w:lang w:val="en-US" w:eastAsia="zh-CN"/>
              </w:rPr>
              <w:t>在工业园区外</w:t>
            </w:r>
            <w:r>
              <w:rPr>
                <w:rFonts w:hint="eastAsia"/>
                <w:color w:val="auto"/>
                <w:kern w:val="0"/>
                <w:highlight w:val="none"/>
              </w:rPr>
              <w:t>新增用地。</w:t>
            </w:r>
          </w:p>
          <w:p w14:paraId="096B2E4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6、电磁辐射</w:t>
            </w:r>
          </w:p>
          <w:p w14:paraId="5E8C4045">
            <w:pPr>
              <w:numPr>
                <w:ilvl w:val="0"/>
                <w:numId w:val="0"/>
              </w:numPr>
              <w:spacing w:line="360" w:lineRule="auto"/>
              <w:ind w:firstLine="480" w:firstLineChars="200"/>
              <w:jc w:val="both"/>
              <w:outlineLvl w:val="0"/>
              <w:rPr>
                <w:rFonts w:hint="default" w:eastAsia="宋体"/>
                <w:color w:val="auto"/>
                <w:kern w:val="0"/>
                <w:highlight w:val="none"/>
                <w:lang w:val="en-US" w:eastAsia="zh-CN"/>
              </w:rPr>
            </w:pPr>
            <w:r>
              <w:rPr>
                <w:rFonts w:hint="default" w:ascii="Times New Roman" w:hAnsi="Times New Roman" w:eastAsia="宋体" w:cs="Times New Roman"/>
                <w:color w:val="auto"/>
                <w:highlight w:val="none"/>
                <w:lang w:val="en-US" w:eastAsia="zh-CN"/>
              </w:rPr>
              <w:t>本项目不涉及电磁辐射</w:t>
            </w:r>
            <w:r>
              <w:rPr>
                <w:rFonts w:hint="eastAsia" w:ascii="Times New Roman" w:hAnsi="Times New Roman" w:eastAsia="宋体" w:cs="Times New Roman"/>
                <w:color w:val="auto"/>
                <w:highlight w:val="none"/>
                <w:lang w:val="en-US" w:eastAsia="zh-CN"/>
              </w:rPr>
              <w:t>。</w:t>
            </w:r>
          </w:p>
        </w:tc>
      </w:tr>
      <w:tr w14:paraId="1DAA3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800" w:type="dxa"/>
            <w:vAlign w:val="center"/>
          </w:tcPr>
          <w:p w14:paraId="2FB89CC7">
            <w:pPr>
              <w:snapToGrid w:val="0"/>
              <w:spacing w:before="0" w:beforeAutospacing="0" w:after="0" w:afterAutospacing="0"/>
              <w:jc w:val="center"/>
              <w:outlineLvl w:val="0"/>
              <w:rPr>
                <w:rFonts w:ascii="Times New Roman" w:hAnsi="Times New Roman"/>
                <w:snapToGrid w:val="0"/>
                <w:color w:val="auto"/>
                <w:szCs w:val="24"/>
                <w:highlight w:val="none"/>
              </w:rPr>
            </w:pPr>
            <w:r>
              <w:rPr>
                <w:rFonts w:ascii="Times New Roman" w:hAnsi="Times New Roman"/>
                <w:snapToGrid w:val="0"/>
                <w:color w:val="auto"/>
                <w:szCs w:val="24"/>
                <w:highlight w:val="none"/>
              </w:rPr>
              <w:t>污染物排放控制标准</w:t>
            </w:r>
          </w:p>
        </w:tc>
        <w:tc>
          <w:tcPr>
            <w:tcW w:w="8190" w:type="dxa"/>
          </w:tcPr>
          <w:p w14:paraId="582BFC5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auto"/>
                <w:highlight w:val="none"/>
              </w:rPr>
            </w:pPr>
            <w:r>
              <w:rPr>
                <w:b/>
                <w:color w:val="auto"/>
                <w:highlight w:val="none"/>
              </w:rPr>
              <w:t>1、废水排放标准</w:t>
            </w:r>
          </w:p>
          <w:p w14:paraId="338D3856">
            <w:pPr>
              <w:adjustRightInd w:val="0"/>
              <w:snapToGrid w:val="0"/>
              <w:spacing w:line="360" w:lineRule="auto"/>
              <w:ind w:firstLine="480" w:firstLineChars="200"/>
              <w:jc w:val="both"/>
              <w:rPr>
                <w:b/>
                <w:bCs/>
              </w:rPr>
            </w:pPr>
            <w:r>
              <w:rPr>
                <w:rFonts w:hint="eastAsia"/>
                <w:bCs/>
              </w:rPr>
              <w:t>生活废水经化粪池处理</w:t>
            </w:r>
            <w:r>
              <w:rPr>
                <w:rFonts w:hint="eastAsia"/>
                <w:bCs/>
                <w:lang w:val="en-US" w:eastAsia="zh-CN"/>
              </w:rPr>
              <w:t>，</w:t>
            </w:r>
            <w:r>
              <w:rPr>
                <w:rFonts w:hint="eastAsia"/>
                <w:bCs/>
              </w:rPr>
              <w:t>达到《污水综合排放标准》（GB8978-1996）中三级标准</w:t>
            </w:r>
            <w:r>
              <w:rPr>
                <w:bCs/>
              </w:rPr>
              <w:t>并满足污水处理厂接管要求，进入</w:t>
            </w:r>
            <w:r>
              <w:rPr>
                <w:rFonts w:hint="eastAsia"/>
              </w:rPr>
              <w:t>泗县工业污水处理厂</w:t>
            </w:r>
            <w:r>
              <w:rPr>
                <w:bCs/>
              </w:rPr>
              <w:t>进一步处理，达标后排放至</w:t>
            </w:r>
            <w:r>
              <w:rPr>
                <w:rFonts w:hint="eastAsia"/>
                <w:bCs/>
              </w:rPr>
              <w:t>石梁河。</w:t>
            </w:r>
          </w:p>
          <w:p w14:paraId="6374747A">
            <w:pPr>
              <w:adjustRightInd w:val="0"/>
              <w:snapToGrid w:val="0"/>
              <w:jc w:val="center"/>
              <w:rPr>
                <w:b/>
                <w:bCs/>
                <w:highlight w:val="none"/>
              </w:rPr>
            </w:pPr>
            <w:r>
              <w:rPr>
                <w:rFonts w:hint="eastAsia"/>
                <w:b/>
                <w:bCs/>
                <w:highlight w:val="none"/>
              </w:rPr>
              <w:t>表</w:t>
            </w:r>
            <w:r>
              <w:rPr>
                <w:rFonts w:hint="eastAsia"/>
                <w:b/>
                <w:bCs/>
                <w:highlight w:val="none"/>
                <w:lang w:val="en-US" w:eastAsia="zh-CN"/>
              </w:rPr>
              <w:t>3-5</w:t>
            </w:r>
            <w:r>
              <w:rPr>
                <w:rFonts w:hint="eastAsia"/>
                <w:b/>
                <w:bCs/>
                <w:highlight w:val="none"/>
              </w:rPr>
              <w:t xml:space="preserve">  污水排放标准 单位mg/L  pH无量纲</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725"/>
              <w:gridCol w:w="739"/>
              <w:gridCol w:w="983"/>
              <w:gridCol w:w="876"/>
              <w:gridCol w:w="749"/>
              <w:gridCol w:w="749"/>
              <w:gridCol w:w="749"/>
            </w:tblGrid>
            <w:tr w14:paraId="0F87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1" w:type="dxa"/>
                  <w:vAlign w:val="center"/>
                </w:tcPr>
                <w:p w14:paraId="3800F102">
                  <w:pPr>
                    <w:tabs>
                      <w:tab w:val="left" w:pos="0"/>
                    </w:tabs>
                    <w:jc w:val="center"/>
                    <w:rPr>
                      <w:b/>
                      <w:bCs/>
                      <w:sz w:val="21"/>
                      <w:szCs w:val="21"/>
                    </w:rPr>
                  </w:pPr>
                  <w:r>
                    <w:rPr>
                      <w:b/>
                      <w:bCs/>
                      <w:sz w:val="21"/>
                      <w:szCs w:val="21"/>
                    </w:rPr>
                    <w:t>标准类别</w:t>
                  </w:r>
                </w:p>
              </w:tc>
              <w:tc>
                <w:tcPr>
                  <w:tcW w:w="792" w:type="dxa"/>
                  <w:vAlign w:val="center"/>
                </w:tcPr>
                <w:p w14:paraId="7010AB48">
                  <w:pPr>
                    <w:tabs>
                      <w:tab w:val="left" w:pos="0"/>
                    </w:tabs>
                    <w:jc w:val="center"/>
                    <w:rPr>
                      <w:b/>
                      <w:bCs/>
                      <w:sz w:val="21"/>
                      <w:szCs w:val="21"/>
                    </w:rPr>
                  </w:pPr>
                  <w:r>
                    <w:rPr>
                      <w:b/>
                      <w:bCs/>
                      <w:sz w:val="21"/>
                      <w:szCs w:val="21"/>
                    </w:rPr>
                    <w:t>pH</w:t>
                  </w:r>
                </w:p>
              </w:tc>
              <w:tc>
                <w:tcPr>
                  <w:tcW w:w="807" w:type="dxa"/>
                  <w:vAlign w:val="center"/>
                </w:tcPr>
                <w:p w14:paraId="0556783A">
                  <w:pPr>
                    <w:tabs>
                      <w:tab w:val="left" w:pos="0"/>
                    </w:tabs>
                    <w:jc w:val="center"/>
                    <w:rPr>
                      <w:b/>
                      <w:bCs/>
                      <w:sz w:val="21"/>
                      <w:szCs w:val="21"/>
                    </w:rPr>
                  </w:pPr>
                  <w:r>
                    <w:rPr>
                      <w:b/>
                      <w:bCs/>
                      <w:kern w:val="2"/>
                      <w:sz w:val="21"/>
                      <w:szCs w:val="21"/>
                    </w:rPr>
                    <w:t>COD</w:t>
                  </w:r>
                </w:p>
              </w:tc>
              <w:tc>
                <w:tcPr>
                  <w:tcW w:w="1084" w:type="dxa"/>
                  <w:vAlign w:val="center"/>
                </w:tcPr>
                <w:p w14:paraId="748F5E7D">
                  <w:pPr>
                    <w:tabs>
                      <w:tab w:val="left" w:pos="0"/>
                    </w:tabs>
                    <w:jc w:val="center"/>
                    <w:rPr>
                      <w:b/>
                      <w:bCs/>
                      <w:sz w:val="21"/>
                      <w:szCs w:val="21"/>
                    </w:rPr>
                  </w:pPr>
                  <w:r>
                    <w:rPr>
                      <w:b/>
                      <w:bCs/>
                      <w:sz w:val="21"/>
                      <w:szCs w:val="21"/>
                    </w:rPr>
                    <w:t>BOD</w:t>
                  </w:r>
                  <w:r>
                    <w:rPr>
                      <w:b/>
                      <w:bCs/>
                      <w:sz w:val="21"/>
                      <w:szCs w:val="21"/>
                      <w:vertAlign w:val="subscript"/>
                    </w:rPr>
                    <w:t>5</w:t>
                  </w:r>
                </w:p>
              </w:tc>
              <w:tc>
                <w:tcPr>
                  <w:tcW w:w="962" w:type="dxa"/>
                  <w:vAlign w:val="center"/>
                </w:tcPr>
                <w:p w14:paraId="3C7980A3">
                  <w:pPr>
                    <w:tabs>
                      <w:tab w:val="left" w:pos="0"/>
                    </w:tabs>
                    <w:jc w:val="center"/>
                    <w:rPr>
                      <w:b/>
                      <w:bCs/>
                      <w:sz w:val="21"/>
                      <w:szCs w:val="21"/>
                    </w:rPr>
                  </w:pPr>
                  <w:r>
                    <w:rPr>
                      <w:b/>
                      <w:bCs/>
                      <w:sz w:val="21"/>
                      <w:szCs w:val="21"/>
                    </w:rPr>
                    <w:t>SS</w:t>
                  </w:r>
                </w:p>
              </w:tc>
              <w:tc>
                <w:tcPr>
                  <w:tcW w:w="819" w:type="dxa"/>
                  <w:vAlign w:val="center"/>
                </w:tcPr>
                <w:p w14:paraId="69B8E2DF">
                  <w:pPr>
                    <w:tabs>
                      <w:tab w:val="left" w:pos="0"/>
                    </w:tabs>
                    <w:jc w:val="center"/>
                    <w:rPr>
                      <w:rFonts w:hint="eastAsia" w:eastAsia="宋体"/>
                      <w:b/>
                      <w:bCs/>
                      <w:sz w:val="21"/>
                      <w:szCs w:val="21"/>
                      <w:highlight w:val="yellow"/>
                      <w:lang w:val="en-US" w:eastAsia="zh-CN"/>
                    </w:rPr>
                  </w:pPr>
                  <w:r>
                    <w:rPr>
                      <w:rFonts w:hint="eastAsia"/>
                      <w:b/>
                      <w:bCs/>
                      <w:sz w:val="21"/>
                      <w:szCs w:val="21"/>
                      <w:highlight w:val="none"/>
                      <w:lang w:val="en-US" w:eastAsia="zh-CN"/>
                    </w:rPr>
                    <w:t>LAS</w:t>
                  </w:r>
                </w:p>
              </w:tc>
              <w:tc>
                <w:tcPr>
                  <w:tcW w:w="819" w:type="dxa"/>
                  <w:vAlign w:val="center"/>
                </w:tcPr>
                <w:p w14:paraId="65CD42EB">
                  <w:pPr>
                    <w:tabs>
                      <w:tab w:val="left" w:pos="0"/>
                    </w:tabs>
                    <w:jc w:val="center"/>
                    <w:rPr>
                      <w:b/>
                      <w:bCs/>
                      <w:sz w:val="21"/>
                      <w:szCs w:val="21"/>
                    </w:rPr>
                  </w:pPr>
                  <w:r>
                    <w:rPr>
                      <w:b/>
                      <w:bCs/>
                      <w:sz w:val="21"/>
                      <w:szCs w:val="21"/>
                    </w:rPr>
                    <w:t>氨氮</w:t>
                  </w:r>
                </w:p>
              </w:tc>
              <w:tc>
                <w:tcPr>
                  <w:tcW w:w="819" w:type="dxa"/>
                  <w:vAlign w:val="center"/>
                </w:tcPr>
                <w:p w14:paraId="220F15E0">
                  <w:pPr>
                    <w:tabs>
                      <w:tab w:val="left" w:pos="0"/>
                    </w:tabs>
                    <w:jc w:val="center"/>
                    <w:rPr>
                      <w:rFonts w:hint="eastAsia" w:eastAsia="宋体"/>
                      <w:b/>
                      <w:bCs/>
                      <w:sz w:val="21"/>
                      <w:szCs w:val="21"/>
                      <w:lang w:val="en-US" w:eastAsia="zh-CN"/>
                    </w:rPr>
                  </w:pPr>
                  <w:r>
                    <w:rPr>
                      <w:rFonts w:hint="eastAsia"/>
                      <w:b/>
                      <w:bCs/>
                      <w:sz w:val="21"/>
                      <w:szCs w:val="21"/>
                      <w:lang w:val="en-US" w:eastAsia="zh-CN"/>
                    </w:rPr>
                    <w:t>动植物油</w:t>
                  </w:r>
                </w:p>
              </w:tc>
            </w:tr>
            <w:tr w14:paraId="55D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1" w:type="dxa"/>
                  <w:vAlign w:val="center"/>
                </w:tcPr>
                <w:p w14:paraId="13DE0E00">
                  <w:pPr>
                    <w:tabs>
                      <w:tab w:val="left" w:pos="0"/>
                    </w:tabs>
                    <w:jc w:val="center"/>
                    <w:rPr>
                      <w:sz w:val="21"/>
                      <w:szCs w:val="21"/>
                    </w:rPr>
                  </w:pPr>
                  <w:r>
                    <w:rPr>
                      <w:sz w:val="21"/>
                      <w:szCs w:val="21"/>
                    </w:rPr>
                    <w:t>《污水综合排放标准》（GB8978-1996）</w:t>
                  </w:r>
                </w:p>
              </w:tc>
              <w:tc>
                <w:tcPr>
                  <w:tcW w:w="792" w:type="dxa"/>
                  <w:vAlign w:val="center"/>
                </w:tcPr>
                <w:p w14:paraId="6BE49A88">
                  <w:pPr>
                    <w:jc w:val="center"/>
                    <w:rPr>
                      <w:sz w:val="21"/>
                      <w:szCs w:val="21"/>
                    </w:rPr>
                  </w:pPr>
                  <w:r>
                    <w:rPr>
                      <w:sz w:val="21"/>
                      <w:szCs w:val="21"/>
                    </w:rPr>
                    <w:t>6~9</w:t>
                  </w:r>
                </w:p>
              </w:tc>
              <w:tc>
                <w:tcPr>
                  <w:tcW w:w="807" w:type="dxa"/>
                  <w:vAlign w:val="center"/>
                </w:tcPr>
                <w:p w14:paraId="189B8EFF">
                  <w:pPr>
                    <w:jc w:val="center"/>
                    <w:rPr>
                      <w:sz w:val="21"/>
                      <w:szCs w:val="21"/>
                    </w:rPr>
                  </w:pPr>
                  <w:r>
                    <w:rPr>
                      <w:sz w:val="21"/>
                      <w:szCs w:val="21"/>
                    </w:rPr>
                    <w:t>500</w:t>
                  </w:r>
                </w:p>
              </w:tc>
              <w:tc>
                <w:tcPr>
                  <w:tcW w:w="1084" w:type="dxa"/>
                  <w:vAlign w:val="center"/>
                </w:tcPr>
                <w:p w14:paraId="670C1D41">
                  <w:pPr>
                    <w:jc w:val="center"/>
                    <w:rPr>
                      <w:sz w:val="21"/>
                      <w:szCs w:val="21"/>
                    </w:rPr>
                  </w:pPr>
                  <w:r>
                    <w:rPr>
                      <w:sz w:val="21"/>
                      <w:szCs w:val="21"/>
                    </w:rPr>
                    <w:t>300</w:t>
                  </w:r>
                </w:p>
              </w:tc>
              <w:tc>
                <w:tcPr>
                  <w:tcW w:w="962" w:type="dxa"/>
                  <w:vAlign w:val="center"/>
                </w:tcPr>
                <w:p w14:paraId="35252A03">
                  <w:pPr>
                    <w:jc w:val="center"/>
                    <w:rPr>
                      <w:sz w:val="21"/>
                      <w:szCs w:val="21"/>
                    </w:rPr>
                  </w:pPr>
                  <w:r>
                    <w:rPr>
                      <w:sz w:val="21"/>
                      <w:szCs w:val="21"/>
                    </w:rPr>
                    <w:t>400</w:t>
                  </w:r>
                </w:p>
              </w:tc>
              <w:tc>
                <w:tcPr>
                  <w:tcW w:w="819" w:type="dxa"/>
                  <w:vAlign w:val="center"/>
                </w:tcPr>
                <w:p w14:paraId="696302F5">
                  <w:pPr>
                    <w:jc w:val="center"/>
                    <w:rPr>
                      <w:rFonts w:hint="default" w:eastAsia="宋体"/>
                      <w:sz w:val="21"/>
                      <w:szCs w:val="21"/>
                      <w:highlight w:val="yellow"/>
                      <w:lang w:val="en-US" w:eastAsia="zh-CN"/>
                    </w:rPr>
                  </w:pPr>
                  <w:r>
                    <w:rPr>
                      <w:rFonts w:hint="eastAsia"/>
                      <w:sz w:val="21"/>
                      <w:szCs w:val="21"/>
                      <w:highlight w:val="none"/>
                      <w:lang w:val="en-US" w:eastAsia="zh-CN"/>
                    </w:rPr>
                    <w:t>20</w:t>
                  </w:r>
                </w:p>
              </w:tc>
              <w:tc>
                <w:tcPr>
                  <w:tcW w:w="819" w:type="dxa"/>
                  <w:vAlign w:val="center"/>
                </w:tcPr>
                <w:p w14:paraId="765DAE1E">
                  <w:pPr>
                    <w:tabs>
                      <w:tab w:val="left" w:pos="0"/>
                    </w:tabs>
                    <w:jc w:val="center"/>
                    <w:rPr>
                      <w:sz w:val="21"/>
                      <w:szCs w:val="21"/>
                    </w:rPr>
                  </w:pPr>
                  <w:r>
                    <w:rPr>
                      <w:sz w:val="21"/>
                      <w:szCs w:val="21"/>
                    </w:rPr>
                    <w:t>/</w:t>
                  </w:r>
                </w:p>
              </w:tc>
              <w:tc>
                <w:tcPr>
                  <w:tcW w:w="819" w:type="dxa"/>
                  <w:vAlign w:val="center"/>
                </w:tcPr>
                <w:p w14:paraId="1B6DB59C">
                  <w:pPr>
                    <w:tabs>
                      <w:tab w:val="left" w:pos="0"/>
                    </w:tabs>
                    <w:jc w:val="center"/>
                    <w:rPr>
                      <w:rFonts w:hint="default" w:eastAsia="宋体"/>
                      <w:sz w:val="21"/>
                      <w:szCs w:val="21"/>
                      <w:lang w:val="en-US" w:eastAsia="zh-CN"/>
                    </w:rPr>
                  </w:pPr>
                  <w:r>
                    <w:rPr>
                      <w:rFonts w:hint="eastAsia"/>
                      <w:sz w:val="21"/>
                      <w:szCs w:val="21"/>
                      <w:lang w:val="en-US" w:eastAsia="zh-CN"/>
                    </w:rPr>
                    <w:t>100</w:t>
                  </w:r>
                </w:p>
              </w:tc>
            </w:tr>
            <w:tr w14:paraId="5AFF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1" w:type="dxa"/>
                  <w:vAlign w:val="center"/>
                </w:tcPr>
                <w:p w14:paraId="5A300DF3">
                  <w:pPr>
                    <w:tabs>
                      <w:tab w:val="left" w:pos="0"/>
                    </w:tabs>
                    <w:jc w:val="center"/>
                    <w:rPr>
                      <w:sz w:val="21"/>
                      <w:szCs w:val="21"/>
                    </w:rPr>
                  </w:pPr>
                  <w:r>
                    <w:rPr>
                      <w:sz w:val="21"/>
                      <w:szCs w:val="21"/>
                    </w:rPr>
                    <w:t>泗县工业污水处理厂接管标准</w:t>
                  </w:r>
                </w:p>
              </w:tc>
              <w:tc>
                <w:tcPr>
                  <w:tcW w:w="792" w:type="dxa"/>
                  <w:vAlign w:val="center"/>
                </w:tcPr>
                <w:p w14:paraId="73F164F0">
                  <w:pPr>
                    <w:jc w:val="center"/>
                    <w:rPr>
                      <w:sz w:val="21"/>
                      <w:szCs w:val="21"/>
                    </w:rPr>
                  </w:pPr>
                  <w:r>
                    <w:rPr>
                      <w:rFonts w:hint="eastAsia"/>
                      <w:bCs/>
                      <w:color w:val="000000"/>
                      <w:sz w:val="21"/>
                      <w:szCs w:val="21"/>
                    </w:rPr>
                    <w:t>6~9</w:t>
                  </w:r>
                </w:p>
              </w:tc>
              <w:tc>
                <w:tcPr>
                  <w:tcW w:w="807" w:type="dxa"/>
                  <w:vAlign w:val="center"/>
                </w:tcPr>
                <w:p w14:paraId="50A3BD53">
                  <w:pPr>
                    <w:jc w:val="center"/>
                    <w:rPr>
                      <w:sz w:val="21"/>
                      <w:szCs w:val="21"/>
                    </w:rPr>
                  </w:pPr>
                  <w:r>
                    <w:rPr>
                      <w:rFonts w:hint="eastAsia"/>
                      <w:sz w:val="21"/>
                      <w:szCs w:val="21"/>
                      <w:lang w:bidi="ar"/>
                    </w:rPr>
                    <w:t>400</w:t>
                  </w:r>
                </w:p>
              </w:tc>
              <w:tc>
                <w:tcPr>
                  <w:tcW w:w="1084" w:type="dxa"/>
                  <w:vAlign w:val="center"/>
                </w:tcPr>
                <w:p w14:paraId="5E10BCAC">
                  <w:pPr>
                    <w:jc w:val="center"/>
                    <w:rPr>
                      <w:sz w:val="21"/>
                      <w:szCs w:val="21"/>
                    </w:rPr>
                  </w:pPr>
                  <w:r>
                    <w:rPr>
                      <w:rFonts w:hint="eastAsia"/>
                      <w:sz w:val="21"/>
                      <w:szCs w:val="21"/>
                      <w:lang w:bidi="ar"/>
                    </w:rPr>
                    <w:t>180</w:t>
                  </w:r>
                </w:p>
              </w:tc>
              <w:tc>
                <w:tcPr>
                  <w:tcW w:w="962" w:type="dxa"/>
                  <w:vAlign w:val="center"/>
                </w:tcPr>
                <w:p w14:paraId="73EF758B">
                  <w:pPr>
                    <w:jc w:val="center"/>
                    <w:rPr>
                      <w:sz w:val="21"/>
                      <w:szCs w:val="21"/>
                    </w:rPr>
                  </w:pPr>
                  <w:r>
                    <w:rPr>
                      <w:sz w:val="21"/>
                      <w:szCs w:val="21"/>
                      <w:lang w:bidi="ar"/>
                    </w:rPr>
                    <w:t>200</w:t>
                  </w:r>
                </w:p>
              </w:tc>
              <w:tc>
                <w:tcPr>
                  <w:tcW w:w="819" w:type="dxa"/>
                  <w:vAlign w:val="center"/>
                </w:tcPr>
                <w:p w14:paraId="7C06F145">
                  <w:pPr>
                    <w:jc w:val="center"/>
                    <w:rPr>
                      <w:rFonts w:hint="eastAsia" w:eastAsia="宋体"/>
                      <w:sz w:val="21"/>
                      <w:szCs w:val="21"/>
                      <w:highlight w:val="yellow"/>
                      <w:lang w:val="en-US" w:eastAsia="zh-CN" w:bidi="ar"/>
                    </w:rPr>
                  </w:pPr>
                  <w:r>
                    <w:rPr>
                      <w:rFonts w:hint="eastAsia"/>
                      <w:sz w:val="21"/>
                      <w:szCs w:val="21"/>
                      <w:highlight w:val="none"/>
                      <w:lang w:val="en-US" w:eastAsia="zh-CN" w:bidi="ar"/>
                    </w:rPr>
                    <w:t>/</w:t>
                  </w:r>
                </w:p>
              </w:tc>
              <w:tc>
                <w:tcPr>
                  <w:tcW w:w="819" w:type="dxa"/>
                  <w:vAlign w:val="center"/>
                </w:tcPr>
                <w:p w14:paraId="56655C14">
                  <w:pPr>
                    <w:tabs>
                      <w:tab w:val="left" w:pos="0"/>
                    </w:tabs>
                    <w:jc w:val="center"/>
                    <w:rPr>
                      <w:sz w:val="21"/>
                      <w:szCs w:val="21"/>
                    </w:rPr>
                  </w:pPr>
                  <w:r>
                    <w:rPr>
                      <w:rFonts w:hint="eastAsia"/>
                      <w:sz w:val="21"/>
                      <w:szCs w:val="21"/>
                    </w:rPr>
                    <w:t>25</w:t>
                  </w:r>
                </w:p>
              </w:tc>
              <w:tc>
                <w:tcPr>
                  <w:tcW w:w="819" w:type="dxa"/>
                  <w:vAlign w:val="center"/>
                </w:tcPr>
                <w:p w14:paraId="17DBB064">
                  <w:pPr>
                    <w:tabs>
                      <w:tab w:val="left" w:pos="0"/>
                    </w:tabs>
                    <w:jc w:val="center"/>
                    <w:rPr>
                      <w:rFonts w:hint="default" w:eastAsia="宋体"/>
                      <w:sz w:val="21"/>
                      <w:szCs w:val="21"/>
                      <w:lang w:val="en-US" w:eastAsia="zh-CN"/>
                    </w:rPr>
                  </w:pPr>
                  <w:r>
                    <w:rPr>
                      <w:rFonts w:hint="eastAsia"/>
                      <w:sz w:val="21"/>
                      <w:szCs w:val="21"/>
                      <w:lang w:val="en-US" w:eastAsia="zh-CN"/>
                    </w:rPr>
                    <w:t>100</w:t>
                  </w:r>
                </w:p>
              </w:tc>
            </w:tr>
            <w:tr w14:paraId="62B1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1" w:type="dxa"/>
                  <w:vAlign w:val="center"/>
                </w:tcPr>
                <w:p w14:paraId="38E8A59A">
                  <w:pPr>
                    <w:tabs>
                      <w:tab w:val="left" w:pos="0"/>
                    </w:tabs>
                    <w:jc w:val="center"/>
                    <w:rPr>
                      <w:sz w:val="21"/>
                      <w:szCs w:val="21"/>
                    </w:rPr>
                  </w:pPr>
                  <w:r>
                    <w:rPr>
                      <w:sz w:val="21"/>
                      <w:szCs w:val="21"/>
                    </w:rPr>
                    <w:t>本项目执行</w:t>
                  </w:r>
                </w:p>
              </w:tc>
              <w:tc>
                <w:tcPr>
                  <w:tcW w:w="792" w:type="dxa"/>
                  <w:vAlign w:val="center"/>
                </w:tcPr>
                <w:p w14:paraId="15294405">
                  <w:pPr>
                    <w:jc w:val="center"/>
                    <w:rPr>
                      <w:sz w:val="21"/>
                      <w:szCs w:val="21"/>
                    </w:rPr>
                  </w:pPr>
                  <w:r>
                    <w:rPr>
                      <w:sz w:val="21"/>
                      <w:szCs w:val="21"/>
                    </w:rPr>
                    <w:t>6~9</w:t>
                  </w:r>
                </w:p>
              </w:tc>
              <w:tc>
                <w:tcPr>
                  <w:tcW w:w="807" w:type="dxa"/>
                  <w:vAlign w:val="center"/>
                </w:tcPr>
                <w:p w14:paraId="29F1EA5D">
                  <w:pPr>
                    <w:jc w:val="center"/>
                    <w:rPr>
                      <w:sz w:val="21"/>
                      <w:szCs w:val="21"/>
                    </w:rPr>
                  </w:pPr>
                  <w:r>
                    <w:rPr>
                      <w:rFonts w:hint="eastAsia"/>
                      <w:sz w:val="21"/>
                      <w:szCs w:val="21"/>
                    </w:rPr>
                    <w:t>4</w:t>
                  </w:r>
                  <w:r>
                    <w:rPr>
                      <w:sz w:val="21"/>
                      <w:szCs w:val="21"/>
                    </w:rPr>
                    <w:t>00</w:t>
                  </w:r>
                </w:p>
              </w:tc>
              <w:tc>
                <w:tcPr>
                  <w:tcW w:w="1084" w:type="dxa"/>
                  <w:vAlign w:val="center"/>
                </w:tcPr>
                <w:p w14:paraId="09309226">
                  <w:pPr>
                    <w:jc w:val="center"/>
                    <w:rPr>
                      <w:sz w:val="21"/>
                      <w:szCs w:val="21"/>
                    </w:rPr>
                  </w:pPr>
                  <w:r>
                    <w:rPr>
                      <w:rFonts w:hint="eastAsia"/>
                      <w:sz w:val="21"/>
                      <w:szCs w:val="21"/>
                    </w:rPr>
                    <w:t>180</w:t>
                  </w:r>
                </w:p>
              </w:tc>
              <w:tc>
                <w:tcPr>
                  <w:tcW w:w="962" w:type="dxa"/>
                  <w:vAlign w:val="center"/>
                </w:tcPr>
                <w:p w14:paraId="31804454">
                  <w:pPr>
                    <w:jc w:val="center"/>
                    <w:rPr>
                      <w:sz w:val="21"/>
                      <w:szCs w:val="21"/>
                    </w:rPr>
                  </w:pPr>
                  <w:r>
                    <w:rPr>
                      <w:rFonts w:hint="eastAsia"/>
                      <w:sz w:val="21"/>
                      <w:szCs w:val="21"/>
                    </w:rPr>
                    <w:t>200</w:t>
                  </w:r>
                </w:p>
              </w:tc>
              <w:tc>
                <w:tcPr>
                  <w:tcW w:w="819" w:type="dxa"/>
                  <w:vAlign w:val="center"/>
                </w:tcPr>
                <w:p w14:paraId="0074E134">
                  <w:pPr>
                    <w:jc w:val="center"/>
                    <w:rPr>
                      <w:rFonts w:hint="default" w:eastAsia="宋体"/>
                      <w:sz w:val="21"/>
                      <w:szCs w:val="21"/>
                      <w:highlight w:val="none"/>
                      <w:lang w:val="en-US" w:eastAsia="zh-CN"/>
                    </w:rPr>
                  </w:pPr>
                  <w:r>
                    <w:rPr>
                      <w:rFonts w:hint="eastAsia"/>
                      <w:sz w:val="21"/>
                      <w:szCs w:val="21"/>
                      <w:highlight w:val="none"/>
                      <w:lang w:val="en-US" w:eastAsia="zh-CN"/>
                    </w:rPr>
                    <w:t>20</w:t>
                  </w:r>
                </w:p>
              </w:tc>
              <w:tc>
                <w:tcPr>
                  <w:tcW w:w="819" w:type="dxa"/>
                  <w:vAlign w:val="center"/>
                </w:tcPr>
                <w:p w14:paraId="72F39F9F">
                  <w:pPr>
                    <w:tabs>
                      <w:tab w:val="left" w:pos="0"/>
                    </w:tabs>
                    <w:jc w:val="center"/>
                    <w:rPr>
                      <w:sz w:val="21"/>
                      <w:szCs w:val="21"/>
                    </w:rPr>
                  </w:pPr>
                  <w:r>
                    <w:rPr>
                      <w:rFonts w:hint="eastAsia"/>
                      <w:sz w:val="21"/>
                      <w:szCs w:val="21"/>
                    </w:rPr>
                    <w:t>25</w:t>
                  </w:r>
                </w:p>
              </w:tc>
              <w:tc>
                <w:tcPr>
                  <w:tcW w:w="819" w:type="dxa"/>
                  <w:vAlign w:val="center"/>
                </w:tcPr>
                <w:p w14:paraId="3E5FB416">
                  <w:pPr>
                    <w:tabs>
                      <w:tab w:val="left" w:pos="0"/>
                    </w:tabs>
                    <w:jc w:val="center"/>
                    <w:rPr>
                      <w:rFonts w:hint="default" w:eastAsia="宋体"/>
                      <w:sz w:val="21"/>
                      <w:szCs w:val="21"/>
                      <w:lang w:val="en-US" w:eastAsia="zh-CN"/>
                    </w:rPr>
                  </w:pPr>
                  <w:r>
                    <w:rPr>
                      <w:rFonts w:hint="eastAsia"/>
                      <w:sz w:val="21"/>
                      <w:szCs w:val="21"/>
                      <w:lang w:val="en-US" w:eastAsia="zh-CN"/>
                    </w:rPr>
                    <w:t>100</w:t>
                  </w:r>
                </w:p>
              </w:tc>
            </w:tr>
          </w:tbl>
          <w:p w14:paraId="577BC4F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auto"/>
                <w:highlight w:val="none"/>
              </w:rPr>
            </w:pPr>
            <w:r>
              <w:rPr>
                <w:b/>
                <w:color w:val="auto"/>
                <w:highlight w:val="none"/>
              </w:rPr>
              <w:t>2、大气污染物排放标准</w:t>
            </w:r>
          </w:p>
          <w:p w14:paraId="3E2165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eastAsia="zh-CN" w:bidi="ar"/>
              </w:rPr>
            </w:pPr>
            <w:r>
              <w:rPr>
                <w:rFonts w:hint="eastAsia"/>
                <w:color w:val="auto"/>
                <w:highlight w:val="none"/>
              </w:rPr>
              <w:t>项目</w:t>
            </w:r>
            <w:r>
              <w:rPr>
                <w:rFonts w:hint="eastAsia"/>
                <w:color w:val="auto"/>
                <w:highlight w:val="none"/>
                <w:lang w:bidi="ar"/>
              </w:rPr>
              <w:t>生产过程中产生的污染物</w:t>
            </w:r>
            <w:r>
              <w:rPr>
                <w:rFonts w:hint="eastAsia"/>
                <w:color w:val="auto"/>
                <w:highlight w:val="none"/>
                <w:lang w:eastAsia="zh-CN" w:bidi="ar"/>
              </w:rPr>
              <w:t>：</w:t>
            </w:r>
          </w:p>
          <w:p w14:paraId="6C9EE4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bidi="ar"/>
              </w:rPr>
            </w:pPr>
            <w:r>
              <w:rPr>
                <w:rFonts w:hint="eastAsia"/>
                <w:color w:val="auto"/>
                <w:highlight w:val="none"/>
                <w:lang w:val="en-US" w:eastAsia="zh-CN" w:bidi="ar"/>
              </w:rPr>
              <w:t>有组织：</w:t>
            </w:r>
          </w:p>
          <w:p w14:paraId="32F94B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eastAsia="zh-CN" w:bidi="ar"/>
              </w:rPr>
            </w:pPr>
            <w:r>
              <w:rPr>
                <w:rFonts w:hint="eastAsia"/>
                <w:color w:val="auto"/>
                <w:highlight w:val="none"/>
                <w:lang w:val="en-US" w:eastAsia="zh-CN" w:bidi="ar"/>
              </w:rPr>
              <w:t>喷漆工序产生的二甲苯、醋酸丁酯</w:t>
            </w:r>
            <w:r>
              <w:rPr>
                <w:rFonts w:hint="eastAsia"/>
                <w:color w:val="auto"/>
                <w:sz w:val="24"/>
                <w:highlight w:val="none"/>
                <w:lang w:val="en-US" w:eastAsia="zh-CN"/>
              </w:rPr>
              <w:t>排放限值执行</w:t>
            </w:r>
            <w:r>
              <w:rPr>
                <w:color w:val="auto"/>
                <w:sz w:val="24"/>
                <w:highlight w:val="none"/>
                <w:lang w:bidi="ar"/>
              </w:rPr>
              <w:t>《</w:t>
            </w:r>
            <w:r>
              <w:rPr>
                <w:rFonts w:hint="eastAsia"/>
                <w:color w:val="auto"/>
                <w:sz w:val="24"/>
                <w:highlight w:val="none"/>
                <w:lang w:val="en-US" w:eastAsia="zh-CN" w:bidi="ar"/>
              </w:rPr>
              <w:t>固定源挥发性有机物综合排放标准 第6部分：其他行业</w:t>
            </w:r>
            <w:r>
              <w:rPr>
                <w:color w:val="auto"/>
                <w:sz w:val="24"/>
                <w:highlight w:val="none"/>
                <w:lang w:bidi="ar"/>
              </w:rPr>
              <w:t>》（</w:t>
            </w:r>
            <w:r>
              <w:rPr>
                <w:rFonts w:hint="eastAsia"/>
                <w:color w:val="auto"/>
                <w:sz w:val="24"/>
                <w:highlight w:val="none"/>
                <w:lang w:val="en-US" w:eastAsia="zh-CN" w:bidi="ar"/>
              </w:rPr>
              <w:t>DB34/4812.6-2024</w:t>
            </w:r>
            <w:r>
              <w:rPr>
                <w:color w:val="auto"/>
                <w:sz w:val="24"/>
                <w:highlight w:val="none"/>
                <w:lang w:bidi="ar"/>
              </w:rPr>
              <w:t>）</w:t>
            </w:r>
            <w:r>
              <w:rPr>
                <w:rFonts w:hint="eastAsia"/>
                <w:color w:val="auto"/>
                <w:sz w:val="24"/>
                <w:highlight w:val="none"/>
                <w:lang w:bidi="ar"/>
              </w:rPr>
              <w:t>表2 挥发性有机物特征污染物项目排放限值</w:t>
            </w:r>
            <w:r>
              <w:rPr>
                <w:rFonts w:hint="eastAsia"/>
                <w:color w:val="auto"/>
                <w:sz w:val="24"/>
                <w:highlight w:val="none"/>
                <w:lang w:eastAsia="zh-CN" w:bidi="ar"/>
              </w:rPr>
              <w:t>；</w:t>
            </w:r>
            <w:r>
              <w:rPr>
                <w:rFonts w:hint="eastAsia"/>
                <w:color w:val="auto"/>
                <w:sz w:val="24"/>
                <w:highlight w:val="none"/>
                <w:lang w:val="en-US" w:eastAsia="zh-CN" w:bidi="ar"/>
              </w:rPr>
              <w:t>非甲烷总烃执行</w:t>
            </w:r>
            <w:r>
              <w:rPr>
                <w:rFonts w:hint="eastAsia"/>
                <w:b w:val="0"/>
                <w:bCs w:val="0"/>
                <w:color w:val="auto"/>
                <w:highlight w:val="none"/>
                <w:lang w:eastAsia="zh-CN"/>
              </w:rPr>
              <w:t>《</w:t>
            </w:r>
            <w:r>
              <w:rPr>
                <w:rFonts w:hint="eastAsia"/>
                <w:b w:val="0"/>
                <w:bCs w:val="0"/>
                <w:color w:val="auto"/>
                <w:highlight w:val="none"/>
                <w:lang w:val="en-US" w:eastAsia="zh-CN" w:bidi="ar"/>
              </w:rPr>
              <w:t>固定源挥发性有机物综合排放标准第6部分:其他行业》（DB34/4812.6-2024），</w:t>
            </w:r>
            <w:r>
              <w:rPr>
                <w:rFonts w:hint="eastAsia"/>
                <w:color w:val="auto"/>
                <w:sz w:val="24"/>
                <w:highlight w:val="none"/>
                <w:lang w:val="en-US" w:eastAsia="zh-CN" w:bidi="ar"/>
              </w:rPr>
              <w:t>颗粒物执行</w:t>
            </w:r>
            <w:r>
              <w:rPr>
                <w:color w:val="auto"/>
                <w:highlight w:val="none"/>
                <w:lang w:bidi="ar"/>
              </w:rPr>
              <w:t>《大气污染物综合排放标准》（G</w:t>
            </w:r>
            <w:r>
              <w:rPr>
                <w:rFonts w:hint="eastAsia"/>
                <w:color w:val="auto"/>
                <w:highlight w:val="none"/>
                <w:lang w:bidi="ar"/>
              </w:rPr>
              <w:t>B</w:t>
            </w:r>
            <w:r>
              <w:rPr>
                <w:color w:val="auto"/>
                <w:highlight w:val="none"/>
                <w:lang w:bidi="ar"/>
              </w:rPr>
              <w:t>16297</w:t>
            </w:r>
            <w:r>
              <w:rPr>
                <w:rFonts w:hint="eastAsia"/>
                <w:color w:val="auto"/>
                <w:highlight w:val="none"/>
                <w:lang w:bidi="ar"/>
              </w:rPr>
              <w:t>-</w:t>
            </w:r>
            <w:r>
              <w:rPr>
                <w:color w:val="auto"/>
                <w:highlight w:val="none"/>
                <w:lang w:bidi="ar"/>
              </w:rPr>
              <w:t>1996）表2中</w:t>
            </w:r>
            <w:r>
              <w:rPr>
                <w:rFonts w:hint="eastAsia"/>
                <w:color w:val="auto"/>
                <w:highlight w:val="none"/>
                <w:lang w:bidi="ar"/>
              </w:rPr>
              <w:t>新污染源</w:t>
            </w:r>
            <w:r>
              <w:rPr>
                <w:color w:val="auto"/>
                <w:highlight w:val="none"/>
                <w:lang w:bidi="ar"/>
              </w:rPr>
              <w:t>排放标准</w:t>
            </w:r>
            <w:r>
              <w:rPr>
                <w:rFonts w:hint="eastAsia"/>
                <w:color w:val="auto"/>
                <w:highlight w:val="none"/>
                <w:lang w:eastAsia="zh-CN" w:bidi="ar"/>
              </w:rPr>
              <w:t>。</w:t>
            </w:r>
          </w:p>
          <w:p w14:paraId="462D7A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bidi="ar"/>
              </w:rPr>
            </w:pPr>
            <w:r>
              <w:rPr>
                <w:rFonts w:hint="eastAsia"/>
                <w:color w:val="auto"/>
                <w:highlight w:val="none"/>
                <w:lang w:val="en-US" w:eastAsia="zh-CN" w:bidi="ar"/>
              </w:rPr>
              <w:t>注塑工序产生的非甲烷总烃、苯乙烯排放限值</w:t>
            </w:r>
            <w:r>
              <w:rPr>
                <w:rFonts w:hint="eastAsia"/>
                <w:color w:val="auto"/>
                <w:sz w:val="24"/>
                <w:highlight w:val="none"/>
                <w:lang w:val="en-US" w:eastAsia="zh-CN" w:bidi="ar"/>
              </w:rPr>
              <w:t>执行</w:t>
            </w:r>
            <w:r>
              <w:rPr>
                <w:rFonts w:hint="eastAsia"/>
                <w:b w:val="0"/>
                <w:bCs w:val="0"/>
                <w:color w:val="auto"/>
                <w:highlight w:val="none"/>
                <w:lang w:eastAsia="zh-CN"/>
              </w:rPr>
              <w:t>《</w:t>
            </w:r>
            <w:r>
              <w:rPr>
                <w:rFonts w:hint="eastAsia"/>
                <w:b w:val="0"/>
                <w:bCs w:val="0"/>
                <w:color w:val="auto"/>
                <w:highlight w:val="none"/>
                <w:lang w:val="en-US" w:eastAsia="zh-CN" w:bidi="ar"/>
              </w:rPr>
              <w:t>固定源挥发性有机物综合排放标准第6部分:其他行业》（DB34/4812.6-2024）</w:t>
            </w:r>
            <w:r>
              <w:rPr>
                <w:rFonts w:hint="eastAsia"/>
                <w:color w:val="auto"/>
                <w:highlight w:val="none"/>
                <w:lang w:val="en-US" w:eastAsia="zh-CN" w:bidi="ar"/>
              </w:rPr>
              <w:t>，丙烯腈排放限值从严执行《合成树脂工业污染物排放标准》（GB 31572-2015(含2024年修改单）。</w:t>
            </w:r>
          </w:p>
          <w:p w14:paraId="05827CD2">
            <w:pPr>
              <w:adjustRightInd w:val="0"/>
              <w:snapToGrid w:val="0"/>
              <w:spacing w:line="240" w:lineRule="auto"/>
              <w:jc w:val="center"/>
              <w:rPr>
                <w:rFonts w:hint="eastAsia"/>
                <w:b/>
                <w:bCs/>
                <w:color w:val="auto"/>
                <w:highlight w:val="none"/>
                <w:lang w:val="en-US" w:eastAsia="zh-CN" w:bidi="ar"/>
              </w:rPr>
            </w:pPr>
            <w:r>
              <w:rPr>
                <w:rFonts w:hint="eastAsia"/>
                <w:b/>
                <w:bCs/>
                <w:color w:val="auto"/>
                <w:highlight w:val="none"/>
              </w:rPr>
              <w:t>表3</w:t>
            </w:r>
            <w:r>
              <w:rPr>
                <w:rFonts w:hint="eastAsia"/>
                <w:b/>
                <w:bCs/>
                <w:color w:val="auto"/>
                <w:highlight w:val="none"/>
                <w:lang w:val="en-US" w:eastAsia="zh-CN"/>
              </w:rPr>
              <w:t>-6</w:t>
            </w:r>
            <w:r>
              <w:rPr>
                <w:rFonts w:hint="eastAsia"/>
                <w:b/>
                <w:bCs/>
                <w:color w:val="auto"/>
                <w:highlight w:val="none"/>
              </w:rPr>
              <w:t xml:space="preserve">  </w:t>
            </w:r>
            <w:r>
              <w:rPr>
                <w:rFonts w:hint="eastAsia"/>
                <w:b/>
                <w:bCs/>
                <w:color w:val="auto"/>
                <w:highlight w:val="none"/>
                <w:lang w:val="en-US" w:eastAsia="zh-CN"/>
              </w:rPr>
              <w:t>有组织废气执行标准一览表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5"/>
              <w:gridCol w:w="1530"/>
              <w:gridCol w:w="1092"/>
              <w:gridCol w:w="1368"/>
              <w:gridCol w:w="1965"/>
            </w:tblGrid>
            <w:tr w14:paraId="6E20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704" w:type="dxa"/>
                  <w:tcBorders>
                    <w:bottom w:val="single" w:color="auto" w:sz="4" w:space="0"/>
                  </w:tcBorders>
                  <w:vAlign w:val="center"/>
                </w:tcPr>
                <w:p w14:paraId="256423BC">
                  <w:pPr>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工序</w:t>
                  </w:r>
                </w:p>
              </w:tc>
              <w:tc>
                <w:tcPr>
                  <w:tcW w:w="1305" w:type="dxa"/>
                  <w:tcBorders>
                    <w:bottom w:val="single" w:color="auto" w:sz="4" w:space="0"/>
                  </w:tcBorders>
                  <w:vAlign w:val="center"/>
                </w:tcPr>
                <w:p w14:paraId="77D9B615">
                  <w:pPr>
                    <w:jc w:val="center"/>
                    <w:rPr>
                      <w:b/>
                      <w:color w:val="auto"/>
                      <w:sz w:val="21"/>
                      <w:szCs w:val="21"/>
                      <w:highlight w:val="none"/>
                    </w:rPr>
                  </w:pPr>
                  <w:r>
                    <w:rPr>
                      <w:b/>
                      <w:color w:val="auto"/>
                      <w:sz w:val="21"/>
                      <w:szCs w:val="21"/>
                      <w:highlight w:val="none"/>
                    </w:rPr>
                    <w:t>污染物</w:t>
                  </w:r>
                </w:p>
              </w:tc>
              <w:tc>
                <w:tcPr>
                  <w:tcW w:w="1530" w:type="dxa"/>
                  <w:tcBorders>
                    <w:bottom w:val="single" w:color="auto" w:sz="4" w:space="0"/>
                  </w:tcBorders>
                  <w:vAlign w:val="center"/>
                </w:tcPr>
                <w:p w14:paraId="6F2D19E8">
                  <w:pPr>
                    <w:jc w:val="center"/>
                    <w:rPr>
                      <w:b/>
                      <w:color w:val="auto"/>
                      <w:sz w:val="21"/>
                      <w:szCs w:val="21"/>
                      <w:highlight w:val="none"/>
                    </w:rPr>
                  </w:pPr>
                  <w:r>
                    <w:rPr>
                      <w:b/>
                      <w:color w:val="auto"/>
                      <w:sz w:val="21"/>
                      <w:szCs w:val="21"/>
                      <w:highlight w:val="none"/>
                    </w:rPr>
                    <w:t>最高允许排放浓度mg/m</w:t>
                  </w:r>
                  <w:r>
                    <w:rPr>
                      <w:b/>
                      <w:color w:val="auto"/>
                      <w:sz w:val="21"/>
                      <w:szCs w:val="21"/>
                      <w:highlight w:val="none"/>
                      <w:vertAlign w:val="superscript"/>
                    </w:rPr>
                    <w:t>3</w:t>
                  </w:r>
                </w:p>
              </w:tc>
              <w:tc>
                <w:tcPr>
                  <w:tcW w:w="1092" w:type="dxa"/>
                  <w:tcBorders>
                    <w:bottom w:val="single" w:color="auto" w:sz="4" w:space="0"/>
                  </w:tcBorders>
                  <w:vAlign w:val="center"/>
                </w:tcPr>
                <w:p w14:paraId="292563B9">
                  <w:pPr>
                    <w:jc w:val="center"/>
                    <w:rPr>
                      <w:b/>
                      <w:color w:val="auto"/>
                      <w:sz w:val="21"/>
                      <w:szCs w:val="21"/>
                      <w:highlight w:val="none"/>
                    </w:rPr>
                  </w:pPr>
                  <w:r>
                    <w:rPr>
                      <w:rFonts w:hint="eastAsia"/>
                      <w:b/>
                      <w:color w:val="auto"/>
                      <w:sz w:val="21"/>
                      <w:szCs w:val="21"/>
                      <w:highlight w:val="none"/>
                    </w:rPr>
                    <w:t>排气筒高度（m）</w:t>
                  </w:r>
                </w:p>
              </w:tc>
              <w:tc>
                <w:tcPr>
                  <w:tcW w:w="1368" w:type="dxa"/>
                  <w:vAlign w:val="center"/>
                </w:tcPr>
                <w:p w14:paraId="43E64C62">
                  <w:pPr>
                    <w:jc w:val="center"/>
                    <w:rPr>
                      <w:b/>
                      <w:color w:val="auto"/>
                      <w:sz w:val="21"/>
                      <w:szCs w:val="21"/>
                      <w:highlight w:val="none"/>
                    </w:rPr>
                  </w:pPr>
                  <w:r>
                    <w:rPr>
                      <w:b/>
                      <w:color w:val="auto"/>
                      <w:sz w:val="21"/>
                      <w:szCs w:val="21"/>
                      <w:highlight w:val="none"/>
                    </w:rPr>
                    <w:t>最高允许排放速率，kg/h</w:t>
                  </w:r>
                </w:p>
              </w:tc>
              <w:tc>
                <w:tcPr>
                  <w:tcW w:w="1965" w:type="dxa"/>
                  <w:vAlign w:val="center"/>
                </w:tcPr>
                <w:p w14:paraId="28198B20">
                  <w:pPr>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文件</w:t>
                  </w:r>
                </w:p>
              </w:tc>
            </w:tr>
            <w:tr w14:paraId="04AC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Merge w:val="restart"/>
                  <w:vAlign w:val="center"/>
                </w:tcPr>
                <w:p w14:paraId="65412C34">
                  <w:pPr>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喷漆</w:t>
                  </w:r>
                </w:p>
              </w:tc>
              <w:tc>
                <w:tcPr>
                  <w:tcW w:w="1305" w:type="dxa"/>
                  <w:vAlign w:val="center"/>
                </w:tcPr>
                <w:p w14:paraId="4BBC92DB">
                  <w:pPr>
                    <w:jc w:val="center"/>
                    <w:rPr>
                      <w:bCs/>
                      <w:color w:val="auto"/>
                      <w:sz w:val="21"/>
                      <w:szCs w:val="21"/>
                      <w:highlight w:val="none"/>
                    </w:rPr>
                  </w:pPr>
                  <w:r>
                    <w:rPr>
                      <w:bCs/>
                      <w:color w:val="auto"/>
                      <w:sz w:val="21"/>
                      <w:szCs w:val="21"/>
                      <w:highlight w:val="none"/>
                    </w:rPr>
                    <w:t>非甲烷总烃</w:t>
                  </w:r>
                </w:p>
              </w:tc>
              <w:tc>
                <w:tcPr>
                  <w:tcW w:w="1530" w:type="dxa"/>
                  <w:vAlign w:val="center"/>
                </w:tcPr>
                <w:p w14:paraId="3621463D">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70</w:t>
                  </w:r>
                </w:p>
              </w:tc>
              <w:tc>
                <w:tcPr>
                  <w:tcW w:w="1092" w:type="dxa"/>
                  <w:vAlign w:val="center"/>
                </w:tcPr>
                <w:p w14:paraId="095471BB">
                  <w:pPr>
                    <w:jc w:val="center"/>
                    <w:rPr>
                      <w:bCs/>
                      <w:color w:val="auto"/>
                      <w:sz w:val="21"/>
                      <w:szCs w:val="21"/>
                      <w:highlight w:val="none"/>
                    </w:rPr>
                  </w:pPr>
                  <w:r>
                    <w:rPr>
                      <w:rFonts w:hint="eastAsia"/>
                      <w:bCs/>
                      <w:color w:val="auto"/>
                      <w:sz w:val="21"/>
                      <w:szCs w:val="21"/>
                      <w:highlight w:val="none"/>
                    </w:rPr>
                    <w:t>15</w:t>
                  </w:r>
                </w:p>
              </w:tc>
              <w:tc>
                <w:tcPr>
                  <w:tcW w:w="1368" w:type="dxa"/>
                  <w:vAlign w:val="center"/>
                </w:tcPr>
                <w:p w14:paraId="3915289C">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3.0</w:t>
                  </w:r>
                </w:p>
              </w:tc>
              <w:tc>
                <w:tcPr>
                  <w:tcW w:w="1965" w:type="dxa"/>
                  <w:vMerge w:val="restart"/>
                  <w:vAlign w:val="center"/>
                </w:tcPr>
                <w:p w14:paraId="729D1378">
                  <w:pPr>
                    <w:jc w:val="center"/>
                    <w:rPr>
                      <w:rFonts w:hint="eastAsia"/>
                      <w:bCs/>
                      <w:color w:val="auto"/>
                      <w:sz w:val="21"/>
                      <w:szCs w:val="21"/>
                      <w:highlight w:val="none"/>
                      <w:lang w:val="en-US" w:eastAsia="zh-CN"/>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bidi="ar"/>
                    </w:rPr>
                    <w:t>固定源挥发性有机物综合排放标准第6部分:其他行业》（DB34/4812.6-2024）</w:t>
                  </w:r>
                </w:p>
              </w:tc>
            </w:tr>
            <w:tr w14:paraId="0A76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4FBF5220">
                  <w:pPr>
                    <w:jc w:val="center"/>
                    <w:rPr>
                      <w:rFonts w:hint="eastAsia" w:ascii="Times New Roman" w:hAnsi="Times New Roman" w:eastAsia="宋体" w:cs="Times New Roman"/>
                      <w:bCs/>
                      <w:color w:val="auto"/>
                      <w:sz w:val="21"/>
                      <w:szCs w:val="21"/>
                      <w:highlight w:val="none"/>
                      <w:lang w:val="en-US" w:eastAsia="zh-CN"/>
                    </w:rPr>
                  </w:pPr>
                </w:p>
              </w:tc>
              <w:tc>
                <w:tcPr>
                  <w:tcW w:w="1305" w:type="dxa"/>
                  <w:vAlign w:val="center"/>
                </w:tcPr>
                <w:p w14:paraId="4788C50E">
                  <w:pPr>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二甲苯</w:t>
                  </w:r>
                </w:p>
              </w:tc>
              <w:tc>
                <w:tcPr>
                  <w:tcW w:w="1530" w:type="dxa"/>
                  <w:vAlign w:val="center"/>
                </w:tcPr>
                <w:p w14:paraId="1C925D18">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40</w:t>
                  </w:r>
                </w:p>
              </w:tc>
              <w:tc>
                <w:tcPr>
                  <w:tcW w:w="1092" w:type="dxa"/>
                  <w:vAlign w:val="center"/>
                </w:tcPr>
                <w:p w14:paraId="20999D07">
                  <w:pPr>
                    <w:jc w:val="center"/>
                    <w:rPr>
                      <w:rFonts w:hint="default" w:ascii="Times New Roman" w:hAnsi="Times New Roman" w:eastAsia="宋体" w:cs="Times New Roman"/>
                      <w:bCs/>
                      <w:color w:val="auto"/>
                      <w:sz w:val="21"/>
                      <w:szCs w:val="21"/>
                      <w:highlight w:val="none"/>
                      <w:lang w:val="en-US"/>
                    </w:rPr>
                  </w:pPr>
                  <w:r>
                    <w:rPr>
                      <w:rFonts w:hint="eastAsia" w:cs="Times New Roman"/>
                      <w:bCs/>
                      <w:color w:val="auto"/>
                      <w:sz w:val="21"/>
                      <w:szCs w:val="21"/>
                      <w:highlight w:val="none"/>
                      <w:lang w:val="en-US" w:eastAsia="zh-CN"/>
                    </w:rPr>
                    <w:t>15</w:t>
                  </w:r>
                </w:p>
              </w:tc>
              <w:tc>
                <w:tcPr>
                  <w:tcW w:w="1368" w:type="dxa"/>
                  <w:vAlign w:val="center"/>
                </w:tcPr>
                <w:p w14:paraId="6BD6888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1.6</w:t>
                  </w:r>
                </w:p>
              </w:tc>
              <w:tc>
                <w:tcPr>
                  <w:tcW w:w="1965" w:type="dxa"/>
                  <w:vMerge w:val="continue"/>
                  <w:vAlign w:val="center"/>
                </w:tcPr>
                <w:p w14:paraId="4708F48E">
                  <w:pPr>
                    <w:jc w:val="center"/>
                    <w:rPr>
                      <w:rFonts w:hint="eastAsia"/>
                      <w:bCs/>
                      <w:color w:val="auto"/>
                      <w:sz w:val="21"/>
                      <w:szCs w:val="21"/>
                      <w:highlight w:val="none"/>
                      <w:lang w:val="en-US" w:eastAsia="zh-CN"/>
                    </w:rPr>
                  </w:pPr>
                </w:p>
              </w:tc>
            </w:tr>
            <w:tr w14:paraId="212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4ACA07FF">
                  <w:pPr>
                    <w:jc w:val="center"/>
                    <w:rPr>
                      <w:rFonts w:hint="eastAsia" w:ascii="Times New Roman" w:hAnsi="Times New Roman" w:eastAsia="宋体" w:cs="Times New Roman"/>
                      <w:bCs/>
                      <w:color w:val="auto"/>
                      <w:sz w:val="21"/>
                      <w:szCs w:val="21"/>
                      <w:highlight w:val="none"/>
                      <w:lang w:val="en-US" w:eastAsia="zh-CN"/>
                    </w:rPr>
                  </w:pPr>
                </w:p>
              </w:tc>
              <w:tc>
                <w:tcPr>
                  <w:tcW w:w="1305" w:type="dxa"/>
                  <w:vAlign w:val="center"/>
                </w:tcPr>
                <w:p w14:paraId="4264284A">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醋酸丁酯</w:t>
                  </w:r>
                </w:p>
              </w:tc>
              <w:tc>
                <w:tcPr>
                  <w:tcW w:w="1530" w:type="dxa"/>
                  <w:vAlign w:val="center"/>
                </w:tcPr>
                <w:p w14:paraId="05685BC1">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50</w:t>
                  </w:r>
                </w:p>
              </w:tc>
              <w:tc>
                <w:tcPr>
                  <w:tcW w:w="1092" w:type="dxa"/>
                  <w:vAlign w:val="center"/>
                </w:tcPr>
                <w:p w14:paraId="081C5F24">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1368" w:type="dxa"/>
                  <w:vAlign w:val="center"/>
                </w:tcPr>
                <w:p w14:paraId="2BD9429A">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w:t>
                  </w:r>
                </w:p>
              </w:tc>
              <w:tc>
                <w:tcPr>
                  <w:tcW w:w="1965" w:type="dxa"/>
                  <w:vMerge w:val="continue"/>
                  <w:vAlign w:val="center"/>
                </w:tcPr>
                <w:p w14:paraId="22A9C514">
                  <w:pPr>
                    <w:jc w:val="center"/>
                    <w:rPr>
                      <w:rFonts w:hint="eastAsia"/>
                      <w:bCs/>
                      <w:color w:val="auto"/>
                      <w:sz w:val="21"/>
                      <w:szCs w:val="21"/>
                      <w:highlight w:val="none"/>
                      <w:lang w:val="en-US" w:eastAsia="zh-CN"/>
                    </w:rPr>
                  </w:pPr>
                </w:p>
              </w:tc>
            </w:tr>
            <w:tr w14:paraId="6210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5274569B">
                  <w:pPr>
                    <w:jc w:val="center"/>
                    <w:rPr>
                      <w:rFonts w:hint="eastAsia" w:cs="Times New Roman"/>
                      <w:bCs/>
                      <w:color w:val="auto"/>
                      <w:sz w:val="21"/>
                      <w:szCs w:val="21"/>
                      <w:highlight w:val="none"/>
                      <w:lang w:val="en-US" w:eastAsia="zh-CN"/>
                    </w:rPr>
                  </w:pPr>
                </w:p>
              </w:tc>
              <w:tc>
                <w:tcPr>
                  <w:tcW w:w="1305" w:type="dxa"/>
                  <w:vAlign w:val="center"/>
                </w:tcPr>
                <w:p w14:paraId="48865B02">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530" w:type="dxa"/>
                  <w:vAlign w:val="center"/>
                </w:tcPr>
                <w:p w14:paraId="06DA1BE0">
                  <w:pPr>
                    <w:jc w:val="center"/>
                    <w:rPr>
                      <w:rFonts w:hint="eastAsia" w:cs="Times New Roman"/>
                      <w:bCs/>
                      <w:color w:val="auto"/>
                      <w:sz w:val="21"/>
                      <w:szCs w:val="21"/>
                      <w:highlight w:val="none"/>
                      <w:lang w:val="en-US" w:eastAsia="zh-CN"/>
                    </w:rPr>
                  </w:pPr>
                  <w:r>
                    <w:rPr>
                      <w:rFonts w:hint="eastAsia"/>
                      <w:bCs/>
                      <w:color w:val="auto"/>
                      <w:sz w:val="21"/>
                      <w:szCs w:val="21"/>
                      <w:highlight w:val="none"/>
                    </w:rPr>
                    <w:t>120</w:t>
                  </w:r>
                </w:p>
              </w:tc>
              <w:tc>
                <w:tcPr>
                  <w:tcW w:w="1092" w:type="dxa"/>
                  <w:vAlign w:val="center"/>
                </w:tcPr>
                <w:p w14:paraId="1B426C2D">
                  <w:pPr>
                    <w:jc w:val="center"/>
                    <w:rPr>
                      <w:rFonts w:hint="eastAsia" w:cs="Times New Roman"/>
                      <w:bCs/>
                      <w:color w:val="auto"/>
                      <w:sz w:val="21"/>
                      <w:szCs w:val="21"/>
                      <w:highlight w:val="none"/>
                      <w:lang w:val="en-US" w:eastAsia="zh-CN"/>
                    </w:rPr>
                  </w:pPr>
                  <w:r>
                    <w:rPr>
                      <w:rFonts w:hint="eastAsia"/>
                      <w:bCs/>
                      <w:color w:val="auto"/>
                      <w:sz w:val="21"/>
                      <w:szCs w:val="21"/>
                      <w:highlight w:val="none"/>
                    </w:rPr>
                    <w:t>15</w:t>
                  </w:r>
                </w:p>
              </w:tc>
              <w:tc>
                <w:tcPr>
                  <w:tcW w:w="1368" w:type="dxa"/>
                  <w:vAlign w:val="center"/>
                </w:tcPr>
                <w:p w14:paraId="77C653CD">
                  <w:pPr>
                    <w:jc w:val="center"/>
                    <w:rPr>
                      <w:rFonts w:hint="eastAsia"/>
                      <w:bCs/>
                      <w:color w:val="auto"/>
                      <w:sz w:val="21"/>
                      <w:szCs w:val="21"/>
                      <w:highlight w:val="none"/>
                      <w:lang w:val="en-US" w:eastAsia="zh-CN"/>
                    </w:rPr>
                  </w:pPr>
                  <w:r>
                    <w:rPr>
                      <w:rFonts w:hint="eastAsia"/>
                      <w:bCs/>
                      <w:color w:val="auto"/>
                      <w:sz w:val="21"/>
                      <w:szCs w:val="21"/>
                      <w:highlight w:val="none"/>
                    </w:rPr>
                    <w:t>3.5</w:t>
                  </w:r>
                </w:p>
              </w:tc>
              <w:tc>
                <w:tcPr>
                  <w:tcW w:w="1965" w:type="dxa"/>
                  <w:vAlign w:val="center"/>
                </w:tcPr>
                <w:p w14:paraId="63C146CC">
                  <w:pPr>
                    <w:jc w:val="center"/>
                    <w:rPr>
                      <w:rFonts w:hint="eastAsia"/>
                      <w:bCs/>
                      <w:color w:val="auto"/>
                      <w:sz w:val="21"/>
                      <w:szCs w:val="21"/>
                      <w:highlight w:val="none"/>
                      <w:lang w:val="en-US" w:eastAsia="zh-CN"/>
                    </w:rPr>
                  </w:pPr>
                  <w:r>
                    <w:rPr>
                      <w:rFonts w:hint="eastAsia"/>
                      <w:bCs/>
                      <w:color w:val="auto"/>
                      <w:sz w:val="21"/>
                      <w:szCs w:val="21"/>
                      <w:highlight w:val="none"/>
                      <w:lang w:val="en-US" w:eastAsia="zh-CN"/>
                    </w:rPr>
                    <w:t>《大气污染物综合排放标准》（GB16297-1996）</w:t>
                  </w:r>
                </w:p>
              </w:tc>
            </w:tr>
            <w:tr w14:paraId="5F6D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04" w:type="dxa"/>
                  <w:vMerge w:val="restart"/>
                  <w:vAlign w:val="center"/>
                </w:tcPr>
                <w:p w14:paraId="13491871">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注塑</w:t>
                  </w:r>
                </w:p>
              </w:tc>
              <w:tc>
                <w:tcPr>
                  <w:tcW w:w="1305" w:type="dxa"/>
                  <w:vAlign w:val="center"/>
                </w:tcPr>
                <w:p w14:paraId="09234B8B">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非甲烷总烃</w:t>
                  </w:r>
                </w:p>
              </w:tc>
              <w:tc>
                <w:tcPr>
                  <w:tcW w:w="1530" w:type="dxa"/>
                  <w:vAlign w:val="center"/>
                </w:tcPr>
                <w:p w14:paraId="4E884A4D">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1092" w:type="dxa"/>
                  <w:vAlign w:val="center"/>
                </w:tcPr>
                <w:p w14:paraId="12C2E8FD">
                  <w:pPr>
                    <w:jc w:val="center"/>
                    <w:rPr>
                      <w:rFonts w:hint="eastAsia" w:cs="Times New Roman"/>
                      <w:bCs/>
                      <w:color w:val="auto"/>
                      <w:sz w:val="21"/>
                      <w:szCs w:val="21"/>
                      <w:highlight w:val="none"/>
                      <w:lang w:val="en-US" w:eastAsia="zh-CN"/>
                    </w:rPr>
                  </w:pPr>
                  <w:r>
                    <w:rPr>
                      <w:rFonts w:hint="eastAsia"/>
                      <w:bCs/>
                      <w:color w:val="auto"/>
                      <w:sz w:val="21"/>
                      <w:szCs w:val="21"/>
                      <w:highlight w:val="none"/>
                    </w:rPr>
                    <w:t>15</w:t>
                  </w:r>
                </w:p>
              </w:tc>
              <w:tc>
                <w:tcPr>
                  <w:tcW w:w="1368" w:type="dxa"/>
                  <w:vAlign w:val="center"/>
                </w:tcPr>
                <w:p w14:paraId="4AC67651">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w:t>
                  </w:r>
                </w:p>
              </w:tc>
              <w:tc>
                <w:tcPr>
                  <w:tcW w:w="1965" w:type="dxa"/>
                  <w:vMerge w:val="restart"/>
                  <w:vAlign w:val="center"/>
                </w:tcPr>
                <w:p w14:paraId="156E19E4">
                  <w:pPr>
                    <w:jc w:val="center"/>
                    <w:rPr>
                      <w:rFonts w:hint="eastAsia"/>
                      <w:bCs/>
                      <w:color w:val="auto"/>
                      <w:sz w:val="21"/>
                      <w:szCs w:val="21"/>
                      <w:highlight w:val="none"/>
                      <w:lang w:val="en-US" w:eastAsia="zh-CN"/>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bidi="ar"/>
                    </w:rPr>
                    <w:t>固定源挥发性有机物综合排放标准第6部分:其他行业》（DB34/4812.6-2024）</w:t>
                  </w:r>
                </w:p>
              </w:tc>
            </w:tr>
            <w:tr w14:paraId="61ED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528DA0F4">
                  <w:pPr>
                    <w:jc w:val="center"/>
                    <w:rPr>
                      <w:rFonts w:hint="eastAsia" w:cs="Times New Roman"/>
                      <w:bCs/>
                      <w:color w:val="auto"/>
                      <w:sz w:val="21"/>
                      <w:szCs w:val="21"/>
                      <w:highlight w:val="none"/>
                      <w:lang w:val="en-US" w:eastAsia="zh-CN"/>
                    </w:rPr>
                  </w:pPr>
                </w:p>
              </w:tc>
              <w:tc>
                <w:tcPr>
                  <w:tcW w:w="1305" w:type="dxa"/>
                  <w:vAlign w:val="center"/>
                </w:tcPr>
                <w:p w14:paraId="7C4628D9">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苯乙烯</w:t>
                  </w:r>
                </w:p>
              </w:tc>
              <w:tc>
                <w:tcPr>
                  <w:tcW w:w="1530" w:type="dxa"/>
                  <w:vAlign w:val="center"/>
                </w:tcPr>
                <w:p w14:paraId="7D136249">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c>
                <w:tcPr>
                  <w:tcW w:w="1092" w:type="dxa"/>
                  <w:vAlign w:val="center"/>
                </w:tcPr>
                <w:p w14:paraId="03FBA1B1">
                  <w:pPr>
                    <w:jc w:val="center"/>
                    <w:rPr>
                      <w:rFonts w:hint="eastAsia" w:cs="Times New Roman"/>
                      <w:bCs/>
                      <w:color w:val="auto"/>
                      <w:sz w:val="21"/>
                      <w:szCs w:val="21"/>
                      <w:highlight w:val="none"/>
                      <w:lang w:val="en-US" w:eastAsia="zh-CN"/>
                    </w:rPr>
                  </w:pPr>
                  <w:r>
                    <w:rPr>
                      <w:rFonts w:hint="eastAsia"/>
                      <w:bCs/>
                      <w:color w:val="auto"/>
                      <w:sz w:val="21"/>
                      <w:szCs w:val="21"/>
                      <w:highlight w:val="none"/>
                    </w:rPr>
                    <w:t>15</w:t>
                  </w:r>
                </w:p>
              </w:tc>
              <w:tc>
                <w:tcPr>
                  <w:tcW w:w="1368" w:type="dxa"/>
                  <w:vAlign w:val="center"/>
                </w:tcPr>
                <w:p w14:paraId="6993C06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w:t>
                  </w:r>
                </w:p>
              </w:tc>
              <w:tc>
                <w:tcPr>
                  <w:tcW w:w="1965" w:type="dxa"/>
                  <w:vMerge w:val="continue"/>
                  <w:vAlign w:val="center"/>
                </w:tcPr>
                <w:p w14:paraId="1C5FBA54">
                  <w:pPr>
                    <w:jc w:val="center"/>
                    <w:rPr>
                      <w:rFonts w:hint="eastAsia"/>
                      <w:bCs/>
                      <w:color w:val="auto"/>
                      <w:sz w:val="21"/>
                      <w:szCs w:val="21"/>
                      <w:highlight w:val="none"/>
                      <w:lang w:val="en-US" w:eastAsia="zh-CN"/>
                    </w:rPr>
                  </w:pPr>
                </w:p>
              </w:tc>
            </w:tr>
            <w:tr w14:paraId="1BB7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3CB41CF1">
                  <w:pPr>
                    <w:jc w:val="center"/>
                    <w:rPr>
                      <w:rFonts w:hint="eastAsia" w:cs="Times New Roman"/>
                      <w:bCs/>
                      <w:color w:val="auto"/>
                      <w:sz w:val="21"/>
                      <w:szCs w:val="21"/>
                      <w:highlight w:val="none"/>
                      <w:lang w:val="en-US" w:eastAsia="zh-CN"/>
                    </w:rPr>
                  </w:pPr>
                </w:p>
              </w:tc>
              <w:tc>
                <w:tcPr>
                  <w:tcW w:w="1305" w:type="dxa"/>
                  <w:vAlign w:val="center"/>
                </w:tcPr>
                <w:p w14:paraId="6884B1BD">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丙烯腈</w:t>
                  </w:r>
                </w:p>
              </w:tc>
              <w:tc>
                <w:tcPr>
                  <w:tcW w:w="1530" w:type="dxa"/>
                  <w:vAlign w:val="center"/>
                </w:tcPr>
                <w:p w14:paraId="6563B9EC">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c>
                <w:tcPr>
                  <w:tcW w:w="1092" w:type="dxa"/>
                  <w:vAlign w:val="center"/>
                </w:tcPr>
                <w:p w14:paraId="7A9C80D3">
                  <w:pPr>
                    <w:jc w:val="center"/>
                    <w:rPr>
                      <w:rFonts w:hint="eastAsia" w:cs="Times New Roman"/>
                      <w:bCs/>
                      <w:color w:val="auto"/>
                      <w:sz w:val="21"/>
                      <w:szCs w:val="21"/>
                      <w:highlight w:val="none"/>
                      <w:lang w:val="en-US" w:eastAsia="zh-CN"/>
                    </w:rPr>
                  </w:pPr>
                  <w:r>
                    <w:rPr>
                      <w:rFonts w:hint="eastAsia"/>
                      <w:bCs/>
                      <w:color w:val="auto"/>
                      <w:sz w:val="21"/>
                      <w:szCs w:val="21"/>
                      <w:highlight w:val="none"/>
                    </w:rPr>
                    <w:t>15</w:t>
                  </w:r>
                </w:p>
              </w:tc>
              <w:tc>
                <w:tcPr>
                  <w:tcW w:w="1368" w:type="dxa"/>
                  <w:vAlign w:val="center"/>
                </w:tcPr>
                <w:p w14:paraId="5DD4E52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w:t>
                  </w:r>
                </w:p>
              </w:tc>
              <w:tc>
                <w:tcPr>
                  <w:tcW w:w="1965" w:type="dxa"/>
                  <w:vAlign w:val="center"/>
                </w:tcPr>
                <w:p w14:paraId="27C324D6">
                  <w:pPr>
                    <w:jc w:val="center"/>
                    <w:rPr>
                      <w:rFonts w:hint="eastAsia"/>
                      <w:bCs/>
                      <w:color w:val="auto"/>
                      <w:sz w:val="21"/>
                      <w:szCs w:val="21"/>
                      <w:highlight w:val="none"/>
                      <w:lang w:val="en-US" w:eastAsia="zh-CN"/>
                    </w:rPr>
                  </w:pPr>
                  <w:r>
                    <w:rPr>
                      <w:rFonts w:hint="eastAsia"/>
                      <w:bCs/>
                      <w:color w:val="auto"/>
                      <w:sz w:val="21"/>
                      <w:szCs w:val="21"/>
                      <w:highlight w:val="none"/>
                      <w:lang w:val="en-US" w:eastAsia="zh-CN"/>
                    </w:rPr>
                    <w:t>《合成树脂工业污染物排放标准》（GB31572-2015(含2024年修改单）</w:t>
                  </w:r>
                </w:p>
              </w:tc>
            </w:tr>
          </w:tbl>
          <w:p w14:paraId="47898DB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color w:val="auto"/>
                <w:highlight w:val="none"/>
                <w:lang w:val="en-US" w:eastAsia="zh-CN" w:bidi="ar"/>
              </w:rPr>
            </w:pPr>
            <w:r>
              <w:rPr>
                <w:rFonts w:hint="eastAsia"/>
                <w:color w:val="auto"/>
                <w:highlight w:val="none"/>
                <w:lang w:val="en-US" w:eastAsia="zh-CN" w:bidi="ar"/>
              </w:rPr>
              <w:t>无组织</w:t>
            </w:r>
          </w:p>
          <w:p w14:paraId="2C8CFB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eastAsia="zh-CN" w:bidi="ar"/>
              </w:rPr>
            </w:pPr>
            <w:r>
              <w:rPr>
                <w:rFonts w:hint="eastAsia"/>
                <w:color w:val="auto"/>
                <w:highlight w:val="none"/>
                <w:lang w:val="en-US" w:eastAsia="zh-CN" w:bidi="ar"/>
              </w:rPr>
              <w:t>厂界无组织颗粒物、非甲烷总烃、二甲苯</w:t>
            </w:r>
            <w:r>
              <w:rPr>
                <w:color w:val="auto"/>
                <w:highlight w:val="none"/>
                <w:lang w:bidi="ar"/>
              </w:rPr>
              <w:t>执行</w:t>
            </w:r>
            <w:r>
              <w:rPr>
                <w:rFonts w:hint="eastAsia"/>
                <w:color w:val="auto"/>
                <w:highlight w:val="none"/>
                <w:lang w:eastAsia="zh-CN" w:bidi="ar"/>
              </w:rPr>
              <w:t>《</w:t>
            </w:r>
            <w:r>
              <w:rPr>
                <w:rFonts w:hint="eastAsia"/>
                <w:color w:val="auto"/>
                <w:highlight w:val="none"/>
                <w:lang w:val="en-US" w:eastAsia="zh-CN" w:bidi="ar"/>
              </w:rPr>
              <w:t>合成树脂工业污染物排放标准》（GB 31572-2015，含2024年修改单）中表9 企业边界大气污染物浓度限值，苯乙烯执行《</w:t>
            </w:r>
            <w:r>
              <w:rPr>
                <w:rFonts w:hint="eastAsia"/>
                <w:color w:val="auto"/>
                <w:highlight w:val="none"/>
                <w:lang w:val="en-US" w:eastAsia="zh-CN" w:bidi="ar"/>
              </w:rPr>
              <w:fldChar w:fldCharType="begin"/>
            </w:r>
            <w:r>
              <w:rPr>
                <w:rFonts w:hint="eastAsia"/>
                <w:color w:val="auto"/>
                <w:highlight w:val="none"/>
                <w:lang w:val="en-US" w:eastAsia="zh-CN" w:bidi="ar"/>
              </w:rPr>
              <w:instrText xml:space="preserve"> HYPERLINK "http://www.mee.gov.cn/image20010518/5303.pdf" </w:instrText>
            </w:r>
            <w:r>
              <w:rPr>
                <w:rFonts w:hint="eastAsia"/>
                <w:color w:val="auto"/>
                <w:highlight w:val="none"/>
                <w:lang w:val="en-US" w:eastAsia="zh-CN" w:bidi="ar"/>
              </w:rPr>
              <w:fldChar w:fldCharType="separate"/>
            </w:r>
            <w:r>
              <w:rPr>
                <w:rFonts w:hint="eastAsia"/>
                <w:color w:val="auto"/>
                <w:highlight w:val="none"/>
                <w:lang w:val="en-US" w:eastAsia="zh-CN" w:bidi="ar"/>
              </w:rPr>
              <w:t>恶臭污染物排放标准</w:t>
            </w:r>
            <w:r>
              <w:rPr>
                <w:rFonts w:hint="eastAsia"/>
                <w:color w:val="auto"/>
                <w:highlight w:val="none"/>
                <w:lang w:val="en-US" w:eastAsia="zh-CN" w:bidi="ar"/>
              </w:rPr>
              <w:fldChar w:fldCharType="end"/>
            </w:r>
            <w:r>
              <w:rPr>
                <w:rFonts w:hint="eastAsia"/>
                <w:color w:val="auto"/>
                <w:highlight w:val="none"/>
                <w:lang w:val="en-US" w:eastAsia="zh-CN" w:bidi="ar"/>
              </w:rPr>
              <w:t>》（GB 14554-93）</w:t>
            </w:r>
            <w:r>
              <w:rPr>
                <w:rFonts w:hint="eastAsia"/>
                <w:color w:val="auto"/>
                <w:highlight w:val="none"/>
                <w:lang w:eastAsia="zh-CN" w:bidi="ar"/>
              </w:rPr>
              <w:t>。</w:t>
            </w:r>
          </w:p>
          <w:p w14:paraId="5A2979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eastAsia="zh-CN" w:bidi="ar"/>
              </w:rPr>
            </w:pPr>
            <w:r>
              <w:rPr>
                <w:rFonts w:hint="eastAsia"/>
                <w:color w:val="auto"/>
                <w:highlight w:val="none"/>
                <w:lang w:val="en-US" w:eastAsia="zh-CN" w:bidi="ar"/>
              </w:rPr>
              <w:t>厂界无组织二甲苯</w:t>
            </w:r>
            <w:r>
              <w:rPr>
                <w:color w:val="auto"/>
                <w:highlight w:val="none"/>
                <w:lang w:bidi="ar"/>
              </w:rPr>
              <w:t>执行</w:t>
            </w:r>
            <w:r>
              <w:rPr>
                <w:rFonts w:hint="eastAsia"/>
                <w:color w:val="auto"/>
                <w:highlight w:val="none"/>
                <w:lang w:val="en-US" w:eastAsia="zh-CN" w:bidi="ar"/>
              </w:rPr>
              <w:t>《大气污染物综合排放标准》（GB16297-1996）中相关限值</w:t>
            </w:r>
            <w:r>
              <w:rPr>
                <w:rFonts w:hint="eastAsia"/>
                <w:color w:val="auto"/>
                <w:highlight w:val="none"/>
                <w:lang w:eastAsia="zh-CN" w:bidi="ar"/>
              </w:rPr>
              <w:t>。</w:t>
            </w:r>
          </w:p>
          <w:p w14:paraId="0A7FE8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bidi="ar"/>
              </w:rPr>
            </w:pPr>
            <w:r>
              <w:rPr>
                <w:rFonts w:hint="default"/>
                <w:color w:val="auto"/>
                <w:highlight w:val="none"/>
                <w:lang w:val="en-US" w:eastAsia="zh-CN" w:bidi="ar"/>
              </w:rPr>
              <w:t>厂区内监控点处1h平均浓度值、任意一次浓度值执行《固定源挥发性有机物综合排放标准第6部分:其他行业》（DB34/4812.6-2024）</w:t>
            </w:r>
            <w:r>
              <w:rPr>
                <w:rFonts w:hint="eastAsia"/>
                <w:color w:val="auto"/>
                <w:highlight w:val="none"/>
                <w:lang w:val="en-US" w:eastAsia="zh-CN" w:bidi="ar"/>
              </w:rPr>
              <w:t>表4</w:t>
            </w:r>
            <w:r>
              <w:rPr>
                <w:rFonts w:hint="default"/>
                <w:color w:val="auto"/>
                <w:highlight w:val="none"/>
                <w:lang w:val="en-US" w:eastAsia="zh-CN" w:bidi="ar"/>
              </w:rPr>
              <w:t>的相应规定。</w:t>
            </w:r>
          </w:p>
          <w:p w14:paraId="606237D6">
            <w:pPr>
              <w:adjustRightInd w:val="0"/>
              <w:snapToGrid w:val="0"/>
              <w:jc w:val="center"/>
              <w:rPr>
                <w:rFonts w:hint="default" w:eastAsia="宋体"/>
                <w:b/>
                <w:bCs/>
                <w:color w:val="auto"/>
                <w:highlight w:val="none"/>
                <w:lang w:val="en-US" w:eastAsia="zh-CN"/>
              </w:rPr>
            </w:pPr>
            <w:r>
              <w:rPr>
                <w:rFonts w:hint="eastAsia"/>
                <w:b/>
                <w:bCs/>
                <w:color w:val="auto"/>
                <w:highlight w:val="none"/>
              </w:rPr>
              <w:t>表3</w:t>
            </w:r>
            <w:r>
              <w:rPr>
                <w:rFonts w:hint="eastAsia"/>
                <w:b/>
                <w:bCs/>
                <w:color w:val="auto"/>
                <w:highlight w:val="none"/>
                <w:lang w:val="en-US" w:eastAsia="zh-CN"/>
              </w:rPr>
              <w:t>-7</w:t>
            </w:r>
            <w:r>
              <w:rPr>
                <w:rFonts w:hint="eastAsia"/>
                <w:b/>
                <w:bCs/>
                <w:color w:val="auto"/>
                <w:highlight w:val="none"/>
              </w:rPr>
              <w:t xml:space="preserve">  </w:t>
            </w:r>
            <w:r>
              <w:rPr>
                <w:rFonts w:hint="eastAsia"/>
                <w:b/>
                <w:bCs/>
                <w:color w:val="auto"/>
                <w:highlight w:val="none"/>
                <w:lang w:val="en-US" w:eastAsia="zh-CN"/>
              </w:rPr>
              <w:t>无组织废气执行标准一览表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305"/>
              <w:gridCol w:w="1365"/>
              <w:gridCol w:w="1550"/>
              <w:gridCol w:w="2755"/>
            </w:tblGrid>
            <w:tr w14:paraId="4922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restart"/>
                  <w:vAlign w:val="center"/>
                </w:tcPr>
                <w:p w14:paraId="233FE6DB">
                  <w:pPr>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类别</w:t>
                  </w:r>
                </w:p>
              </w:tc>
              <w:tc>
                <w:tcPr>
                  <w:tcW w:w="1305" w:type="dxa"/>
                  <w:vMerge w:val="restart"/>
                  <w:tcBorders>
                    <w:bottom w:val="single" w:color="auto" w:sz="4" w:space="0"/>
                  </w:tcBorders>
                  <w:vAlign w:val="center"/>
                </w:tcPr>
                <w:p w14:paraId="331035C5">
                  <w:pPr>
                    <w:jc w:val="center"/>
                    <w:rPr>
                      <w:b/>
                      <w:color w:val="auto"/>
                      <w:sz w:val="21"/>
                      <w:szCs w:val="21"/>
                      <w:highlight w:val="none"/>
                    </w:rPr>
                  </w:pPr>
                  <w:r>
                    <w:rPr>
                      <w:b/>
                      <w:color w:val="auto"/>
                      <w:sz w:val="21"/>
                      <w:szCs w:val="21"/>
                      <w:highlight w:val="none"/>
                    </w:rPr>
                    <w:t>污染物</w:t>
                  </w:r>
                </w:p>
              </w:tc>
              <w:tc>
                <w:tcPr>
                  <w:tcW w:w="2915" w:type="dxa"/>
                  <w:gridSpan w:val="2"/>
                  <w:tcBorders>
                    <w:bottom w:val="single" w:color="auto" w:sz="4" w:space="0"/>
                  </w:tcBorders>
                  <w:vAlign w:val="center"/>
                </w:tcPr>
                <w:p w14:paraId="57FE81FB">
                  <w:pPr>
                    <w:jc w:val="center"/>
                    <w:rPr>
                      <w:b/>
                      <w:color w:val="auto"/>
                      <w:sz w:val="21"/>
                      <w:szCs w:val="21"/>
                      <w:highlight w:val="none"/>
                    </w:rPr>
                  </w:pPr>
                  <w:r>
                    <w:rPr>
                      <w:b/>
                      <w:color w:val="auto"/>
                      <w:sz w:val="21"/>
                      <w:szCs w:val="21"/>
                      <w:highlight w:val="none"/>
                    </w:rPr>
                    <w:t>无组织排放监控浓度限值</w:t>
                  </w:r>
                </w:p>
              </w:tc>
              <w:tc>
                <w:tcPr>
                  <w:tcW w:w="2755" w:type="dxa"/>
                  <w:vMerge w:val="restart"/>
                  <w:vAlign w:val="center"/>
                </w:tcPr>
                <w:p w14:paraId="02BE8B3D">
                  <w:pPr>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标准</w:t>
                  </w:r>
                </w:p>
              </w:tc>
            </w:tr>
            <w:tr w14:paraId="0B7D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continue"/>
                  <w:vAlign w:val="center"/>
                </w:tcPr>
                <w:p w14:paraId="18DBF0B2">
                  <w:pPr>
                    <w:jc w:val="center"/>
                    <w:rPr>
                      <w:b/>
                      <w:color w:val="auto"/>
                      <w:sz w:val="21"/>
                      <w:szCs w:val="21"/>
                      <w:highlight w:val="none"/>
                    </w:rPr>
                  </w:pPr>
                </w:p>
              </w:tc>
              <w:tc>
                <w:tcPr>
                  <w:tcW w:w="1305" w:type="dxa"/>
                  <w:vMerge w:val="continue"/>
                  <w:vAlign w:val="center"/>
                </w:tcPr>
                <w:p w14:paraId="74338D66">
                  <w:pPr>
                    <w:jc w:val="center"/>
                    <w:rPr>
                      <w:b/>
                      <w:color w:val="auto"/>
                      <w:sz w:val="21"/>
                      <w:szCs w:val="21"/>
                      <w:highlight w:val="none"/>
                    </w:rPr>
                  </w:pPr>
                </w:p>
              </w:tc>
              <w:tc>
                <w:tcPr>
                  <w:tcW w:w="1365" w:type="dxa"/>
                  <w:vAlign w:val="center"/>
                </w:tcPr>
                <w:p w14:paraId="0B63E60D">
                  <w:pPr>
                    <w:jc w:val="center"/>
                    <w:rPr>
                      <w:b/>
                      <w:color w:val="auto"/>
                      <w:sz w:val="21"/>
                      <w:szCs w:val="21"/>
                      <w:highlight w:val="none"/>
                    </w:rPr>
                  </w:pPr>
                  <w:r>
                    <w:rPr>
                      <w:b/>
                      <w:color w:val="auto"/>
                      <w:sz w:val="21"/>
                      <w:szCs w:val="21"/>
                      <w:highlight w:val="none"/>
                    </w:rPr>
                    <w:t>mg/m</w:t>
                  </w:r>
                  <w:r>
                    <w:rPr>
                      <w:b/>
                      <w:color w:val="auto"/>
                      <w:sz w:val="21"/>
                      <w:szCs w:val="21"/>
                      <w:highlight w:val="none"/>
                      <w:vertAlign w:val="superscript"/>
                    </w:rPr>
                    <w:t>3</w:t>
                  </w:r>
                </w:p>
              </w:tc>
              <w:tc>
                <w:tcPr>
                  <w:tcW w:w="1550" w:type="dxa"/>
                  <w:vAlign w:val="center"/>
                </w:tcPr>
                <w:p w14:paraId="17A9A73C">
                  <w:pPr>
                    <w:jc w:val="center"/>
                    <w:rPr>
                      <w:b/>
                      <w:color w:val="auto"/>
                      <w:sz w:val="21"/>
                      <w:szCs w:val="21"/>
                      <w:highlight w:val="none"/>
                    </w:rPr>
                  </w:pPr>
                  <w:r>
                    <w:rPr>
                      <w:b/>
                      <w:color w:val="auto"/>
                      <w:sz w:val="21"/>
                      <w:szCs w:val="21"/>
                      <w:highlight w:val="none"/>
                    </w:rPr>
                    <w:t>监控点浓度</w:t>
                  </w:r>
                </w:p>
              </w:tc>
              <w:tc>
                <w:tcPr>
                  <w:tcW w:w="2755" w:type="dxa"/>
                  <w:vMerge w:val="continue"/>
                  <w:vAlign w:val="center"/>
                </w:tcPr>
                <w:p w14:paraId="164C3683">
                  <w:pPr>
                    <w:jc w:val="center"/>
                    <w:rPr>
                      <w:b/>
                      <w:color w:val="auto"/>
                      <w:sz w:val="21"/>
                      <w:szCs w:val="21"/>
                      <w:highlight w:val="none"/>
                    </w:rPr>
                  </w:pPr>
                </w:p>
              </w:tc>
            </w:tr>
            <w:tr w14:paraId="6D9C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restart"/>
                  <w:vAlign w:val="center"/>
                </w:tcPr>
                <w:p w14:paraId="543468DD">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厂界</w:t>
                  </w:r>
                </w:p>
              </w:tc>
              <w:tc>
                <w:tcPr>
                  <w:tcW w:w="1305" w:type="dxa"/>
                  <w:vAlign w:val="center"/>
                </w:tcPr>
                <w:p w14:paraId="327C78BB">
                  <w:pPr>
                    <w:jc w:val="center"/>
                    <w:rPr>
                      <w:bCs/>
                      <w:color w:val="auto"/>
                      <w:sz w:val="21"/>
                      <w:szCs w:val="21"/>
                      <w:highlight w:val="none"/>
                    </w:rPr>
                  </w:pPr>
                  <w:r>
                    <w:rPr>
                      <w:rFonts w:hint="eastAsia"/>
                      <w:bCs/>
                      <w:color w:val="auto"/>
                      <w:sz w:val="21"/>
                      <w:szCs w:val="21"/>
                      <w:highlight w:val="none"/>
                    </w:rPr>
                    <w:t>颗粒物</w:t>
                  </w:r>
                </w:p>
              </w:tc>
              <w:tc>
                <w:tcPr>
                  <w:tcW w:w="1365" w:type="dxa"/>
                  <w:vAlign w:val="center"/>
                </w:tcPr>
                <w:p w14:paraId="6DE9031C">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1.0</w:t>
                  </w:r>
                </w:p>
              </w:tc>
              <w:tc>
                <w:tcPr>
                  <w:tcW w:w="1550" w:type="dxa"/>
                  <w:vAlign w:val="center"/>
                </w:tcPr>
                <w:p w14:paraId="6D9C3087">
                  <w:pPr>
                    <w:jc w:val="center"/>
                    <w:rPr>
                      <w:bCs/>
                      <w:color w:val="auto"/>
                      <w:sz w:val="21"/>
                      <w:szCs w:val="21"/>
                      <w:highlight w:val="none"/>
                    </w:rPr>
                  </w:pPr>
                  <w:r>
                    <w:rPr>
                      <w:bCs/>
                      <w:color w:val="auto"/>
                      <w:sz w:val="21"/>
                      <w:szCs w:val="21"/>
                      <w:highlight w:val="none"/>
                    </w:rPr>
                    <w:t>周界外浓度最高点</w:t>
                  </w:r>
                </w:p>
              </w:tc>
              <w:tc>
                <w:tcPr>
                  <w:tcW w:w="2755" w:type="dxa"/>
                  <w:vMerge w:val="restart"/>
                  <w:vAlign w:val="center"/>
                </w:tcPr>
                <w:p w14:paraId="70BBB627">
                  <w:pPr>
                    <w:jc w:val="center"/>
                    <w:rPr>
                      <w:rFonts w:hint="eastAsia"/>
                      <w:bCs/>
                      <w:color w:val="auto"/>
                      <w:sz w:val="21"/>
                      <w:szCs w:val="21"/>
                      <w:highlight w:val="none"/>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bidi="ar"/>
                    </w:rPr>
                    <w:t>合成树脂工业污染物排放标准》（GB 31572-2015，含2024年修改单）</w:t>
                  </w:r>
                </w:p>
              </w:tc>
            </w:tr>
            <w:tr w14:paraId="2930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continue"/>
                  <w:vAlign w:val="center"/>
                </w:tcPr>
                <w:p w14:paraId="584896C7">
                  <w:pPr>
                    <w:jc w:val="center"/>
                    <w:rPr>
                      <w:bCs/>
                      <w:color w:val="auto"/>
                      <w:sz w:val="21"/>
                      <w:szCs w:val="21"/>
                      <w:highlight w:val="none"/>
                    </w:rPr>
                  </w:pPr>
                </w:p>
              </w:tc>
              <w:tc>
                <w:tcPr>
                  <w:tcW w:w="1305" w:type="dxa"/>
                  <w:vAlign w:val="center"/>
                </w:tcPr>
                <w:p w14:paraId="0B56F981">
                  <w:pPr>
                    <w:jc w:val="center"/>
                    <w:rPr>
                      <w:rFonts w:hint="eastAsia"/>
                      <w:bCs/>
                      <w:color w:val="auto"/>
                      <w:sz w:val="21"/>
                      <w:szCs w:val="21"/>
                      <w:highlight w:val="none"/>
                    </w:rPr>
                  </w:pPr>
                  <w:r>
                    <w:rPr>
                      <w:bCs/>
                      <w:color w:val="auto"/>
                      <w:sz w:val="21"/>
                      <w:szCs w:val="21"/>
                      <w:highlight w:val="none"/>
                    </w:rPr>
                    <w:t>非甲烷总烃</w:t>
                  </w:r>
                </w:p>
              </w:tc>
              <w:tc>
                <w:tcPr>
                  <w:tcW w:w="1365" w:type="dxa"/>
                  <w:vAlign w:val="center"/>
                </w:tcPr>
                <w:p w14:paraId="3B3A6F86">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4.0</w:t>
                  </w:r>
                </w:p>
              </w:tc>
              <w:tc>
                <w:tcPr>
                  <w:tcW w:w="1550" w:type="dxa"/>
                  <w:vAlign w:val="center"/>
                </w:tcPr>
                <w:p w14:paraId="3A60DA12">
                  <w:pPr>
                    <w:jc w:val="center"/>
                    <w:rPr>
                      <w:rFonts w:hint="eastAsia"/>
                      <w:bCs/>
                      <w:color w:val="auto"/>
                      <w:sz w:val="21"/>
                      <w:szCs w:val="21"/>
                      <w:highlight w:val="none"/>
                    </w:rPr>
                  </w:pPr>
                  <w:r>
                    <w:rPr>
                      <w:bCs/>
                      <w:color w:val="auto"/>
                      <w:sz w:val="21"/>
                      <w:szCs w:val="21"/>
                      <w:highlight w:val="none"/>
                    </w:rPr>
                    <w:t>周界外浓度最高点</w:t>
                  </w:r>
                </w:p>
              </w:tc>
              <w:tc>
                <w:tcPr>
                  <w:tcW w:w="2755" w:type="dxa"/>
                  <w:vMerge w:val="continue"/>
                  <w:vAlign w:val="center"/>
                </w:tcPr>
                <w:p w14:paraId="582353A6">
                  <w:pPr>
                    <w:jc w:val="center"/>
                    <w:rPr>
                      <w:rFonts w:hint="eastAsia"/>
                      <w:bCs/>
                      <w:color w:val="auto"/>
                      <w:sz w:val="21"/>
                      <w:szCs w:val="21"/>
                      <w:highlight w:val="none"/>
                    </w:rPr>
                  </w:pPr>
                </w:p>
              </w:tc>
            </w:tr>
            <w:tr w14:paraId="3BB2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continue"/>
                  <w:vAlign w:val="center"/>
                </w:tcPr>
                <w:p w14:paraId="25EC8EAD">
                  <w:pPr>
                    <w:jc w:val="center"/>
                    <w:rPr>
                      <w:bCs/>
                      <w:color w:val="auto"/>
                      <w:sz w:val="21"/>
                      <w:szCs w:val="21"/>
                      <w:highlight w:val="none"/>
                    </w:rPr>
                  </w:pPr>
                </w:p>
              </w:tc>
              <w:tc>
                <w:tcPr>
                  <w:tcW w:w="1305" w:type="dxa"/>
                  <w:shd w:val="clear" w:color="auto" w:fill="auto"/>
                  <w:vAlign w:val="center"/>
                </w:tcPr>
                <w:p w14:paraId="3D093A76">
                  <w:pPr>
                    <w:pStyle w:val="35"/>
                    <w:keepNext w:val="0"/>
                    <w:keepLines w:val="0"/>
                    <w:suppressLineNumbers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二甲苯</w:t>
                  </w:r>
                </w:p>
              </w:tc>
              <w:tc>
                <w:tcPr>
                  <w:tcW w:w="1365" w:type="dxa"/>
                  <w:shd w:val="clear" w:color="auto" w:fill="auto"/>
                  <w:vAlign w:val="center"/>
                </w:tcPr>
                <w:p w14:paraId="1FA3E650">
                  <w:pPr>
                    <w:pStyle w:val="35"/>
                    <w:keepNext w:val="0"/>
                    <w:keepLines w:val="0"/>
                    <w:suppressLineNumbers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1.2</w:t>
                  </w:r>
                </w:p>
              </w:tc>
              <w:tc>
                <w:tcPr>
                  <w:tcW w:w="1550" w:type="dxa"/>
                  <w:shd w:val="clear" w:color="auto" w:fill="auto"/>
                  <w:vAlign w:val="center"/>
                </w:tcPr>
                <w:p w14:paraId="0C64EBD8">
                  <w:pPr>
                    <w:pStyle w:val="35"/>
                    <w:keepNext w:val="0"/>
                    <w:keepLines w:val="0"/>
                    <w:suppressLineNumbers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周界外浓度最高点</w:t>
                  </w:r>
                </w:p>
              </w:tc>
              <w:tc>
                <w:tcPr>
                  <w:tcW w:w="2755" w:type="dxa"/>
                  <w:vAlign w:val="center"/>
                </w:tcPr>
                <w:p w14:paraId="68B3B072">
                  <w:pPr>
                    <w:jc w:val="center"/>
                    <w:rPr>
                      <w:rFonts w:hint="eastAsia"/>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《大气污染物综合排放标准》（GB16297-1996）</w:t>
                  </w:r>
                </w:p>
              </w:tc>
            </w:tr>
            <w:tr w14:paraId="3C71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continue"/>
                  <w:vAlign w:val="center"/>
                </w:tcPr>
                <w:p w14:paraId="5A9F6129">
                  <w:pPr>
                    <w:jc w:val="center"/>
                    <w:rPr>
                      <w:bCs/>
                      <w:color w:val="auto"/>
                      <w:sz w:val="21"/>
                      <w:szCs w:val="21"/>
                      <w:highlight w:val="none"/>
                    </w:rPr>
                  </w:pPr>
                </w:p>
              </w:tc>
              <w:tc>
                <w:tcPr>
                  <w:tcW w:w="1305" w:type="dxa"/>
                  <w:shd w:val="clear" w:color="auto" w:fill="auto"/>
                  <w:vAlign w:val="center"/>
                </w:tcPr>
                <w:p w14:paraId="4442DB2C">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苯乙烯</w:t>
                  </w:r>
                </w:p>
              </w:tc>
              <w:tc>
                <w:tcPr>
                  <w:tcW w:w="1365" w:type="dxa"/>
                  <w:shd w:val="clear" w:color="auto" w:fill="auto"/>
                  <w:vAlign w:val="center"/>
                </w:tcPr>
                <w:p w14:paraId="032E3F44">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1550" w:type="dxa"/>
                  <w:shd w:val="clear" w:color="auto" w:fill="auto"/>
                  <w:vAlign w:val="center"/>
                </w:tcPr>
                <w:p w14:paraId="56D59DCB">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周界外浓度最高点</w:t>
                  </w:r>
                </w:p>
              </w:tc>
              <w:tc>
                <w:tcPr>
                  <w:tcW w:w="2755" w:type="dxa"/>
                  <w:vAlign w:val="center"/>
                </w:tcPr>
                <w:p w14:paraId="1BB9E20D">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fldChar w:fldCharType="begin"/>
                  </w:r>
                  <w:r>
                    <w:rPr>
                      <w:rFonts w:hint="default" w:ascii="Times New Roman" w:hAnsi="Times New Roman" w:eastAsia="宋体" w:cs="Times New Roman"/>
                      <w:b w:val="0"/>
                      <w:bCs/>
                      <w:color w:val="auto"/>
                      <w:sz w:val="21"/>
                      <w:szCs w:val="21"/>
                      <w:highlight w:val="none"/>
                      <w:lang w:val="en-US" w:eastAsia="zh-CN"/>
                    </w:rPr>
                    <w:instrText xml:space="preserve"> HYPERLINK "http://www.mee.gov.cn/image20010518/5303.pdf" </w:instrText>
                  </w:r>
                  <w:r>
                    <w:rPr>
                      <w:rFonts w:hint="default" w:ascii="Times New Roman" w:hAnsi="Times New Roman" w:eastAsia="宋体" w:cs="Times New Roman"/>
                      <w:b w:val="0"/>
                      <w:bCs/>
                      <w:color w:val="auto"/>
                      <w:sz w:val="21"/>
                      <w:szCs w:val="21"/>
                      <w:highlight w:val="none"/>
                      <w:lang w:val="en-US" w:eastAsia="zh-CN"/>
                    </w:rPr>
                    <w:fldChar w:fldCharType="separate"/>
                  </w:r>
                  <w:r>
                    <w:rPr>
                      <w:rFonts w:hint="default" w:ascii="Times New Roman" w:hAnsi="Times New Roman" w:eastAsia="宋体" w:cs="Times New Roman"/>
                      <w:b w:val="0"/>
                      <w:bCs/>
                      <w:color w:val="auto"/>
                      <w:sz w:val="21"/>
                      <w:szCs w:val="21"/>
                      <w:highlight w:val="none"/>
                      <w:lang w:val="en-US" w:eastAsia="zh-CN"/>
                    </w:rPr>
                    <w:t>恶臭污染物排放标准</w:t>
                  </w:r>
                  <w:r>
                    <w:rPr>
                      <w:rFonts w:hint="default" w:ascii="Times New Roman" w:hAnsi="Times New Roman" w:eastAsia="宋体" w:cs="Times New Roman"/>
                      <w:b w:val="0"/>
                      <w:bCs/>
                      <w:color w:val="auto"/>
                      <w:sz w:val="21"/>
                      <w:szCs w:val="21"/>
                      <w:highlight w:val="none"/>
                      <w:lang w:val="en-US" w:eastAsia="zh-CN"/>
                    </w:rPr>
                    <w:fldChar w:fldCharType="end"/>
                  </w:r>
                  <w:r>
                    <w:rPr>
                      <w:rFonts w:hint="default" w:ascii="Times New Roman" w:hAnsi="Times New Roman" w:eastAsia="宋体" w:cs="Times New Roman"/>
                      <w:b w:val="0"/>
                      <w:bCs/>
                      <w:color w:val="auto"/>
                      <w:sz w:val="21"/>
                      <w:szCs w:val="21"/>
                      <w:highlight w:val="none"/>
                      <w:lang w:val="en-US" w:eastAsia="zh-CN"/>
                    </w:rPr>
                    <w:t>》（GB 14554-93）</w:t>
                  </w:r>
                </w:p>
              </w:tc>
            </w:tr>
            <w:tr w14:paraId="30C8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continue"/>
                  <w:vAlign w:val="center"/>
                </w:tcPr>
                <w:p w14:paraId="5B2317D7">
                  <w:pPr>
                    <w:jc w:val="center"/>
                    <w:rPr>
                      <w:bCs/>
                      <w:color w:val="auto"/>
                      <w:sz w:val="21"/>
                      <w:szCs w:val="21"/>
                      <w:highlight w:val="none"/>
                    </w:rPr>
                  </w:pPr>
                </w:p>
              </w:tc>
              <w:tc>
                <w:tcPr>
                  <w:tcW w:w="1305" w:type="dxa"/>
                  <w:shd w:val="clear" w:color="auto" w:fill="auto"/>
                  <w:vAlign w:val="center"/>
                </w:tcPr>
                <w:p w14:paraId="1CCEE9BD">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丙烯腈</w:t>
                  </w:r>
                </w:p>
              </w:tc>
              <w:tc>
                <w:tcPr>
                  <w:tcW w:w="1365" w:type="dxa"/>
                  <w:shd w:val="clear" w:color="auto" w:fill="auto"/>
                  <w:vAlign w:val="center"/>
                </w:tcPr>
                <w:p w14:paraId="044C7C88">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w:t>
                  </w:r>
                </w:p>
              </w:tc>
              <w:tc>
                <w:tcPr>
                  <w:tcW w:w="1550" w:type="dxa"/>
                  <w:shd w:val="clear" w:color="auto" w:fill="auto"/>
                  <w:vAlign w:val="center"/>
                </w:tcPr>
                <w:p w14:paraId="65E32DB1">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周界外浓度最高点</w:t>
                  </w:r>
                </w:p>
              </w:tc>
              <w:tc>
                <w:tcPr>
                  <w:tcW w:w="2755" w:type="dxa"/>
                  <w:vAlign w:val="center"/>
                </w:tcPr>
                <w:p w14:paraId="3EC885F2">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《大气污染物综合排放标准》（GB16297-1996）</w:t>
                  </w:r>
                </w:p>
              </w:tc>
            </w:tr>
            <w:tr w14:paraId="3A14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restart"/>
                  <w:vAlign w:val="center"/>
                </w:tcPr>
                <w:p w14:paraId="4964DD63">
                  <w:pPr>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厂区内</w:t>
                  </w:r>
                </w:p>
              </w:tc>
              <w:tc>
                <w:tcPr>
                  <w:tcW w:w="1305" w:type="dxa"/>
                  <w:vMerge w:val="restart"/>
                  <w:vAlign w:val="center"/>
                </w:tcPr>
                <w:p w14:paraId="762D26B8">
                  <w:pPr>
                    <w:pStyle w:val="35"/>
                    <w:keepNext w:val="0"/>
                    <w:keepLines w:val="0"/>
                    <w:suppressLineNumbers w:val="0"/>
                    <w:spacing w:before="0" w:beforeAutospacing="0" w:after="0" w:afterAutospacing="0"/>
                    <w:ind w:left="0" w:leftChars="0" w:right="0" w:rightChars="0"/>
                    <w:rPr>
                      <w:bCs/>
                      <w:color w:val="auto"/>
                      <w:sz w:val="21"/>
                      <w:szCs w:val="21"/>
                      <w:highlight w:val="none"/>
                    </w:rPr>
                  </w:pPr>
                  <w:r>
                    <w:rPr>
                      <w:rFonts w:hint="eastAsia" w:cs="Times New Roman"/>
                      <w:b w:val="0"/>
                      <w:bCs/>
                      <w:color w:val="auto"/>
                      <w:sz w:val="21"/>
                      <w:szCs w:val="21"/>
                      <w:highlight w:val="none"/>
                      <w:lang w:val="en-US" w:eastAsia="zh-CN"/>
                    </w:rPr>
                    <w:t>NMHC</w:t>
                  </w:r>
                </w:p>
              </w:tc>
              <w:tc>
                <w:tcPr>
                  <w:tcW w:w="1365" w:type="dxa"/>
                  <w:vAlign w:val="center"/>
                </w:tcPr>
                <w:p w14:paraId="012673A1">
                  <w:pPr>
                    <w:pStyle w:val="35"/>
                    <w:keepNext w:val="0"/>
                    <w:keepLines w:val="0"/>
                    <w:suppressLineNumbers w:val="0"/>
                    <w:spacing w:before="0" w:beforeAutospacing="0" w:after="0" w:afterAutospacing="0"/>
                    <w:ind w:left="0" w:leftChars="0" w:right="0" w:rightChars="0"/>
                    <w:rPr>
                      <w:bCs/>
                      <w:color w:val="auto"/>
                      <w:sz w:val="21"/>
                      <w:szCs w:val="21"/>
                      <w:highlight w:val="none"/>
                    </w:rPr>
                  </w:pPr>
                  <w:r>
                    <w:rPr>
                      <w:rFonts w:hint="default" w:ascii="Times New Roman" w:hAnsi="Times New Roman" w:cs="Times New Roman"/>
                      <w:b w:val="0"/>
                      <w:bCs/>
                      <w:color w:val="auto"/>
                      <w:sz w:val="21"/>
                      <w:szCs w:val="21"/>
                      <w:highlight w:val="none"/>
                    </w:rPr>
                    <w:t>6</w:t>
                  </w:r>
                </w:p>
              </w:tc>
              <w:tc>
                <w:tcPr>
                  <w:tcW w:w="1550" w:type="dxa"/>
                  <w:vAlign w:val="center"/>
                </w:tcPr>
                <w:p w14:paraId="3705499F">
                  <w:pPr>
                    <w:pStyle w:val="35"/>
                    <w:keepNext w:val="0"/>
                    <w:keepLines w:val="0"/>
                    <w:suppressLineNumbers w:val="0"/>
                    <w:spacing w:before="0" w:beforeAutospacing="0" w:after="0" w:afterAutospacing="0"/>
                    <w:ind w:left="0" w:leftChars="0" w:right="0" w:rightChars="0"/>
                    <w:rPr>
                      <w:rFonts w:hint="eastAsia"/>
                      <w:bCs/>
                      <w:color w:val="auto"/>
                      <w:sz w:val="21"/>
                      <w:szCs w:val="21"/>
                      <w:highlight w:val="none"/>
                    </w:rPr>
                  </w:pPr>
                  <w:r>
                    <w:rPr>
                      <w:rFonts w:hint="default" w:ascii="Times New Roman" w:hAnsi="Times New Roman" w:cs="Times New Roman"/>
                      <w:b w:val="0"/>
                      <w:bCs/>
                      <w:color w:val="auto"/>
                      <w:sz w:val="21"/>
                      <w:szCs w:val="21"/>
                      <w:highlight w:val="none"/>
                    </w:rPr>
                    <w:t>监控点处1h平均浓度值</w:t>
                  </w:r>
                </w:p>
              </w:tc>
              <w:tc>
                <w:tcPr>
                  <w:tcW w:w="2755" w:type="dxa"/>
                  <w:vMerge w:val="restart"/>
                  <w:vAlign w:val="center"/>
                </w:tcPr>
                <w:p w14:paraId="0CD9645A">
                  <w:pPr>
                    <w:jc w:val="center"/>
                    <w:rPr>
                      <w:rFonts w:hint="eastAsia"/>
                      <w:bCs/>
                      <w:color w:val="auto"/>
                      <w:sz w:val="21"/>
                      <w:szCs w:val="21"/>
                      <w:highlight w:val="none"/>
                    </w:rPr>
                  </w:pPr>
                  <w:r>
                    <w:rPr>
                      <w:rFonts w:hint="eastAsia"/>
                      <w:bCs/>
                      <w:color w:val="auto"/>
                      <w:sz w:val="21"/>
                      <w:szCs w:val="21"/>
                      <w:highlight w:val="none"/>
                      <w:lang w:eastAsia="zh-CN"/>
                    </w:rPr>
                    <w:t>《</w:t>
                  </w:r>
                  <w:r>
                    <w:rPr>
                      <w:rFonts w:hint="eastAsia"/>
                      <w:bCs/>
                      <w:color w:val="auto"/>
                      <w:sz w:val="21"/>
                      <w:szCs w:val="21"/>
                      <w:highlight w:val="none"/>
                      <w:lang w:val="en-US" w:eastAsia="zh-CN"/>
                    </w:rPr>
                    <w:t>固定源挥发性有机物综合排放标准第6部分:其他行业》（DB34/4812.6-2024）</w:t>
                  </w:r>
                </w:p>
              </w:tc>
            </w:tr>
            <w:tr w14:paraId="7318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9" w:type="dxa"/>
                  <w:vMerge w:val="continue"/>
                  <w:vAlign w:val="center"/>
                </w:tcPr>
                <w:p w14:paraId="0F73B5F6">
                  <w:pPr>
                    <w:jc w:val="center"/>
                    <w:rPr>
                      <w:bCs/>
                      <w:color w:val="auto"/>
                      <w:sz w:val="21"/>
                      <w:szCs w:val="21"/>
                      <w:highlight w:val="none"/>
                    </w:rPr>
                  </w:pPr>
                </w:p>
              </w:tc>
              <w:tc>
                <w:tcPr>
                  <w:tcW w:w="1305" w:type="dxa"/>
                  <w:vMerge w:val="continue"/>
                  <w:vAlign w:val="center"/>
                </w:tcPr>
                <w:p w14:paraId="37799A4C">
                  <w:pPr>
                    <w:pStyle w:val="35"/>
                    <w:keepNext w:val="0"/>
                    <w:keepLines w:val="0"/>
                    <w:suppressLineNumbers w:val="0"/>
                    <w:spacing w:before="0" w:beforeAutospacing="0" w:after="0" w:afterAutospacing="0"/>
                    <w:ind w:left="0" w:leftChars="0" w:right="0" w:rightChars="0"/>
                    <w:rPr>
                      <w:bCs/>
                      <w:color w:val="auto"/>
                      <w:sz w:val="21"/>
                      <w:szCs w:val="21"/>
                      <w:highlight w:val="none"/>
                    </w:rPr>
                  </w:pPr>
                </w:p>
              </w:tc>
              <w:tc>
                <w:tcPr>
                  <w:tcW w:w="1365" w:type="dxa"/>
                  <w:vAlign w:val="center"/>
                </w:tcPr>
                <w:p w14:paraId="2A379081">
                  <w:pPr>
                    <w:pStyle w:val="35"/>
                    <w:keepNext w:val="0"/>
                    <w:keepLines w:val="0"/>
                    <w:suppressLineNumbers w:val="0"/>
                    <w:spacing w:before="0" w:beforeAutospacing="0" w:after="0" w:afterAutospacing="0"/>
                    <w:ind w:left="0" w:leftChars="0" w:right="0" w:rightChars="0"/>
                    <w:rPr>
                      <w:bCs/>
                      <w:color w:val="auto"/>
                      <w:sz w:val="21"/>
                      <w:szCs w:val="21"/>
                      <w:highlight w:val="none"/>
                    </w:rPr>
                  </w:pPr>
                  <w:r>
                    <w:rPr>
                      <w:rFonts w:hint="default" w:ascii="Times New Roman" w:hAnsi="Times New Roman" w:cs="Times New Roman"/>
                      <w:b w:val="0"/>
                      <w:bCs/>
                      <w:color w:val="auto"/>
                      <w:sz w:val="21"/>
                      <w:szCs w:val="21"/>
                      <w:highlight w:val="none"/>
                    </w:rPr>
                    <w:t>20</w:t>
                  </w:r>
                </w:p>
              </w:tc>
              <w:tc>
                <w:tcPr>
                  <w:tcW w:w="1550" w:type="dxa"/>
                  <w:vAlign w:val="center"/>
                </w:tcPr>
                <w:p w14:paraId="673A153A">
                  <w:pPr>
                    <w:pStyle w:val="35"/>
                    <w:keepNext w:val="0"/>
                    <w:keepLines w:val="0"/>
                    <w:suppressLineNumbers w:val="0"/>
                    <w:spacing w:before="0" w:beforeAutospacing="0" w:after="0" w:afterAutospacing="0"/>
                    <w:ind w:left="0" w:leftChars="0" w:right="0" w:rightChars="0"/>
                    <w:rPr>
                      <w:rFonts w:hint="eastAsia"/>
                      <w:bCs/>
                      <w:color w:val="auto"/>
                      <w:sz w:val="21"/>
                      <w:szCs w:val="21"/>
                      <w:highlight w:val="none"/>
                    </w:rPr>
                  </w:pPr>
                  <w:r>
                    <w:rPr>
                      <w:rFonts w:hint="default" w:ascii="Times New Roman" w:hAnsi="Times New Roman" w:cs="Times New Roman"/>
                      <w:b w:val="0"/>
                      <w:bCs/>
                      <w:color w:val="auto"/>
                      <w:sz w:val="21"/>
                      <w:szCs w:val="21"/>
                      <w:highlight w:val="none"/>
                    </w:rPr>
                    <w:t>监控点处任意一次浓度值</w:t>
                  </w:r>
                </w:p>
              </w:tc>
              <w:tc>
                <w:tcPr>
                  <w:tcW w:w="2755" w:type="dxa"/>
                  <w:vMerge w:val="continue"/>
                  <w:vAlign w:val="center"/>
                </w:tcPr>
                <w:p w14:paraId="3774A90A">
                  <w:pPr>
                    <w:jc w:val="center"/>
                    <w:rPr>
                      <w:rFonts w:hint="eastAsia"/>
                      <w:bCs/>
                      <w:color w:val="auto"/>
                      <w:sz w:val="21"/>
                      <w:szCs w:val="21"/>
                      <w:highlight w:val="none"/>
                    </w:rPr>
                  </w:pPr>
                </w:p>
              </w:tc>
            </w:tr>
          </w:tbl>
          <w:p w14:paraId="2CB8B3B4">
            <w:pPr>
              <w:adjustRightInd w:val="0"/>
              <w:snapToGrid w:val="0"/>
              <w:spacing w:before="120" w:beforeLines="50" w:line="360" w:lineRule="auto"/>
              <w:rPr>
                <w:b/>
                <w:color w:val="auto"/>
                <w:highlight w:val="none"/>
              </w:rPr>
            </w:pPr>
            <w:r>
              <w:rPr>
                <w:b/>
                <w:color w:val="auto"/>
                <w:highlight w:val="none"/>
              </w:rPr>
              <w:t>3、噪声排放标准</w:t>
            </w:r>
          </w:p>
          <w:p w14:paraId="68822E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color w:val="auto"/>
                <w:highlight w:val="none"/>
              </w:rPr>
              <w:t>运营</w:t>
            </w:r>
            <w:r>
              <w:rPr>
                <w:color w:val="auto"/>
                <w:highlight w:val="none"/>
              </w:rPr>
              <w:t>期噪声执行《工业企业厂界环境噪声排放标准》（GB12348-2008）中</w:t>
            </w:r>
            <w:r>
              <w:rPr>
                <w:rFonts w:hint="eastAsia"/>
                <w:color w:val="auto"/>
                <w:highlight w:val="none"/>
              </w:rPr>
              <w:t>3</w:t>
            </w:r>
            <w:r>
              <w:rPr>
                <w:color w:val="auto"/>
                <w:highlight w:val="none"/>
              </w:rPr>
              <w:t>类标准。其标准限值见</w:t>
            </w:r>
            <w:r>
              <w:rPr>
                <w:rFonts w:hint="eastAsia"/>
                <w:color w:val="auto"/>
                <w:highlight w:val="none"/>
              </w:rPr>
              <w:t>下</w:t>
            </w:r>
            <w:r>
              <w:rPr>
                <w:color w:val="auto"/>
                <w:highlight w:val="none"/>
              </w:rPr>
              <w:t>表。</w:t>
            </w:r>
          </w:p>
          <w:p w14:paraId="37B33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highlight w:val="none"/>
              </w:rPr>
            </w:pPr>
            <w:r>
              <w:rPr>
                <w:rFonts w:hint="eastAsia"/>
                <w:b/>
                <w:color w:val="auto"/>
                <w:highlight w:val="none"/>
              </w:rPr>
              <w:t>表3</w:t>
            </w:r>
            <w:r>
              <w:rPr>
                <w:rFonts w:hint="eastAsia"/>
                <w:b/>
                <w:color w:val="auto"/>
                <w:highlight w:val="none"/>
                <w:lang w:val="en-US" w:eastAsia="zh-CN"/>
              </w:rPr>
              <w:t>-8</w:t>
            </w:r>
            <w:r>
              <w:rPr>
                <w:rFonts w:hint="eastAsia"/>
                <w:b/>
                <w:color w:val="auto"/>
                <w:highlight w:val="none"/>
              </w:rPr>
              <w:t xml:space="preserve">  工业企业厂界环境噪声排放标准 </w:t>
            </w:r>
            <w:r>
              <w:rPr>
                <w:rFonts w:hint="eastAsia"/>
                <w:b/>
                <w:color w:val="auto"/>
                <w:highlight w:val="none"/>
                <w:lang w:val="en-US" w:eastAsia="zh-CN"/>
              </w:rPr>
              <w:t xml:space="preserve"> </w:t>
            </w:r>
            <w:r>
              <w:rPr>
                <w:rFonts w:hint="eastAsia"/>
                <w:b/>
                <w:color w:val="auto"/>
                <w:highlight w:val="none"/>
              </w:rPr>
              <w:t>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9"/>
              <w:gridCol w:w="2380"/>
              <w:gridCol w:w="1965"/>
            </w:tblGrid>
            <w:tr w14:paraId="4B4F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5" w:type="dxa"/>
                  <w:vAlign w:val="center"/>
                </w:tcPr>
                <w:p w14:paraId="21B6BAE7">
                  <w:pPr>
                    <w:autoSpaceDE w:val="0"/>
                    <w:autoSpaceDN w:val="0"/>
                    <w:adjustRightInd w:val="0"/>
                    <w:snapToGrid w:val="0"/>
                    <w:spacing w:before="48" w:beforeLines="20"/>
                    <w:jc w:val="center"/>
                    <w:rPr>
                      <w:b/>
                      <w:color w:val="auto"/>
                      <w:sz w:val="21"/>
                      <w:szCs w:val="21"/>
                      <w:highlight w:val="none"/>
                      <w:lang w:val="zh-CN"/>
                    </w:rPr>
                  </w:pPr>
                  <w:r>
                    <w:rPr>
                      <w:b/>
                      <w:color w:val="auto"/>
                      <w:sz w:val="21"/>
                      <w:szCs w:val="21"/>
                      <w:highlight w:val="none"/>
                      <w:lang w:val="zh-CN"/>
                    </w:rPr>
                    <w:t>声环境功能区类别</w:t>
                  </w:r>
                </w:p>
              </w:tc>
              <w:tc>
                <w:tcPr>
                  <w:tcW w:w="2643" w:type="dxa"/>
                  <w:vAlign w:val="center"/>
                </w:tcPr>
                <w:p w14:paraId="26A1A4AB">
                  <w:pPr>
                    <w:autoSpaceDE w:val="0"/>
                    <w:autoSpaceDN w:val="0"/>
                    <w:adjustRightInd w:val="0"/>
                    <w:snapToGrid w:val="0"/>
                    <w:spacing w:before="48" w:beforeLines="20"/>
                    <w:jc w:val="center"/>
                    <w:rPr>
                      <w:b/>
                      <w:color w:val="auto"/>
                      <w:sz w:val="21"/>
                      <w:szCs w:val="21"/>
                      <w:highlight w:val="none"/>
                      <w:lang w:val="zh-CN"/>
                    </w:rPr>
                  </w:pPr>
                  <w:r>
                    <w:rPr>
                      <w:b/>
                      <w:color w:val="auto"/>
                      <w:sz w:val="21"/>
                      <w:szCs w:val="21"/>
                      <w:highlight w:val="none"/>
                      <w:lang w:val="zh-CN"/>
                    </w:rPr>
                    <w:t>昼间</w:t>
                  </w:r>
                </w:p>
              </w:tc>
              <w:tc>
                <w:tcPr>
                  <w:tcW w:w="2177" w:type="dxa"/>
                  <w:vAlign w:val="center"/>
                </w:tcPr>
                <w:p w14:paraId="6DFC4576">
                  <w:pPr>
                    <w:autoSpaceDE w:val="0"/>
                    <w:autoSpaceDN w:val="0"/>
                    <w:adjustRightInd w:val="0"/>
                    <w:snapToGrid w:val="0"/>
                    <w:spacing w:before="48" w:beforeLines="20"/>
                    <w:jc w:val="center"/>
                    <w:rPr>
                      <w:b/>
                      <w:color w:val="auto"/>
                      <w:sz w:val="21"/>
                      <w:szCs w:val="21"/>
                      <w:highlight w:val="none"/>
                      <w:lang w:val="zh-CN"/>
                    </w:rPr>
                  </w:pPr>
                  <w:r>
                    <w:rPr>
                      <w:b/>
                      <w:color w:val="auto"/>
                      <w:sz w:val="21"/>
                      <w:szCs w:val="21"/>
                      <w:highlight w:val="none"/>
                      <w:lang w:val="zh-CN"/>
                    </w:rPr>
                    <w:t>夜间</w:t>
                  </w:r>
                </w:p>
              </w:tc>
            </w:tr>
            <w:tr w14:paraId="6675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5" w:type="dxa"/>
                  <w:vAlign w:val="center"/>
                </w:tcPr>
                <w:p w14:paraId="3CEFACCD">
                  <w:pPr>
                    <w:autoSpaceDE w:val="0"/>
                    <w:autoSpaceDN w:val="0"/>
                    <w:adjustRightInd w:val="0"/>
                    <w:snapToGrid w:val="0"/>
                    <w:spacing w:before="48" w:beforeLines="20"/>
                    <w:jc w:val="center"/>
                    <w:rPr>
                      <w:bCs/>
                      <w:color w:val="auto"/>
                      <w:sz w:val="21"/>
                      <w:szCs w:val="21"/>
                      <w:highlight w:val="none"/>
                      <w:lang w:val="zh-CN"/>
                    </w:rPr>
                  </w:pPr>
                  <w:r>
                    <w:rPr>
                      <w:rFonts w:hint="eastAsia"/>
                      <w:bCs/>
                      <w:color w:val="auto"/>
                      <w:sz w:val="21"/>
                      <w:szCs w:val="21"/>
                      <w:highlight w:val="none"/>
                    </w:rPr>
                    <w:t>3</w:t>
                  </w:r>
                  <w:r>
                    <w:rPr>
                      <w:bCs/>
                      <w:color w:val="auto"/>
                      <w:sz w:val="21"/>
                      <w:szCs w:val="21"/>
                      <w:highlight w:val="none"/>
                      <w:lang w:val="zh-CN"/>
                    </w:rPr>
                    <w:t>类</w:t>
                  </w:r>
                </w:p>
              </w:tc>
              <w:tc>
                <w:tcPr>
                  <w:tcW w:w="2643" w:type="dxa"/>
                  <w:vAlign w:val="center"/>
                </w:tcPr>
                <w:p w14:paraId="0B261378">
                  <w:pPr>
                    <w:autoSpaceDE w:val="0"/>
                    <w:autoSpaceDN w:val="0"/>
                    <w:adjustRightInd w:val="0"/>
                    <w:snapToGrid w:val="0"/>
                    <w:spacing w:before="48" w:beforeLines="20"/>
                    <w:jc w:val="center"/>
                    <w:rPr>
                      <w:bCs/>
                      <w:color w:val="auto"/>
                      <w:sz w:val="21"/>
                      <w:szCs w:val="21"/>
                      <w:highlight w:val="none"/>
                    </w:rPr>
                  </w:pPr>
                  <w:r>
                    <w:rPr>
                      <w:rFonts w:hint="eastAsia"/>
                      <w:bCs/>
                      <w:color w:val="auto"/>
                      <w:sz w:val="21"/>
                      <w:szCs w:val="21"/>
                      <w:highlight w:val="none"/>
                    </w:rPr>
                    <w:t>65</w:t>
                  </w:r>
                </w:p>
              </w:tc>
              <w:tc>
                <w:tcPr>
                  <w:tcW w:w="2177" w:type="dxa"/>
                  <w:vAlign w:val="center"/>
                </w:tcPr>
                <w:p w14:paraId="5A63EF14">
                  <w:pPr>
                    <w:autoSpaceDE w:val="0"/>
                    <w:autoSpaceDN w:val="0"/>
                    <w:adjustRightInd w:val="0"/>
                    <w:snapToGrid w:val="0"/>
                    <w:spacing w:before="48" w:beforeLines="20"/>
                    <w:jc w:val="center"/>
                    <w:rPr>
                      <w:bCs/>
                      <w:color w:val="auto"/>
                      <w:sz w:val="21"/>
                      <w:szCs w:val="21"/>
                      <w:highlight w:val="none"/>
                    </w:rPr>
                  </w:pPr>
                  <w:r>
                    <w:rPr>
                      <w:rFonts w:hint="eastAsia"/>
                      <w:bCs/>
                      <w:color w:val="auto"/>
                      <w:sz w:val="21"/>
                      <w:szCs w:val="21"/>
                      <w:highlight w:val="none"/>
                    </w:rPr>
                    <w:t>55</w:t>
                  </w:r>
                </w:p>
              </w:tc>
            </w:tr>
          </w:tbl>
          <w:p w14:paraId="3A96AD1B">
            <w:pPr>
              <w:adjustRightInd w:val="0"/>
              <w:snapToGrid w:val="0"/>
              <w:spacing w:before="120" w:beforeLines="50" w:line="360" w:lineRule="auto"/>
              <w:rPr>
                <w:b/>
                <w:bCs/>
                <w:color w:val="auto"/>
                <w:szCs w:val="32"/>
                <w:highlight w:val="none"/>
              </w:rPr>
            </w:pPr>
            <w:r>
              <w:rPr>
                <w:b/>
                <w:bCs/>
                <w:color w:val="auto"/>
                <w:szCs w:val="32"/>
                <w:highlight w:val="none"/>
              </w:rPr>
              <w:t>4、固废排放标准</w:t>
            </w:r>
          </w:p>
          <w:p w14:paraId="2EC67F48">
            <w:pPr>
              <w:adjustRightInd w:val="0"/>
              <w:snapToGrid w:val="0"/>
              <w:spacing w:before="0" w:beforeAutospacing="0" w:after="0" w:afterAutospacing="0" w:line="360" w:lineRule="auto"/>
              <w:ind w:firstLine="480" w:firstLineChars="200"/>
              <w:jc w:val="both"/>
              <w:outlineLvl w:val="0"/>
              <w:rPr>
                <w:rFonts w:hint="default"/>
                <w:color w:val="auto"/>
                <w:highlight w:val="none"/>
                <w:lang w:val="en-US" w:eastAsia="zh-CN"/>
              </w:rPr>
            </w:pPr>
            <w:r>
              <w:rPr>
                <w:rFonts w:hint="eastAsia" w:ascii="Times New Roman" w:hAnsi="Times New Roman"/>
                <w:color w:val="auto"/>
                <w:szCs w:val="24"/>
                <w:highlight w:val="none"/>
              </w:rPr>
              <w:t>一般固废</w:t>
            </w:r>
            <w:r>
              <w:rPr>
                <w:rFonts w:hint="eastAsia"/>
                <w:color w:val="auto"/>
                <w:szCs w:val="24"/>
                <w:highlight w:val="none"/>
                <w:lang w:eastAsia="zh-CN"/>
              </w:rPr>
              <w:t>参照</w:t>
            </w:r>
            <w:r>
              <w:rPr>
                <w:rFonts w:hint="eastAsia" w:ascii="Times New Roman" w:hAnsi="Times New Roman"/>
                <w:color w:val="auto"/>
                <w:szCs w:val="24"/>
                <w:highlight w:val="none"/>
              </w:rPr>
              <w:t>执行《一般工业固体废物贮存和填埋污染控制标准》（GB18599-2020）。</w:t>
            </w:r>
            <w:r>
              <w:rPr>
                <w:rFonts w:ascii="Times New Roman" w:hAnsi="Times New Roman"/>
                <w:color w:val="auto"/>
                <w:szCs w:val="24"/>
                <w:highlight w:val="none"/>
              </w:rPr>
              <w:t>危险废物</w:t>
            </w:r>
            <w:r>
              <w:rPr>
                <w:rFonts w:hint="eastAsia" w:ascii="Times New Roman" w:hAnsi="Times New Roman"/>
                <w:color w:val="auto"/>
                <w:szCs w:val="24"/>
                <w:highlight w:val="none"/>
              </w:rPr>
              <w:t>执行</w:t>
            </w:r>
            <w:r>
              <w:rPr>
                <w:rFonts w:ascii="Times New Roman" w:hAnsi="Times New Roman"/>
                <w:color w:val="auto"/>
                <w:szCs w:val="24"/>
                <w:highlight w:val="none"/>
              </w:rPr>
              <w:t>《危险废物贮存污染控制标准》（GB 18597</w:t>
            </w:r>
            <w:r>
              <w:rPr>
                <w:rFonts w:hint="eastAsia" w:ascii="Times New Roman" w:hAnsi="Times New Roman"/>
                <w:color w:val="auto"/>
                <w:szCs w:val="24"/>
                <w:highlight w:val="none"/>
              </w:rPr>
              <w:t>-</w:t>
            </w:r>
            <w:r>
              <w:rPr>
                <w:rFonts w:ascii="Times New Roman" w:hAnsi="Times New Roman"/>
                <w:color w:val="auto"/>
                <w:szCs w:val="24"/>
                <w:highlight w:val="none"/>
              </w:rPr>
              <w:t>2023）。</w:t>
            </w:r>
          </w:p>
        </w:tc>
      </w:tr>
      <w:tr w14:paraId="3B58A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800" w:type="dxa"/>
            <w:vAlign w:val="center"/>
          </w:tcPr>
          <w:p w14:paraId="03AD8408">
            <w:pPr>
              <w:adjustRightInd w:val="0"/>
              <w:snapToGrid w:val="0"/>
              <w:jc w:val="center"/>
              <w:rPr>
                <w:rFonts w:ascii="Times New Roman" w:hAnsi="Times New Roman"/>
                <w:snapToGrid w:val="0"/>
                <w:color w:val="auto"/>
                <w:szCs w:val="24"/>
                <w:highlight w:val="none"/>
              </w:rPr>
            </w:pPr>
            <w:r>
              <w:rPr>
                <w:color w:val="auto"/>
                <w:kern w:val="0"/>
                <w:highlight w:val="none"/>
              </w:rPr>
              <w:t>总量控制</w:t>
            </w:r>
            <w:r>
              <w:rPr>
                <w:rFonts w:ascii="Times New Roman" w:hAnsi="Times New Roman"/>
                <w:color w:val="auto"/>
                <w:szCs w:val="24"/>
                <w:highlight w:val="none"/>
              </w:rPr>
              <w:t>指标</w:t>
            </w:r>
          </w:p>
        </w:tc>
        <w:tc>
          <w:tcPr>
            <w:tcW w:w="8190" w:type="dxa"/>
          </w:tcPr>
          <w:p w14:paraId="603E945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color w:val="auto"/>
                <w:sz w:val="24"/>
                <w:highlight w:val="none"/>
              </w:rPr>
            </w:pPr>
            <w:r>
              <w:rPr>
                <w:rFonts w:hint="eastAsia"/>
                <w:color w:val="auto"/>
                <w:sz w:val="24"/>
                <w:highlight w:val="none"/>
              </w:rPr>
              <w:t>根据安徽省主要污染物排放总量控制计划，总量控制因子为二氧化硫、氮氧化物、烟（粉）尘、挥发性有机物、COD和氨氮。本项目涉及的废</w:t>
            </w:r>
            <w:r>
              <w:rPr>
                <w:rFonts w:hint="eastAsia"/>
                <w:color w:val="auto"/>
                <w:sz w:val="24"/>
                <w:highlight w:val="none"/>
                <w:lang w:val="en-US" w:eastAsia="zh-CN"/>
              </w:rPr>
              <w:t>水</w:t>
            </w:r>
            <w:r>
              <w:rPr>
                <w:rFonts w:hint="eastAsia"/>
                <w:color w:val="auto"/>
                <w:sz w:val="24"/>
                <w:highlight w:val="none"/>
              </w:rPr>
              <w:t>总量控制因子为COD和氨氮。涉及的废</w:t>
            </w:r>
            <w:r>
              <w:rPr>
                <w:rFonts w:hint="eastAsia"/>
                <w:color w:val="auto"/>
                <w:sz w:val="24"/>
                <w:highlight w:val="none"/>
                <w:lang w:val="en-US" w:eastAsia="zh-CN"/>
              </w:rPr>
              <w:t>气</w:t>
            </w:r>
            <w:r>
              <w:rPr>
                <w:rFonts w:hint="eastAsia"/>
                <w:color w:val="auto"/>
                <w:sz w:val="24"/>
                <w:highlight w:val="none"/>
              </w:rPr>
              <w:t>总量控制因子为烟（粉）尘</w:t>
            </w:r>
            <w:r>
              <w:rPr>
                <w:rFonts w:hint="eastAsia"/>
                <w:color w:val="auto"/>
                <w:sz w:val="24"/>
                <w:highlight w:val="none"/>
                <w:lang w:eastAsia="zh-CN"/>
              </w:rPr>
              <w:t>，</w:t>
            </w:r>
            <w:r>
              <w:rPr>
                <w:rFonts w:hint="eastAsia"/>
                <w:color w:val="auto"/>
                <w:sz w:val="24"/>
                <w:highlight w:val="none"/>
              </w:rPr>
              <w:t>核算本项目污染总量控制指标，具体如下：</w:t>
            </w:r>
          </w:p>
          <w:p w14:paraId="611F6A9B">
            <w:pPr>
              <w:adjustRightInd w:val="0"/>
              <w:snapToGrid w:val="0"/>
              <w:spacing w:before="0" w:beforeLines="0" w:line="360" w:lineRule="auto"/>
              <w:ind w:firstLine="480" w:firstLineChars="200"/>
              <w:jc w:val="left"/>
              <w:rPr>
                <w:rFonts w:hint="eastAsia"/>
                <w:color w:val="auto"/>
                <w:sz w:val="24"/>
                <w:highlight w:val="none"/>
              </w:rPr>
            </w:pPr>
            <w:r>
              <w:rPr>
                <w:rFonts w:hint="eastAsia"/>
                <w:color w:val="auto"/>
                <w:sz w:val="24"/>
                <w:highlight w:val="none"/>
              </w:rPr>
              <w:t>（1）废水</w:t>
            </w:r>
          </w:p>
          <w:p w14:paraId="6F251896">
            <w:pPr>
              <w:pStyle w:val="1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根据计算本</w:t>
            </w:r>
            <w:r>
              <w:rPr>
                <w:rFonts w:hint="default" w:ascii="Times New Roman" w:hAnsi="Times New Roman" w:cs="Times New Roman"/>
                <w:color w:val="auto"/>
                <w:sz w:val="24"/>
                <w:szCs w:val="24"/>
                <w:highlight w:val="none"/>
                <w:lang w:val="en-US" w:eastAsia="zh-CN"/>
              </w:rPr>
              <w:t>次</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废水</w:t>
            </w:r>
            <w:r>
              <w:rPr>
                <w:rFonts w:hint="default" w:ascii="Times New Roman" w:hAnsi="Times New Roman" w:cs="Times New Roman"/>
                <w:color w:val="auto"/>
                <w:sz w:val="24"/>
                <w:szCs w:val="24"/>
                <w:highlight w:val="none"/>
              </w:rPr>
              <w:t>污染物排放总量为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化学需氧量（COD）</w:t>
            </w:r>
            <w:r>
              <w:rPr>
                <w:rFonts w:hint="eastAsia" w:cs="Times New Roman"/>
                <w:color w:val="auto"/>
                <w:sz w:val="24"/>
                <w:szCs w:val="24"/>
                <w:highlight w:val="none"/>
                <w:lang w:val="en-US" w:eastAsia="zh-CN"/>
              </w:rPr>
              <w:t>0.171t</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val="en-US" w:eastAsia="zh-CN"/>
              </w:rPr>
              <w:t>氨氮</w:t>
            </w:r>
            <w:r>
              <w:rPr>
                <w:rFonts w:hint="eastAsia" w:cs="Times New Roman"/>
                <w:color w:val="auto"/>
                <w:sz w:val="24"/>
                <w:szCs w:val="24"/>
                <w:highlight w:val="none"/>
                <w:lang w:val="en-US" w:eastAsia="zh-CN"/>
              </w:rPr>
              <w:t>0.016</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w:t>
            </w:r>
          </w:p>
          <w:p w14:paraId="3E4F3523">
            <w:pPr>
              <w:adjustRightInd w:val="0"/>
              <w:snapToGrid w:val="0"/>
              <w:spacing w:before="0" w:beforeLines="0" w:line="360" w:lineRule="auto"/>
              <w:ind w:firstLine="480" w:firstLineChars="200"/>
              <w:jc w:val="left"/>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lang w:val="en-US" w:eastAsia="zh-CN"/>
              </w:rPr>
              <w:t>废气</w:t>
            </w:r>
          </w:p>
          <w:p w14:paraId="0BCDDBA2">
            <w:pPr>
              <w:tabs>
                <w:tab w:val="left" w:pos="805"/>
              </w:tabs>
              <w:adjustRightInd w:val="0"/>
              <w:snapToGrid w:val="0"/>
              <w:spacing w:beforeLines="0" w:line="360" w:lineRule="auto"/>
              <w:ind w:firstLine="480" w:firstLineChars="200"/>
              <w:outlineLvl w:val="0"/>
              <w:rPr>
                <w:rFonts w:hint="default" w:ascii="Times New Roman" w:hAnsi="Times New Roman" w:eastAsia="宋体"/>
                <w:color w:val="auto"/>
                <w:szCs w:val="24"/>
                <w:highlight w:val="none"/>
                <w:lang w:val="en-US" w:eastAsia="zh-CN"/>
              </w:rPr>
            </w:pPr>
            <w:r>
              <w:rPr>
                <w:rFonts w:hint="eastAsia"/>
                <w:color w:val="auto"/>
                <w:sz w:val="24"/>
                <w:highlight w:val="none"/>
              </w:rPr>
              <w:t>根据《建设项目主要污染物排放总量指标核定表（试行）》项目主要污染物排放总量控制目标</w:t>
            </w:r>
            <w:r>
              <w:rPr>
                <w:color w:val="auto"/>
                <w:highlight w:val="none"/>
              </w:rPr>
              <w:t>，</w:t>
            </w:r>
            <w:r>
              <w:rPr>
                <w:rFonts w:hint="eastAsia"/>
                <w:color w:val="auto"/>
                <w:highlight w:val="none"/>
              </w:rPr>
              <w:t>本</w:t>
            </w:r>
            <w:r>
              <w:rPr>
                <w:color w:val="auto"/>
                <w:highlight w:val="none"/>
              </w:rPr>
              <w:t>项目许可排放总量为：</w:t>
            </w:r>
            <w:r>
              <w:rPr>
                <w:rFonts w:hint="eastAsia"/>
                <w:color w:val="auto"/>
                <w:highlight w:val="none"/>
              </w:rPr>
              <w:t>烟粉尘</w:t>
            </w:r>
            <w:r>
              <w:rPr>
                <w:rFonts w:hint="eastAsia"/>
                <w:color w:val="auto"/>
                <w:highlight w:val="none"/>
                <w:lang w:eastAsia="zh-CN"/>
              </w:rPr>
              <w:t>：</w:t>
            </w:r>
            <w:r>
              <w:rPr>
                <w:rFonts w:hint="eastAsia"/>
                <w:color w:val="auto"/>
                <w:highlight w:val="none"/>
              </w:rPr>
              <w:t>0.309吨/年、挥发性有机物</w:t>
            </w:r>
            <w:r>
              <w:rPr>
                <w:rFonts w:hint="eastAsia"/>
                <w:color w:val="auto"/>
                <w:highlight w:val="none"/>
                <w:lang w:eastAsia="zh-CN"/>
              </w:rPr>
              <w:t>：</w:t>
            </w:r>
            <w:r>
              <w:rPr>
                <w:rFonts w:hint="eastAsia"/>
                <w:color w:val="auto"/>
                <w:highlight w:val="none"/>
              </w:rPr>
              <w:t>0.519吨/年，该项目所需总量从泗县天成新型建材有限公司和泗县林星板业有限责任公司2021年关闭减排量中调剂解决。</w:t>
            </w:r>
            <w:r>
              <w:rPr>
                <w:rFonts w:hint="eastAsia"/>
                <w:color w:val="auto"/>
                <w:highlight w:val="none"/>
                <w:lang w:val="en-US" w:eastAsia="zh-CN"/>
              </w:rPr>
              <w:t>本项目排放量为</w:t>
            </w:r>
            <w:r>
              <w:rPr>
                <w:rFonts w:hint="eastAsia"/>
                <w:color w:val="auto"/>
                <w:highlight w:val="none"/>
              </w:rPr>
              <w:t>烟粉尘</w:t>
            </w:r>
            <w:r>
              <w:rPr>
                <w:rFonts w:hint="eastAsia"/>
                <w:color w:val="auto"/>
                <w:highlight w:val="none"/>
                <w:lang w:eastAsia="zh-CN"/>
              </w:rPr>
              <w:t>：</w:t>
            </w:r>
            <w:r>
              <w:rPr>
                <w:rFonts w:hint="eastAsia"/>
                <w:color w:val="auto"/>
                <w:highlight w:val="none"/>
                <w:lang w:val="en-US" w:eastAsia="zh-CN"/>
              </w:rPr>
              <w:t>0.292</w:t>
            </w:r>
            <w:r>
              <w:rPr>
                <w:rFonts w:hint="eastAsia"/>
                <w:color w:val="auto"/>
                <w:highlight w:val="none"/>
              </w:rPr>
              <w:t>吨/年、挥发性有机物</w:t>
            </w:r>
            <w:r>
              <w:rPr>
                <w:rFonts w:hint="eastAsia"/>
                <w:color w:val="auto"/>
                <w:highlight w:val="none"/>
                <w:lang w:eastAsia="zh-CN"/>
              </w:rPr>
              <w:t>：</w:t>
            </w:r>
            <w:r>
              <w:rPr>
                <w:rFonts w:hint="eastAsia"/>
                <w:color w:val="auto"/>
                <w:highlight w:val="none"/>
              </w:rPr>
              <w:t>0.51</w:t>
            </w:r>
            <w:r>
              <w:rPr>
                <w:rFonts w:hint="eastAsia"/>
                <w:color w:val="auto"/>
                <w:highlight w:val="none"/>
                <w:lang w:val="en-US" w:eastAsia="zh-CN"/>
              </w:rPr>
              <w:t>7</w:t>
            </w:r>
            <w:r>
              <w:rPr>
                <w:rFonts w:hint="eastAsia"/>
                <w:color w:val="auto"/>
                <w:highlight w:val="none"/>
              </w:rPr>
              <w:t>吨/年，</w:t>
            </w:r>
            <w:r>
              <w:rPr>
                <w:rFonts w:hint="eastAsia"/>
                <w:color w:val="auto"/>
                <w:highlight w:val="none"/>
                <w:lang w:val="en-US" w:eastAsia="zh-CN"/>
              </w:rPr>
              <w:t>满足排放总量要求。</w:t>
            </w:r>
          </w:p>
        </w:tc>
      </w:tr>
    </w:tbl>
    <w:p w14:paraId="4E15D75B">
      <w:pPr>
        <w:jc w:val="both"/>
        <w:outlineLvl w:val="0"/>
        <w:rPr>
          <w:rFonts w:ascii="黑体" w:hAnsi="黑体" w:eastAsia="黑体"/>
          <w:snapToGrid w:val="0"/>
          <w:color w:val="auto"/>
          <w:sz w:val="36"/>
          <w:szCs w:val="36"/>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A4B437F">
      <w:pPr>
        <w:spacing w:line="360" w:lineRule="auto"/>
        <w:jc w:val="center"/>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sz w:val="30"/>
          <w:szCs w:val="30"/>
          <w:highlight w:val="none"/>
        </w:rPr>
        <w:t>四、主要环境影响和保护措施</w:t>
      </w:r>
    </w:p>
    <w:tbl>
      <w:tblPr>
        <w:tblStyle w:val="21"/>
        <w:tblW w:w="90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74"/>
      </w:tblGrid>
      <w:tr w14:paraId="2BD2E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70" w:type="dxa"/>
            <w:tcMar>
              <w:left w:w="28" w:type="dxa"/>
              <w:right w:w="28" w:type="dxa"/>
            </w:tcMar>
            <w:vAlign w:val="center"/>
          </w:tcPr>
          <w:p w14:paraId="1677A099">
            <w:pPr>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Cs w:val="24"/>
                <w:highlight w:val="none"/>
              </w:rPr>
              <w:t>施工期环境保护措施</w:t>
            </w:r>
          </w:p>
        </w:tc>
        <w:tc>
          <w:tcPr>
            <w:tcW w:w="8374" w:type="dxa"/>
            <w:vAlign w:val="center"/>
          </w:tcPr>
          <w:p w14:paraId="5120775A">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auto"/>
                <w:highlight w:val="none"/>
              </w:rPr>
            </w:pPr>
            <w:r>
              <w:rPr>
                <w:b/>
                <w:color w:val="auto"/>
                <w:highlight w:val="none"/>
                <w:lang w:bidi="ar"/>
              </w:rPr>
              <w:t>主要污染工序</w:t>
            </w:r>
          </w:p>
          <w:p w14:paraId="3B28520C">
            <w:pPr>
              <w:spacing w:line="360" w:lineRule="auto"/>
              <w:ind w:firstLine="482" w:firstLineChars="200"/>
              <w:rPr>
                <w:b/>
                <w:color w:val="auto"/>
                <w:highlight w:val="none"/>
              </w:rPr>
            </w:pPr>
            <w:r>
              <w:rPr>
                <w:b/>
                <w:color w:val="auto"/>
                <w:highlight w:val="none"/>
                <w:lang w:bidi="ar"/>
              </w:rPr>
              <w:t>一、大气环境保护措施</w:t>
            </w:r>
          </w:p>
          <w:p w14:paraId="6CCDA349">
            <w:pPr>
              <w:spacing w:before="0" w:after="0" w:line="360" w:lineRule="auto"/>
              <w:ind w:firstLine="480" w:firstLineChars="200"/>
              <w:rPr>
                <w:color w:val="auto"/>
                <w:kern w:val="2"/>
                <w:sz w:val="24"/>
                <w:szCs w:val="24"/>
                <w:highlight w:val="none"/>
                <w:lang w:bidi="ar"/>
              </w:rPr>
            </w:pPr>
            <w:r>
              <w:rPr>
                <w:rFonts w:hint="eastAsia"/>
                <w:color w:val="auto"/>
                <w:sz w:val="24"/>
                <w:szCs w:val="24"/>
                <w:highlight w:val="none"/>
              </w:rPr>
              <w:t>本</w:t>
            </w:r>
            <w:r>
              <w:rPr>
                <w:color w:val="auto"/>
                <w:sz w:val="24"/>
                <w:szCs w:val="24"/>
                <w:highlight w:val="none"/>
              </w:rPr>
              <w:t>项目</w:t>
            </w:r>
            <w:r>
              <w:rPr>
                <w:rFonts w:hint="eastAsia"/>
                <w:color w:val="auto"/>
                <w:sz w:val="24"/>
                <w:szCs w:val="24"/>
                <w:highlight w:val="none"/>
                <w:lang w:val="en-US" w:eastAsia="zh-CN"/>
              </w:rPr>
              <w:t>租赁厂房，</w:t>
            </w:r>
            <w:r>
              <w:rPr>
                <w:rFonts w:hint="eastAsia"/>
                <w:color w:val="auto"/>
                <w:sz w:val="24"/>
                <w:szCs w:val="24"/>
                <w:highlight w:val="none"/>
              </w:rPr>
              <w:t>主体工程已建设完成</w:t>
            </w:r>
            <w:r>
              <w:rPr>
                <w:color w:val="auto"/>
                <w:sz w:val="24"/>
                <w:szCs w:val="24"/>
                <w:highlight w:val="none"/>
              </w:rPr>
              <w:t>，</w:t>
            </w:r>
            <w:r>
              <w:rPr>
                <w:rFonts w:ascii="宋体" w:hAnsi="宋体" w:cs="宋体"/>
                <w:color w:val="auto"/>
                <w:sz w:val="24"/>
                <w:szCs w:val="24"/>
                <w:highlight w:val="none"/>
              </w:rPr>
              <w:t>仅进行设备</w:t>
            </w:r>
            <w:r>
              <w:rPr>
                <w:color w:val="auto"/>
                <w:sz w:val="24"/>
                <w:szCs w:val="24"/>
                <w:highlight w:val="none"/>
              </w:rPr>
              <w:t>的安装</w:t>
            </w:r>
            <w:r>
              <w:rPr>
                <w:rFonts w:hint="eastAsia"/>
                <w:color w:val="auto"/>
                <w:sz w:val="24"/>
                <w:szCs w:val="24"/>
                <w:highlight w:val="none"/>
              </w:rPr>
              <w:t>，无涉及厂房改造，</w:t>
            </w:r>
            <w:r>
              <w:rPr>
                <w:color w:val="auto"/>
                <w:sz w:val="24"/>
                <w:szCs w:val="24"/>
                <w:highlight w:val="none"/>
              </w:rPr>
              <w:t>不需大型施工机器施工，</w:t>
            </w:r>
            <w:r>
              <w:rPr>
                <w:rFonts w:ascii="宋体" w:hAnsi="宋体" w:cs="宋体"/>
                <w:color w:val="auto"/>
                <w:sz w:val="24"/>
                <w:szCs w:val="24"/>
                <w:highlight w:val="none"/>
              </w:rPr>
              <w:t>人员走动和设备安装产生的少量扬尘采取定期洒水</w:t>
            </w:r>
            <w:r>
              <w:rPr>
                <w:bCs/>
                <w:color w:val="auto"/>
                <w:sz w:val="24"/>
                <w:szCs w:val="24"/>
                <w:highlight w:val="none"/>
                <w:lang w:bidi="ar"/>
              </w:rPr>
              <w:t>措施</w:t>
            </w:r>
            <w:r>
              <w:rPr>
                <w:rFonts w:ascii="宋体" w:hAnsi="宋体" w:cs="宋体"/>
                <w:color w:val="auto"/>
                <w:sz w:val="24"/>
                <w:szCs w:val="24"/>
                <w:highlight w:val="none"/>
              </w:rPr>
              <w:t>，减少施工扬尘对周边环境影响</w:t>
            </w:r>
            <w:r>
              <w:rPr>
                <w:color w:val="auto"/>
                <w:sz w:val="24"/>
                <w:szCs w:val="24"/>
                <w:highlight w:val="none"/>
              </w:rPr>
              <w:t>。</w:t>
            </w:r>
          </w:p>
          <w:p w14:paraId="79AE4721">
            <w:pPr>
              <w:spacing w:line="360" w:lineRule="auto"/>
              <w:ind w:firstLine="482" w:firstLineChars="200"/>
              <w:rPr>
                <w:b/>
                <w:bCs/>
                <w:color w:val="auto"/>
                <w:highlight w:val="none"/>
                <w:lang w:bidi="ar"/>
              </w:rPr>
            </w:pPr>
            <w:r>
              <w:rPr>
                <w:b/>
                <w:bCs/>
                <w:color w:val="auto"/>
                <w:highlight w:val="none"/>
              </w:rPr>
              <w:t>二、水环境保护措施</w:t>
            </w:r>
          </w:p>
          <w:p w14:paraId="2607A243">
            <w:pPr>
              <w:spacing w:before="0" w:after="0" w:line="360" w:lineRule="auto"/>
              <w:ind w:right="0" w:firstLine="480" w:firstLineChars="200"/>
              <w:rPr>
                <w:color w:val="auto"/>
                <w:sz w:val="24"/>
                <w:szCs w:val="24"/>
                <w:highlight w:val="none"/>
              </w:rPr>
            </w:pPr>
            <w:r>
              <w:rPr>
                <w:color w:val="auto"/>
                <w:sz w:val="24"/>
                <w:szCs w:val="24"/>
                <w:highlight w:val="none"/>
              </w:rPr>
              <w:t>本项目施工人员产生的生活废水经</w:t>
            </w:r>
            <w:r>
              <w:rPr>
                <w:rFonts w:hint="eastAsia"/>
                <w:color w:val="auto"/>
                <w:sz w:val="24"/>
                <w:szCs w:val="24"/>
                <w:highlight w:val="none"/>
                <w:lang w:val="en-US" w:eastAsia="zh-CN"/>
              </w:rPr>
              <w:t>化粪池</w:t>
            </w:r>
            <w:r>
              <w:rPr>
                <w:color w:val="auto"/>
                <w:sz w:val="24"/>
                <w:szCs w:val="24"/>
                <w:highlight w:val="none"/>
              </w:rPr>
              <w:t>处理</w:t>
            </w:r>
            <w:r>
              <w:rPr>
                <w:color w:val="auto"/>
                <w:sz w:val="24"/>
                <w:szCs w:val="24"/>
                <w:highlight w:val="none"/>
                <w:lang w:bidi="ar"/>
              </w:rPr>
              <w:t>水质简单</w:t>
            </w:r>
            <w:r>
              <w:rPr>
                <w:color w:val="auto"/>
                <w:sz w:val="24"/>
                <w:szCs w:val="24"/>
                <w:highlight w:val="none"/>
              </w:rPr>
              <w:t>，通过废水总排放口</w:t>
            </w:r>
            <w:r>
              <w:rPr>
                <w:rFonts w:ascii="Times New Roman" w:hAnsi="Times New Roman" w:eastAsia="宋体" w:cs="Times New Roman"/>
                <w:color w:val="auto"/>
                <w:sz w:val="24"/>
                <w:szCs w:val="24"/>
                <w:highlight w:val="none"/>
              </w:rPr>
              <w:t>经污水管网</w:t>
            </w:r>
            <w:r>
              <w:rPr>
                <w:rFonts w:hint="eastAsia" w:ascii="Times New Roman" w:hAnsi="Times New Roman" w:eastAsia="宋体" w:cs="Times New Roman"/>
                <w:color w:val="auto"/>
                <w:sz w:val="24"/>
                <w:szCs w:val="24"/>
                <w:highlight w:val="none"/>
              </w:rPr>
              <w:t>排入</w:t>
            </w:r>
            <w:r>
              <w:rPr>
                <w:rFonts w:hint="eastAsia" w:cs="Times New Roman"/>
                <w:color w:val="auto"/>
                <w:sz w:val="24"/>
                <w:szCs w:val="24"/>
                <w:highlight w:val="none"/>
                <w:lang w:val="en-US" w:eastAsia="zh-CN"/>
              </w:rPr>
              <w:t>泗县工业</w:t>
            </w:r>
            <w:r>
              <w:rPr>
                <w:rFonts w:ascii="Times New Roman" w:hAnsi="Times New Roman" w:eastAsia="宋体" w:cs="Times New Roman"/>
                <w:color w:val="auto"/>
                <w:sz w:val="24"/>
                <w:szCs w:val="24"/>
                <w:highlight w:val="none"/>
              </w:rPr>
              <w:t>污水处理厂</w:t>
            </w:r>
            <w:r>
              <w:rPr>
                <w:rFonts w:hint="eastAsia" w:ascii="Times New Roman" w:hAnsi="Times New Roman" w:eastAsia="宋体" w:cs="Times New Roman"/>
                <w:color w:val="auto"/>
                <w:sz w:val="24"/>
                <w:szCs w:val="24"/>
                <w:highlight w:val="none"/>
              </w:rPr>
              <w:t>进一步处理，</w:t>
            </w:r>
            <w:r>
              <w:rPr>
                <w:rFonts w:ascii="Times New Roman" w:hAnsi="Times New Roman" w:eastAsia="宋体" w:cs="Times New Roman"/>
                <w:color w:val="auto"/>
                <w:sz w:val="24"/>
                <w:szCs w:val="24"/>
                <w:highlight w:val="none"/>
              </w:rPr>
              <w:t>达标排入</w:t>
            </w:r>
            <w:r>
              <w:rPr>
                <w:rFonts w:hint="eastAsia" w:cs="Times New Roman"/>
                <w:color w:val="auto"/>
                <w:sz w:val="24"/>
                <w:szCs w:val="24"/>
                <w:highlight w:val="none"/>
                <w:lang w:val="en-US" w:eastAsia="zh-CN"/>
              </w:rPr>
              <w:t>石梁河</w:t>
            </w:r>
            <w:r>
              <w:rPr>
                <w:rFonts w:ascii="Times New Roman" w:hAnsi="Times New Roman" w:eastAsia="宋体" w:cs="Times New Roman"/>
                <w:color w:val="auto"/>
                <w:sz w:val="24"/>
                <w:szCs w:val="24"/>
                <w:highlight w:val="none"/>
              </w:rPr>
              <w:t>。通过采取上述废水治理措</w:t>
            </w:r>
            <w:r>
              <w:rPr>
                <w:color w:val="auto"/>
                <w:sz w:val="24"/>
                <w:szCs w:val="24"/>
                <w:highlight w:val="none"/>
              </w:rPr>
              <w:t>施后，项目施工期产生的废水可以得到妥善处理，不会对项目所在区域地表水环境产生影响。</w:t>
            </w:r>
          </w:p>
          <w:p w14:paraId="2E1F529E">
            <w:pPr>
              <w:spacing w:line="360" w:lineRule="auto"/>
              <w:ind w:firstLine="482" w:firstLineChars="200"/>
              <w:rPr>
                <w:b/>
                <w:bCs/>
                <w:color w:val="auto"/>
                <w:sz w:val="24"/>
                <w:szCs w:val="24"/>
                <w:highlight w:val="none"/>
                <w:lang w:bidi="ar"/>
              </w:rPr>
            </w:pPr>
            <w:r>
              <w:rPr>
                <w:b/>
                <w:bCs/>
                <w:color w:val="auto"/>
                <w:sz w:val="24"/>
                <w:szCs w:val="24"/>
                <w:highlight w:val="none"/>
              </w:rPr>
              <w:t>三、声环境保护措施</w:t>
            </w:r>
          </w:p>
          <w:p w14:paraId="414F5626">
            <w:pPr>
              <w:spacing w:after="60" w:line="360" w:lineRule="auto"/>
              <w:ind w:left="547" w:leftChars="228"/>
              <w:rPr>
                <w:color w:val="auto"/>
                <w:sz w:val="24"/>
                <w:szCs w:val="24"/>
                <w:highlight w:val="none"/>
                <w:lang w:bidi="ar"/>
              </w:rPr>
            </w:pPr>
            <w:r>
              <w:rPr>
                <w:color w:val="auto"/>
                <w:sz w:val="24"/>
                <w:szCs w:val="24"/>
                <w:highlight w:val="none"/>
              </w:rPr>
              <w:t>本项目施工方应在施工期采取有效的噪声控制措施：</w:t>
            </w:r>
          </w:p>
          <w:p w14:paraId="28B21A59">
            <w:pPr>
              <w:spacing w:before="0" w:after="0" w:line="360" w:lineRule="auto"/>
              <w:ind w:right="0" w:firstLine="480" w:firstLineChars="200"/>
              <w:rPr>
                <w:color w:val="auto"/>
                <w:sz w:val="24"/>
                <w:szCs w:val="24"/>
                <w:highlight w:val="none"/>
                <w:lang w:bidi="ar"/>
              </w:rPr>
            </w:pPr>
            <w:r>
              <w:rPr>
                <w:color w:val="auto"/>
                <w:sz w:val="24"/>
                <w:szCs w:val="24"/>
                <w:highlight w:val="none"/>
              </w:rPr>
              <w:t>①合理安排施工时间，高噪声设备禁止在夜间</w:t>
            </w:r>
            <w:r>
              <w:rPr>
                <w:rFonts w:hint="eastAsia"/>
                <w:color w:val="auto"/>
                <w:sz w:val="24"/>
                <w:szCs w:val="24"/>
                <w:highlight w:val="none"/>
              </w:rPr>
              <w:t>（</w:t>
            </w:r>
            <w:r>
              <w:rPr>
                <w:color w:val="auto"/>
                <w:sz w:val="24"/>
                <w:szCs w:val="24"/>
                <w:highlight w:val="none"/>
              </w:rPr>
              <w:t>22:00-6:00</w:t>
            </w:r>
            <w:r>
              <w:rPr>
                <w:rFonts w:hint="eastAsia"/>
                <w:color w:val="auto"/>
                <w:sz w:val="24"/>
                <w:szCs w:val="24"/>
                <w:highlight w:val="none"/>
              </w:rPr>
              <w:t>）</w:t>
            </w:r>
            <w:r>
              <w:rPr>
                <w:color w:val="auto"/>
                <w:sz w:val="24"/>
                <w:szCs w:val="24"/>
                <w:highlight w:val="none"/>
              </w:rPr>
              <w:t>进行施工，尤其是要严格控制施工机械噪声值在大于85dB</w:t>
            </w:r>
            <w:r>
              <w:rPr>
                <w:rFonts w:hint="eastAsia"/>
                <w:color w:val="auto"/>
                <w:sz w:val="24"/>
                <w:szCs w:val="24"/>
                <w:highlight w:val="none"/>
              </w:rPr>
              <w:t>（</w:t>
            </w:r>
            <w:r>
              <w:rPr>
                <w:color w:val="auto"/>
                <w:sz w:val="24"/>
                <w:szCs w:val="24"/>
                <w:highlight w:val="none"/>
              </w:rPr>
              <w:t>A</w:t>
            </w:r>
            <w:r>
              <w:rPr>
                <w:rFonts w:hint="eastAsia"/>
                <w:color w:val="auto"/>
                <w:sz w:val="24"/>
                <w:szCs w:val="24"/>
                <w:highlight w:val="none"/>
              </w:rPr>
              <w:t>）</w:t>
            </w:r>
            <w:r>
              <w:rPr>
                <w:color w:val="auto"/>
                <w:sz w:val="24"/>
                <w:szCs w:val="24"/>
                <w:highlight w:val="none"/>
              </w:rPr>
              <w:t>的作业。</w:t>
            </w:r>
          </w:p>
          <w:p w14:paraId="4ACE125F">
            <w:pPr>
              <w:spacing w:line="360" w:lineRule="auto"/>
              <w:ind w:firstLine="480" w:firstLineChars="200"/>
              <w:rPr>
                <w:rFonts w:hint="eastAsia" w:eastAsia="宋体"/>
                <w:color w:val="auto"/>
                <w:highlight w:val="none"/>
                <w:lang w:eastAsia="zh-CN"/>
              </w:rPr>
            </w:pPr>
            <w:r>
              <w:rPr>
                <w:color w:val="auto"/>
                <w:highlight w:val="none"/>
              </w:rPr>
              <w:t>②加强管理，尽量减少人为噪声（如设备、原材料的装卸、搬运等）。</w:t>
            </w:r>
          </w:p>
          <w:p w14:paraId="13F34BD7">
            <w:pPr>
              <w:spacing w:line="360" w:lineRule="auto"/>
              <w:ind w:firstLine="480" w:firstLineChars="200"/>
              <w:rPr>
                <w:color w:val="auto"/>
                <w:highlight w:val="none"/>
                <w:lang w:bidi="ar"/>
              </w:rPr>
            </w:pPr>
            <w:r>
              <w:rPr>
                <w:color w:val="auto"/>
                <w:highlight w:val="none"/>
              </w:rPr>
              <w:t>由于本项目施工工期较短，负面影响只是暂时性的，在采取隔声降噪措施和严格管理下，场界噪声能达到国家《建筑施工场界环境噪声排放标准》（GB12523</w:t>
            </w:r>
            <w:r>
              <w:rPr>
                <w:rFonts w:hint="default" w:ascii="Times New Roman" w:hAnsi="Times New Roman" w:cs="Times New Roman"/>
                <w:color w:val="auto"/>
                <w:highlight w:val="none"/>
              </w:rPr>
              <w:t>－</w:t>
            </w:r>
            <w:r>
              <w:rPr>
                <w:color w:val="auto"/>
                <w:highlight w:val="none"/>
              </w:rPr>
              <w:t>2011）的规定，因此在采取以上措施后，施工噪声对周围环境产生的影响较小。</w:t>
            </w:r>
          </w:p>
          <w:p w14:paraId="3125505A">
            <w:pPr>
              <w:spacing w:line="360" w:lineRule="auto"/>
              <w:ind w:firstLine="482" w:firstLineChars="200"/>
              <w:rPr>
                <w:b/>
                <w:bCs/>
                <w:color w:val="auto"/>
                <w:sz w:val="24"/>
                <w:szCs w:val="24"/>
                <w:highlight w:val="none"/>
                <w:lang w:bidi="ar"/>
              </w:rPr>
            </w:pPr>
            <w:r>
              <w:rPr>
                <w:b/>
                <w:bCs/>
                <w:color w:val="auto"/>
                <w:sz w:val="24"/>
                <w:szCs w:val="24"/>
                <w:highlight w:val="none"/>
              </w:rPr>
              <w:t>四、固体废弃物保护措施</w:t>
            </w:r>
          </w:p>
          <w:p w14:paraId="1BF6623A">
            <w:pPr>
              <w:spacing w:line="360" w:lineRule="auto"/>
              <w:ind w:firstLine="480" w:firstLineChars="200"/>
              <w:rPr>
                <w:color w:val="auto"/>
                <w:szCs w:val="32"/>
                <w:highlight w:val="none"/>
                <w:lang w:bidi="ar"/>
              </w:rPr>
            </w:pPr>
            <w:r>
              <w:rPr>
                <w:color w:val="auto"/>
                <w:highlight w:val="none"/>
              </w:rPr>
              <w:t>项目施工人员产生的生活垃圾</w:t>
            </w:r>
            <w:r>
              <w:rPr>
                <w:rFonts w:hint="eastAsia" w:ascii="宋体" w:hAnsi="宋体" w:cs="宋体"/>
                <w:color w:val="auto"/>
                <w:highlight w:val="none"/>
              </w:rPr>
              <w:t>及装修废物</w:t>
            </w:r>
            <w:r>
              <w:rPr>
                <w:color w:val="auto"/>
                <w:highlight w:val="none"/>
              </w:rPr>
              <w:t>应全部及时交由环卫部门进行处置。施工期产生的环境影响相对营运期而言属于短期和暂时影响，环境影响随着施工期的结束而消失。</w:t>
            </w:r>
          </w:p>
        </w:tc>
      </w:tr>
      <w:tr w14:paraId="4CD7C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7" w:hRule="atLeast"/>
          <w:jc w:val="center"/>
        </w:trPr>
        <w:tc>
          <w:tcPr>
            <w:tcW w:w="670" w:type="dxa"/>
            <w:tcMar>
              <w:left w:w="28" w:type="dxa"/>
              <w:right w:w="28" w:type="dxa"/>
            </w:tcMar>
            <w:vAlign w:val="center"/>
          </w:tcPr>
          <w:p w14:paraId="61F0D62A">
            <w:pPr>
              <w:adjustRightInd w:val="0"/>
              <w:snapToGrid w:val="0"/>
              <w:jc w:val="center"/>
              <w:rPr>
                <w:bCs/>
                <w:color w:val="auto"/>
                <w:highlight w:val="none"/>
              </w:rPr>
            </w:pPr>
            <w:r>
              <w:rPr>
                <w:bCs/>
                <w:color w:val="auto"/>
                <w:highlight w:val="none"/>
              </w:rPr>
              <w:t>运营期环境影响和保护措施</w:t>
            </w:r>
          </w:p>
        </w:tc>
        <w:tc>
          <w:tcPr>
            <w:tcW w:w="8374" w:type="dxa"/>
          </w:tcPr>
          <w:p w14:paraId="5E2C737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left"/>
              <w:textAlignment w:val="auto"/>
              <w:rPr>
                <w:rFonts w:hint="eastAsia"/>
                <w:b/>
                <w:bCs/>
                <w:color w:val="auto"/>
                <w:highlight w:val="none"/>
              </w:rPr>
            </w:pPr>
            <w:r>
              <w:rPr>
                <w:rFonts w:hint="eastAsia"/>
                <w:b/>
                <w:bCs/>
                <w:color w:val="auto"/>
                <w:highlight w:val="none"/>
                <w:lang w:val="en-US" w:eastAsia="zh-CN"/>
              </w:rPr>
              <w:t>一、</w:t>
            </w:r>
            <w:r>
              <w:rPr>
                <w:rFonts w:hint="eastAsia"/>
                <w:b/>
                <w:bCs/>
                <w:color w:val="auto"/>
                <w:highlight w:val="none"/>
              </w:rPr>
              <w:t>大气污染</w:t>
            </w:r>
          </w:p>
          <w:p w14:paraId="63F81286">
            <w:pPr>
              <w:numPr>
                <w:ilvl w:val="0"/>
                <w:numId w:val="0"/>
              </w:numPr>
              <w:adjustRightInd w:val="0"/>
              <w:snapToGrid w:val="0"/>
              <w:spacing w:line="360" w:lineRule="auto"/>
              <w:ind w:firstLine="480" w:firstLineChars="200"/>
              <w:jc w:val="left"/>
              <w:rPr>
                <w:rFonts w:hint="eastAsia"/>
                <w:b/>
                <w:bCs/>
                <w:color w:val="auto"/>
                <w:highlight w:val="none"/>
              </w:rPr>
            </w:pPr>
            <w:r>
              <w:rPr>
                <w:color w:val="auto"/>
                <w:highlight w:val="none"/>
              </w:rPr>
              <w:t>项目运营期废气主要是</w:t>
            </w:r>
            <w:r>
              <w:rPr>
                <w:rFonts w:hint="eastAsia"/>
                <w:color w:val="auto"/>
                <w:highlight w:val="none"/>
                <w:lang w:val="en-US" w:eastAsia="zh-CN"/>
              </w:rPr>
              <w:t>注塑废气；喷漆以及烘干工序产生的喷漆废气</w:t>
            </w:r>
            <w:r>
              <w:rPr>
                <w:rFonts w:hint="eastAsia"/>
                <w:color w:val="auto"/>
                <w:highlight w:val="none"/>
              </w:rPr>
              <w:t>，</w:t>
            </w:r>
            <w:r>
              <w:rPr>
                <w:rFonts w:hint="eastAsia" w:ascii="宋体" w:hAnsi="宋体" w:cs="宋体"/>
                <w:color w:val="auto"/>
                <w:highlight w:val="none"/>
              </w:rPr>
              <w:t>废气污染源强分析如下</w:t>
            </w:r>
            <w:r>
              <w:rPr>
                <w:rFonts w:hint="eastAsia" w:ascii="宋体" w:hAnsi="宋体"/>
                <w:color w:val="auto"/>
                <w:highlight w:val="none"/>
              </w:rPr>
              <w:t>：</w:t>
            </w:r>
          </w:p>
          <w:p w14:paraId="4A210417">
            <w:pPr>
              <w:adjustRightInd w:val="0"/>
              <w:snapToGrid w:val="0"/>
              <w:spacing w:line="360" w:lineRule="auto"/>
              <w:ind w:firstLine="480" w:firstLineChars="200"/>
              <w:jc w:val="left"/>
              <w:rPr>
                <w:b/>
                <w:bCs/>
                <w:color w:val="auto"/>
                <w:highlight w:val="none"/>
              </w:rPr>
            </w:pPr>
            <w:r>
              <w:rPr>
                <w:rFonts w:hint="eastAsia"/>
                <w:color w:val="auto"/>
                <w:highlight w:val="none"/>
              </w:rPr>
              <w:t>污染源强核算</w:t>
            </w:r>
          </w:p>
          <w:p w14:paraId="52C7A43A">
            <w:pPr>
              <w:spacing w:line="360" w:lineRule="auto"/>
              <w:ind w:firstLine="482" w:firstLineChars="200"/>
              <w:rPr>
                <w:rFonts w:hint="default" w:ascii="Times New Roman" w:hAnsi="Times New Roman" w:cs="Times New Roman"/>
                <w:b/>
                <w:bCs/>
                <w:color w:val="000000"/>
                <w:sz w:val="24"/>
                <w:lang w:val="en-US" w:eastAsia="zh-CN"/>
              </w:rPr>
            </w:pPr>
            <w:r>
              <w:rPr>
                <w:rFonts w:hint="eastAsia" w:cs="Times New Roman"/>
                <w:b/>
                <w:bCs/>
                <w:color w:val="000000"/>
                <w:sz w:val="24"/>
                <w:lang w:val="en-US" w:eastAsia="zh-CN"/>
              </w:rPr>
              <w:t>1、注塑废气</w:t>
            </w:r>
          </w:p>
          <w:p w14:paraId="5D4231BD">
            <w:pPr>
              <w:spacing w:line="360" w:lineRule="auto"/>
              <w:ind w:firstLine="480" w:firstLineChars="200"/>
              <w:rPr>
                <w:rFonts w:hint="eastAsia"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项目在</w:t>
            </w:r>
            <w:r>
              <w:rPr>
                <w:rFonts w:hint="eastAsia" w:cs="Times New Roman"/>
                <w:color w:val="000000"/>
                <w:sz w:val="24"/>
                <w:lang w:val="en-US" w:eastAsia="zh-CN"/>
              </w:rPr>
              <w:t>注塑工序中会产生注塑废气</w:t>
            </w:r>
            <w:r>
              <w:rPr>
                <w:rFonts w:hint="eastAsia" w:ascii="Times New Roman" w:hAnsi="Times New Roman" w:cs="Times New Roman"/>
                <w:color w:val="000000"/>
                <w:sz w:val="24"/>
                <w:lang w:val="en-US" w:eastAsia="zh-CN"/>
              </w:rPr>
              <w:t>，</w:t>
            </w:r>
            <w:r>
              <w:rPr>
                <w:rFonts w:hint="eastAsia" w:ascii="Times New Roman" w:hAnsi="Times New Roman" w:cs="Times New Roman"/>
                <w:b w:val="0"/>
                <w:bCs w:val="0"/>
                <w:sz w:val="24"/>
                <w:lang w:val="en-US" w:eastAsia="zh-CN"/>
              </w:rPr>
              <w:t>参考《排放源统计调查产排污核算方法和系数手册》（公告2021年第24号）中的“2929 塑料零件及其他塑料制品制造行业系数表（续表1）”“塑料零件-树脂、助剂-配料、混合、挤出/注塑”工艺排污系数为2.7kg/t-产品</w:t>
            </w:r>
            <w:r>
              <w:rPr>
                <w:rFonts w:hint="eastAsia" w:ascii="Times New Roman" w:hAnsi="Times New Roman" w:cs="Times New Roman"/>
                <w:color w:val="000000"/>
                <w:sz w:val="24"/>
                <w:lang w:val="en-US" w:eastAsia="zh-CN"/>
              </w:rPr>
              <w:t>，根据企业提供资料，</w:t>
            </w:r>
            <w:r>
              <w:rPr>
                <w:rFonts w:hint="eastAsia" w:cs="Times New Roman"/>
                <w:color w:val="000000"/>
                <w:sz w:val="24"/>
                <w:lang w:val="en-US" w:eastAsia="zh-CN"/>
              </w:rPr>
              <w:t>注塑原料约为600</w:t>
            </w:r>
            <w:r>
              <w:rPr>
                <w:rFonts w:hint="eastAsia" w:ascii="Times New Roman" w:hAnsi="Times New Roman" w:cs="Times New Roman"/>
                <w:color w:val="000000"/>
                <w:sz w:val="24"/>
                <w:lang w:val="en-US" w:eastAsia="zh-CN"/>
              </w:rPr>
              <w:t>t/a，则</w:t>
            </w:r>
            <w:r>
              <w:rPr>
                <w:rFonts w:hint="eastAsia" w:cs="Times New Roman"/>
                <w:color w:val="000000"/>
                <w:sz w:val="24"/>
                <w:lang w:val="en-US" w:eastAsia="zh-CN"/>
              </w:rPr>
              <w:t>注塑废气</w:t>
            </w:r>
            <w:r>
              <w:rPr>
                <w:rFonts w:hint="eastAsia" w:ascii="Times New Roman" w:hAnsi="Times New Roman" w:cs="Times New Roman"/>
                <w:color w:val="000000"/>
                <w:sz w:val="24"/>
                <w:lang w:val="en-US" w:eastAsia="zh-CN"/>
              </w:rPr>
              <w:t>的产生量为</w:t>
            </w:r>
            <w:r>
              <w:rPr>
                <w:rFonts w:hint="eastAsia" w:cs="Times New Roman"/>
                <w:color w:val="000000"/>
                <w:sz w:val="24"/>
                <w:lang w:val="en-US" w:eastAsia="zh-CN"/>
              </w:rPr>
              <w:t>1.62</w:t>
            </w:r>
            <w:r>
              <w:rPr>
                <w:rFonts w:hint="eastAsia" w:ascii="Times New Roman" w:hAnsi="Times New Roman" w:cs="Times New Roman"/>
                <w:color w:val="000000"/>
                <w:sz w:val="24"/>
                <w:lang w:val="en-US" w:eastAsia="zh-CN"/>
              </w:rPr>
              <w:t>t/a。</w:t>
            </w:r>
          </w:p>
          <w:p w14:paraId="5B33AE07">
            <w:pPr>
              <w:spacing w:line="360" w:lineRule="auto"/>
              <w:ind w:firstLine="480" w:firstLineChars="200"/>
              <w:rPr>
                <w:rFonts w:hint="eastAsia" w:cs="Times New Roman"/>
                <w:color w:val="000000"/>
                <w:sz w:val="24"/>
                <w:lang w:val="en-US" w:eastAsia="zh-CN"/>
              </w:rPr>
            </w:pPr>
            <w:r>
              <w:rPr>
                <w:rFonts w:hint="eastAsia" w:ascii="Times New Roman" w:hAnsi="Times New Roman" w:cs="Times New Roman"/>
                <w:color w:val="000000"/>
                <w:sz w:val="24"/>
                <w:lang w:val="en-US" w:eastAsia="zh-CN"/>
              </w:rPr>
              <w:t>项目在注塑机上方设置集气</w:t>
            </w:r>
            <w:r>
              <w:rPr>
                <w:rFonts w:hint="eastAsia" w:cs="Times New Roman"/>
                <w:color w:val="000000"/>
                <w:sz w:val="24"/>
                <w:lang w:val="en-US" w:eastAsia="zh-CN"/>
              </w:rPr>
              <w:t>管道</w:t>
            </w:r>
            <w:r>
              <w:rPr>
                <w:rFonts w:hint="eastAsia" w:ascii="Times New Roman" w:hAnsi="Times New Roman" w:cs="Times New Roman"/>
                <w:color w:val="000000"/>
                <w:sz w:val="24"/>
                <w:lang w:val="en-US" w:eastAsia="zh-CN"/>
              </w:rPr>
              <w:t>，废气经集气</w:t>
            </w:r>
            <w:r>
              <w:rPr>
                <w:rFonts w:hint="eastAsia" w:cs="Times New Roman"/>
                <w:color w:val="000000"/>
                <w:sz w:val="24"/>
                <w:lang w:val="en-US" w:eastAsia="zh-CN"/>
              </w:rPr>
              <w:t>管道</w:t>
            </w:r>
            <w:r>
              <w:rPr>
                <w:rFonts w:hint="eastAsia" w:ascii="Times New Roman" w:hAnsi="Times New Roman" w:cs="Times New Roman"/>
                <w:color w:val="000000"/>
                <w:sz w:val="24"/>
                <w:lang w:val="en-US" w:eastAsia="zh-CN"/>
              </w:rPr>
              <w:t>后通过二级活性炭吸附装置吸附处理后经一根</w:t>
            </w:r>
            <w:r>
              <w:rPr>
                <w:rFonts w:hint="eastAsia" w:cs="Times New Roman"/>
                <w:color w:val="000000"/>
                <w:sz w:val="24"/>
                <w:lang w:val="en-US" w:eastAsia="zh-CN"/>
              </w:rPr>
              <w:t>15</w:t>
            </w:r>
            <w:r>
              <w:rPr>
                <w:rFonts w:hint="eastAsia" w:ascii="Times New Roman" w:hAnsi="Times New Roman" w:cs="Times New Roman"/>
                <w:color w:val="000000"/>
                <w:sz w:val="24"/>
                <w:lang w:val="en-US" w:eastAsia="zh-CN"/>
              </w:rPr>
              <w:t>m高排气筒</w:t>
            </w:r>
            <w:r>
              <w:rPr>
                <w:rFonts w:hint="eastAsia" w:ascii="Times New Roman" w:hAnsi="Times New Roman" w:cs="Times New Roman"/>
                <w:b/>
                <w:bCs/>
                <w:color w:val="000000"/>
                <w:sz w:val="24"/>
                <w:lang w:val="en-US" w:eastAsia="zh-CN"/>
              </w:rPr>
              <w:t>（DA00</w:t>
            </w:r>
            <w:r>
              <w:rPr>
                <w:rFonts w:hint="eastAsia" w:cs="Times New Roman"/>
                <w:b/>
                <w:bCs/>
                <w:color w:val="000000"/>
                <w:sz w:val="24"/>
                <w:lang w:val="en-US" w:eastAsia="zh-CN"/>
              </w:rPr>
              <w:t>1</w:t>
            </w:r>
            <w:r>
              <w:rPr>
                <w:rFonts w:hint="eastAsia" w:ascii="Times New Roman" w:hAnsi="Times New Roman" w:cs="Times New Roman"/>
                <w:b/>
                <w:bCs/>
                <w:color w:val="000000"/>
                <w:sz w:val="24"/>
                <w:lang w:val="en-US" w:eastAsia="zh-CN"/>
              </w:rPr>
              <w:t>）</w:t>
            </w:r>
            <w:r>
              <w:rPr>
                <w:rFonts w:hint="eastAsia" w:ascii="Times New Roman" w:hAnsi="Times New Roman" w:cs="Times New Roman"/>
                <w:color w:val="000000"/>
                <w:sz w:val="24"/>
                <w:lang w:val="en-US" w:eastAsia="zh-CN"/>
              </w:rPr>
              <w:t>排放。本项目收集效率为</w:t>
            </w:r>
            <w:r>
              <w:rPr>
                <w:rFonts w:hint="eastAsia" w:cs="Times New Roman"/>
                <w:color w:val="000000"/>
                <w:sz w:val="24"/>
                <w:lang w:val="en-US" w:eastAsia="zh-CN"/>
              </w:rPr>
              <w:t>90</w:t>
            </w:r>
            <w:r>
              <w:rPr>
                <w:rFonts w:hint="eastAsia" w:ascii="Times New Roman" w:hAnsi="Times New Roman" w:cs="Times New Roman"/>
                <w:color w:val="000000"/>
                <w:sz w:val="24"/>
                <w:lang w:val="en-US" w:eastAsia="zh-CN"/>
              </w:rPr>
              <w:t>%，处理效率为9</w:t>
            </w:r>
            <w:r>
              <w:rPr>
                <w:rFonts w:hint="eastAsia" w:cs="Times New Roman"/>
                <w:color w:val="000000"/>
                <w:sz w:val="24"/>
                <w:lang w:val="en-US" w:eastAsia="zh-CN"/>
              </w:rPr>
              <w:t>0</w:t>
            </w:r>
            <w:r>
              <w:rPr>
                <w:rFonts w:hint="eastAsia" w:ascii="Times New Roman" w:hAnsi="Times New Roman" w:cs="Times New Roman"/>
                <w:color w:val="000000"/>
                <w:sz w:val="24"/>
                <w:lang w:val="en-US" w:eastAsia="zh-CN"/>
              </w:rPr>
              <w:t>%，</w:t>
            </w:r>
            <w:r>
              <w:rPr>
                <w:rFonts w:hint="eastAsia" w:cs="Times New Roman"/>
                <w:color w:val="000000"/>
                <w:sz w:val="24"/>
                <w:lang w:val="en-US" w:eastAsia="zh-CN"/>
              </w:rPr>
              <w:t>注塑</w:t>
            </w:r>
            <w:r>
              <w:rPr>
                <w:rFonts w:hint="eastAsia" w:ascii="Times New Roman" w:hAnsi="Times New Roman" w:cs="Times New Roman"/>
                <w:color w:val="000000"/>
                <w:sz w:val="24"/>
                <w:lang w:val="en-US" w:eastAsia="zh-CN"/>
              </w:rPr>
              <w:t>工序</w:t>
            </w:r>
            <w:r>
              <w:rPr>
                <w:rFonts w:hint="default" w:ascii="Times New Roman" w:hAnsi="Times New Roman" w:cs="Times New Roman"/>
                <w:color w:val="000000"/>
                <w:sz w:val="24"/>
                <w:lang w:val="en-US" w:eastAsia="zh-CN"/>
              </w:rPr>
              <w:t>年工作时间</w:t>
            </w:r>
            <w:r>
              <w:rPr>
                <w:rFonts w:hint="eastAsia" w:cs="Times New Roman"/>
                <w:color w:val="000000"/>
                <w:sz w:val="24"/>
                <w:lang w:val="en-US" w:eastAsia="zh-CN"/>
              </w:rPr>
              <w:t>7200</w:t>
            </w:r>
            <w:r>
              <w:rPr>
                <w:rFonts w:hint="default" w:ascii="Times New Roman" w:hAnsi="Times New Roman" w:cs="Times New Roman"/>
                <w:color w:val="000000"/>
                <w:sz w:val="24"/>
                <w:lang w:val="en-US" w:eastAsia="zh-CN"/>
              </w:rPr>
              <w:t>h</w:t>
            </w:r>
            <w:r>
              <w:rPr>
                <w:rFonts w:hint="eastAsia" w:cs="Times New Roman"/>
                <w:color w:val="000000"/>
                <w:sz w:val="24"/>
                <w:lang w:val="en-US" w:eastAsia="zh-CN"/>
              </w:rPr>
              <w:t>。</w:t>
            </w:r>
          </w:p>
          <w:p w14:paraId="15863C0B">
            <w:pPr>
              <w:spacing w:line="360" w:lineRule="auto"/>
              <w:ind w:firstLine="482" w:firstLineChars="200"/>
              <w:rPr>
                <w:rFonts w:hint="default" w:ascii="Times New Roman" w:hAnsi="Times New Roman" w:cs="Times New Roman"/>
                <w:color w:val="000000"/>
                <w:sz w:val="24"/>
                <w:lang w:val="en-US" w:eastAsia="zh-CN"/>
              </w:rPr>
            </w:pPr>
            <w:r>
              <w:rPr>
                <w:rFonts w:hint="eastAsia" w:ascii="Times New Roman" w:hAnsi="Times New Roman" w:cs="Times New Roman"/>
                <w:b/>
                <w:bCs/>
                <w:color w:val="000000"/>
                <w:sz w:val="24"/>
                <w:lang w:val="en-US" w:eastAsia="zh-CN"/>
              </w:rPr>
              <w:t>则</w:t>
            </w:r>
            <w:r>
              <w:rPr>
                <w:rFonts w:hint="eastAsia" w:cs="Times New Roman"/>
                <w:b/>
                <w:bCs/>
                <w:color w:val="000000"/>
                <w:sz w:val="24"/>
                <w:lang w:val="en-US" w:eastAsia="zh-CN"/>
              </w:rPr>
              <w:t>废气</w:t>
            </w:r>
            <w:r>
              <w:rPr>
                <w:rFonts w:hint="eastAsia" w:ascii="Times New Roman" w:hAnsi="Times New Roman" w:cs="Times New Roman"/>
                <w:b/>
                <w:bCs/>
                <w:color w:val="000000"/>
                <w:sz w:val="24"/>
                <w:lang w:val="en-US" w:eastAsia="zh-CN"/>
              </w:rPr>
              <w:t>有组织排放量为0.</w:t>
            </w:r>
            <w:r>
              <w:rPr>
                <w:rFonts w:hint="eastAsia" w:cs="Times New Roman"/>
                <w:b/>
                <w:bCs/>
                <w:color w:val="000000"/>
                <w:sz w:val="24"/>
                <w:lang w:val="en-US" w:eastAsia="zh-CN"/>
              </w:rPr>
              <w:t>146</w:t>
            </w:r>
            <w:r>
              <w:rPr>
                <w:rFonts w:hint="default" w:ascii="Times New Roman" w:hAnsi="Times New Roman" w:cs="Times New Roman"/>
                <w:b/>
                <w:bCs/>
                <w:color w:val="000000"/>
                <w:sz w:val="24"/>
                <w:lang w:val="en-US" w:eastAsia="zh-CN"/>
              </w:rPr>
              <w:t>t/a</w:t>
            </w:r>
            <w:r>
              <w:rPr>
                <w:rFonts w:hint="eastAsia" w:ascii="Times New Roman" w:hAnsi="Times New Roman" w:cs="Times New Roman"/>
                <w:b/>
                <w:bCs/>
                <w:color w:val="000000"/>
                <w:sz w:val="24"/>
                <w:lang w:val="en-US" w:eastAsia="zh-CN"/>
              </w:rPr>
              <w:t>，</w:t>
            </w:r>
            <w:r>
              <w:rPr>
                <w:rFonts w:hint="eastAsia" w:ascii="Times New Roman" w:hAnsi="Times New Roman" w:cs="Times New Roman"/>
                <w:b/>
                <w:bCs/>
                <w:color w:val="000000"/>
                <w:sz w:val="24"/>
                <w:highlight w:val="none"/>
                <w:lang w:val="en-US" w:eastAsia="zh-CN"/>
              </w:rPr>
              <w:t>排放速率为0.</w:t>
            </w:r>
            <w:r>
              <w:rPr>
                <w:rFonts w:hint="eastAsia" w:cs="Times New Roman"/>
                <w:b/>
                <w:bCs/>
                <w:color w:val="000000"/>
                <w:sz w:val="24"/>
                <w:highlight w:val="none"/>
                <w:lang w:val="en-US" w:eastAsia="zh-CN"/>
              </w:rPr>
              <w:t>02</w:t>
            </w:r>
            <w:r>
              <w:rPr>
                <w:rFonts w:hint="default" w:ascii="Times New Roman" w:hAnsi="Times New Roman" w:cs="Times New Roman"/>
                <w:b/>
                <w:bCs/>
                <w:color w:val="000000"/>
                <w:sz w:val="24"/>
                <w:highlight w:val="none"/>
                <w:lang w:val="en-US" w:eastAsia="zh-CN"/>
              </w:rPr>
              <w:t>kg/h</w:t>
            </w:r>
            <w:r>
              <w:rPr>
                <w:rFonts w:hint="eastAsia" w:ascii="Times New Roman" w:hAnsi="Times New Roman" w:cs="Times New Roman"/>
                <w:b/>
                <w:bCs/>
                <w:color w:val="000000"/>
                <w:sz w:val="24"/>
                <w:highlight w:val="none"/>
                <w:lang w:val="en-US" w:eastAsia="zh-CN"/>
              </w:rPr>
              <w:t>。</w:t>
            </w:r>
          </w:p>
          <w:p w14:paraId="16E07143">
            <w:pPr>
              <w:numPr>
                <w:ilvl w:val="0"/>
                <w:numId w:val="0"/>
              </w:numPr>
              <w:spacing w:line="360" w:lineRule="auto"/>
              <w:ind w:firstLine="480" w:firstLineChars="200"/>
              <w:rPr>
                <w:rFonts w:hint="eastAsia" w:cs="Times New Roman"/>
                <w:b/>
                <w:bCs/>
                <w:color w:val="000000"/>
                <w:kern w:val="2"/>
                <w:sz w:val="24"/>
                <w:szCs w:val="24"/>
                <w:lang w:val="en-US" w:eastAsia="zh-CN" w:bidi="ar-SA"/>
              </w:rPr>
            </w:pPr>
            <w:r>
              <w:rPr>
                <w:rFonts w:hint="eastAsia" w:cs="Times New Roman"/>
                <w:color w:val="000000"/>
                <w:sz w:val="24"/>
                <w:lang w:val="en-US" w:eastAsia="zh-CN"/>
              </w:rPr>
              <w:t>由于原料中含有ABS原料，热熔挤出最高温度为200℃，可能会挥发出苯乙烯及苯烯腈，项目使用ABS塑料量较小，故仅对苯乙烯及苯烯腈进行定性分析。</w:t>
            </w:r>
          </w:p>
          <w:p w14:paraId="27174878">
            <w:pPr>
              <w:numPr>
                <w:ilvl w:val="0"/>
                <w:numId w:val="0"/>
              </w:numPr>
              <w:spacing w:line="360" w:lineRule="auto"/>
              <w:ind w:firstLine="482" w:firstLineChars="200"/>
              <w:rPr>
                <w:rFonts w:hint="eastAsia" w:cs="Times New Roman"/>
                <w:b/>
                <w:bCs/>
                <w:color w:val="000000"/>
                <w:sz w:val="24"/>
                <w:highlight w:val="none"/>
                <w:lang w:val="en-US" w:eastAsia="zh-CN"/>
              </w:rPr>
            </w:pPr>
            <w:r>
              <w:rPr>
                <w:rFonts w:hint="eastAsia" w:cs="Times New Roman"/>
                <w:b/>
                <w:bCs/>
                <w:color w:val="000000"/>
                <w:kern w:val="2"/>
                <w:sz w:val="24"/>
                <w:szCs w:val="24"/>
                <w:lang w:val="en-US" w:eastAsia="zh-CN" w:bidi="ar-SA"/>
              </w:rPr>
              <w:t>2</w:t>
            </w:r>
            <w:r>
              <w:rPr>
                <w:rFonts w:hint="eastAsia" w:ascii="Times New Roman" w:hAnsi="Times New Roman" w:eastAsia="宋体" w:cs="Times New Roman"/>
                <w:b/>
                <w:bCs/>
                <w:color w:val="000000"/>
                <w:kern w:val="2"/>
                <w:sz w:val="24"/>
                <w:szCs w:val="24"/>
                <w:lang w:val="en-US" w:eastAsia="zh-CN" w:bidi="ar-SA"/>
              </w:rPr>
              <w:t>、</w:t>
            </w:r>
            <w:r>
              <w:rPr>
                <w:rFonts w:hint="eastAsia" w:cs="Times New Roman"/>
                <w:b/>
                <w:bCs/>
                <w:color w:val="000000"/>
                <w:kern w:val="2"/>
                <w:sz w:val="24"/>
                <w:szCs w:val="24"/>
                <w:lang w:val="en-US" w:eastAsia="zh-CN" w:bidi="ar-SA"/>
              </w:rPr>
              <w:t>调漆+</w:t>
            </w:r>
            <w:r>
              <w:rPr>
                <w:rFonts w:hint="eastAsia" w:cs="Times New Roman"/>
                <w:b/>
                <w:bCs/>
                <w:color w:val="000000"/>
                <w:sz w:val="24"/>
                <w:highlight w:val="none"/>
                <w:lang w:val="en-US" w:eastAsia="zh-CN"/>
              </w:rPr>
              <w:t>喷漆+烘干废气</w:t>
            </w:r>
          </w:p>
          <w:p w14:paraId="765E40B0">
            <w:pPr>
              <w:numPr>
                <w:ilvl w:val="0"/>
                <w:numId w:val="0"/>
              </w:numPr>
              <w:spacing w:line="360" w:lineRule="auto"/>
              <w:ind w:firstLine="480" w:firstLineChars="200"/>
              <w:rPr>
                <w:rFonts w:hint="default" w:cs="Times New Roman"/>
                <w:b/>
                <w:bCs/>
                <w:color w:val="000000"/>
                <w:sz w:val="24"/>
                <w:highlight w:val="none"/>
                <w:lang w:val="en-US" w:eastAsia="zh-CN"/>
              </w:rPr>
            </w:pPr>
            <w:r>
              <w:rPr>
                <w:rFonts w:hint="eastAsia" w:ascii="Times New Roman" w:hAnsi="Times New Roman" w:cs="Times New Roman"/>
                <w:sz w:val="24"/>
                <w:lang w:val="en-US" w:eastAsia="zh-CN"/>
              </w:rPr>
              <w:t>项目在喷漆工序中会产生</w:t>
            </w:r>
            <w:r>
              <w:rPr>
                <w:rFonts w:ascii="Times New Roman" w:hAnsi="Times New Roman" w:eastAsia="宋体" w:cs="Times New Roman"/>
                <w:sz w:val="24"/>
              </w:rPr>
              <w:t>有机废气（</w:t>
            </w:r>
            <w:r>
              <w:rPr>
                <w:rFonts w:ascii="Times New Roman" w:hAnsi="Times New Roman" w:eastAsia="宋体" w:cs="Times New Roman"/>
                <w:bCs/>
                <w:sz w:val="24"/>
              </w:rPr>
              <w:t>本次核算按最不利情况</w:t>
            </w:r>
            <w:r>
              <w:rPr>
                <w:rFonts w:ascii="Times New Roman" w:hAnsi="Times New Roman" w:eastAsia="宋体" w:cs="Times New Roman"/>
                <w:sz w:val="24"/>
              </w:rPr>
              <w:t>，</w:t>
            </w:r>
            <w:r>
              <w:rPr>
                <w:rFonts w:ascii="Times New Roman" w:hAnsi="Times New Roman" w:eastAsia="宋体" w:cs="Times New Roman"/>
                <w:bCs/>
                <w:sz w:val="24"/>
              </w:rPr>
              <w:t>物料中VOC全部挥发，</w:t>
            </w:r>
            <w:r>
              <w:rPr>
                <w:rFonts w:ascii="Times New Roman" w:hAnsi="Times New Roman" w:eastAsia="宋体" w:cs="Times New Roman"/>
                <w:sz w:val="24"/>
              </w:rPr>
              <w:t>废气以非甲烷总烃计）</w:t>
            </w:r>
            <w:r>
              <w:rPr>
                <w:rFonts w:hint="eastAsia" w:ascii="Times New Roman" w:hAnsi="Times New Roman" w:cs="Times New Roman"/>
                <w:sz w:val="24"/>
                <w:lang w:eastAsia="zh-CN"/>
              </w:rPr>
              <w:t>，</w:t>
            </w:r>
            <w:r>
              <w:rPr>
                <w:rFonts w:hint="eastAsia" w:cs="Times New Roman"/>
                <w:sz w:val="24"/>
                <w:lang w:val="en-US" w:eastAsia="zh-CN"/>
              </w:rPr>
              <w:t>本项目喷漆分为底漆和面漆喷涂，</w:t>
            </w:r>
            <w:r>
              <w:rPr>
                <w:rFonts w:hint="eastAsia" w:ascii="Times New Roman" w:hAnsi="Times New Roman" w:eastAsia="宋体" w:cs="Times New Roman"/>
                <w:sz w:val="24"/>
              </w:rPr>
              <w:t>喷漆</w:t>
            </w:r>
            <w:r>
              <w:rPr>
                <w:rFonts w:ascii="Times New Roman" w:hAnsi="Times New Roman" w:eastAsia="宋体" w:cs="Times New Roman"/>
                <w:sz w:val="24"/>
              </w:rPr>
              <w:t>废气</w:t>
            </w:r>
            <w:r>
              <w:rPr>
                <w:rFonts w:hint="eastAsia" w:cs="Times New Roman"/>
                <w:sz w:val="24"/>
                <w:lang w:val="en-US" w:eastAsia="zh-CN"/>
              </w:rPr>
              <w:t>都</w:t>
            </w:r>
            <w:r>
              <w:rPr>
                <w:rFonts w:ascii="Times New Roman" w:hAnsi="Times New Roman" w:eastAsia="宋体" w:cs="Times New Roman"/>
                <w:sz w:val="24"/>
              </w:rPr>
              <w:t>经负压收集后通过</w:t>
            </w:r>
            <w:r>
              <w:rPr>
                <w:rFonts w:hint="eastAsia" w:cs="Times New Roman"/>
                <w:sz w:val="24"/>
                <w:lang w:val="en-US" w:eastAsia="zh-CN"/>
              </w:rPr>
              <w:t>一级水喷淋</w:t>
            </w:r>
            <w:r>
              <w:rPr>
                <w:rFonts w:ascii="Times New Roman" w:hAnsi="Times New Roman" w:eastAsia="宋体" w:cs="Times New Roman"/>
                <w:color w:val="000000"/>
                <w:sz w:val="24"/>
                <w:szCs w:val="24"/>
                <w:lang w:bidi="ar"/>
              </w:rPr>
              <w:t>+活性炭吸/脱附+催化燃烧RCO装置处理</w:t>
            </w:r>
            <w:r>
              <w:rPr>
                <w:rFonts w:ascii="Times New Roman" w:hAnsi="Times New Roman" w:eastAsia="宋体" w:cs="Times New Roman"/>
                <w:sz w:val="24"/>
              </w:rPr>
              <w:t>，处理后通过15m高排气筒</w:t>
            </w:r>
            <w:r>
              <w:rPr>
                <w:rFonts w:ascii="Times New Roman" w:hAnsi="Times New Roman" w:eastAsia="宋体" w:cs="Times New Roman"/>
                <w:b/>
                <w:bCs/>
                <w:sz w:val="24"/>
              </w:rPr>
              <w:t>（DA00</w:t>
            </w:r>
            <w:r>
              <w:rPr>
                <w:rFonts w:hint="eastAsia" w:cs="Times New Roman"/>
                <w:b/>
                <w:bCs/>
                <w:sz w:val="24"/>
                <w:lang w:val="en-US" w:eastAsia="zh-CN"/>
              </w:rPr>
              <w:t>2</w:t>
            </w:r>
            <w:r>
              <w:rPr>
                <w:rFonts w:ascii="Times New Roman" w:hAnsi="Times New Roman" w:eastAsia="宋体" w:cs="Times New Roman"/>
                <w:b/>
                <w:bCs/>
                <w:sz w:val="24"/>
              </w:rPr>
              <w:t>）</w:t>
            </w:r>
            <w:r>
              <w:rPr>
                <w:rFonts w:ascii="Times New Roman" w:hAnsi="Times New Roman" w:eastAsia="宋体" w:cs="Times New Roman"/>
                <w:sz w:val="24"/>
              </w:rPr>
              <w:t>排放，</w:t>
            </w:r>
            <w:r>
              <w:rPr>
                <w:rFonts w:hint="eastAsia" w:cs="Times New Roman"/>
                <w:b w:val="0"/>
                <w:bCs w:val="0"/>
                <w:sz w:val="24"/>
                <w:lang w:val="en-US" w:eastAsia="zh-CN"/>
              </w:rPr>
              <w:t>调漆工序时间480h，喷漆、烘干工序时间7200h</w:t>
            </w:r>
            <w:r>
              <w:rPr>
                <w:rFonts w:hint="eastAsia" w:cs="Times New Roman"/>
                <w:color w:val="000000"/>
                <w:sz w:val="24"/>
                <w:lang w:val="en-US" w:eastAsia="zh-CN"/>
              </w:rPr>
              <w:t>。</w:t>
            </w:r>
            <w:r>
              <w:rPr>
                <w:rFonts w:hint="eastAsia" w:cs="Times New Roman"/>
                <w:sz w:val="24"/>
                <w:lang w:val="en-US" w:eastAsia="zh-CN"/>
              </w:rPr>
              <w:t>喷涂线</w:t>
            </w:r>
            <w:r>
              <w:rPr>
                <w:rFonts w:ascii="Times New Roman" w:hAnsi="Times New Roman" w:eastAsia="宋体" w:cs="Times New Roman"/>
                <w:sz w:val="24"/>
              </w:rPr>
              <w:t>废气收集率9</w:t>
            </w:r>
            <w:r>
              <w:rPr>
                <w:rFonts w:hint="eastAsia" w:cs="Times New Roman"/>
                <w:sz w:val="24"/>
                <w:lang w:val="en-US" w:eastAsia="zh-CN"/>
              </w:rPr>
              <w:t>5</w:t>
            </w:r>
            <w:r>
              <w:rPr>
                <w:rFonts w:ascii="Times New Roman" w:hAnsi="Times New Roman" w:eastAsia="宋体" w:cs="Times New Roman"/>
                <w:sz w:val="24"/>
              </w:rPr>
              <w:t>%，</w:t>
            </w:r>
            <w:r>
              <w:rPr>
                <w:rFonts w:hint="eastAsia" w:cs="Times New Roman"/>
                <w:sz w:val="24"/>
                <w:lang w:val="en-US" w:eastAsia="zh-CN"/>
              </w:rPr>
              <w:t>一级水喷淋</w:t>
            </w:r>
            <w:r>
              <w:rPr>
                <w:rFonts w:ascii="Times New Roman" w:hAnsi="Times New Roman" w:eastAsia="宋体" w:cs="Times New Roman"/>
                <w:color w:val="000000" w:themeColor="text1"/>
                <w:kern w:val="0"/>
                <w:sz w:val="24"/>
                <w:szCs w:val="24"/>
                <w14:textFill>
                  <w14:solidFill>
                    <w14:schemeClr w14:val="tx1"/>
                  </w14:solidFill>
                </w14:textFill>
              </w:rPr>
              <w:t>装置</w:t>
            </w:r>
            <w:r>
              <w:rPr>
                <w:rFonts w:ascii="Times New Roman" w:hAnsi="Times New Roman" w:eastAsia="宋体" w:cs="Times New Roman"/>
                <w:sz w:val="24"/>
              </w:rPr>
              <w:t>对漆雾去除效率按</w:t>
            </w:r>
            <w:r>
              <w:rPr>
                <w:rFonts w:hint="eastAsia" w:cs="Times New Roman"/>
                <w:sz w:val="24"/>
                <w:lang w:val="en-US" w:eastAsia="zh-CN"/>
              </w:rPr>
              <w:t>85</w:t>
            </w:r>
            <w:r>
              <w:rPr>
                <w:rFonts w:ascii="Times New Roman" w:hAnsi="Times New Roman" w:eastAsia="宋体" w:cs="Times New Roman"/>
                <w:sz w:val="24"/>
              </w:rPr>
              <w:t>%计算</w:t>
            </w:r>
            <w:r>
              <w:rPr>
                <w:rFonts w:hint="eastAsia" w:ascii="Times New Roman" w:hAnsi="Times New Roman"/>
                <w:sz w:val="24"/>
              </w:rPr>
              <w:t>，</w:t>
            </w:r>
            <w:r>
              <w:rPr>
                <w:rFonts w:ascii="Times New Roman" w:hAnsi="Times New Roman" w:eastAsia="宋体" w:cs="Times New Roman"/>
                <w:sz w:val="24"/>
                <w:szCs w:val="24"/>
                <w:lang w:bidi="ar"/>
              </w:rPr>
              <w:t>活性炭吸附效率为90%，</w:t>
            </w:r>
            <w:r>
              <w:rPr>
                <w:rFonts w:hint="eastAsia" w:cs="Times New Roman"/>
                <w:b w:val="0"/>
                <w:bCs w:val="0"/>
                <w:sz w:val="24"/>
                <w:szCs w:val="24"/>
                <w:lang w:val="en-US" w:eastAsia="zh-CN" w:bidi="ar"/>
              </w:rPr>
              <w:t>脱附效率按100%、</w:t>
            </w:r>
            <w:r>
              <w:rPr>
                <w:rFonts w:ascii="Times New Roman" w:hAnsi="Times New Roman" w:eastAsia="宋体" w:cs="Times New Roman"/>
                <w:color w:val="000000"/>
                <w:sz w:val="24"/>
                <w:szCs w:val="24"/>
                <w:lang w:bidi="ar"/>
              </w:rPr>
              <w:t>催化燃烧</w:t>
            </w:r>
            <w:r>
              <w:rPr>
                <w:rFonts w:ascii="Times New Roman" w:hAnsi="Times New Roman" w:eastAsia="宋体" w:cs="Times New Roman"/>
                <w:sz w:val="24"/>
                <w:szCs w:val="24"/>
                <w:lang w:bidi="ar"/>
              </w:rPr>
              <w:t>RCO装置对有机废气的处理效率为9</w:t>
            </w:r>
            <w:r>
              <w:rPr>
                <w:rFonts w:hint="eastAsia" w:cs="Times New Roman"/>
                <w:sz w:val="24"/>
                <w:szCs w:val="24"/>
                <w:lang w:val="en-US" w:eastAsia="zh-CN" w:bidi="ar"/>
              </w:rPr>
              <w:t>7</w:t>
            </w:r>
            <w:r>
              <w:rPr>
                <w:rFonts w:ascii="Times New Roman" w:hAnsi="Times New Roman" w:eastAsia="宋体" w:cs="Times New Roman"/>
                <w:sz w:val="24"/>
                <w:szCs w:val="24"/>
                <w:lang w:bidi="ar"/>
              </w:rPr>
              <w:t>%</w:t>
            </w:r>
            <w:r>
              <w:rPr>
                <w:rFonts w:ascii="Times New Roman" w:hAnsi="Times New Roman" w:eastAsia="宋体" w:cs="Times New Roman"/>
                <w:sz w:val="24"/>
              </w:rPr>
              <w:t>。</w:t>
            </w:r>
          </w:p>
          <w:p w14:paraId="068B51C8">
            <w:pPr>
              <w:adjustRightInd w:val="0"/>
              <w:snapToGrid w:val="0"/>
              <w:spacing w:line="360" w:lineRule="auto"/>
              <w:ind w:firstLine="482" w:firstLineChars="200"/>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cs="Times New Roman"/>
                <w:b/>
                <w:bCs/>
                <w:color w:val="000000" w:themeColor="text1"/>
                <w:sz w:val="24"/>
                <w:szCs w:val="24"/>
                <w:lang w:val="en-US" w:eastAsia="zh-CN" w:bidi="ar"/>
                <w14:textFill>
                  <w14:solidFill>
                    <w14:schemeClr w14:val="tx1"/>
                  </w14:solidFill>
                </w14:textFill>
              </w:rPr>
              <w:t>①</w:t>
            </w:r>
            <w:r>
              <w:rPr>
                <w:rFonts w:hint="eastAsia" w:cs="Times New Roman"/>
                <w:b/>
                <w:bCs/>
                <w:color w:val="000000" w:themeColor="text1"/>
                <w:sz w:val="24"/>
                <w:szCs w:val="24"/>
                <w:lang w:val="en-US" w:eastAsia="zh-CN" w:bidi="ar"/>
                <w14:textFill>
                  <w14:solidFill>
                    <w14:schemeClr w14:val="tx1"/>
                  </w14:solidFill>
                </w14:textFill>
              </w:rPr>
              <w:t>调漆+</w:t>
            </w:r>
            <w:r>
              <w:rPr>
                <w:rFonts w:hint="eastAsia" w:ascii="Times New Roman" w:hAnsi="Times New Roman" w:eastAsia="宋体" w:cs="Times New Roman"/>
                <w:b/>
                <w:bCs/>
                <w:color w:val="000000" w:themeColor="text1"/>
                <w:sz w:val="24"/>
                <w:szCs w:val="24"/>
                <w:lang w:bidi="ar"/>
                <w14:textFill>
                  <w14:solidFill>
                    <w14:schemeClr w14:val="tx1"/>
                  </w14:solidFill>
                </w14:textFill>
              </w:rPr>
              <w:t>喷漆</w:t>
            </w:r>
            <w:r>
              <w:rPr>
                <w:rFonts w:hint="eastAsia" w:cs="Times New Roman"/>
                <w:b/>
                <w:bCs/>
                <w:color w:val="000000" w:themeColor="text1"/>
                <w:sz w:val="24"/>
                <w:szCs w:val="24"/>
                <w:lang w:val="en-US" w:eastAsia="zh-CN" w:bidi="ar"/>
                <w14:textFill>
                  <w14:solidFill>
                    <w14:schemeClr w14:val="tx1"/>
                  </w14:solidFill>
                </w14:textFill>
              </w:rPr>
              <w:t>+烘干</w:t>
            </w:r>
            <w:r>
              <w:rPr>
                <w:rFonts w:hint="eastAsia" w:ascii="Times New Roman" w:hAnsi="Times New Roman" w:eastAsia="宋体" w:cs="Times New Roman"/>
                <w:b/>
                <w:sz w:val="24"/>
              </w:rPr>
              <w:t>工序产生的</w:t>
            </w:r>
            <w:r>
              <w:rPr>
                <w:rFonts w:ascii="Times New Roman" w:hAnsi="Times New Roman" w:eastAsia="宋体" w:cs="Times New Roman"/>
                <w:b/>
                <w:sz w:val="24"/>
              </w:rPr>
              <w:t>挥发性有机物</w:t>
            </w:r>
          </w:p>
          <w:p w14:paraId="06A37137">
            <w:pPr>
              <w:adjustRightInd w:val="0"/>
              <w:snapToGrid w:val="0"/>
              <w:spacing w:line="360" w:lineRule="auto"/>
              <w:ind w:firstLine="480" w:firstLineChars="200"/>
              <w:rPr>
                <w:rFonts w:hint="eastAsia" w:cs="Times New Roman"/>
                <w:b w:val="0"/>
                <w:bCs w:val="0"/>
                <w:color w:val="000000" w:themeColor="text1"/>
                <w:sz w:val="24"/>
                <w:szCs w:val="24"/>
                <w:highlight w:val="none"/>
                <w:lang w:eastAsia="zh-CN" w:bidi="ar"/>
                <w14:textFill>
                  <w14:solidFill>
                    <w14:schemeClr w14:val="tx1"/>
                  </w14:solidFill>
                </w14:textFill>
              </w:rPr>
            </w:pPr>
            <w:r>
              <w:rPr>
                <w:rFonts w:hint="eastAsia" w:cs="Times New Roman"/>
                <w:color w:val="000000" w:themeColor="text1"/>
                <w:sz w:val="24"/>
                <w:szCs w:val="24"/>
                <w:lang w:val="en-US" w:eastAsia="zh-CN" w:bidi="ar"/>
                <w14:textFill>
                  <w14:solidFill>
                    <w14:schemeClr w14:val="tx1"/>
                  </w14:solidFill>
                </w14:textFill>
              </w:rPr>
              <w:t>本项目使用</w:t>
            </w:r>
            <w:r>
              <w:rPr>
                <w:rFonts w:hint="eastAsia" w:cs="Times New Roman"/>
                <w:b w:val="0"/>
                <w:bCs w:val="0"/>
                <w:color w:val="000000" w:themeColor="text1"/>
                <w:sz w:val="24"/>
                <w:szCs w:val="24"/>
                <w:lang w:val="en-US" w:eastAsia="zh-CN" w:bidi="ar"/>
                <w14:textFill>
                  <w14:solidFill>
                    <w14:schemeClr w14:val="tx1"/>
                  </w14:solidFill>
                </w14:textFill>
              </w:rPr>
              <w:t>丙烯酸铝粉漆2.923t/a，稀释剂0.692t/a，固化剂1.038t/a</w:t>
            </w:r>
            <w:r>
              <w:rPr>
                <w:rFonts w:hint="eastAsia" w:cs="Times New Roman"/>
                <w:color w:val="000000" w:themeColor="text1"/>
                <w:sz w:val="24"/>
                <w:szCs w:val="24"/>
                <w:lang w:val="en-US" w:eastAsia="zh-CN" w:bidi="ar"/>
                <w14:textFill>
                  <w14:solidFill>
                    <w14:schemeClr w14:val="tx1"/>
                  </w14:solidFill>
                </w14:textFill>
              </w:rPr>
              <w:t>（油漆：稀释剂：固化剂=10:1:1.5），</w:t>
            </w:r>
            <w:r>
              <w:rPr>
                <w:rFonts w:hint="eastAsia" w:ascii="Times New Roman" w:hAnsi="Times New Roman" w:cs="Times New Roman"/>
                <w:color w:val="000000" w:themeColor="text1"/>
                <w:sz w:val="24"/>
                <w:szCs w:val="24"/>
                <w:lang w:val="en-US" w:eastAsia="zh-CN" w:bidi="ar"/>
                <w14:textFill>
                  <w14:solidFill>
                    <w14:schemeClr w14:val="tx1"/>
                  </w14:solidFill>
                </w14:textFill>
              </w:rPr>
              <w:t>根据MSDS报告</w:t>
            </w:r>
            <w:r>
              <w:rPr>
                <w:rFonts w:hint="eastAsia" w:ascii="Times New Roman" w:hAnsi="Times New Roman" w:eastAsia="宋体" w:cs="Times New Roman"/>
                <w:color w:val="000000" w:themeColor="text1"/>
                <w:sz w:val="24"/>
                <w:szCs w:val="24"/>
                <w:lang w:bidi="ar"/>
                <w14:textFill>
                  <w14:solidFill>
                    <w14:schemeClr w14:val="tx1"/>
                  </w14:solidFill>
                </w14:textFill>
              </w:rPr>
              <w:t>，本次核算按最不利情况，物料中VOC全部挥发</w:t>
            </w:r>
            <w:r>
              <w:rPr>
                <w:rFonts w:hint="eastAsia" w:cs="Times New Roman"/>
                <w:color w:val="000000" w:themeColor="text1"/>
                <w:sz w:val="24"/>
                <w:szCs w:val="24"/>
                <w:lang w:eastAsia="zh-CN" w:bidi="ar"/>
                <w14:textFill>
                  <w14:solidFill>
                    <w14:schemeClr w14:val="tx1"/>
                  </w14:solidFill>
                </w14:textFill>
              </w:rPr>
              <w:t>（</w:t>
            </w:r>
            <w:r>
              <w:rPr>
                <w:rFonts w:hint="eastAsia" w:cs="Times New Roman"/>
                <w:color w:val="000000" w:themeColor="text1"/>
                <w:sz w:val="24"/>
                <w:szCs w:val="24"/>
                <w:lang w:val="en-US" w:eastAsia="zh-CN" w:bidi="ar"/>
                <w14:textFill>
                  <w14:solidFill>
                    <w14:schemeClr w14:val="tx1"/>
                  </w14:solidFill>
                </w14:textFill>
              </w:rPr>
              <w:t>即油漆中挥发份16.8%+稀释剂100%+固化剂100%</w:t>
            </w:r>
            <w:r>
              <w:rPr>
                <w:rFonts w:hint="eastAsia" w:cs="Times New Roman"/>
                <w:color w:val="000000" w:themeColor="text1"/>
                <w:sz w:val="24"/>
                <w:szCs w:val="24"/>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hint="eastAsia" w:cs="Times New Roman"/>
                <w:color w:val="000000" w:themeColor="text1"/>
                <w:sz w:val="24"/>
                <w:szCs w:val="24"/>
                <w:lang w:val="en-US" w:eastAsia="zh-CN" w:bidi="ar"/>
                <w14:textFill>
                  <w14:solidFill>
                    <w14:schemeClr w14:val="tx1"/>
                  </w14:solidFill>
                </w14:textFill>
              </w:rPr>
              <w:t>则挥发性有机物产生量为</w:t>
            </w:r>
            <w:r>
              <w:rPr>
                <w:rFonts w:hint="eastAsia" w:cs="Times New Roman"/>
                <w:b w:val="0"/>
                <w:bCs w:val="0"/>
                <w:color w:val="000000" w:themeColor="text1"/>
                <w:sz w:val="24"/>
                <w:szCs w:val="24"/>
                <w:lang w:val="en-US" w:eastAsia="zh-CN" w:bidi="ar"/>
                <w14:textFill>
                  <w14:solidFill>
                    <w14:schemeClr w14:val="tx1"/>
                  </w14:solidFill>
                </w14:textFill>
              </w:rPr>
              <w:t>2.894t/a；</w:t>
            </w:r>
            <w:r>
              <w:rPr>
                <w:rFonts w:hint="eastAsia" w:cs="Times New Roman"/>
                <w:b w:val="0"/>
                <w:bCs w:val="0"/>
                <w:color w:val="000000" w:themeColor="text1"/>
                <w:sz w:val="24"/>
                <w:szCs w:val="24"/>
                <w:highlight w:val="none"/>
                <w:lang w:val="en-US" w:eastAsia="zh-CN" w:bidi="ar"/>
                <w14:textFill>
                  <w14:solidFill>
                    <w14:schemeClr w14:val="tx1"/>
                  </w14:solidFill>
                </w14:textFill>
              </w:rPr>
              <w:t>UV漆0.512t/a，稀释剂0.051t/a（漆∶稀释剂=10∶1），</w:t>
            </w:r>
            <w:r>
              <w:rPr>
                <w:rFonts w:hint="eastAsia" w:ascii="Times New Roman" w:hAnsi="Times New Roman" w:eastAsia="宋体" w:cs="Times New Roman"/>
                <w:b w:val="0"/>
                <w:bCs w:val="0"/>
                <w:color w:val="000000" w:themeColor="text1"/>
                <w:sz w:val="24"/>
                <w:szCs w:val="24"/>
                <w:highlight w:val="none"/>
                <w:lang w:bidi="ar"/>
                <w14:textFill>
                  <w14:solidFill>
                    <w14:schemeClr w14:val="tx1"/>
                  </w14:solidFill>
                </w14:textFill>
              </w:rPr>
              <w:t>本次核算按最不利情况，物料中VOC全部挥发</w:t>
            </w:r>
            <w:r>
              <w:rPr>
                <w:rFonts w:hint="eastAsia" w:cs="Times New Roman"/>
                <w:b w:val="0"/>
                <w:bCs w:val="0"/>
                <w:color w:val="000000" w:themeColor="text1"/>
                <w:sz w:val="24"/>
                <w:szCs w:val="24"/>
                <w:highlight w:val="none"/>
                <w:lang w:eastAsia="zh-CN" w:bidi="ar"/>
                <w14:textFill>
                  <w14:solidFill>
                    <w14:schemeClr w14:val="tx1"/>
                  </w14:solidFill>
                </w14:textFill>
              </w:rPr>
              <w:t>（</w:t>
            </w:r>
            <w:r>
              <w:rPr>
                <w:rFonts w:hint="eastAsia" w:cs="Times New Roman"/>
                <w:b w:val="0"/>
                <w:bCs w:val="0"/>
                <w:color w:val="000000" w:themeColor="text1"/>
                <w:sz w:val="24"/>
                <w:szCs w:val="24"/>
                <w:highlight w:val="none"/>
                <w:lang w:val="en-US" w:eastAsia="zh-CN" w:bidi="ar"/>
                <w14:textFill>
                  <w14:solidFill>
                    <w14:schemeClr w14:val="tx1"/>
                  </w14:solidFill>
                </w14:textFill>
              </w:rPr>
              <w:t>UV漆中挥发份25%+稀释剂全挥发</w:t>
            </w:r>
            <w:r>
              <w:rPr>
                <w:rFonts w:hint="eastAsia" w:cs="Times New Roman"/>
                <w:b w:val="0"/>
                <w:bCs w:val="0"/>
                <w:color w:val="000000" w:themeColor="text1"/>
                <w:sz w:val="24"/>
                <w:szCs w:val="24"/>
                <w:highlight w:val="none"/>
                <w:lang w:eastAsia="zh-CN" w:bidi="ar"/>
                <w14:textFill>
                  <w14:solidFill>
                    <w14:schemeClr w14:val="tx1"/>
                  </w14:solidFill>
                </w14:textFill>
              </w:rPr>
              <w:t>），</w:t>
            </w:r>
            <w:r>
              <w:rPr>
                <w:rFonts w:hint="eastAsia" w:cs="Times New Roman"/>
                <w:b w:val="0"/>
                <w:bCs w:val="0"/>
                <w:color w:val="000000" w:themeColor="text1"/>
                <w:sz w:val="24"/>
                <w:szCs w:val="24"/>
                <w:highlight w:val="none"/>
                <w:lang w:val="en-US" w:eastAsia="zh-CN" w:bidi="ar"/>
                <w14:textFill>
                  <w14:solidFill>
                    <w14:schemeClr w14:val="tx1"/>
                  </w14:solidFill>
                </w14:textFill>
              </w:rPr>
              <w:t>则挥发性有机物产生量为0.179t/a</w:t>
            </w:r>
            <w:r>
              <w:rPr>
                <w:rFonts w:hint="eastAsia" w:cs="Times New Roman"/>
                <w:b w:val="0"/>
                <w:bCs w:val="0"/>
                <w:color w:val="000000" w:themeColor="text1"/>
                <w:sz w:val="24"/>
                <w:szCs w:val="24"/>
                <w:highlight w:val="none"/>
                <w:lang w:eastAsia="zh-CN" w:bidi="ar"/>
                <w14:textFill>
                  <w14:solidFill>
                    <w14:schemeClr w14:val="tx1"/>
                  </w14:solidFill>
                </w14:textFill>
              </w:rPr>
              <w:t>。</w:t>
            </w:r>
          </w:p>
          <w:p w14:paraId="71A817AB">
            <w:pPr>
              <w:adjustRightInd w:val="0"/>
              <w:snapToGrid w:val="0"/>
              <w:spacing w:line="360" w:lineRule="auto"/>
              <w:ind w:firstLine="480" w:firstLineChars="200"/>
              <w:rPr>
                <w:rFonts w:ascii="Times New Roman" w:hAnsi="Times New Roman" w:eastAsia="宋体" w:cs="Times New Roman"/>
                <w:b w:val="0"/>
                <w:bCs w:val="0"/>
                <w:sz w:val="24"/>
              </w:rPr>
            </w:pPr>
            <w:r>
              <w:rPr>
                <w:rFonts w:hint="eastAsia" w:ascii="Times New Roman" w:hAnsi="Times New Roman" w:eastAsia="宋体" w:cs="Times New Roman"/>
                <w:b w:val="0"/>
                <w:bCs w:val="0"/>
                <w:color w:val="000000" w:themeColor="text1"/>
                <w:sz w:val="24"/>
                <w:szCs w:val="24"/>
                <w:lang w:bidi="ar"/>
                <w14:textFill>
                  <w14:solidFill>
                    <w14:schemeClr w14:val="tx1"/>
                  </w14:solidFill>
                </w14:textFill>
              </w:rPr>
              <w:t>由此计算挥发性有机物产生量为：</w:t>
            </w:r>
            <w:r>
              <w:rPr>
                <w:rFonts w:hint="eastAsia" w:cs="Times New Roman"/>
                <w:b w:val="0"/>
                <w:bCs w:val="0"/>
                <w:color w:val="000000" w:themeColor="text1"/>
                <w:sz w:val="24"/>
                <w:szCs w:val="24"/>
                <w:highlight w:val="none"/>
                <w:lang w:val="en-US" w:eastAsia="zh-CN" w:bidi="ar"/>
                <w14:textFill>
                  <w14:solidFill>
                    <w14:schemeClr w14:val="tx1"/>
                  </w14:solidFill>
                </w14:textFill>
              </w:rPr>
              <w:t>3.073</w:t>
            </w:r>
            <w:r>
              <w:rPr>
                <w:rFonts w:hint="eastAsia" w:ascii="Times New Roman" w:hAnsi="Times New Roman" w:eastAsia="宋体" w:cs="Times New Roman"/>
                <w:b w:val="0"/>
                <w:bCs w:val="0"/>
                <w:color w:val="000000" w:themeColor="text1"/>
                <w:sz w:val="24"/>
                <w:szCs w:val="24"/>
                <w:lang w:bidi="ar"/>
                <w14:textFill>
                  <w14:solidFill>
                    <w14:schemeClr w14:val="tx1"/>
                  </w14:solidFill>
                </w14:textFill>
              </w:rPr>
              <w:t>t/a。</w:t>
            </w:r>
            <w:r>
              <w:rPr>
                <w:rFonts w:hint="eastAsia" w:cs="Times New Roman"/>
                <w:b w:val="0"/>
                <w:bCs w:val="0"/>
                <w:color w:val="000000" w:themeColor="text1"/>
                <w:sz w:val="24"/>
                <w:szCs w:val="24"/>
                <w:lang w:val="en-US" w:eastAsia="zh-CN" w:bidi="ar"/>
                <w14:textFill>
                  <w14:solidFill>
                    <w14:schemeClr w14:val="tx1"/>
                  </w14:solidFill>
                </w14:textFill>
              </w:rPr>
              <w:t>喷涂线</w:t>
            </w:r>
            <w:r>
              <w:rPr>
                <w:rFonts w:ascii="Times New Roman" w:hAnsi="Times New Roman" w:eastAsia="宋体" w:cs="Times New Roman"/>
                <w:b w:val="0"/>
                <w:bCs w:val="0"/>
                <w:sz w:val="24"/>
                <w:szCs w:val="24"/>
                <w:lang w:bidi="ar"/>
              </w:rPr>
              <w:t>收集效率为9</w:t>
            </w:r>
            <w:r>
              <w:rPr>
                <w:rFonts w:hint="eastAsia" w:cs="Times New Roman"/>
                <w:b w:val="0"/>
                <w:bCs w:val="0"/>
                <w:sz w:val="24"/>
                <w:szCs w:val="24"/>
                <w:lang w:val="en-US" w:eastAsia="zh-CN" w:bidi="ar"/>
              </w:rPr>
              <w:t>5</w:t>
            </w:r>
            <w:r>
              <w:rPr>
                <w:rFonts w:ascii="Times New Roman" w:hAnsi="Times New Roman" w:eastAsia="宋体" w:cs="Times New Roman"/>
                <w:b w:val="0"/>
                <w:bCs w:val="0"/>
                <w:sz w:val="24"/>
                <w:szCs w:val="24"/>
                <w:lang w:bidi="ar"/>
              </w:rPr>
              <w:t>%，活性炭吸附效率为90%，</w:t>
            </w:r>
            <w:r>
              <w:rPr>
                <w:rFonts w:hint="eastAsia" w:cs="Times New Roman"/>
                <w:b w:val="0"/>
                <w:bCs w:val="0"/>
                <w:sz w:val="24"/>
                <w:szCs w:val="24"/>
                <w:lang w:val="en-US" w:eastAsia="zh-CN" w:bidi="ar"/>
              </w:rPr>
              <w:t>脱附效率按100%、</w:t>
            </w:r>
            <w:r>
              <w:rPr>
                <w:rFonts w:ascii="Times New Roman" w:hAnsi="Times New Roman" w:eastAsia="宋体" w:cs="Times New Roman"/>
                <w:b w:val="0"/>
                <w:bCs w:val="0"/>
                <w:color w:val="000000"/>
                <w:sz w:val="24"/>
                <w:szCs w:val="24"/>
                <w:highlight w:val="none"/>
                <w:lang w:bidi="ar"/>
              </w:rPr>
              <w:t>催化燃烧</w:t>
            </w:r>
            <w:r>
              <w:rPr>
                <w:rFonts w:ascii="Times New Roman" w:hAnsi="Times New Roman" w:eastAsia="宋体" w:cs="Times New Roman"/>
                <w:b w:val="0"/>
                <w:bCs w:val="0"/>
                <w:sz w:val="24"/>
                <w:szCs w:val="24"/>
                <w:highlight w:val="none"/>
                <w:lang w:bidi="ar"/>
              </w:rPr>
              <w:t>RCO装置对有机废气的处理效率为9</w:t>
            </w:r>
            <w:r>
              <w:rPr>
                <w:rFonts w:hint="eastAsia" w:cs="Times New Roman"/>
                <w:b w:val="0"/>
                <w:bCs w:val="0"/>
                <w:sz w:val="24"/>
                <w:szCs w:val="24"/>
                <w:highlight w:val="none"/>
                <w:lang w:val="en-US" w:eastAsia="zh-CN" w:bidi="ar"/>
              </w:rPr>
              <w:t>7</w:t>
            </w:r>
            <w:r>
              <w:rPr>
                <w:rFonts w:ascii="Times New Roman" w:hAnsi="Times New Roman" w:eastAsia="宋体" w:cs="Times New Roman"/>
                <w:b w:val="0"/>
                <w:bCs w:val="0"/>
                <w:sz w:val="24"/>
                <w:szCs w:val="24"/>
                <w:highlight w:val="none"/>
                <w:lang w:bidi="ar"/>
              </w:rPr>
              <w:t>%</w:t>
            </w:r>
            <w:r>
              <w:rPr>
                <w:rFonts w:ascii="Times New Roman" w:hAnsi="Times New Roman" w:eastAsia="宋体" w:cs="Times New Roman"/>
                <w:b w:val="0"/>
                <w:bCs w:val="0"/>
                <w:sz w:val="24"/>
              </w:rPr>
              <w:t>。</w:t>
            </w:r>
          </w:p>
          <w:p w14:paraId="34DED185">
            <w:pPr>
              <w:adjustRightInd w:val="0"/>
              <w:snapToGrid w:val="0"/>
              <w:spacing w:line="360" w:lineRule="auto"/>
              <w:ind w:firstLine="482" w:firstLineChars="200"/>
              <w:rPr>
                <w:rFonts w:hint="eastAsia" w:ascii="Times New Roman" w:hAnsi="Times New Roman" w:eastAsia="宋体" w:cs="Times New Roman"/>
                <w:b/>
                <w:bCs/>
                <w:sz w:val="24"/>
                <w:szCs w:val="24"/>
                <w:highlight w:val="yellow"/>
              </w:rPr>
            </w:pPr>
            <w:r>
              <w:rPr>
                <w:rFonts w:ascii="Times New Roman" w:hAnsi="Times New Roman" w:eastAsia="宋体" w:cs="Times New Roman"/>
                <w:b/>
                <w:bCs/>
                <w:sz w:val="24"/>
                <w:szCs w:val="24"/>
                <w:lang w:bidi="ar"/>
              </w:rPr>
              <w:t>则经处理后有组织非甲烷总烃排放量为</w:t>
            </w:r>
            <w:r>
              <w:rPr>
                <w:rFonts w:hint="eastAsia" w:cs="Times New Roman"/>
                <w:b/>
                <w:bCs/>
                <w:sz w:val="24"/>
                <w:szCs w:val="24"/>
                <w:lang w:val="en-US" w:eastAsia="zh-CN" w:bidi="ar"/>
              </w:rPr>
              <w:t>0.371</w:t>
            </w:r>
            <w:r>
              <w:rPr>
                <w:rFonts w:ascii="Times New Roman" w:hAnsi="Times New Roman" w:eastAsia="宋体" w:cs="Times New Roman"/>
                <w:b/>
                <w:bCs/>
                <w:sz w:val="24"/>
                <w:szCs w:val="24"/>
                <w:lang w:bidi="ar"/>
              </w:rPr>
              <w:t>t/a，</w:t>
            </w:r>
            <w:r>
              <w:rPr>
                <w:rFonts w:ascii="Times New Roman" w:hAnsi="Times New Roman" w:eastAsia="宋体" w:cs="Times New Roman"/>
                <w:b/>
                <w:bCs/>
                <w:sz w:val="24"/>
                <w:szCs w:val="24"/>
                <w:highlight w:val="none"/>
                <w:lang w:bidi="ar"/>
              </w:rPr>
              <w:t>排放速率为</w:t>
            </w:r>
            <w:r>
              <w:rPr>
                <w:rFonts w:hint="eastAsia" w:ascii="Times New Roman" w:hAnsi="Times New Roman" w:eastAsia="宋体" w:cs="Times New Roman"/>
                <w:b/>
                <w:bCs/>
                <w:sz w:val="24"/>
                <w:szCs w:val="24"/>
                <w:highlight w:val="none"/>
                <w:lang w:bidi="ar"/>
              </w:rPr>
              <w:t>0.</w:t>
            </w:r>
            <w:r>
              <w:rPr>
                <w:rFonts w:hint="eastAsia" w:cs="Times New Roman"/>
                <w:b/>
                <w:bCs/>
                <w:sz w:val="24"/>
                <w:szCs w:val="24"/>
                <w:highlight w:val="none"/>
                <w:lang w:val="en-US" w:eastAsia="zh-CN" w:bidi="ar"/>
              </w:rPr>
              <w:t>124</w:t>
            </w:r>
            <w:r>
              <w:rPr>
                <w:rFonts w:ascii="Times New Roman" w:hAnsi="Times New Roman" w:eastAsia="宋体" w:cs="Times New Roman"/>
                <w:b/>
                <w:bCs/>
                <w:sz w:val="24"/>
                <w:szCs w:val="24"/>
                <w:highlight w:val="none"/>
                <w:lang w:bidi="ar"/>
              </w:rPr>
              <w:t>kg/h。</w:t>
            </w:r>
          </w:p>
          <w:p w14:paraId="028707C7">
            <w:pPr>
              <w:adjustRightInd w:val="0"/>
              <w:snapToGrid w:val="0"/>
              <w:spacing w:line="360" w:lineRule="auto"/>
              <w:ind w:firstLine="482" w:firstLineChars="200"/>
              <w:rPr>
                <w:rFonts w:ascii="Times New Roman" w:hAnsi="Times New Roman" w:eastAsia="宋体" w:cs="Times New Roman"/>
                <w:b w:val="0"/>
                <w:bCs w:val="0"/>
                <w:color w:val="000000" w:themeColor="text1"/>
                <w:sz w:val="24"/>
                <w:szCs w:val="24"/>
                <w:lang w:bidi="ar"/>
                <w14:textFill>
                  <w14:solidFill>
                    <w14:schemeClr w14:val="tx1"/>
                  </w14:solidFill>
                </w14:textFill>
              </w:rPr>
            </w:pPr>
            <w:r>
              <w:rPr>
                <w:rFonts w:hint="eastAsia" w:ascii="Times New Roman" w:hAnsi="Times New Roman" w:cs="Times New Roman"/>
                <w:b/>
                <w:bCs/>
                <w:color w:val="000000" w:themeColor="text1"/>
                <w:sz w:val="24"/>
                <w:szCs w:val="24"/>
                <w:lang w:val="en-US" w:eastAsia="zh-CN" w:bidi="ar"/>
                <w14:textFill>
                  <w14:solidFill>
                    <w14:schemeClr w14:val="tx1"/>
                  </w14:solidFill>
                </w14:textFill>
              </w:rPr>
              <w:t>②</w:t>
            </w:r>
            <w:r>
              <w:rPr>
                <w:rFonts w:hint="eastAsia" w:ascii="Times New Roman" w:hAnsi="Times New Roman" w:eastAsia="宋体" w:cs="Times New Roman"/>
                <w:b/>
                <w:bCs/>
                <w:color w:val="000000" w:themeColor="text1"/>
                <w:sz w:val="24"/>
                <w:szCs w:val="24"/>
                <w:lang w:bidi="ar"/>
                <w14:textFill>
                  <w14:solidFill>
                    <w14:schemeClr w14:val="tx1"/>
                  </w14:solidFill>
                </w14:textFill>
              </w:rPr>
              <w:t>喷漆</w:t>
            </w:r>
            <w:r>
              <w:rPr>
                <w:rFonts w:hint="eastAsia" w:ascii="Times New Roman" w:hAnsi="Times New Roman" w:eastAsia="宋体" w:cs="Times New Roman"/>
                <w:b/>
                <w:bCs/>
                <w:sz w:val="24"/>
              </w:rPr>
              <w:t>工序产生的漆雾</w:t>
            </w:r>
          </w:p>
          <w:p w14:paraId="4C934072">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漆雾颗粒物产生量参照《污染源</w:t>
            </w:r>
            <w:r>
              <w:rPr>
                <w:rFonts w:hint="eastAsia" w:cs="Times New Roman"/>
                <w:bCs/>
                <w:sz w:val="24"/>
                <w:lang w:val="en-US" w:eastAsia="zh-CN"/>
              </w:rPr>
              <w:t>源</w:t>
            </w:r>
            <w:r>
              <w:rPr>
                <w:rFonts w:ascii="Times New Roman" w:hAnsi="Times New Roman" w:eastAsia="宋体" w:cs="Times New Roman"/>
                <w:bCs/>
                <w:sz w:val="24"/>
              </w:rPr>
              <w:t>强核算技术指南-汽车制造业（HJ1097-2020）》，公式如下：</w:t>
            </w:r>
          </w:p>
          <w:p w14:paraId="1E306073">
            <w:pPr>
              <w:adjustRightInd w:val="0"/>
              <w:snapToGrid w:val="0"/>
              <w:spacing w:line="360" w:lineRule="auto"/>
              <w:ind w:firstLine="480" w:firstLineChars="200"/>
              <w:rPr>
                <w:rFonts w:ascii="Times New Roman" w:hAnsi="Times New Roman" w:eastAsia="宋体" w:cs="Times New Roman"/>
                <w:bCs/>
                <w:sz w:val="24"/>
              </w:rPr>
            </w:pPr>
            <m:oMathPara>
              <m:oMath>
                <m:r>
                  <m:rPr/>
                  <w:rPr>
                    <w:rFonts w:ascii="Cambria Math" w:hAnsi="Cambria Math" w:eastAsia="宋体" w:cs="Times New Roman"/>
                    <w:sz w:val="24"/>
                  </w:rPr>
                  <m:t>D=G</m:t>
                </m:r>
                <m:f>
                  <m:fPr>
                    <m:ctrlPr>
                      <w:rPr>
                        <w:rFonts w:ascii="Cambria Math" w:hAnsi="Cambria Math" w:eastAsia="宋体" w:cs="Times New Roman"/>
                        <w:bCs/>
                        <w:i/>
                        <w:sz w:val="24"/>
                      </w:rPr>
                    </m:ctrlPr>
                  </m:fPr>
                  <m:num>
                    <m:r>
                      <m:rPr/>
                      <w:rPr>
                        <w:rFonts w:ascii="Cambria Math" w:hAnsi="Cambria Math" w:eastAsia="宋体" w:cs="Times New Roman"/>
                        <w:sz w:val="24"/>
                      </w:rPr>
                      <m:t>W</m:t>
                    </m:r>
                    <m:ctrlPr>
                      <w:rPr>
                        <w:rFonts w:ascii="Cambria Math" w:hAnsi="Cambria Math" w:eastAsia="宋体" w:cs="Times New Roman"/>
                        <w:bCs/>
                        <w:i/>
                        <w:sz w:val="24"/>
                      </w:rPr>
                    </m:ctrlPr>
                  </m:num>
                  <m:den>
                    <m:r>
                      <m:rPr/>
                      <w:rPr>
                        <w:rFonts w:ascii="Cambria Math" w:hAnsi="Cambria Math" w:eastAsia="宋体" w:cs="Times New Roman"/>
                        <w:sz w:val="24"/>
                      </w:rPr>
                      <m:t>100</m:t>
                    </m:r>
                    <m:ctrlPr>
                      <w:rPr>
                        <w:rFonts w:ascii="Cambria Math" w:hAnsi="Cambria Math" w:eastAsia="宋体" w:cs="Times New Roman"/>
                        <w:bCs/>
                        <w:i/>
                        <w:sz w:val="24"/>
                      </w:rPr>
                    </m:ctrlPr>
                  </m:den>
                </m:f>
                <m:r>
                  <m:rPr/>
                  <w:rPr>
                    <w:rFonts w:ascii="Cambria Math" w:hAnsi="Cambria Math" w:eastAsia="宋体" w:cs="Times New Roman"/>
                    <w:sz w:val="24"/>
                  </w:rPr>
                  <m:t>(1−</m:t>
                </m:r>
                <m:f>
                  <m:fPr>
                    <m:ctrlPr>
                      <w:rPr>
                        <w:rFonts w:ascii="Cambria Math" w:hAnsi="Cambria Math" w:eastAsia="宋体" w:cs="Times New Roman"/>
                        <w:bCs/>
                        <w:i/>
                        <w:sz w:val="24"/>
                      </w:rPr>
                    </m:ctrlPr>
                  </m:fPr>
                  <m:num>
                    <m:r>
                      <m:rPr/>
                      <w:rPr>
                        <w:rFonts w:ascii="Cambria Math" w:hAnsi="Cambria Math" w:eastAsia="宋体" w:cs="Times New Roman"/>
                        <w:sz w:val="24"/>
                      </w:rPr>
                      <m:t>λ</m:t>
                    </m:r>
                    <m:ctrlPr>
                      <w:rPr>
                        <w:rFonts w:ascii="Cambria Math" w:hAnsi="Cambria Math" w:eastAsia="宋体" w:cs="Times New Roman"/>
                        <w:bCs/>
                        <w:i/>
                        <w:sz w:val="24"/>
                      </w:rPr>
                    </m:ctrlPr>
                  </m:num>
                  <m:den>
                    <m:r>
                      <m:rPr/>
                      <w:rPr>
                        <w:rFonts w:ascii="Cambria Math" w:hAnsi="Cambria Math" w:eastAsia="宋体" w:cs="Times New Roman"/>
                        <w:sz w:val="24"/>
                      </w:rPr>
                      <m:t>100</m:t>
                    </m:r>
                    <m:ctrlPr>
                      <w:rPr>
                        <w:rFonts w:ascii="Cambria Math" w:hAnsi="Cambria Math" w:eastAsia="宋体" w:cs="Times New Roman"/>
                        <w:bCs/>
                        <w:i/>
                        <w:sz w:val="24"/>
                      </w:rPr>
                    </m:ctrlPr>
                  </m:den>
                </m:f>
                <m:r>
                  <m:rPr/>
                  <w:rPr>
                    <w:rFonts w:ascii="Cambria Math" w:hAnsi="Cambria Math" w:eastAsia="宋体" w:cs="Times New Roman"/>
                    <w:sz w:val="24"/>
                  </w:rPr>
                  <m:t>)</m:t>
                </m:r>
              </m:oMath>
            </m:oMathPara>
          </w:p>
          <w:p w14:paraId="1F0BFFBF">
            <w:pPr>
              <w:autoSpaceDE w:val="0"/>
              <w:autoSpaceDN w:val="0"/>
              <w:adjustRightInd w:val="0"/>
              <w:snapToGrid w:val="0"/>
              <w:spacing w:line="360" w:lineRule="auto"/>
              <w:ind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D—核算时段内漆中颗粒物（漆雾）产生量，t；</w:t>
            </w:r>
          </w:p>
          <w:p w14:paraId="02F51A6A">
            <w:pPr>
              <w:autoSpaceDE w:val="0"/>
              <w:autoSpaceDN w:val="0"/>
              <w:adjustRightInd w:val="0"/>
              <w:snapToGrid w:val="0"/>
              <w:spacing w:line="360" w:lineRule="auto"/>
              <w:ind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G —核算时段内漆用物料消耗量，t；</w:t>
            </w:r>
          </w:p>
          <w:p w14:paraId="15284356">
            <w:pPr>
              <w:autoSpaceDE w:val="0"/>
              <w:autoSpaceDN w:val="0"/>
              <w:adjustRightInd w:val="0"/>
              <w:snapToGrid w:val="0"/>
              <w:spacing w:line="360" w:lineRule="auto"/>
              <w:ind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W —核算时段内漆中固体分含量，%；</w:t>
            </w:r>
          </w:p>
          <w:p w14:paraId="002273A4">
            <w:pPr>
              <w:autoSpaceDE w:val="0"/>
              <w:autoSpaceDN w:val="0"/>
              <w:adjustRightInd w:val="0"/>
              <w:snapToGrid w:val="0"/>
              <w:spacing w:line="360" w:lineRule="auto"/>
              <w:ind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λ—对应喷涂工艺固体分附着率，%，</w:t>
            </w:r>
            <w:r>
              <w:rPr>
                <w:rFonts w:hint="eastAsia" w:ascii="Times New Roman" w:hAnsi="Times New Roman" w:eastAsia="宋体" w:cs="Times New Roman"/>
                <w:bCs/>
                <w:sz w:val="24"/>
              </w:rPr>
              <w:t>类别同类行业，</w:t>
            </w:r>
            <w:r>
              <w:rPr>
                <w:rFonts w:ascii="Times New Roman" w:hAnsi="Times New Roman" w:eastAsia="宋体" w:cs="Times New Roman"/>
                <w:bCs/>
                <w:sz w:val="24"/>
              </w:rPr>
              <w:t>油性漆喷漆工序上漆率均在60%~80%，本项目采用</w:t>
            </w:r>
            <w:r>
              <w:rPr>
                <w:rFonts w:hint="eastAsia" w:cs="Times New Roman"/>
                <w:bCs/>
                <w:sz w:val="24"/>
                <w:lang w:val="en-US" w:eastAsia="zh-CN"/>
              </w:rPr>
              <w:t>75</w:t>
            </w:r>
            <w:r>
              <w:rPr>
                <w:rFonts w:ascii="Times New Roman" w:hAnsi="Times New Roman" w:eastAsia="宋体" w:cs="Times New Roman"/>
                <w:bCs/>
                <w:sz w:val="24"/>
              </w:rPr>
              <w:t>%计。</w:t>
            </w:r>
          </w:p>
          <w:p w14:paraId="361C0CBD">
            <w:pPr>
              <w:autoSpaceDE w:val="0"/>
              <w:autoSpaceDN w:val="0"/>
              <w:adjustRightInd w:val="0"/>
              <w:snapToGrid w:val="0"/>
              <w:spacing w:line="360" w:lineRule="auto"/>
              <w:ind w:firstLine="480" w:firstLineChars="200"/>
              <w:jc w:val="left"/>
              <w:rPr>
                <w:rFonts w:hint="default" w:cs="Times New Roman"/>
                <w:color w:val="000000" w:themeColor="text1"/>
                <w:sz w:val="24"/>
                <w:szCs w:val="24"/>
                <w:lang w:val="en-US" w:eastAsia="zh-CN" w:bidi="ar"/>
                <w14:textFill>
                  <w14:solidFill>
                    <w14:schemeClr w14:val="tx1"/>
                  </w14:solidFill>
                </w14:textFill>
              </w:rPr>
            </w:pPr>
            <w:r>
              <w:rPr>
                <w:rFonts w:hint="eastAsia" w:cs="Times New Roman"/>
                <w:color w:val="000000" w:themeColor="text1"/>
                <w:sz w:val="24"/>
                <w:szCs w:val="24"/>
                <w:lang w:val="en-US" w:eastAsia="zh-CN" w:bidi="ar"/>
                <w14:textFill>
                  <w14:solidFill>
                    <w14:schemeClr w14:val="tx1"/>
                  </w14:solidFill>
                </w14:textFill>
              </w:rPr>
              <w:t>丙烯酸铝粉漆用量6.923t/a，固体份66.6%，上漆率75%，得出漆雾量为：1.44t/a。</w:t>
            </w:r>
          </w:p>
          <w:p w14:paraId="094A48A4">
            <w:pPr>
              <w:autoSpaceDE w:val="0"/>
              <w:autoSpaceDN w:val="0"/>
              <w:adjustRightInd w:val="0"/>
              <w:snapToGrid w:val="0"/>
              <w:spacing w:line="360" w:lineRule="auto"/>
              <w:ind w:firstLine="480" w:firstLineChars="200"/>
              <w:jc w:val="left"/>
              <w:rPr>
                <w:rFonts w:hint="eastAsia" w:ascii="Times New Roman" w:hAnsi="Times New Roman" w:eastAsia="宋体" w:cs="Times New Roman"/>
                <w:bCs/>
                <w:sz w:val="24"/>
              </w:rPr>
            </w:pPr>
            <w:r>
              <w:rPr>
                <w:rFonts w:hint="eastAsia" w:cs="Times New Roman"/>
                <w:color w:val="000000" w:themeColor="text1"/>
                <w:sz w:val="24"/>
                <w:szCs w:val="24"/>
                <w:lang w:val="en-US" w:eastAsia="zh-CN" w:bidi="ar"/>
                <w14:textFill>
                  <w14:solidFill>
                    <w14:schemeClr w14:val="tx1"/>
                  </w14:solidFill>
                </w14:textFill>
              </w:rPr>
              <w:t>UV漆用量0.512t/a，固体份68.2%，上漆率75%，得出漆雾量为：0.096t/a。</w:t>
            </w:r>
          </w:p>
          <w:p w14:paraId="0D9EF2B2">
            <w:pPr>
              <w:autoSpaceDE w:val="0"/>
              <w:autoSpaceDN w:val="0"/>
              <w:adjustRightInd w:val="0"/>
              <w:snapToGrid w:val="0"/>
              <w:spacing w:line="360" w:lineRule="auto"/>
              <w:ind w:firstLine="480" w:firstLineChars="200"/>
              <w:jc w:val="left"/>
              <w:rPr>
                <w:rFonts w:hint="eastAsia" w:ascii="Times New Roman" w:hAnsi="Times New Roman" w:cs="Times New Roman"/>
                <w:sz w:val="24"/>
                <w:szCs w:val="24"/>
                <w:lang w:eastAsia="zh-CN" w:bidi="ar"/>
              </w:rPr>
            </w:pPr>
            <w:r>
              <w:rPr>
                <w:rFonts w:hint="eastAsia" w:ascii="Times New Roman" w:hAnsi="Times New Roman" w:eastAsia="宋体" w:cs="Times New Roman"/>
                <w:bCs/>
                <w:sz w:val="24"/>
              </w:rPr>
              <w:t>经计算</w:t>
            </w:r>
            <w:r>
              <w:rPr>
                <w:rFonts w:ascii="Times New Roman" w:hAnsi="Times New Roman" w:eastAsia="宋体" w:cs="Times New Roman"/>
                <w:bCs/>
                <w:sz w:val="24"/>
              </w:rPr>
              <w:t>项</w:t>
            </w:r>
            <w:r>
              <w:rPr>
                <w:rFonts w:ascii="Times New Roman" w:hAnsi="Times New Roman" w:eastAsia="宋体" w:cs="Times New Roman"/>
                <w:b/>
                <w:bCs w:val="0"/>
                <w:sz w:val="24"/>
              </w:rPr>
              <w:t>目漆雾产生量为</w:t>
            </w:r>
            <w:r>
              <w:rPr>
                <w:rFonts w:hint="eastAsia" w:cs="Times New Roman"/>
                <w:b/>
                <w:bCs w:val="0"/>
                <w:sz w:val="24"/>
                <w:lang w:val="en-US" w:eastAsia="zh-CN"/>
              </w:rPr>
              <w:t>1.536</w:t>
            </w:r>
            <w:r>
              <w:rPr>
                <w:rFonts w:ascii="Times New Roman" w:hAnsi="Times New Roman" w:eastAsia="宋体" w:cs="Times New Roman"/>
                <w:b/>
                <w:bCs w:val="0"/>
                <w:sz w:val="24"/>
              </w:rPr>
              <w:t>t/a</w:t>
            </w:r>
            <w:r>
              <w:rPr>
                <w:rFonts w:hint="eastAsia" w:cs="Times New Roman"/>
                <w:b/>
                <w:bCs w:val="0"/>
                <w:sz w:val="24"/>
                <w:lang w:eastAsia="zh-CN"/>
              </w:rPr>
              <w:t>。</w:t>
            </w:r>
            <w:r>
              <w:rPr>
                <w:rFonts w:hint="eastAsia" w:cs="Times New Roman"/>
                <w:bCs/>
                <w:sz w:val="24"/>
                <w:lang w:val="en-US" w:eastAsia="zh-CN"/>
              </w:rPr>
              <w:t>喷涂线</w:t>
            </w:r>
            <w:r>
              <w:rPr>
                <w:rFonts w:ascii="Times New Roman" w:hAnsi="Times New Roman" w:eastAsia="宋体" w:cs="Times New Roman"/>
                <w:bCs/>
                <w:sz w:val="24"/>
              </w:rPr>
              <w:t>收集效率9</w:t>
            </w:r>
            <w:r>
              <w:rPr>
                <w:rFonts w:hint="eastAsia" w:cs="Times New Roman"/>
                <w:bCs/>
                <w:sz w:val="24"/>
                <w:lang w:val="en-US" w:eastAsia="zh-CN"/>
              </w:rPr>
              <w:t>5</w:t>
            </w:r>
            <w:r>
              <w:rPr>
                <w:rFonts w:ascii="Times New Roman" w:hAnsi="Times New Roman" w:eastAsia="宋体" w:cs="Times New Roman"/>
                <w:bCs/>
                <w:sz w:val="24"/>
              </w:rPr>
              <w:t>%，</w:t>
            </w:r>
            <w:r>
              <w:rPr>
                <w:rFonts w:hint="eastAsia" w:cs="Times New Roman"/>
                <w:color w:val="000000" w:themeColor="text1"/>
                <w:kern w:val="0"/>
                <w:sz w:val="24"/>
                <w:szCs w:val="24"/>
                <w:lang w:val="en-US" w:eastAsia="zh-CN"/>
                <w14:textFill>
                  <w14:solidFill>
                    <w14:schemeClr w14:val="tx1"/>
                  </w14:solidFill>
                </w14:textFill>
              </w:rPr>
              <w:t>一级水喷淋</w:t>
            </w:r>
            <w:r>
              <w:rPr>
                <w:rFonts w:ascii="Times New Roman" w:hAnsi="Times New Roman" w:eastAsia="宋体" w:cs="Times New Roman"/>
                <w:color w:val="000000" w:themeColor="text1"/>
                <w:kern w:val="0"/>
                <w:sz w:val="24"/>
                <w:szCs w:val="24"/>
                <w14:textFill>
                  <w14:solidFill>
                    <w14:schemeClr w14:val="tx1"/>
                  </w14:solidFill>
                </w14:textFill>
              </w:rPr>
              <w:t>装置</w:t>
            </w:r>
            <w:r>
              <w:rPr>
                <w:rFonts w:ascii="Times New Roman" w:hAnsi="Times New Roman" w:eastAsia="宋体" w:cs="Times New Roman"/>
                <w:sz w:val="24"/>
              </w:rPr>
              <w:t>对漆雾去除效率按</w:t>
            </w:r>
            <w:r>
              <w:rPr>
                <w:rFonts w:hint="eastAsia" w:cs="Times New Roman"/>
                <w:sz w:val="24"/>
                <w:lang w:val="en-US" w:eastAsia="zh-CN"/>
              </w:rPr>
              <w:t>80</w:t>
            </w:r>
            <w:r>
              <w:rPr>
                <w:rFonts w:ascii="Times New Roman" w:hAnsi="Times New Roman" w:eastAsia="宋体" w:cs="Times New Roman"/>
                <w:sz w:val="24"/>
              </w:rPr>
              <w:t>%计算</w:t>
            </w:r>
            <w:r>
              <w:rPr>
                <w:rFonts w:hint="eastAsia" w:cs="Times New Roman"/>
                <w:sz w:val="24"/>
                <w:szCs w:val="24"/>
                <w:lang w:eastAsia="zh-CN" w:bidi="ar"/>
              </w:rPr>
              <w:t>。</w:t>
            </w:r>
          </w:p>
          <w:p w14:paraId="19A85AC6">
            <w:pPr>
              <w:autoSpaceDE w:val="0"/>
              <w:autoSpaceDN w:val="0"/>
              <w:adjustRightInd w:val="0"/>
              <w:snapToGrid w:val="0"/>
              <w:spacing w:line="360" w:lineRule="auto"/>
              <w:ind w:firstLine="482" w:firstLineChars="200"/>
              <w:jc w:val="left"/>
              <w:rPr>
                <w:rFonts w:ascii="Times New Roman" w:hAnsi="Times New Roman" w:eastAsia="宋体" w:cs="Times New Roman"/>
                <w:bCs/>
                <w:color w:val="000000"/>
                <w:sz w:val="24"/>
                <w:highlight w:val="yellow"/>
              </w:rPr>
            </w:pPr>
            <w:r>
              <w:rPr>
                <w:rFonts w:ascii="Times New Roman" w:hAnsi="Times New Roman" w:eastAsia="宋体" w:cs="Times New Roman"/>
                <w:b/>
                <w:bCs/>
                <w:sz w:val="24"/>
              </w:rPr>
              <w:t>则漆雾有组织排放量为</w:t>
            </w:r>
            <w:r>
              <w:rPr>
                <w:rFonts w:hint="eastAsia" w:cs="Times New Roman"/>
                <w:b/>
                <w:bCs/>
                <w:sz w:val="24"/>
                <w:lang w:val="en-US" w:eastAsia="zh-CN"/>
              </w:rPr>
              <w:t>0.292</w:t>
            </w:r>
            <w:r>
              <w:rPr>
                <w:rFonts w:ascii="Times New Roman" w:hAnsi="Times New Roman" w:eastAsia="宋体" w:cs="Times New Roman"/>
                <w:b/>
                <w:bCs/>
                <w:sz w:val="24"/>
                <w:highlight w:val="none"/>
              </w:rPr>
              <w:t>t</w:t>
            </w:r>
            <w:r>
              <w:rPr>
                <w:rFonts w:ascii="Times New Roman" w:hAnsi="Times New Roman" w:eastAsia="宋体" w:cs="Times New Roman"/>
                <w:b/>
                <w:bCs/>
                <w:sz w:val="24"/>
              </w:rPr>
              <w:t>/a，</w:t>
            </w:r>
            <w:r>
              <w:rPr>
                <w:rFonts w:ascii="Times New Roman" w:hAnsi="Times New Roman" w:eastAsia="宋体" w:cs="Times New Roman"/>
                <w:b/>
                <w:bCs/>
                <w:sz w:val="24"/>
                <w:highlight w:val="none"/>
              </w:rPr>
              <w:t>排放速率为0.</w:t>
            </w:r>
            <w:r>
              <w:rPr>
                <w:rFonts w:hint="eastAsia" w:cs="Times New Roman"/>
                <w:b/>
                <w:bCs/>
                <w:sz w:val="24"/>
                <w:highlight w:val="none"/>
                <w:lang w:val="en-US" w:eastAsia="zh-CN"/>
              </w:rPr>
              <w:t>103</w:t>
            </w:r>
            <w:r>
              <w:rPr>
                <w:rFonts w:ascii="Times New Roman" w:hAnsi="Times New Roman" w:eastAsia="宋体" w:cs="Times New Roman"/>
                <w:b/>
                <w:bCs/>
                <w:sz w:val="24"/>
                <w:highlight w:val="none"/>
              </w:rPr>
              <w:t>kg/h</w:t>
            </w:r>
            <w:r>
              <w:rPr>
                <w:rFonts w:ascii="Times New Roman" w:hAnsi="Times New Roman" w:eastAsia="宋体" w:cs="Times New Roman"/>
                <w:b/>
                <w:bCs/>
                <w:color w:val="000000"/>
                <w:sz w:val="24"/>
                <w:highlight w:val="none"/>
              </w:rPr>
              <w:t>。</w:t>
            </w:r>
          </w:p>
          <w:p w14:paraId="7FFE420A">
            <w:pPr>
              <w:spacing w:line="360" w:lineRule="auto"/>
              <w:ind w:firstLine="482" w:firstLineChars="200"/>
              <w:rPr>
                <w:rFonts w:hint="default"/>
                <w:lang w:val="en-US" w:eastAsia="zh-CN"/>
              </w:rPr>
            </w:pPr>
            <w:r>
              <w:rPr>
                <w:rFonts w:hint="eastAsia" w:ascii="Times New Roman" w:hAnsi="Times New Roman" w:cs="Times New Roman"/>
                <w:b/>
                <w:bCs/>
                <w:color w:val="000000" w:themeColor="text1"/>
                <w:sz w:val="24"/>
                <w:szCs w:val="24"/>
                <w:lang w:val="en-US" w:eastAsia="zh-CN" w:bidi="ar"/>
                <w14:textFill>
                  <w14:solidFill>
                    <w14:schemeClr w14:val="tx1"/>
                  </w14:solidFill>
                </w14:textFill>
              </w:rPr>
              <w:t>综上，</w:t>
            </w:r>
            <w:r>
              <w:rPr>
                <w:rFonts w:hint="eastAsia" w:cs="Times New Roman"/>
                <w:b/>
                <w:bCs/>
                <w:color w:val="000000" w:themeColor="text1"/>
                <w:sz w:val="24"/>
                <w:szCs w:val="24"/>
                <w:lang w:val="en-US" w:eastAsia="zh-CN" w:bidi="ar"/>
                <w14:textFill>
                  <w14:solidFill>
                    <w14:schemeClr w14:val="tx1"/>
                  </w14:solidFill>
                </w14:textFill>
              </w:rPr>
              <w:t>调漆+</w:t>
            </w:r>
            <w:r>
              <w:rPr>
                <w:rFonts w:hint="eastAsia" w:ascii="Times New Roman" w:hAnsi="Times New Roman" w:cs="Times New Roman"/>
                <w:b/>
                <w:bCs/>
                <w:color w:val="000000" w:themeColor="text1"/>
                <w:sz w:val="24"/>
                <w:szCs w:val="24"/>
                <w:lang w:val="en-US" w:eastAsia="zh-CN" w:bidi="ar"/>
                <w14:textFill>
                  <w14:solidFill>
                    <w14:schemeClr w14:val="tx1"/>
                  </w14:solidFill>
                </w14:textFill>
              </w:rPr>
              <w:t>喷漆</w:t>
            </w:r>
            <w:r>
              <w:rPr>
                <w:rFonts w:hint="eastAsia" w:cs="Times New Roman"/>
                <w:b/>
                <w:bCs/>
                <w:color w:val="000000" w:themeColor="text1"/>
                <w:sz w:val="24"/>
                <w:szCs w:val="24"/>
                <w:lang w:val="en-US" w:eastAsia="zh-CN" w:bidi="ar"/>
                <w14:textFill>
                  <w14:solidFill>
                    <w14:schemeClr w14:val="tx1"/>
                  </w14:solidFill>
                </w14:textFill>
              </w:rPr>
              <w:t>+烘干</w:t>
            </w:r>
            <w:r>
              <w:rPr>
                <w:rFonts w:hint="eastAsia" w:ascii="Times New Roman" w:hAnsi="Times New Roman" w:cs="Times New Roman"/>
                <w:b/>
                <w:bCs/>
                <w:color w:val="000000" w:themeColor="text1"/>
                <w:sz w:val="24"/>
                <w:szCs w:val="24"/>
                <w:lang w:val="en-US" w:eastAsia="zh-CN" w:bidi="ar"/>
                <w14:textFill>
                  <w14:solidFill>
                    <w14:schemeClr w14:val="tx1"/>
                  </w14:solidFill>
                </w14:textFill>
              </w:rPr>
              <w:t>废气共排放</w:t>
            </w:r>
            <w:r>
              <w:rPr>
                <w:rFonts w:hint="eastAsia" w:cs="Times New Roman"/>
                <w:b/>
                <w:bCs/>
                <w:color w:val="000000" w:themeColor="text1"/>
                <w:sz w:val="24"/>
                <w:szCs w:val="24"/>
                <w:lang w:val="en-US" w:eastAsia="zh-CN" w:bidi="ar"/>
                <w14:textFill>
                  <w14:solidFill>
                    <w14:schemeClr w14:val="tx1"/>
                  </w14:solidFill>
                </w14:textFill>
              </w:rPr>
              <w:t>有组织</w:t>
            </w:r>
            <w:r>
              <w:rPr>
                <w:rFonts w:hint="eastAsia" w:ascii="Times New Roman" w:hAnsi="Times New Roman" w:cs="Times New Roman"/>
                <w:b/>
                <w:bCs/>
                <w:color w:val="000000" w:themeColor="text1"/>
                <w:sz w:val="24"/>
                <w:szCs w:val="24"/>
                <w:lang w:val="en-US" w:eastAsia="zh-CN" w:bidi="ar"/>
                <w14:textFill>
                  <w14:solidFill>
                    <w14:schemeClr w14:val="tx1"/>
                  </w14:solidFill>
                </w14:textFill>
              </w:rPr>
              <w:t>非甲烷总烃</w:t>
            </w:r>
            <w:r>
              <w:rPr>
                <w:rFonts w:hint="eastAsia" w:cs="Times New Roman"/>
                <w:b/>
                <w:bCs/>
                <w:color w:val="000000" w:themeColor="text1"/>
                <w:sz w:val="24"/>
                <w:szCs w:val="24"/>
                <w:lang w:val="en-US" w:eastAsia="zh-CN" w:bidi="ar"/>
                <w14:textFill>
                  <w14:solidFill>
                    <w14:schemeClr w14:val="tx1"/>
                  </w14:solidFill>
                </w14:textFill>
              </w:rPr>
              <w:t>0.373</w:t>
            </w:r>
            <w:r>
              <w:rPr>
                <w:rFonts w:hint="eastAsia" w:ascii="Times New Roman" w:hAnsi="Times New Roman" w:cs="Times New Roman"/>
                <w:b/>
                <w:bCs/>
                <w:color w:val="000000" w:themeColor="text1"/>
                <w:sz w:val="24"/>
                <w:szCs w:val="24"/>
                <w:lang w:val="en-US" w:eastAsia="zh-CN" w:bidi="ar"/>
                <w14:textFill>
                  <w14:solidFill>
                    <w14:schemeClr w14:val="tx1"/>
                  </w14:solidFill>
                </w14:textFill>
              </w:rPr>
              <w:t>t</w:t>
            </w:r>
            <w:r>
              <w:rPr>
                <w:rFonts w:hint="eastAsia" w:cs="Times New Roman"/>
                <w:b/>
                <w:bCs/>
                <w:color w:val="000000" w:themeColor="text1"/>
                <w:sz w:val="24"/>
                <w:szCs w:val="24"/>
                <w:lang w:val="en-US" w:eastAsia="zh-CN" w:bidi="ar"/>
                <w14:textFill>
                  <w14:solidFill>
                    <w14:schemeClr w14:val="tx1"/>
                  </w14:solidFill>
                </w14:textFill>
              </w:rPr>
              <w:t>/a、有组织颗粒物0.309t/a</w:t>
            </w:r>
            <w:r>
              <w:rPr>
                <w:rFonts w:hint="eastAsia" w:ascii="Times New Roman" w:hAnsi="Times New Roman" w:cs="Times New Roman"/>
                <w:b/>
                <w:bCs/>
                <w:color w:val="000000" w:themeColor="text1"/>
                <w:sz w:val="24"/>
                <w:szCs w:val="24"/>
                <w:lang w:val="en-US" w:eastAsia="zh-CN" w:bidi="ar"/>
                <w14:textFill>
                  <w14:solidFill>
                    <w14:schemeClr w14:val="tx1"/>
                  </w14:solidFill>
                </w14:textFill>
              </w:rPr>
              <w:t>。</w:t>
            </w:r>
          </w:p>
          <w:p w14:paraId="26D9B50E">
            <w:pPr>
              <w:spacing w:line="360" w:lineRule="auto"/>
              <w:ind w:firstLine="480" w:firstLineChars="200"/>
              <w:rPr>
                <w:rFonts w:hint="eastAsia"/>
                <w:b/>
                <w:bCs/>
                <w:color w:val="auto"/>
                <w:kern w:val="2"/>
                <w:highlight w:val="none"/>
                <w:lang w:val="en-US" w:eastAsia="zh-CN"/>
              </w:rPr>
            </w:pPr>
            <w:r>
              <w:rPr>
                <w:rFonts w:hint="eastAsia" w:ascii="Times New Roman" w:hAnsi="Times New Roman" w:cs="Times New Roman"/>
                <w:color w:val="000000"/>
                <w:sz w:val="24"/>
                <w:highlight w:val="none"/>
                <w:lang w:val="en-US" w:eastAsia="zh-CN"/>
              </w:rPr>
              <w:t>综上所述：该项目排放量为：烟（粉）尘：</w:t>
            </w:r>
            <w:r>
              <w:rPr>
                <w:rFonts w:hint="eastAsia" w:cs="Times New Roman"/>
                <w:color w:val="000000"/>
                <w:sz w:val="24"/>
                <w:highlight w:val="none"/>
                <w:lang w:val="en-US" w:eastAsia="zh-CN"/>
              </w:rPr>
              <w:t>0.292</w:t>
            </w:r>
            <w:r>
              <w:rPr>
                <w:rFonts w:hint="eastAsia" w:ascii="Times New Roman" w:hAnsi="Times New Roman" w:cs="Times New Roman"/>
                <w:color w:val="000000"/>
                <w:sz w:val="24"/>
                <w:highlight w:val="none"/>
                <w:lang w:val="en-US" w:eastAsia="zh-CN"/>
              </w:rPr>
              <w:t>t/a，挥发性有机物：</w:t>
            </w:r>
            <w:r>
              <w:rPr>
                <w:rFonts w:hint="eastAsia" w:cs="Times New Roman"/>
                <w:color w:val="000000"/>
                <w:sz w:val="24"/>
                <w:highlight w:val="none"/>
                <w:lang w:val="en-US" w:eastAsia="zh-CN"/>
              </w:rPr>
              <w:t>0.517</w:t>
            </w:r>
            <w:r>
              <w:rPr>
                <w:rFonts w:hint="eastAsia" w:ascii="Times New Roman" w:hAnsi="Times New Roman" w:cs="Times New Roman"/>
                <w:color w:val="000000"/>
                <w:sz w:val="24"/>
                <w:highlight w:val="none"/>
                <w:lang w:val="en-US" w:eastAsia="zh-CN"/>
              </w:rPr>
              <w:t>t/a</w:t>
            </w:r>
            <w:r>
              <w:rPr>
                <w:rFonts w:hint="eastAsia" w:cs="Times New Roman"/>
                <w:color w:val="000000"/>
                <w:sz w:val="24"/>
                <w:highlight w:val="none"/>
                <w:lang w:val="en-US" w:eastAsia="zh-CN"/>
              </w:rPr>
              <w:t>。</w:t>
            </w:r>
          </w:p>
          <w:p w14:paraId="4B37BCF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kern w:val="2"/>
                <w:highlight w:val="none"/>
                <w:lang w:val="en-US" w:eastAsia="zh-CN"/>
              </w:rPr>
            </w:pPr>
            <w:r>
              <w:rPr>
                <w:rFonts w:hint="eastAsia"/>
                <w:b/>
                <w:bCs/>
                <w:color w:val="auto"/>
                <w:kern w:val="2"/>
                <w:highlight w:val="none"/>
                <w:lang w:val="en-US" w:eastAsia="zh-CN"/>
              </w:rPr>
              <w:t>无组织</w:t>
            </w:r>
          </w:p>
          <w:p w14:paraId="63E6207C">
            <w:pPr>
              <w:numPr>
                <w:ilvl w:val="0"/>
                <w:numId w:val="0"/>
              </w:numPr>
              <w:spacing w:line="360" w:lineRule="auto"/>
              <w:ind w:firstLine="482" w:firstLineChars="200"/>
              <w:rPr>
                <w:rFonts w:hint="eastAsia" w:cs="Times New Roman"/>
                <w:b/>
                <w:bCs/>
                <w:color w:val="000000"/>
                <w:sz w:val="24"/>
                <w:highlight w:val="none"/>
                <w:lang w:val="en-US" w:eastAsia="zh-CN"/>
              </w:rPr>
            </w:pPr>
            <w:r>
              <w:rPr>
                <w:rFonts w:hint="eastAsia" w:cs="Times New Roman"/>
                <w:b/>
                <w:bCs/>
                <w:color w:val="000000"/>
                <w:sz w:val="24"/>
                <w:lang w:val="en-US" w:eastAsia="zh-CN"/>
              </w:rPr>
              <w:t>1、</w:t>
            </w:r>
            <w:r>
              <w:rPr>
                <w:rFonts w:hint="eastAsia" w:cs="Times New Roman"/>
                <w:b/>
                <w:bCs/>
                <w:color w:val="000000"/>
                <w:kern w:val="2"/>
                <w:sz w:val="24"/>
                <w:szCs w:val="24"/>
                <w:lang w:val="en-US" w:eastAsia="zh-CN" w:bidi="ar-SA"/>
              </w:rPr>
              <w:t>破碎</w:t>
            </w:r>
            <w:r>
              <w:rPr>
                <w:rFonts w:hint="eastAsia" w:cs="Times New Roman"/>
                <w:b/>
                <w:bCs/>
                <w:color w:val="000000"/>
                <w:sz w:val="24"/>
                <w:highlight w:val="none"/>
                <w:lang w:val="en-US" w:eastAsia="zh-CN"/>
              </w:rPr>
              <w:t>颗粒物</w:t>
            </w:r>
          </w:p>
          <w:p w14:paraId="0911A703">
            <w:pPr>
              <w:spacing w:line="360" w:lineRule="auto"/>
              <w:ind w:firstLine="480" w:firstLineChars="200"/>
              <w:rPr>
                <w:rFonts w:hint="default"/>
                <w:lang w:val="en-US" w:eastAsia="zh-CN"/>
              </w:rPr>
            </w:pPr>
            <w:r>
              <w:rPr>
                <w:rFonts w:hint="eastAsia" w:ascii="Times New Roman" w:hAnsi="Times New Roman" w:cs="Times New Roman"/>
                <w:color w:val="000000"/>
                <w:sz w:val="24"/>
                <w:lang w:val="en-US" w:eastAsia="zh-CN"/>
              </w:rPr>
              <w:t>项目在</w:t>
            </w:r>
            <w:r>
              <w:rPr>
                <w:rFonts w:hint="eastAsia" w:cs="Times New Roman"/>
                <w:color w:val="000000"/>
                <w:sz w:val="24"/>
                <w:lang w:val="en-US" w:eastAsia="zh-CN"/>
              </w:rPr>
              <w:t>破碎工序</w:t>
            </w:r>
            <w:r>
              <w:rPr>
                <w:rFonts w:hint="eastAsia" w:ascii="Times New Roman" w:hAnsi="Times New Roman" w:cs="Times New Roman"/>
                <w:color w:val="000000"/>
                <w:sz w:val="24"/>
                <w:lang w:val="en-US" w:eastAsia="zh-CN"/>
              </w:rPr>
              <w:t>中</w:t>
            </w:r>
            <w:r>
              <w:rPr>
                <w:rFonts w:hint="eastAsia" w:cs="Times New Roman"/>
                <w:color w:val="000000"/>
                <w:sz w:val="24"/>
                <w:lang w:val="en-US" w:eastAsia="zh-CN"/>
              </w:rPr>
              <w:t>会产生颗粒物，项目颗粒物源强参照《排放源统计调查产排污核算方法和系数手册》(生态环境部公告2021年第24号)中《工业源产排污核算方法和系数手册》中的“4220非金属废料和碎屑加工处理行业系数表”，颗粒物产污系数为375g/t·原料。项目回用量为6t/a，根据计算产生颗粒物0.002t。</w:t>
            </w:r>
          </w:p>
          <w:p w14:paraId="4D36DFC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kern w:val="2"/>
                <w:highlight w:val="none"/>
                <w:lang w:eastAsia="zh-CN"/>
              </w:rPr>
            </w:pPr>
            <w:r>
              <w:rPr>
                <w:rFonts w:hint="eastAsia"/>
                <w:b/>
                <w:bCs/>
                <w:color w:val="auto"/>
                <w:kern w:val="2"/>
                <w:highlight w:val="none"/>
                <w:lang w:val="en-US" w:eastAsia="zh-CN"/>
              </w:rPr>
              <w:t>废气</w:t>
            </w:r>
            <w:r>
              <w:rPr>
                <w:rFonts w:hint="eastAsia" w:eastAsia="宋体"/>
                <w:b/>
                <w:bCs/>
                <w:color w:val="auto"/>
                <w:kern w:val="2"/>
                <w:highlight w:val="none"/>
              </w:rPr>
              <w:t>收集、处理效率依据</w:t>
            </w:r>
            <w:r>
              <w:rPr>
                <w:rFonts w:hint="eastAsia"/>
                <w:b/>
                <w:bCs/>
                <w:color w:val="auto"/>
                <w:kern w:val="2"/>
                <w:highlight w:val="none"/>
                <w:lang w:eastAsia="zh-CN"/>
              </w:rPr>
              <w:t>：</w:t>
            </w:r>
          </w:p>
          <w:p w14:paraId="02B94E94">
            <w:pPr>
              <w:adjustRightInd w:val="0"/>
              <w:snapToGrid w:val="0"/>
              <w:spacing w:line="360" w:lineRule="auto"/>
              <w:ind w:firstLine="480" w:firstLineChars="200"/>
              <w:jc w:val="left"/>
              <w:rPr>
                <w:rFonts w:hint="default"/>
                <w:b w:val="0"/>
                <w:bCs w:val="0"/>
                <w:color w:val="auto"/>
                <w:kern w:val="2"/>
                <w:highlight w:val="none"/>
                <w:lang w:val="en-US" w:eastAsia="zh-CN"/>
              </w:rPr>
            </w:pPr>
            <w:r>
              <w:rPr>
                <w:rFonts w:hint="eastAsia"/>
                <w:b w:val="0"/>
                <w:bCs w:val="0"/>
                <w:color w:val="auto"/>
                <w:kern w:val="2"/>
                <w:highlight w:val="none"/>
                <w:lang w:val="en-US" w:eastAsia="zh-CN"/>
              </w:rPr>
              <w:t>收集方式的收集效率</w:t>
            </w:r>
          </w:p>
          <w:p w14:paraId="46C94CFF">
            <w:pPr>
              <w:adjustRightInd w:val="0"/>
              <w:snapToGrid w:val="0"/>
              <w:spacing w:line="360" w:lineRule="auto"/>
              <w:ind w:firstLine="480" w:firstLineChars="200"/>
              <w:jc w:val="left"/>
              <w:rPr>
                <w:rFonts w:hint="default"/>
                <w:b w:val="0"/>
                <w:bCs w:val="0"/>
                <w:color w:val="auto"/>
                <w:kern w:val="2"/>
                <w:highlight w:val="none"/>
                <w:lang w:val="en-US" w:eastAsia="zh-CN"/>
              </w:rPr>
            </w:pPr>
            <w:r>
              <w:rPr>
                <w:rFonts w:hint="eastAsia"/>
                <w:b w:val="0"/>
                <w:bCs w:val="0"/>
                <w:color w:val="auto"/>
                <w:kern w:val="2"/>
                <w:highlight w:val="none"/>
                <w:lang w:eastAsia="zh-CN"/>
              </w:rPr>
              <w:t>根据《袋式除尘工程通用技术规范》（HJ2020-2012）中6.2.8，吹吸罩捕集率不低于90%；半密闭集气罩捕集率不低于95%；密闭集气罩捕集率不低于100%</w:t>
            </w:r>
            <w:r>
              <w:rPr>
                <w:rFonts w:hint="eastAsia"/>
                <w:b w:val="0"/>
                <w:bCs w:val="0"/>
                <w:color w:val="auto"/>
                <w:kern w:val="2"/>
                <w:highlight w:val="none"/>
                <w:lang w:val="en-US" w:eastAsia="zh-CN"/>
              </w:rPr>
              <w:t>。</w:t>
            </w:r>
          </w:p>
          <w:p w14:paraId="4146213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eastAsia" w:cs="Times New Roman"/>
                <w:b w:val="0"/>
                <w:bCs w:val="0"/>
                <w:color w:val="auto"/>
                <w:kern w:val="2"/>
                <w:sz w:val="24"/>
                <w:szCs w:val="24"/>
                <w:highlight w:val="none"/>
                <w:vertAlign w:val="baseline"/>
                <w:lang w:val="en-US" w:eastAsia="zh-CN" w:bidi="ar-SA"/>
              </w:rPr>
              <w:t>注塑废气</w:t>
            </w:r>
            <w:r>
              <w:rPr>
                <w:rFonts w:hint="default" w:ascii="Times New Roman" w:hAnsi="Times New Roman" w:eastAsia="宋体" w:cs="Times New Roman"/>
                <w:b w:val="0"/>
                <w:bCs w:val="0"/>
                <w:color w:val="auto"/>
                <w:kern w:val="2"/>
                <w:sz w:val="24"/>
                <w:szCs w:val="24"/>
                <w:highlight w:val="none"/>
                <w:vertAlign w:val="baseline"/>
                <w:lang w:val="en-US" w:eastAsia="zh-CN" w:bidi="ar-SA"/>
              </w:rPr>
              <w:t>采用</w:t>
            </w:r>
            <w:r>
              <w:rPr>
                <w:rFonts w:hint="eastAsia" w:cs="Times New Roman"/>
                <w:b w:val="0"/>
                <w:bCs w:val="0"/>
                <w:color w:val="auto"/>
                <w:kern w:val="2"/>
                <w:sz w:val="24"/>
                <w:szCs w:val="24"/>
                <w:highlight w:val="none"/>
                <w:vertAlign w:val="baseline"/>
                <w:lang w:val="en-US" w:eastAsia="zh-CN" w:bidi="ar-SA"/>
              </w:rPr>
              <w:t>设备采用</w:t>
            </w:r>
            <w:r>
              <w:rPr>
                <w:rFonts w:hint="eastAsia"/>
                <w:b w:val="0"/>
                <w:bCs w:val="0"/>
                <w:color w:val="auto"/>
                <w:kern w:val="2"/>
                <w:highlight w:val="none"/>
                <w:lang w:eastAsia="zh-CN"/>
              </w:rPr>
              <w:t>吹吸罩</w:t>
            </w:r>
            <w:r>
              <w:rPr>
                <w:rFonts w:hint="default" w:ascii="Times New Roman" w:hAnsi="Times New Roman" w:eastAsia="宋体" w:cs="Times New Roman"/>
                <w:b w:val="0"/>
                <w:bCs w:val="0"/>
                <w:color w:val="auto"/>
                <w:kern w:val="2"/>
                <w:sz w:val="24"/>
                <w:szCs w:val="24"/>
                <w:highlight w:val="none"/>
                <w:vertAlign w:val="baseline"/>
                <w:lang w:val="en-US" w:eastAsia="zh-CN" w:bidi="ar-SA"/>
              </w:rPr>
              <w:t>进行处理</w:t>
            </w:r>
            <w:r>
              <w:rPr>
                <w:rFonts w:hint="eastAsia" w:cs="Times New Roman"/>
                <w:b w:val="0"/>
                <w:bCs w:val="0"/>
                <w:color w:val="auto"/>
                <w:kern w:val="2"/>
                <w:sz w:val="24"/>
                <w:szCs w:val="24"/>
                <w:highlight w:val="none"/>
                <w:vertAlign w:val="baseline"/>
                <w:lang w:val="en-US" w:eastAsia="zh-CN" w:bidi="ar-SA"/>
              </w:rPr>
              <w:t>，收集效率90%。</w:t>
            </w:r>
          </w:p>
          <w:p w14:paraId="6EC9071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调漆在调漆房进行，喷漆、烘干工序在喷漆房中，均为密闭环境，考虑装卸时门的打开和关闭，废气收集效率按95%计算。</w:t>
            </w:r>
          </w:p>
          <w:p w14:paraId="26AFC4F4">
            <w:pPr>
              <w:widowControl/>
              <w:adjustRightInd w:val="0"/>
              <w:snapToGrid w:val="0"/>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风量的设定：</w:t>
            </w:r>
          </w:p>
          <w:p w14:paraId="4BDDC80F">
            <w:pPr>
              <w:widowControl/>
              <w:shd w:val="clear"/>
              <w:adjustRightInd w:val="0"/>
              <w:snapToGrid w:val="0"/>
              <w:spacing w:line="360" w:lineRule="auto"/>
              <w:ind w:firstLine="480" w:firstLineChars="200"/>
              <w:rPr>
                <w:rFonts w:hint="eastAsia"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lang w:val="en-US" w:eastAsia="zh-CN"/>
              </w:rPr>
              <w:t>喷漆：喷漆房规格为5m*2.6m*2.8m；5m*2m*2.8m，调漆房30m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，则体积为94.4m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vertAlign w:val="baseline"/>
                <w:lang w:val="en-US" w:eastAsia="zh-CN"/>
              </w:rPr>
              <w:t>。</w:t>
            </w:r>
          </w:p>
          <w:p w14:paraId="6B984C38">
            <w:pPr>
              <w:widowControl/>
              <w:shd w:val="clea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 w:val="0"/>
                <w:bCs w:val="0"/>
                <w:color w:val="auto"/>
                <w:sz w:val="24"/>
                <w:szCs w:val="24"/>
                <w:highlight w:val="none"/>
                <w:vertAlign w:val="baseline"/>
                <w:lang w:val="en-US" w:eastAsia="zh-CN"/>
              </w:rPr>
              <w:t>根据风量=喷漆房体积(长*宽*高)*换气常数(60~100次)，本次取折中80，可得风量为7552</w:t>
            </w:r>
            <w:r>
              <w:rPr>
                <w:rFonts w:ascii="Times New Roman" w:hAnsi="Times New Roman" w:eastAsia="宋体" w:cs="Times New Roman"/>
                <w:bCs/>
                <w:color w:val="auto"/>
                <w:sz w:val="24"/>
                <w:highlight w:val="none"/>
              </w:rPr>
              <w:t>Nm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/h</w:t>
            </w:r>
            <w:r>
              <w:rPr>
                <w:rFonts w:hint="eastAsia" w:ascii="Times New Roman" w:hAnsi="Times New Roman" w:eastAsia="宋体" w:cs="Times New Roman"/>
                <w:bCs/>
                <w:color w:val="auto"/>
                <w:sz w:val="24"/>
                <w:highlight w:val="none"/>
                <w:lang w:eastAsia="zh-CN"/>
              </w:rPr>
              <w:t>。</w:t>
            </w:r>
          </w:p>
          <w:p w14:paraId="32723109">
            <w:pPr>
              <w:widowControl/>
              <w:shd w:val="clear"/>
              <w:adjustRightInd w:val="0"/>
              <w:snapToGrid w:val="0"/>
              <w:spacing w:line="360" w:lineRule="auto"/>
              <w:ind w:firstLine="480" w:firstLineChars="200"/>
              <w:rPr>
                <w:rFonts w:hint="eastAsia" w:cs="Times New Roman"/>
                <w:bCs/>
                <w:color w:val="auto"/>
                <w:sz w:val="24"/>
                <w:highlight w:val="none"/>
                <w:lang w:eastAsia="zh-CN"/>
              </w:rPr>
            </w:pPr>
            <w:r>
              <w:rPr>
                <w:rFonts w:hint="eastAsia" w:cs="Times New Roman"/>
                <w:bCs/>
                <w:color w:val="auto"/>
                <w:sz w:val="24"/>
                <w:highlight w:val="none"/>
                <w:lang w:val="en-US" w:eastAsia="zh-CN"/>
              </w:rPr>
              <w:t>根据现场规划，管道拉长，考虑损耗等其他因素，设计风量为</w:t>
            </w:r>
            <w:r>
              <w:rPr>
                <w:rFonts w:hint="eastAsia" w:cs="Times New Roman"/>
                <w:b w:val="0"/>
                <w:bCs w:val="0"/>
                <w:color w:val="auto"/>
                <w:sz w:val="24"/>
                <w:szCs w:val="24"/>
                <w:highlight w:val="none"/>
                <w:vertAlign w:val="baseline"/>
                <w:lang w:val="en-US" w:eastAsia="zh-CN"/>
              </w:rPr>
              <w:t>10000</w:t>
            </w:r>
            <w:r>
              <w:rPr>
                <w:rFonts w:ascii="Times New Roman" w:hAnsi="Times New Roman" w:eastAsia="宋体" w:cs="Times New Roman"/>
                <w:bCs/>
                <w:color w:val="auto"/>
                <w:sz w:val="24"/>
                <w:highlight w:val="none"/>
              </w:rPr>
              <w:t>Nm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/h</w:t>
            </w:r>
            <w:r>
              <w:rPr>
                <w:rFonts w:hint="eastAsia" w:cs="Times New Roman"/>
                <w:bCs/>
                <w:color w:val="auto"/>
                <w:sz w:val="24"/>
                <w:highlight w:val="none"/>
                <w:lang w:eastAsia="zh-CN"/>
              </w:rPr>
              <w:t>。</w:t>
            </w:r>
          </w:p>
          <w:p w14:paraId="13CE7E46">
            <w:pPr>
              <w:pStyle w:val="11"/>
              <w:ind w:firstLine="480" w:firstLineChars="200"/>
              <w:rPr>
                <w:rFonts w:hint="eastAsia" w:cs="Times New Roman"/>
                <w:bCs/>
                <w:color w:val="auto"/>
                <w:sz w:val="24"/>
                <w:highlight w:val="none"/>
                <w:lang w:val="en-US" w:eastAsia="zh-CN"/>
              </w:rPr>
            </w:pPr>
            <w:r>
              <w:rPr>
                <w:rFonts w:hint="eastAsia" w:cs="Times New Roman"/>
                <w:bCs/>
                <w:color w:val="auto"/>
                <w:sz w:val="24"/>
                <w:highlight w:val="none"/>
                <w:lang w:val="en-US" w:eastAsia="zh-CN"/>
              </w:rPr>
              <w:t>注塑：</w:t>
            </w:r>
          </w:p>
          <w:p w14:paraId="01876BEB">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cs="Times New Roman"/>
                <w:b w:val="0"/>
                <w:bCs w:val="0"/>
                <w:kern w:val="2"/>
                <w:sz w:val="24"/>
                <w:szCs w:val="24"/>
                <w:lang w:val="en-US" w:eastAsia="zh-CN" w:bidi="ar-SA"/>
              </w:rPr>
            </w:pPr>
            <w:r>
              <w:rPr>
                <w:rFonts w:hint="default" w:cs="Times New Roman"/>
                <w:b w:val="0"/>
                <w:bCs w:val="0"/>
                <w:kern w:val="2"/>
                <w:sz w:val="24"/>
                <w:szCs w:val="24"/>
                <w:lang w:val="en-US" w:eastAsia="zh-CN" w:bidi="ar-SA"/>
              </w:rPr>
              <w:t>根据《三废处理工程技术手册》(废气卷)中外部集气罩风量确定，风量计算公式如下</w:t>
            </w:r>
            <w:r>
              <w:rPr>
                <w:rFonts w:hint="eastAsia" w:cs="Times New Roman"/>
                <w:b w:val="0"/>
                <w:bCs w:val="0"/>
                <w:kern w:val="2"/>
                <w:sz w:val="24"/>
                <w:szCs w:val="24"/>
                <w:lang w:val="en-US" w:eastAsia="zh-CN" w:bidi="ar-SA"/>
              </w:rPr>
              <w:t>：</w:t>
            </w:r>
          </w:p>
          <w:p w14:paraId="30D975F4">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val="0"/>
                <w:kern w:val="2"/>
                <w:sz w:val="24"/>
                <w:szCs w:val="24"/>
                <w:vertAlign w:val="subscript"/>
                <w:lang w:val="en-US" w:eastAsia="zh-CN" w:bidi="ar-SA"/>
              </w:rPr>
            </w:pPr>
            <w:r>
              <w:rPr>
                <w:rFonts w:hint="default" w:ascii="Times New Roman" w:hAnsi="Times New Roman" w:cs="Times New Roman"/>
                <w:b w:val="0"/>
                <w:bCs w:val="0"/>
                <w:kern w:val="2"/>
                <w:sz w:val="24"/>
                <w:szCs w:val="24"/>
                <w:lang w:val="en-US" w:eastAsia="zh-CN" w:bidi="ar-SA"/>
              </w:rPr>
              <w:t>Q=0.75(5x</w:t>
            </w:r>
            <w:r>
              <w:rPr>
                <w:rFonts w:hint="eastAsia" w:ascii="Times New Roman" w:hAnsi="Times New Roman" w:cs="Times New Roman"/>
                <w:b w:val="0"/>
                <w:bCs w:val="0"/>
                <w:kern w:val="2"/>
                <w:sz w:val="24"/>
                <w:szCs w:val="24"/>
                <w:vertAlign w:val="superscript"/>
                <w:lang w:val="en-US" w:eastAsia="zh-CN" w:bidi="ar-SA"/>
              </w:rPr>
              <w:t>2</w:t>
            </w:r>
            <w:r>
              <w:rPr>
                <w:rFonts w:hint="default" w:ascii="Times New Roman" w:hAnsi="Times New Roman" w:cs="Times New Roman"/>
                <w:b w:val="0"/>
                <w:bCs w:val="0"/>
                <w:kern w:val="2"/>
                <w:sz w:val="24"/>
                <w:szCs w:val="24"/>
                <w:lang w:val="en-US" w:eastAsia="zh-CN" w:bidi="ar-SA"/>
              </w:rPr>
              <w:t>+A)×V</w:t>
            </w:r>
            <w:r>
              <w:rPr>
                <w:rFonts w:hint="default" w:ascii="Times New Roman" w:hAnsi="Times New Roman" w:cs="Times New Roman"/>
                <w:b w:val="0"/>
                <w:bCs w:val="0"/>
                <w:kern w:val="2"/>
                <w:sz w:val="24"/>
                <w:szCs w:val="24"/>
                <w:vertAlign w:val="subscript"/>
                <w:lang w:val="en-US" w:eastAsia="zh-CN" w:bidi="ar-SA"/>
              </w:rPr>
              <w:t>x</w:t>
            </w:r>
          </w:p>
          <w:p w14:paraId="27507BAB">
            <w:pPr>
              <w:keepNext w:val="0"/>
              <w:keepLines w:val="0"/>
              <w:pageBreakBefore w:val="0"/>
              <w:widowControl/>
              <w:tabs>
                <w:tab w:val="left" w:pos="195"/>
              </w:tabs>
              <w:kinsoku/>
              <w:wordWrap/>
              <w:overflowPunct/>
              <w:topLinePunct w:val="0"/>
              <w:autoSpaceDE/>
              <w:autoSpaceDN/>
              <w:bidi w:val="0"/>
              <w:adjustRightInd w:val="0"/>
              <w:snapToGrid w:val="0"/>
              <w:spacing w:line="360" w:lineRule="auto"/>
              <w:ind w:firstLine="482"/>
              <w:jc w:val="both"/>
              <w:textAlignment w:val="auto"/>
              <w:rPr>
                <w:rFonts w:hint="default" w:ascii="Times New Roman" w:hAnsi="Times New Roman" w:cs="Times New Roman"/>
                <w:b w:val="0"/>
                <w:bCs w:val="0"/>
                <w:kern w:val="2"/>
                <w:sz w:val="24"/>
                <w:szCs w:val="24"/>
                <w:vertAlign w:val="baseline"/>
                <w:lang w:val="en-US" w:eastAsia="zh-CN" w:bidi="ar-SA"/>
              </w:rPr>
            </w:pPr>
            <w:r>
              <w:rPr>
                <w:rFonts w:hint="default" w:ascii="Times New Roman" w:hAnsi="Times New Roman" w:cs="Times New Roman"/>
                <w:b w:val="0"/>
                <w:bCs w:val="0"/>
                <w:kern w:val="2"/>
                <w:sz w:val="24"/>
                <w:szCs w:val="24"/>
                <w:vertAlign w:val="baseline"/>
                <w:lang w:val="en-US" w:eastAsia="zh-CN" w:bidi="ar-SA"/>
              </w:rPr>
              <w:t>式中:Q----集气罩排风量</w:t>
            </w:r>
            <w:r>
              <w:rPr>
                <w:rFonts w:hint="eastAsia" w:cs="Times New Roman"/>
                <w:b w:val="0"/>
                <w:bCs w:val="0"/>
                <w:kern w:val="2"/>
                <w:sz w:val="24"/>
                <w:szCs w:val="24"/>
                <w:vertAlign w:val="baseline"/>
                <w:lang w:val="en-US" w:eastAsia="zh-CN" w:bidi="ar-SA"/>
              </w:rPr>
              <w:t>；</w:t>
            </w:r>
            <w:r>
              <w:rPr>
                <w:rFonts w:hint="default" w:ascii="Times New Roman" w:hAnsi="Times New Roman" w:cs="Times New Roman"/>
                <w:b w:val="0"/>
                <w:bCs w:val="0"/>
                <w:kern w:val="2"/>
                <w:sz w:val="24"/>
                <w:szCs w:val="24"/>
                <w:vertAlign w:val="baseline"/>
                <w:lang w:val="en-US" w:eastAsia="zh-CN" w:bidi="ar-SA"/>
              </w:rPr>
              <w:t>m</w:t>
            </w:r>
            <w:r>
              <w:rPr>
                <w:rFonts w:hint="default" w:ascii="Times New Roman" w:hAnsi="Times New Roman" w:cs="Times New Roman"/>
                <w:b w:val="0"/>
                <w:bCs w:val="0"/>
                <w:kern w:val="2"/>
                <w:sz w:val="24"/>
                <w:szCs w:val="24"/>
                <w:vertAlign w:val="superscript"/>
                <w:lang w:val="en-US" w:eastAsia="zh-CN" w:bidi="ar-SA"/>
              </w:rPr>
              <w:t>3</w:t>
            </w:r>
            <w:r>
              <w:rPr>
                <w:rFonts w:hint="default" w:ascii="Times New Roman" w:hAnsi="Times New Roman" w:cs="Times New Roman"/>
                <w:b w:val="0"/>
                <w:bCs w:val="0"/>
                <w:kern w:val="2"/>
                <w:sz w:val="24"/>
                <w:szCs w:val="24"/>
                <w:vertAlign w:val="baseline"/>
                <w:lang w:val="en-US" w:eastAsia="zh-CN" w:bidi="ar-SA"/>
              </w:rPr>
              <w:t>/s</w:t>
            </w:r>
            <w:r>
              <w:rPr>
                <w:rFonts w:hint="eastAsia" w:cs="Times New Roman"/>
                <w:b w:val="0"/>
                <w:bCs w:val="0"/>
                <w:kern w:val="2"/>
                <w:sz w:val="24"/>
                <w:szCs w:val="24"/>
                <w:vertAlign w:val="baseline"/>
                <w:lang w:val="en-US" w:eastAsia="zh-CN" w:bidi="ar-SA"/>
              </w:rPr>
              <w:t>；</w:t>
            </w:r>
          </w:p>
          <w:p w14:paraId="28992F01">
            <w:pPr>
              <w:keepNext w:val="0"/>
              <w:keepLines w:val="0"/>
              <w:pageBreakBefore w:val="0"/>
              <w:widowControl/>
              <w:tabs>
                <w:tab w:val="left" w:pos="195"/>
              </w:tabs>
              <w:kinsoku/>
              <w:wordWrap/>
              <w:overflowPunct/>
              <w:topLinePunct w:val="0"/>
              <w:autoSpaceDE/>
              <w:autoSpaceDN/>
              <w:bidi w:val="0"/>
              <w:adjustRightInd w:val="0"/>
              <w:snapToGrid w:val="0"/>
              <w:spacing w:line="360" w:lineRule="auto"/>
              <w:ind w:firstLine="482"/>
              <w:jc w:val="both"/>
              <w:textAlignment w:val="auto"/>
              <w:rPr>
                <w:rFonts w:hint="default" w:ascii="Times New Roman" w:hAnsi="Times New Roman" w:cs="Times New Roman"/>
                <w:b w:val="0"/>
                <w:bCs w:val="0"/>
                <w:kern w:val="2"/>
                <w:sz w:val="24"/>
                <w:szCs w:val="24"/>
                <w:vertAlign w:val="baseline"/>
                <w:lang w:val="en-US" w:eastAsia="zh-CN" w:bidi="ar-SA"/>
              </w:rPr>
            </w:pPr>
            <w:r>
              <w:rPr>
                <w:rFonts w:hint="default" w:ascii="Times New Roman" w:hAnsi="Times New Roman" w:cs="Times New Roman"/>
                <w:b w:val="0"/>
                <w:bCs w:val="0"/>
                <w:kern w:val="2"/>
                <w:sz w:val="24"/>
                <w:szCs w:val="24"/>
                <w:vertAlign w:val="baseline"/>
                <w:lang w:val="en-US" w:eastAsia="zh-CN" w:bidi="ar-SA"/>
              </w:rPr>
              <w:t>x-----污染物产生点至罩口的距离</w:t>
            </w:r>
            <w:r>
              <w:rPr>
                <w:rFonts w:hint="eastAsia" w:cs="Times New Roman"/>
                <w:b w:val="0"/>
                <w:bCs w:val="0"/>
                <w:kern w:val="2"/>
                <w:sz w:val="24"/>
                <w:szCs w:val="24"/>
                <w:vertAlign w:val="baseline"/>
                <w:lang w:val="en-US" w:eastAsia="zh-CN" w:bidi="ar-SA"/>
              </w:rPr>
              <w:t>；</w:t>
            </w:r>
            <w:r>
              <w:rPr>
                <w:rFonts w:hint="default" w:ascii="Times New Roman" w:hAnsi="Times New Roman" w:cs="Times New Roman"/>
                <w:b w:val="0"/>
                <w:bCs w:val="0"/>
                <w:kern w:val="2"/>
                <w:sz w:val="24"/>
                <w:szCs w:val="24"/>
                <w:vertAlign w:val="baseline"/>
                <w:lang w:val="en-US" w:eastAsia="zh-CN" w:bidi="ar-SA"/>
              </w:rPr>
              <w:t>m</w:t>
            </w:r>
            <w:r>
              <w:rPr>
                <w:rFonts w:hint="eastAsia" w:cs="Times New Roman"/>
                <w:b w:val="0"/>
                <w:bCs w:val="0"/>
                <w:kern w:val="2"/>
                <w:sz w:val="24"/>
                <w:szCs w:val="24"/>
                <w:vertAlign w:val="baseline"/>
                <w:lang w:val="en-US" w:eastAsia="zh-CN" w:bidi="ar-SA"/>
              </w:rPr>
              <w:t>；</w:t>
            </w:r>
            <w:r>
              <w:rPr>
                <w:rFonts w:hint="default" w:ascii="Times New Roman" w:hAnsi="Times New Roman" w:cs="Times New Roman"/>
                <w:b w:val="0"/>
                <w:bCs w:val="0"/>
                <w:kern w:val="2"/>
                <w:sz w:val="24"/>
                <w:szCs w:val="24"/>
                <w:vertAlign w:val="baseline"/>
                <w:lang w:val="en-US" w:eastAsia="zh-CN" w:bidi="ar-SA"/>
              </w:rPr>
              <w:t>本项目取0.5m</w:t>
            </w:r>
            <w:r>
              <w:rPr>
                <w:rFonts w:hint="eastAsia" w:cs="Times New Roman"/>
                <w:b w:val="0"/>
                <w:bCs w:val="0"/>
                <w:kern w:val="2"/>
                <w:sz w:val="24"/>
                <w:szCs w:val="24"/>
                <w:vertAlign w:val="baseline"/>
                <w:lang w:val="en-US" w:eastAsia="zh-CN" w:bidi="ar-SA"/>
              </w:rPr>
              <w:t>；</w:t>
            </w:r>
          </w:p>
          <w:p w14:paraId="2A1B78B4">
            <w:pPr>
              <w:keepNext w:val="0"/>
              <w:keepLines w:val="0"/>
              <w:pageBreakBefore w:val="0"/>
              <w:widowControl/>
              <w:tabs>
                <w:tab w:val="left" w:pos="195"/>
              </w:tabs>
              <w:kinsoku/>
              <w:wordWrap/>
              <w:overflowPunct/>
              <w:topLinePunct w:val="0"/>
              <w:autoSpaceDE/>
              <w:autoSpaceDN/>
              <w:bidi w:val="0"/>
              <w:spacing w:line="360" w:lineRule="auto"/>
              <w:ind w:firstLine="482"/>
              <w:jc w:val="both"/>
              <w:textAlignment w:val="auto"/>
              <w:rPr>
                <w:rFonts w:hint="default" w:ascii="Times New Roman" w:hAnsi="Times New Roman" w:cs="Times New Roman"/>
                <w:b w:val="0"/>
                <w:bCs w:val="0"/>
                <w:kern w:val="2"/>
                <w:sz w:val="24"/>
                <w:szCs w:val="24"/>
                <w:vertAlign w:val="baseline"/>
                <w:lang w:val="en-US" w:eastAsia="zh-CN" w:bidi="ar-SA"/>
              </w:rPr>
            </w:pPr>
            <w:r>
              <w:rPr>
                <w:rFonts w:hint="default" w:ascii="Times New Roman" w:hAnsi="Times New Roman" w:cs="Times New Roman"/>
                <w:b w:val="0"/>
                <w:bCs w:val="0"/>
                <w:kern w:val="2"/>
                <w:sz w:val="24"/>
                <w:szCs w:val="24"/>
                <w:vertAlign w:val="baseline"/>
                <w:lang w:val="en-US" w:eastAsia="zh-CN" w:bidi="ar-SA"/>
              </w:rPr>
              <w:t>A----罩口面积，m</w:t>
            </w:r>
            <w:r>
              <w:rPr>
                <w:rFonts w:hint="default" w:ascii="Times New Roman" w:hAnsi="Times New Roman" w:cs="Times New Roman"/>
                <w:b w:val="0"/>
                <w:bCs w:val="0"/>
                <w:kern w:val="2"/>
                <w:sz w:val="24"/>
                <w:szCs w:val="24"/>
                <w:vertAlign w:val="superscript"/>
                <w:lang w:val="en-US" w:eastAsia="zh-CN" w:bidi="ar-SA"/>
              </w:rPr>
              <w:t>2</w:t>
            </w:r>
            <w:r>
              <w:rPr>
                <w:rFonts w:hint="default" w:ascii="Times New Roman" w:hAnsi="Times New Roman" w:cs="Times New Roman"/>
                <w:b w:val="0"/>
                <w:bCs w:val="0"/>
                <w:kern w:val="2"/>
                <w:sz w:val="24"/>
                <w:szCs w:val="24"/>
                <w:vertAlign w:val="baseline"/>
                <w:lang w:val="en-US" w:eastAsia="zh-CN" w:bidi="ar-SA"/>
              </w:rPr>
              <w:t>，本项目共设有</w:t>
            </w:r>
            <w:r>
              <w:rPr>
                <w:rFonts w:hint="eastAsia" w:ascii="Times New Roman" w:hAnsi="Times New Roman" w:cs="Times New Roman"/>
                <w:b w:val="0"/>
                <w:bCs w:val="0"/>
                <w:kern w:val="2"/>
                <w:sz w:val="24"/>
                <w:szCs w:val="24"/>
                <w:vertAlign w:val="baseline"/>
                <w:lang w:val="en-US" w:eastAsia="zh-CN" w:bidi="ar-SA"/>
              </w:rPr>
              <w:t>9</w:t>
            </w:r>
            <w:r>
              <w:rPr>
                <w:rFonts w:hint="default" w:ascii="Times New Roman" w:hAnsi="Times New Roman" w:cs="Times New Roman"/>
                <w:b w:val="0"/>
                <w:bCs w:val="0"/>
                <w:kern w:val="2"/>
                <w:sz w:val="24"/>
                <w:szCs w:val="24"/>
                <w:vertAlign w:val="baseline"/>
                <w:lang w:val="en-US" w:eastAsia="zh-CN" w:bidi="ar-SA"/>
              </w:rPr>
              <w:t>个集气罩，参数为:</w:t>
            </w:r>
            <w:r>
              <w:rPr>
                <w:rFonts w:hint="eastAsia" w:cs="Times New Roman"/>
                <w:b w:val="0"/>
                <w:bCs w:val="0"/>
                <w:kern w:val="2"/>
                <w:sz w:val="24"/>
                <w:szCs w:val="24"/>
                <w:vertAlign w:val="baseline"/>
                <w:lang w:val="en-US" w:eastAsia="zh-CN" w:bidi="ar-SA"/>
              </w:rPr>
              <w:t>1</w:t>
            </w:r>
            <w:r>
              <w:rPr>
                <w:rFonts w:hint="default" w:ascii="Times New Roman" w:hAnsi="Times New Roman" w:cs="Times New Roman"/>
                <w:b w:val="0"/>
                <w:bCs w:val="0"/>
                <w:kern w:val="2"/>
                <w:sz w:val="24"/>
                <w:szCs w:val="24"/>
                <w:vertAlign w:val="baseline"/>
                <w:lang w:val="en-US" w:eastAsia="zh-CN" w:bidi="ar-SA"/>
              </w:rPr>
              <w:t>m</w:t>
            </w:r>
            <w:r>
              <w:rPr>
                <w:rFonts w:hint="default" w:ascii="Times New Roman" w:hAnsi="Times New Roman" w:cs="Times New Roman"/>
                <w:b w:val="0"/>
                <w:bCs w:val="0"/>
                <w:kern w:val="2"/>
                <w:sz w:val="24"/>
                <w:szCs w:val="24"/>
                <w:vertAlign w:val="superscript"/>
                <w:lang w:val="en-US" w:eastAsia="zh-CN" w:bidi="ar-SA"/>
              </w:rPr>
              <w:t>2</w:t>
            </w:r>
            <w:r>
              <w:rPr>
                <w:rFonts w:hint="eastAsia" w:cs="Times New Roman"/>
                <w:b w:val="0"/>
                <w:bCs w:val="0"/>
                <w:kern w:val="2"/>
                <w:sz w:val="24"/>
                <w:szCs w:val="24"/>
                <w:vertAlign w:val="baseline"/>
                <w:lang w:val="en-US" w:eastAsia="zh-CN" w:bidi="ar-SA"/>
              </w:rPr>
              <w:t>；</w:t>
            </w:r>
          </w:p>
          <w:p w14:paraId="24B06972">
            <w:pPr>
              <w:keepNext w:val="0"/>
              <w:keepLines w:val="0"/>
              <w:pageBreakBefore w:val="0"/>
              <w:widowControl/>
              <w:tabs>
                <w:tab w:val="left" w:pos="195"/>
              </w:tabs>
              <w:kinsoku/>
              <w:wordWrap/>
              <w:overflowPunct/>
              <w:topLinePunct w:val="0"/>
              <w:autoSpaceDE/>
              <w:autoSpaceDN/>
              <w:bidi w:val="0"/>
              <w:adjustRightInd w:val="0"/>
              <w:snapToGrid w:val="0"/>
              <w:spacing w:line="360" w:lineRule="auto"/>
              <w:ind w:firstLine="482"/>
              <w:jc w:val="both"/>
              <w:textAlignment w:val="auto"/>
              <w:rPr>
                <w:rFonts w:hint="eastAsia" w:ascii="Times New Roman" w:hAnsi="Times New Roman" w:eastAsia="宋体" w:cs="Times New Roman"/>
                <w:b w:val="0"/>
                <w:bCs w:val="0"/>
                <w:kern w:val="2"/>
                <w:sz w:val="24"/>
                <w:szCs w:val="24"/>
                <w:vertAlign w:val="baseline"/>
                <w:lang w:val="en-US" w:eastAsia="zh-CN" w:bidi="ar-SA"/>
              </w:rPr>
            </w:pPr>
            <w:r>
              <w:rPr>
                <w:rFonts w:hint="default" w:ascii="Times New Roman" w:hAnsi="Times New Roman" w:eastAsia="宋体" w:cs="Times New Roman"/>
                <w:b w:val="0"/>
                <w:bCs w:val="0"/>
                <w:kern w:val="2"/>
                <w:sz w:val="24"/>
                <w:szCs w:val="24"/>
                <w:vertAlign w:val="baseline"/>
                <w:lang w:val="en-US" w:eastAsia="zh-CN" w:bidi="ar-SA"/>
              </w:rPr>
              <w:t>Vx----最小控制风速，m/s，一般取0.25~0.5m/s，本项目取0.</w:t>
            </w:r>
            <w:r>
              <w:rPr>
                <w:rFonts w:hint="eastAsia" w:ascii="Times New Roman" w:hAnsi="Times New Roman" w:eastAsia="宋体" w:cs="Times New Roman"/>
                <w:b w:val="0"/>
                <w:bCs w:val="0"/>
                <w:kern w:val="2"/>
                <w:sz w:val="24"/>
                <w:szCs w:val="24"/>
                <w:vertAlign w:val="baseline"/>
                <w:lang w:val="en-US" w:eastAsia="zh-CN" w:bidi="ar-SA"/>
              </w:rPr>
              <w:t>5</w:t>
            </w:r>
            <w:r>
              <w:rPr>
                <w:rFonts w:hint="default" w:ascii="Times New Roman" w:hAnsi="Times New Roman" w:eastAsia="宋体" w:cs="Times New Roman"/>
                <w:b w:val="0"/>
                <w:bCs w:val="0"/>
                <w:kern w:val="2"/>
                <w:sz w:val="24"/>
                <w:szCs w:val="24"/>
                <w:vertAlign w:val="baseline"/>
                <w:lang w:val="en-US" w:eastAsia="zh-CN" w:bidi="ar-SA"/>
              </w:rPr>
              <w:t>m/s</w:t>
            </w:r>
            <w:r>
              <w:rPr>
                <w:rFonts w:hint="eastAsia" w:ascii="Times New Roman" w:hAnsi="Times New Roman" w:eastAsia="宋体" w:cs="Times New Roman"/>
                <w:b w:val="0"/>
                <w:bCs w:val="0"/>
                <w:kern w:val="2"/>
                <w:sz w:val="24"/>
                <w:szCs w:val="24"/>
                <w:vertAlign w:val="baseline"/>
                <w:lang w:val="en-US" w:eastAsia="zh-CN" w:bidi="ar-SA"/>
              </w:rPr>
              <w:t>。</w:t>
            </w:r>
          </w:p>
          <w:p w14:paraId="2188795B">
            <w:pPr>
              <w:keepNext w:val="0"/>
              <w:keepLines w:val="0"/>
              <w:pageBreakBefore w:val="0"/>
              <w:widowControl/>
              <w:tabs>
                <w:tab w:val="left" w:pos="195"/>
              </w:tabs>
              <w:kinsoku/>
              <w:wordWrap/>
              <w:overflowPunct/>
              <w:topLinePunct w:val="0"/>
              <w:autoSpaceDE/>
              <w:autoSpaceDN/>
              <w:bidi w:val="0"/>
              <w:adjustRightInd w:val="0"/>
              <w:snapToGrid w:val="0"/>
              <w:spacing w:line="360" w:lineRule="auto"/>
              <w:ind w:firstLine="482"/>
              <w:jc w:val="both"/>
              <w:textAlignment w:val="auto"/>
              <w:rPr>
                <w:rFonts w:hint="eastAsia" w:ascii="Times New Roman" w:hAnsi="Times New Roman" w:eastAsia="宋体" w:cs="Times New Roman"/>
                <w:b w:val="0"/>
                <w:bCs w:val="0"/>
                <w:kern w:val="2"/>
                <w:sz w:val="24"/>
                <w:szCs w:val="24"/>
                <w:vertAlign w:val="baseline"/>
                <w:lang w:val="en-US" w:eastAsia="zh-CN" w:bidi="ar-SA"/>
              </w:rPr>
            </w:pPr>
            <w:r>
              <w:rPr>
                <w:rFonts w:hint="eastAsia" w:ascii="Times New Roman" w:hAnsi="Times New Roman" w:eastAsia="宋体" w:cs="Times New Roman"/>
                <w:b w:val="0"/>
                <w:bCs w:val="0"/>
                <w:kern w:val="2"/>
                <w:sz w:val="24"/>
                <w:szCs w:val="24"/>
                <w:vertAlign w:val="baseline"/>
                <w:lang w:val="en-US" w:eastAsia="zh-CN" w:bidi="ar-SA"/>
              </w:rPr>
              <w:t>则Q=0.75×（5×</w:t>
            </w:r>
            <w:r>
              <w:rPr>
                <w:rFonts w:hint="eastAsia" w:cs="Times New Roman"/>
                <w:b w:val="0"/>
                <w:bCs w:val="0"/>
                <w:kern w:val="2"/>
                <w:sz w:val="24"/>
                <w:szCs w:val="24"/>
                <w:vertAlign w:val="baseline"/>
                <w:lang w:val="en-US" w:eastAsia="zh-CN" w:bidi="ar-SA"/>
              </w:rPr>
              <w:t>1</w:t>
            </w:r>
            <w:r>
              <w:rPr>
                <w:rFonts w:hint="eastAsia" w:ascii="Times New Roman" w:hAnsi="Times New Roman" w:eastAsia="宋体" w:cs="Times New Roman"/>
                <w:b w:val="0"/>
                <w:bCs w:val="0"/>
                <w:kern w:val="2"/>
                <w:sz w:val="24"/>
                <w:szCs w:val="24"/>
                <w:vertAlign w:val="baseline"/>
                <w:lang w:val="en-US" w:eastAsia="zh-CN" w:bidi="ar-SA"/>
              </w:rPr>
              <w:t>+2.25）×0.4×</w:t>
            </w:r>
            <w:r>
              <w:rPr>
                <w:rFonts w:hint="eastAsia" w:cs="Times New Roman"/>
                <w:b w:val="0"/>
                <w:bCs w:val="0"/>
                <w:kern w:val="2"/>
                <w:sz w:val="24"/>
                <w:szCs w:val="24"/>
                <w:vertAlign w:val="baseline"/>
                <w:lang w:val="en-US" w:eastAsia="zh-CN" w:bidi="ar-SA"/>
              </w:rPr>
              <w:t>3600</w:t>
            </w:r>
            <w:r>
              <w:rPr>
                <w:rFonts w:hint="eastAsia" w:ascii="Times New Roman" w:hAnsi="Times New Roman" w:eastAsia="宋体" w:cs="Times New Roman"/>
                <w:b w:val="0"/>
                <w:bCs w:val="0"/>
                <w:kern w:val="2"/>
                <w:sz w:val="24"/>
                <w:szCs w:val="24"/>
                <w:vertAlign w:val="baseline"/>
                <w:lang w:val="en-US" w:eastAsia="zh-CN" w:bidi="ar-SA"/>
              </w:rPr>
              <w:t>=</w:t>
            </w:r>
            <w:r>
              <w:rPr>
                <w:rFonts w:hint="eastAsia" w:cs="Times New Roman"/>
                <w:b w:val="0"/>
                <w:bCs w:val="0"/>
                <w:kern w:val="2"/>
                <w:sz w:val="24"/>
                <w:szCs w:val="24"/>
                <w:vertAlign w:val="baseline"/>
                <w:lang w:val="en-US" w:eastAsia="zh-CN" w:bidi="ar-SA"/>
              </w:rPr>
              <w:t>10516.5</w:t>
            </w:r>
            <w:r>
              <w:rPr>
                <w:rFonts w:hint="eastAsia" w:ascii="Times New Roman" w:hAnsi="Times New Roman" w:eastAsia="宋体" w:cs="Times New Roman"/>
                <w:b w:val="0"/>
                <w:bCs w:val="0"/>
                <w:kern w:val="2"/>
                <w:sz w:val="24"/>
                <w:szCs w:val="24"/>
                <w:vertAlign w:val="baseline"/>
                <w:lang w:val="en-US" w:eastAsia="zh-CN" w:bidi="ar-SA"/>
              </w:rPr>
              <w:t>Nm</w:t>
            </w:r>
            <w:r>
              <w:rPr>
                <w:rFonts w:hint="eastAsia" w:ascii="Times New Roman" w:hAnsi="Times New Roman" w:eastAsia="宋体" w:cs="Times New Roman"/>
                <w:b w:val="0"/>
                <w:bCs w:val="0"/>
                <w:kern w:val="2"/>
                <w:sz w:val="24"/>
                <w:szCs w:val="24"/>
                <w:vertAlign w:val="superscript"/>
                <w:lang w:val="en-US" w:eastAsia="zh-CN" w:bidi="ar-SA"/>
              </w:rPr>
              <w:t>3</w:t>
            </w:r>
            <w:r>
              <w:rPr>
                <w:rFonts w:hint="eastAsia" w:ascii="Times New Roman" w:hAnsi="Times New Roman" w:eastAsia="宋体" w:cs="Times New Roman"/>
                <w:b w:val="0"/>
                <w:bCs w:val="0"/>
                <w:kern w:val="2"/>
                <w:sz w:val="24"/>
                <w:szCs w:val="24"/>
                <w:vertAlign w:val="baseline"/>
                <w:lang w:val="en-US" w:eastAsia="zh-CN" w:bidi="ar-SA"/>
              </w:rPr>
              <w:t>/h。</w:t>
            </w:r>
          </w:p>
          <w:p w14:paraId="06B76058">
            <w:pPr>
              <w:keepNext w:val="0"/>
              <w:keepLines w:val="0"/>
              <w:pageBreakBefore w:val="0"/>
              <w:widowControl/>
              <w:tabs>
                <w:tab w:val="left" w:pos="195"/>
              </w:tabs>
              <w:kinsoku/>
              <w:wordWrap/>
              <w:overflowPunct/>
              <w:topLinePunct w:val="0"/>
              <w:autoSpaceDE/>
              <w:autoSpaceDN/>
              <w:bidi w:val="0"/>
              <w:adjustRightInd w:val="0"/>
              <w:snapToGrid w:val="0"/>
              <w:spacing w:line="360" w:lineRule="auto"/>
              <w:ind w:firstLine="482"/>
              <w:jc w:val="both"/>
              <w:textAlignment w:val="auto"/>
              <w:rPr>
                <w:rFonts w:hint="default"/>
                <w:lang w:val="en-US" w:eastAsia="zh-CN"/>
              </w:rPr>
            </w:pPr>
            <w:r>
              <w:rPr>
                <w:rFonts w:hint="eastAsia" w:ascii="Times New Roman" w:hAnsi="Times New Roman" w:eastAsia="宋体" w:cs="Times New Roman"/>
                <w:b w:val="0"/>
                <w:bCs w:val="0"/>
                <w:kern w:val="2"/>
                <w:sz w:val="24"/>
                <w:szCs w:val="24"/>
                <w:vertAlign w:val="baseline"/>
                <w:lang w:val="en-US" w:eastAsia="zh-CN" w:bidi="ar-SA"/>
              </w:rPr>
              <w:t>考虑风量损耗等其他因素，风量设定为</w:t>
            </w:r>
            <w:r>
              <w:rPr>
                <w:rFonts w:hint="eastAsia" w:cs="Times New Roman"/>
                <w:b w:val="0"/>
                <w:bCs w:val="0"/>
                <w:kern w:val="2"/>
                <w:sz w:val="24"/>
                <w:szCs w:val="24"/>
                <w:vertAlign w:val="baseline"/>
                <w:lang w:val="en-US" w:eastAsia="zh-CN" w:bidi="ar-SA"/>
              </w:rPr>
              <w:t>12</w:t>
            </w:r>
            <w:r>
              <w:rPr>
                <w:rFonts w:hint="eastAsia" w:ascii="Times New Roman" w:hAnsi="Times New Roman" w:eastAsia="宋体" w:cs="Times New Roman"/>
                <w:b w:val="0"/>
                <w:bCs w:val="0"/>
                <w:kern w:val="2"/>
                <w:sz w:val="24"/>
                <w:szCs w:val="24"/>
                <w:vertAlign w:val="baseline"/>
                <w:lang w:val="en-US" w:eastAsia="zh-CN" w:bidi="ar-SA"/>
              </w:rPr>
              <w:t>000Nm</w:t>
            </w:r>
            <w:r>
              <w:rPr>
                <w:rFonts w:hint="eastAsia" w:ascii="Times New Roman" w:hAnsi="Times New Roman" w:eastAsia="宋体" w:cs="Times New Roman"/>
                <w:b w:val="0"/>
                <w:bCs w:val="0"/>
                <w:kern w:val="2"/>
                <w:sz w:val="24"/>
                <w:szCs w:val="24"/>
                <w:vertAlign w:val="superscript"/>
                <w:lang w:val="en-US" w:eastAsia="zh-CN" w:bidi="ar-SA"/>
              </w:rPr>
              <w:t>3</w:t>
            </w:r>
            <w:r>
              <w:rPr>
                <w:rFonts w:hint="eastAsia" w:ascii="Times New Roman" w:hAnsi="Times New Roman" w:eastAsia="宋体" w:cs="Times New Roman"/>
                <w:b w:val="0"/>
                <w:bCs w:val="0"/>
                <w:kern w:val="2"/>
                <w:sz w:val="24"/>
                <w:szCs w:val="24"/>
                <w:vertAlign w:val="baseline"/>
                <w:lang w:val="en-US" w:eastAsia="zh-CN" w:bidi="ar-SA"/>
              </w:rPr>
              <w:t>/h。</w:t>
            </w:r>
          </w:p>
        </w:tc>
      </w:tr>
    </w:tbl>
    <w:p w14:paraId="77BB4F1C">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13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1"/>
      </w:tblGrid>
      <w:tr w14:paraId="14DC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1" w:type="dxa"/>
          </w:tcPr>
          <w:p w14:paraId="7B2663DD">
            <w:pPr>
              <w:widowControl/>
              <w:jc w:val="center"/>
              <w:rPr>
                <w:rFonts w:hint="eastAsia" w:ascii="宋体" w:hAnsi="宋体" w:cs="宋体"/>
                <w:b/>
                <w:color w:val="auto"/>
                <w:kern w:val="0"/>
                <w:highlight w:val="none"/>
                <w:lang w:bidi="ar"/>
              </w:rPr>
            </w:pPr>
            <w:r>
              <w:rPr>
                <w:b/>
                <w:color w:val="auto"/>
                <w:kern w:val="0"/>
                <w:highlight w:val="none"/>
                <w:lang w:bidi="ar"/>
              </w:rPr>
              <w:t>表4</w:t>
            </w:r>
            <w:r>
              <w:rPr>
                <w:rFonts w:hint="eastAsia"/>
                <w:b/>
                <w:color w:val="auto"/>
                <w:kern w:val="0"/>
                <w:highlight w:val="none"/>
                <w:lang w:val="en-US" w:eastAsia="zh-CN" w:bidi="ar"/>
              </w:rPr>
              <w:t>-1</w:t>
            </w:r>
            <w:r>
              <w:rPr>
                <w:rFonts w:hint="eastAsia"/>
                <w:b/>
                <w:color w:val="auto"/>
                <w:kern w:val="0"/>
                <w:highlight w:val="none"/>
                <w:lang w:bidi="ar"/>
              </w:rPr>
              <w:t xml:space="preserve">  </w:t>
            </w:r>
            <w:r>
              <w:rPr>
                <w:b/>
                <w:color w:val="auto"/>
                <w:kern w:val="0"/>
                <w:highlight w:val="none"/>
                <w:lang w:bidi="ar"/>
              </w:rPr>
              <w:t>主</w:t>
            </w:r>
            <w:r>
              <w:rPr>
                <w:rFonts w:hint="eastAsia" w:ascii="宋体" w:hAnsi="宋体" w:cs="宋体"/>
                <w:b/>
                <w:color w:val="auto"/>
                <w:kern w:val="0"/>
                <w:highlight w:val="none"/>
                <w:lang w:bidi="ar"/>
              </w:rPr>
              <w:t>要污染源排放汇总表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555"/>
              <w:gridCol w:w="1050"/>
              <w:gridCol w:w="885"/>
              <w:gridCol w:w="827"/>
              <w:gridCol w:w="778"/>
              <w:gridCol w:w="951"/>
              <w:gridCol w:w="748"/>
              <w:gridCol w:w="641"/>
              <w:gridCol w:w="765"/>
              <w:gridCol w:w="645"/>
              <w:gridCol w:w="915"/>
              <w:gridCol w:w="855"/>
              <w:gridCol w:w="750"/>
              <w:gridCol w:w="840"/>
              <w:gridCol w:w="645"/>
              <w:gridCol w:w="700"/>
            </w:tblGrid>
            <w:tr w14:paraId="3ABD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restart"/>
                  <w:vAlign w:val="center"/>
                </w:tcPr>
                <w:p w14:paraId="21B4D01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工序/生产线</w:t>
                  </w:r>
                </w:p>
              </w:tc>
              <w:tc>
                <w:tcPr>
                  <w:tcW w:w="210" w:type="pct"/>
                  <w:vMerge w:val="restart"/>
                  <w:vAlign w:val="center"/>
                </w:tcPr>
                <w:p w14:paraId="327E9ADE">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排气筒</w:t>
                  </w:r>
                </w:p>
              </w:tc>
              <w:tc>
                <w:tcPr>
                  <w:tcW w:w="397" w:type="pct"/>
                  <w:vMerge w:val="restart"/>
                  <w:vAlign w:val="center"/>
                </w:tcPr>
                <w:p w14:paraId="0EEED4A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污染物名称</w:t>
                  </w:r>
                </w:p>
              </w:tc>
              <w:tc>
                <w:tcPr>
                  <w:tcW w:w="942" w:type="pct"/>
                  <w:gridSpan w:val="3"/>
                  <w:vAlign w:val="center"/>
                </w:tcPr>
                <w:p w14:paraId="5F3E2543">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收集污染物产生情况</w:t>
                  </w:r>
                </w:p>
              </w:tc>
              <w:tc>
                <w:tcPr>
                  <w:tcW w:w="360" w:type="pct"/>
                  <w:vMerge w:val="restart"/>
                  <w:vAlign w:val="center"/>
                </w:tcPr>
                <w:p w14:paraId="6C115236">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治理措施</w:t>
                  </w:r>
                </w:p>
              </w:tc>
              <w:tc>
                <w:tcPr>
                  <w:tcW w:w="283" w:type="pct"/>
                  <w:vMerge w:val="restart"/>
                  <w:vAlign w:val="center"/>
                </w:tcPr>
                <w:p w14:paraId="4C12BB5C">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排气量</w:t>
                  </w:r>
                </w:p>
                <w:p w14:paraId="525DC712">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m</w:t>
                  </w:r>
                  <w:r>
                    <w:rPr>
                      <w:rStyle w:val="70"/>
                      <w:rFonts w:hint="default" w:ascii="Times New Roman" w:hAnsi="Times New Roman" w:eastAsia="宋体" w:cs="Times New Roman"/>
                      <w:b/>
                      <w:bCs/>
                      <w:color w:val="auto"/>
                      <w:sz w:val="21"/>
                      <w:szCs w:val="21"/>
                      <w:highlight w:val="none"/>
                      <w:vertAlign w:val="superscript"/>
                      <w:lang w:bidi="ar"/>
                    </w:rPr>
                    <w:t>3</w:t>
                  </w:r>
                  <w:r>
                    <w:rPr>
                      <w:rStyle w:val="69"/>
                      <w:rFonts w:hint="default" w:ascii="Times New Roman" w:hAnsi="Times New Roman" w:eastAsia="宋体" w:cs="Times New Roman"/>
                      <w:b/>
                      <w:bCs/>
                      <w:color w:val="auto"/>
                      <w:sz w:val="21"/>
                      <w:szCs w:val="21"/>
                      <w:highlight w:val="none"/>
                      <w:lang w:bidi="ar"/>
                    </w:rPr>
                    <w:t>/h</w:t>
                  </w:r>
                </w:p>
              </w:tc>
              <w:tc>
                <w:tcPr>
                  <w:tcW w:w="242" w:type="pct"/>
                  <w:vMerge w:val="restart"/>
                  <w:vAlign w:val="center"/>
                </w:tcPr>
                <w:p w14:paraId="1F60AA84">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收集效率</w:t>
                  </w:r>
                </w:p>
                <w:p w14:paraId="1F0158EF">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w:t>
                  </w:r>
                </w:p>
              </w:tc>
              <w:tc>
                <w:tcPr>
                  <w:tcW w:w="289" w:type="pct"/>
                  <w:vMerge w:val="restart"/>
                  <w:vAlign w:val="center"/>
                </w:tcPr>
                <w:p w14:paraId="37193459">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去除率</w:t>
                  </w:r>
                </w:p>
                <w:p w14:paraId="4AAFB6F9">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w:t>
                  </w:r>
                </w:p>
              </w:tc>
              <w:tc>
                <w:tcPr>
                  <w:tcW w:w="244" w:type="pct"/>
                  <w:vMerge w:val="restart"/>
                  <w:vAlign w:val="center"/>
                </w:tcPr>
                <w:p w14:paraId="6657F299">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是否为可行技术</w:t>
                  </w:r>
                </w:p>
              </w:tc>
              <w:tc>
                <w:tcPr>
                  <w:tcW w:w="954" w:type="pct"/>
                  <w:gridSpan w:val="3"/>
                  <w:vAlign w:val="center"/>
                </w:tcPr>
                <w:p w14:paraId="741E90E8">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有组织排放状况</w:t>
                  </w:r>
                </w:p>
              </w:tc>
              <w:tc>
                <w:tcPr>
                  <w:tcW w:w="562" w:type="pct"/>
                  <w:gridSpan w:val="2"/>
                  <w:vAlign w:val="center"/>
                </w:tcPr>
                <w:p w14:paraId="31178FBB">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执行标准</w:t>
                  </w:r>
                </w:p>
              </w:tc>
              <w:tc>
                <w:tcPr>
                  <w:tcW w:w="265" w:type="pct"/>
                  <w:vMerge w:val="restart"/>
                  <w:vAlign w:val="center"/>
                </w:tcPr>
                <w:p w14:paraId="25374ECA">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排放时间</w:t>
                  </w:r>
                </w:p>
                <w:p w14:paraId="1A0B4B3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H</w:t>
                  </w:r>
                  <w:r>
                    <w:rPr>
                      <w:rFonts w:hint="eastAsia" w:cs="Times New Roman"/>
                      <w:b/>
                      <w:bCs/>
                      <w:color w:val="auto"/>
                      <w:sz w:val="21"/>
                      <w:szCs w:val="21"/>
                      <w:highlight w:val="none"/>
                      <w:lang w:val="en-US" w:eastAsia="zh-CN"/>
                    </w:rPr>
                    <w:t>/备注</w:t>
                  </w:r>
                </w:p>
              </w:tc>
            </w:tr>
            <w:tr w14:paraId="2828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vAlign w:val="center"/>
                </w:tcPr>
                <w:p w14:paraId="25AE0A95">
                  <w:pPr>
                    <w:widowControl/>
                    <w:jc w:val="center"/>
                    <w:rPr>
                      <w:rFonts w:hint="default" w:ascii="Times New Roman" w:hAnsi="Times New Roman" w:eastAsia="宋体" w:cs="Times New Roman"/>
                      <w:color w:val="auto"/>
                      <w:sz w:val="21"/>
                      <w:szCs w:val="21"/>
                      <w:highlight w:val="none"/>
                    </w:rPr>
                  </w:pPr>
                </w:p>
              </w:tc>
              <w:tc>
                <w:tcPr>
                  <w:tcW w:w="210" w:type="pct"/>
                  <w:vMerge w:val="continue"/>
                  <w:vAlign w:val="center"/>
                </w:tcPr>
                <w:p w14:paraId="5C8A4E9D">
                  <w:pPr>
                    <w:widowControl/>
                    <w:jc w:val="center"/>
                    <w:rPr>
                      <w:rFonts w:hint="default" w:ascii="Times New Roman" w:hAnsi="Times New Roman" w:eastAsia="宋体" w:cs="Times New Roman"/>
                      <w:color w:val="auto"/>
                      <w:sz w:val="21"/>
                      <w:szCs w:val="21"/>
                      <w:highlight w:val="none"/>
                    </w:rPr>
                  </w:pPr>
                </w:p>
              </w:tc>
              <w:tc>
                <w:tcPr>
                  <w:tcW w:w="397" w:type="pct"/>
                  <w:vMerge w:val="continue"/>
                  <w:vAlign w:val="center"/>
                </w:tcPr>
                <w:p w14:paraId="7B874F58">
                  <w:pPr>
                    <w:widowControl/>
                    <w:jc w:val="center"/>
                    <w:rPr>
                      <w:rFonts w:hint="default" w:ascii="Times New Roman" w:hAnsi="Times New Roman" w:eastAsia="宋体" w:cs="Times New Roman"/>
                      <w:color w:val="auto"/>
                      <w:sz w:val="21"/>
                      <w:szCs w:val="21"/>
                      <w:highlight w:val="none"/>
                    </w:rPr>
                  </w:pPr>
                </w:p>
              </w:tc>
              <w:tc>
                <w:tcPr>
                  <w:tcW w:w="335" w:type="pct"/>
                  <w:vAlign w:val="center"/>
                </w:tcPr>
                <w:p w14:paraId="7140205D">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浓度</w:t>
                  </w:r>
                </w:p>
                <w:p w14:paraId="37056A87">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mg/m</w:t>
                  </w:r>
                  <w:r>
                    <w:rPr>
                      <w:rStyle w:val="70"/>
                      <w:rFonts w:hint="default" w:ascii="Times New Roman" w:hAnsi="Times New Roman" w:eastAsia="宋体" w:cs="Times New Roman"/>
                      <w:b/>
                      <w:bCs/>
                      <w:color w:val="auto"/>
                      <w:sz w:val="21"/>
                      <w:szCs w:val="21"/>
                      <w:highlight w:val="none"/>
                      <w:vertAlign w:val="superscript"/>
                      <w:lang w:bidi="ar"/>
                    </w:rPr>
                    <w:t>3</w:t>
                  </w:r>
                </w:p>
              </w:tc>
              <w:tc>
                <w:tcPr>
                  <w:tcW w:w="313" w:type="pct"/>
                  <w:vAlign w:val="center"/>
                </w:tcPr>
                <w:p w14:paraId="3448722D">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速率</w:t>
                  </w:r>
                </w:p>
                <w:p w14:paraId="04ABB143">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kg/h</w:t>
                  </w:r>
                </w:p>
              </w:tc>
              <w:tc>
                <w:tcPr>
                  <w:tcW w:w="294" w:type="pct"/>
                  <w:vAlign w:val="center"/>
                </w:tcPr>
                <w:p w14:paraId="6B5586FE">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产生量</w:t>
                  </w:r>
                </w:p>
                <w:p w14:paraId="302146DD">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eastAsia" w:eastAsia="宋体" w:cs="Times New Roman"/>
                      <w:b/>
                      <w:bCs/>
                      <w:color w:val="auto"/>
                      <w:sz w:val="21"/>
                      <w:szCs w:val="21"/>
                      <w:highlight w:val="none"/>
                      <w:lang w:val="en-US" w:eastAsia="zh-CN" w:bidi="ar"/>
                    </w:rPr>
                    <w:t>t</w:t>
                  </w:r>
                  <w:r>
                    <w:rPr>
                      <w:rStyle w:val="69"/>
                      <w:rFonts w:hint="default" w:ascii="Times New Roman" w:hAnsi="Times New Roman" w:eastAsia="宋体" w:cs="Times New Roman"/>
                      <w:b/>
                      <w:bCs/>
                      <w:color w:val="auto"/>
                      <w:sz w:val="21"/>
                      <w:szCs w:val="21"/>
                      <w:highlight w:val="none"/>
                      <w:lang w:bidi="ar"/>
                    </w:rPr>
                    <w:t>/a</w:t>
                  </w:r>
                </w:p>
              </w:tc>
              <w:tc>
                <w:tcPr>
                  <w:tcW w:w="360" w:type="pct"/>
                  <w:vMerge w:val="continue"/>
                  <w:vAlign w:val="center"/>
                </w:tcPr>
                <w:p w14:paraId="78978100">
                  <w:pPr>
                    <w:widowControl/>
                    <w:jc w:val="center"/>
                    <w:rPr>
                      <w:rFonts w:hint="default" w:ascii="Times New Roman" w:hAnsi="Times New Roman" w:eastAsia="宋体" w:cs="Times New Roman"/>
                      <w:color w:val="auto"/>
                      <w:sz w:val="21"/>
                      <w:szCs w:val="21"/>
                      <w:highlight w:val="none"/>
                    </w:rPr>
                  </w:pPr>
                </w:p>
              </w:tc>
              <w:tc>
                <w:tcPr>
                  <w:tcW w:w="283" w:type="pct"/>
                  <w:vMerge w:val="continue"/>
                  <w:vAlign w:val="center"/>
                </w:tcPr>
                <w:p w14:paraId="4A300E8F">
                  <w:pPr>
                    <w:widowControl/>
                    <w:jc w:val="center"/>
                    <w:rPr>
                      <w:rFonts w:hint="default" w:ascii="Times New Roman" w:hAnsi="Times New Roman" w:eastAsia="宋体" w:cs="Times New Roman"/>
                      <w:color w:val="auto"/>
                      <w:sz w:val="21"/>
                      <w:szCs w:val="21"/>
                      <w:highlight w:val="none"/>
                    </w:rPr>
                  </w:pPr>
                </w:p>
              </w:tc>
              <w:tc>
                <w:tcPr>
                  <w:tcW w:w="242" w:type="pct"/>
                  <w:vMerge w:val="continue"/>
                  <w:vAlign w:val="center"/>
                </w:tcPr>
                <w:p w14:paraId="3F082704">
                  <w:pPr>
                    <w:widowControl/>
                    <w:jc w:val="center"/>
                    <w:rPr>
                      <w:rFonts w:hint="default" w:ascii="Times New Roman" w:hAnsi="Times New Roman" w:eastAsia="宋体" w:cs="Times New Roman"/>
                      <w:color w:val="auto"/>
                      <w:sz w:val="21"/>
                      <w:szCs w:val="21"/>
                      <w:highlight w:val="none"/>
                    </w:rPr>
                  </w:pPr>
                </w:p>
              </w:tc>
              <w:tc>
                <w:tcPr>
                  <w:tcW w:w="289" w:type="pct"/>
                  <w:vMerge w:val="continue"/>
                  <w:vAlign w:val="center"/>
                </w:tcPr>
                <w:p w14:paraId="33E03143">
                  <w:pPr>
                    <w:widowControl/>
                    <w:jc w:val="center"/>
                    <w:rPr>
                      <w:rFonts w:hint="default" w:ascii="Times New Roman" w:hAnsi="Times New Roman" w:eastAsia="宋体" w:cs="Times New Roman"/>
                      <w:color w:val="auto"/>
                      <w:sz w:val="21"/>
                      <w:szCs w:val="21"/>
                      <w:highlight w:val="none"/>
                    </w:rPr>
                  </w:pPr>
                </w:p>
              </w:tc>
              <w:tc>
                <w:tcPr>
                  <w:tcW w:w="244" w:type="pct"/>
                  <w:vMerge w:val="continue"/>
                  <w:vAlign w:val="center"/>
                </w:tcPr>
                <w:p w14:paraId="20FF1956">
                  <w:pPr>
                    <w:widowControl/>
                    <w:jc w:val="center"/>
                    <w:rPr>
                      <w:rFonts w:hint="default" w:ascii="Times New Roman" w:hAnsi="Times New Roman" w:eastAsia="宋体" w:cs="Times New Roman"/>
                      <w:color w:val="auto"/>
                      <w:sz w:val="21"/>
                      <w:szCs w:val="21"/>
                      <w:highlight w:val="none"/>
                    </w:rPr>
                  </w:pPr>
                </w:p>
              </w:tc>
              <w:tc>
                <w:tcPr>
                  <w:tcW w:w="346" w:type="pct"/>
                  <w:vAlign w:val="center"/>
                </w:tcPr>
                <w:p w14:paraId="3C101F1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浓度</w:t>
                  </w:r>
                  <w:r>
                    <w:rPr>
                      <w:rStyle w:val="69"/>
                      <w:rFonts w:hint="default" w:ascii="Times New Roman" w:hAnsi="Times New Roman" w:eastAsia="宋体" w:cs="Times New Roman"/>
                      <w:b/>
                      <w:bCs/>
                      <w:color w:val="auto"/>
                      <w:sz w:val="21"/>
                      <w:szCs w:val="21"/>
                      <w:highlight w:val="none"/>
                      <w:lang w:bidi="ar"/>
                    </w:rPr>
                    <w:t>mg/m</w:t>
                  </w:r>
                  <w:r>
                    <w:rPr>
                      <w:rStyle w:val="70"/>
                      <w:rFonts w:hint="default" w:ascii="Times New Roman" w:hAnsi="Times New Roman" w:eastAsia="宋体" w:cs="Times New Roman"/>
                      <w:b/>
                      <w:bCs/>
                      <w:color w:val="auto"/>
                      <w:sz w:val="21"/>
                      <w:szCs w:val="21"/>
                      <w:highlight w:val="none"/>
                      <w:vertAlign w:val="superscript"/>
                      <w:lang w:bidi="ar"/>
                    </w:rPr>
                    <w:t>3</w:t>
                  </w:r>
                </w:p>
              </w:tc>
              <w:tc>
                <w:tcPr>
                  <w:tcW w:w="323" w:type="pct"/>
                  <w:vAlign w:val="center"/>
                </w:tcPr>
                <w:p w14:paraId="29D10E3B">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速率</w:t>
                  </w:r>
                </w:p>
                <w:p w14:paraId="0334F634">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kg/h</w:t>
                  </w:r>
                </w:p>
              </w:tc>
              <w:tc>
                <w:tcPr>
                  <w:tcW w:w="283" w:type="pct"/>
                  <w:vAlign w:val="center"/>
                </w:tcPr>
                <w:p w14:paraId="2E5610F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排放量</w:t>
                  </w:r>
                  <w:r>
                    <w:rPr>
                      <w:rFonts w:hint="eastAsia" w:eastAsia="宋体" w:cs="Times New Roman"/>
                      <w:b/>
                      <w:bCs/>
                      <w:color w:val="auto"/>
                      <w:kern w:val="0"/>
                      <w:sz w:val="21"/>
                      <w:szCs w:val="21"/>
                      <w:highlight w:val="none"/>
                      <w:lang w:val="en-US" w:eastAsia="zh-CN" w:bidi="ar"/>
                    </w:rPr>
                    <w:t>t</w:t>
                  </w:r>
                  <w:r>
                    <w:rPr>
                      <w:rStyle w:val="69"/>
                      <w:rFonts w:hint="default" w:ascii="Times New Roman" w:hAnsi="Times New Roman" w:eastAsia="宋体" w:cs="Times New Roman"/>
                      <w:b/>
                      <w:bCs/>
                      <w:color w:val="auto"/>
                      <w:sz w:val="21"/>
                      <w:szCs w:val="21"/>
                      <w:highlight w:val="none"/>
                      <w:lang w:bidi="ar"/>
                    </w:rPr>
                    <w:t>/a</w:t>
                  </w:r>
                </w:p>
              </w:tc>
              <w:tc>
                <w:tcPr>
                  <w:tcW w:w="318" w:type="pct"/>
                  <w:vAlign w:val="center"/>
                </w:tcPr>
                <w:p w14:paraId="733ADCFD">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浓度</w:t>
                  </w:r>
                </w:p>
                <w:p w14:paraId="6AD7B9F0">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mg/m</w:t>
                  </w:r>
                  <w:r>
                    <w:rPr>
                      <w:rStyle w:val="70"/>
                      <w:rFonts w:hint="default" w:ascii="Times New Roman" w:hAnsi="Times New Roman" w:eastAsia="宋体" w:cs="Times New Roman"/>
                      <w:b/>
                      <w:bCs/>
                      <w:color w:val="auto"/>
                      <w:sz w:val="21"/>
                      <w:szCs w:val="21"/>
                      <w:highlight w:val="none"/>
                      <w:vertAlign w:val="superscript"/>
                      <w:lang w:bidi="ar"/>
                    </w:rPr>
                    <w:t>3</w:t>
                  </w:r>
                </w:p>
              </w:tc>
              <w:tc>
                <w:tcPr>
                  <w:tcW w:w="244" w:type="pct"/>
                  <w:vAlign w:val="center"/>
                </w:tcPr>
                <w:p w14:paraId="401511D9">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速率</w:t>
                  </w:r>
                </w:p>
                <w:p w14:paraId="7B6B7158">
                  <w:pPr>
                    <w:widowControl/>
                    <w:jc w:val="center"/>
                    <w:textAlignment w:val="center"/>
                    <w:rPr>
                      <w:rFonts w:hint="default" w:ascii="Times New Roman" w:hAnsi="Times New Roman" w:eastAsia="宋体" w:cs="Times New Roman"/>
                      <w:b/>
                      <w:bCs/>
                      <w:color w:val="auto"/>
                      <w:sz w:val="21"/>
                      <w:szCs w:val="21"/>
                      <w:highlight w:val="none"/>
                    </w:rPr>
                  </w:pPr>
                  <w:r>
                    <w:rPr>
                      <w:rStyle w:val="69"/>
                      <w:rFonts w:hint="default" w:ascii="Times New Roman" w:hAnsi="Times New Roman" w:eastAsia="宋体" w:cs="Times New Roman"/>
                      <w:b/>
                      <w:bCs/>
                      <w:color w:val="auto"/>
                      <w:sz w:val="21"/>
                      <w:szCs w:val="21"/>
                      <w:highlight w:val="none"/>
                      <w:lang w:bidi="ar"/>
                    </w:rPr>
                    <w:t>kg/h</w:t>
                  </w:r>
                </w:p>
              </w:tc>
              <w:tc>
                <w:tcPr>
                  <w:tcW w:w="265" w:type="pct"/>
                  <w:vMerge w:val="continue"/>
                  <w:vAlign w:val="center"/>
                </w:tcPr>
                <w:p w14:paraId="10C8C405">
                  <w:pPr>
                    <w:widowControl/>
                    <w:jc w:val="center"/>
                    <w:textAlignment w:val="center"/>
                    <w:rPr>
                      <w:rFonts w:hint="default" w:ascii="Times New Roman" w:hAnsi="Times New Roman" w:eastAsia="宋体" w:cs="Times New Roman"/>
                      <w:color w:val="auto"/>
                      <w:kern w:val="0"/>
                      <w:sz w:val="21"/>
                      <w:szCs w:val="21"/>
                      <w:highlight w:val="none"/>
                      <w:lang w:bidi="ar"/>
                    </w:rPr>
                  </w:pPr>
                </w:p>
              </w:tc>
            </w:tr>
            <w:tr w14:paraId="3110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14:paraId="3A9FFD8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w:t>
                  </w:r>
                </w:p>
              </w:tc>
              <w:tc>
                <w:tcPr>
                  <w:tcW w:w="210" w:type="pct"/>
                  <w:vAlign w:val="center"/>
                </w:tcPr>
                <w:p w14:paraId="76FFB1DE">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DA001</w:t>
                  </w:r>
                </w:p>
              </w:tc>
              <w:tc>
                <w:tcPr>
                  <w:tcW w:w="397" w:type="pct"/>
                  <w:vAlign w:val="center"/>
                </w:tcPr>
                <w:p w14:paraId="7D6147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c>
                <w:tcPr>
                  <w:tcW w:w="335" w:type="pct"/>
                  <w:vAlign w:val="center"/>
                </w:tcPr>
                <w:p w14:paraId="022527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18.75</w:t>
                  </w:r>
                </w:p>
              </w:tc>
              <w:tc>
                <w:tcPr>
                  <w:tcW w:w="313" w:type="pct"/>
                  <w:vAlign w:val="center"/>
                </w:tcPr>
                <w:p w14:paraId="5D8B9D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0.225</w:t>
                  </w:r>
                </w:p>
              </w:tc>
              <w:tc>
                <w:tcPr>
                  <w:tcW w:w="294" w:type="pct"/>
                  <w:vAlign w:val="center"/>
                </w:tcPr>
                <w:p w14:paraId="2D1D43A0">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1.62</w:t>
                  </w:r>
                </w:p>
              </w:tc>
              <w:tc>
                <w:tcPr>
                  <w:tcW w:w="360" w:type="pct"/>
                  <w:vAlign w:val="center"/>
                </w:tcPr>
                <w:p w14:paraId="79D9FE4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二级活性炭吸附装置</w:t>
                  </w:r>
                </w:p>
              </w:tc>
              <w:tc>
                <w:tcPr>
                  <w:tcW w:w="283" w:type="pct"/>
                  <w:vAlign w:val="center"/>
                </w:tcPr>
                <w:p w14:paraId="76ED57C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12000</w:t>
                  </w:r>
                </w:p>
              </w:tc>
              <w:tc>
                <w:tcPr>
                  <w:tcW w:w="242" w:type="pct"/>
                  <w:vAlign w:val="center"/>
                </w:tcPr>
                <w:p w14:paraId="0ED104E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289" w:type="pct"/>
                  <w:vAlign w:val="center"/>
                </w:tcPr>
                <w:p w14:paraId="1D5ED248">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244" w:type="pct"/>
                  <w:vAlign w:val="center"/>
                </w:tcPr>
                <w:p w14:paraId="3CB8DBAA">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346" w:type="pct"/>
                  <w:vAlign w:val="center"/>
                </w:tcPr>
                <w:p w14:paraId="106D508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1.69</w:t>
                  </w:r>
                </w:p>
              </w:tc>
              <w:tc>
                <w:tcPr>
                  <w:tcW w:w="323" w:type="pct"/>
                  <w:vAlign w:val="center"/>
                </w:tcPr>
                <w:p w14:paraId="457AADF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0.02</w:t>
                  </w:r>
                </w:p>
              </w:tc>
              <w:tc>
                <w:tcPr>
                  <w:tcW w:w="283" w:type="pct"/>
                  <w:vAlign w:val="center"/>
                </w:tcPr>
                <w:p w14:paraId="2C406147">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0.146</w:t>
                  </w:r>
                </w:p>
              </w:tc>
              <w:tc>
                <w:tcPr>
                  <w:tcW w:w="318" w:type="pct"/>
                  <w:vAlign w:val="center"/>
                </w:tcPr>
                <w:p w14:paraId="44C8BD80">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60</w:t>
                  </w:r>
                </w:p>
              </w:tc>
              <w:tc>
                <w:tcPr>
                  <w:tcW w:w="244" w:type="pct"/>
                  <w:vAlign w:val="center"/>
                </w:tcPr>
                <w:p w14:paraId="1C1DB403">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265" w:type="pct"/>
                  <w:vAlign w:val="center"/>
                </w:tcPr>
                <w:p w14:paraId="6DAE2077">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7200</w:t>
                  </w:r>
                </w:p>
              </w:tc>
            </w:tr>
            <w:tr w14:paraId="579E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8" w:type="pct"/>
                  <w:vMerge w:val="restart"/>
                  <w:vAlign w:val="center"/>
                </w:tcPr>
                <w:p w14:paraId="082EF5DA">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喷漆</w:t>
                  </w:r>
                </w:p>
              </w:tc>
              <w:tc>
                <w:tcPr>
                  <w:tcW w:w="210" w:type="pct"/>
                  <w:vMerge w:val="restart"/>
                  <w:vAlign w:val="center"/>
                </w:tcPr>
                <w:p w14:paraId="3345EC4F">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DA002</w:t>
                  </w:r>
                </w:p>
              </w:tc>
              <w:tc>
                <w:tcPr>
                  <w:tcW w:w="397" w:type="pct"/>
                  <w:vAlign w:val="center"/>
                </w:tcPr>
                <w:p w14:paraId="0E809A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w:t>
                  </w:r>
                </w:p>
              </w:tc>
              <w:tc>
                <w:tcPr>
                  <w:tcW w:w="335" w:type="pct"/>
                  <w:vAlign w:val="center"/>
                </w:tcPr>
                <w:p w14:paraId="7559B843">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313" w:type="pct"/>
                  <w:vAlign w:val="center"/>
                </w:tcPr>
                <w:p w14:paraId="0BED3ABA">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0.64</w:t>
                  </w:r>
                </w:p>
              </w:tc>
              <w:tc>
                <w:tcPr>
                  <w:tcW w:w="294" w:type="pct"/>
                  <w:vAlign w:val="center"/>
                </w:tcPr>
                <w:p w14:paraId="768E6C06">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1.536</w:t>
                  </w:r>
                </w:p>
              </w:tc>
              <w:tc>
                <w:tcPr>
                  <w:tcW w:w="360" w:type="pct"/>
                  <w:vAlign w:val="center"/>
                </w:tcPr>
                <w:p w14:paraId="6E6100A9">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一级水喷淋</w:t>
                  </w:r>
                </w:p>
              </w:tc>
              <w:tc>
                <w:tcPr>
                  <w:tcW w:w="283" w:type="pct"/>
                  <w:vMerge w:val="restart"/>
                  <w:vAlign w:val="center"/>
                </w:tcPr>
                <w:p w14:paraId="511D437A">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242" w:type="pct"/>
                  <w:vMerge w:val="restart"/>
                  <w:vAlign w:val="center"/>
                </w:tcPr>
                <w:p w14:paraId="5D20E889">
                  <w:pPr>
                    <w:widowControl/>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289" w:type="pct"/>
                  <w:vAlign w:val="center"/>
                </w:tcPr>
                <w:p w14:paraId="10F44863">
                  <w:pPr>
                    <w:widowControl/>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244" w:type="pct"/>
                  <w:vAlign w:val="center"/>
                </w:tcPr>
                <w:p w14:paraId="701BF957">
                  <w:pPr>
                    <w:widowControl/>
                    <w:jc w:val="center"/>
                    <w:textAlignment w:val="center"/>
                    <w:rPr>
                      <w:rFonts w:hint="eastAsia"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346" w:type="pct"/>
                  <w:vAlign w:val="center"/>
                </w:tcPr>
                <w:p w14:paraId="0164F502">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12.667</w:t>
                  </w:r>
                </w:p>
              </w:tc>
              <w:tc>
                <w:tcPr>
                  <w:tcW w:w="323" w:type="pct"/>
                  <w:vAlign w:val="center"/>
                </w:tcPr>
                <w:p w14:paraId="254F8850">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0.122</w:t>
                  </w:r>
                </w:p>
              </w:tc>
              <w:tc>
                <w:tcPr>
                  <w:tcW w:w="283" w:type="pct"/>
                  <w:vAlign w:val="center"/>
                </w:tcPr>
                <w:p w14:paraId="6D3B201A">
                  <w:pPr>
                    <w:widowControl/>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0.292</w:t>
                  </w:r>
                </w:p>
              </w:tc>
              <w:tc>
                <w:tcPr>
                  <w:tcW w:w="318" w:type="pct"/>
                  <w:vAlign w:val="center"/>
                </w:tcPr>
                <w:p w14:paraId="138B103E">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120</w:t>
                  </w:r>
                </w:p>
              </w:tc>
              <w:tc>
                <w:tcPr>
                  <w:tcW w:w="244" w:type="pct"/>
                  <w:vAlign w:val="center"/>
                </w:tcPr>
                <w:p w14:paraId="3CCC7D12">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3.5</w:t>
                  </w:r>
                </w:p>
              </w:tc>
              <w:tc>
                <w:tcPr>
                  <w:tcW w:w="265" w:type="pct"/>
                  <w:vAlign w:val="center"/>
                </w:tcPr>
                <w:p w14:paraId="329E0A34">
                  <w:pPr>
                    <w:widowControl/>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2400</w:t>
                  </w:r>
                </w:p>
              </w:tc>
            </w:tr>
            <w:tr w14:paraId="0555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48" w:type="pct"/>
                  <w:vMerge w:val="continue"/>
                  <w:vAlign w:val="center"/>
                </w:tcPr>
                <w:p w14:paraId="5CC394B6">
                  <w:pPr>
                    <w:widowControl/>
                    <w:jc w:val="center"/>
                    <w:textAlignment w:val="center"/>
                    <w:rPr>
                      <w:rFonts w:hint="eastAsia" w:cs="Times New Roman"/>
                      <w:color w:val="auto"/>
                      <w:sz w:val="21"/>
                      <w:szCs w:val="21"/>
                      <w:highlight w:val="none"/>
                      <w:lang w:val="en-US" w:eastAsia="zh-CN"/>
                    </w:rPr>
                  </w:pPr>
                </w:p>
              </w:tc>
              <w:tc>
                <w:tcPr>
                  <w:tcW w:w="210" w:type="pct"/>
                  <w:vMerge w:val="continue"/>
                  <w:vAlign w:val="center"/>
                </w:tcPr>
                <w:p w14:paraId="29F2A685">
                  <w:pPr>
                    <w:widowControl/>
                    <w:jc w:val="center"/>
                    <w:textAlignment w:val="center"/>
                    <w:rPr>
                      <w:rFonts w:hint="default" w:ascii="Times New Roman" w:hAnsi="Times New Roman" w:eastAsia="宋体" w:cs="Times New Roman"/>
                      <w:color w:val="auto"/>
                      <w:kern w:val="0"/>
                      <w:sz w:val="21"/>
                      <w:szCs w:val="21"/>
                      <w:highlight w:val="none"/>
                      <w:lang w:bidi="ar"/>
                    </w:rPr>
                  </w:pPr>
                </w:p>
              </w:tc>
              <w:tc>
                <w:tcPr>
                  <w:tcW w:w="397" w:type="pct"/>
                  <w:vAlign w:val="center"/>
                </w:tcPr>
                <w:p w14:paraId="75C95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c>
                <w:tcPr>
                  <w:tcW w:w="335" w:type="pct"/>
                  <w:vAlign w:val="center"/>
                </w:tcPr>
                <w:p w14:paraId="62EF774D">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128.042</w:t>
                  </w:r>
                </w:p>
              </w:tc>
              <w:tc>
                <w:tcPr>
                  <w:tcW w:w="313" w:type="pct"/>
                  <w:vAlign w:val="center"/>
                </w:tcPr>
                <w:p w14:paraId="3ADAFFFC">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1.280</w:t>
                  </w:r>
                </w:p>
              </w:tc>
              <w:tc>
                <w:tcPr>
                  <w:tcW w:w="294" w:type="pct"/>
                  <w:vAlign w:val="center"/>
                </w:tcPr>
                <w:p w14:paraId="3BCDCF8D">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3.073</w:t>
                  </w:r>
                </w:p>
              </w:tc>
              <w:tc>
                <w:tcPr>
                  <w:tcW w:w="360" w:type="pct"/>
                  <w:vMerge w:val="restart"/>
                  <w:vAlign w:val="center"/>
                </w:tcPr>
                <w:p w14:paraId="4750D3B4">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活性炭吸脱附+RCO</w:t>
                  </w:r>
                </w:p>
              </w:tc>
              <w:tc>
                <w:tcPr>
                  <w:tcW w:w="283" w:type="pct"/>
                  <w:vMerge w:val="continue"/>
                  <w:vAlign w:val="center"/>
                </w:tcPr>
                <w:p w14:paraId="18597615">
                  <w:pPr>
                    <w:widowControl/>
                    <w:jc w:val="center"/>
                    <w:textAlignment w:val="center"/>
                    <w:rPr>
                      <w:rFonts w:hint="eastAsia" w:cs="Times New Roman"/>
                      <w:color w:val="auto"/>
                      <w:sz w:val="21"/>
                      <w:szCs w:val="21"/>
                      <w:highlight w:val="none"/>
                      <w:lang w:val="en-US" w:eastAsia="zh-CN"/>
                    </w:rPr>
                  </w:pPr>
                </w:p>
              </w:tc>
              <w:tc>
                <w:tcPr>
                  <w:tcW w:w="242" w:type="pct"/>
                  <w:vMerge w:val="continue"/>
                  <w:vAlign w:val="center"/>
                </w:tcPr>
                <w:p w14:paraId="23712DC2">
                  <w:pPr>
                    <w:widowControl/>
                    <w:jc w:val="center"/>
                    <w:textAlignment w:val="center"/>
                    <w:rPr>
                      <w:rFonts w:hint="default" w:eastAsia="宋体" w:cs="Times New Roman"/>
                      <w:color w:val="auto"/>
                      <w:sz w:val="21"/>
                      <w:szCs w:val="21"/>
                      <w:highlight w:val="none"/>
                      <w:lang w:val="en-US" w:eastAsia="zh-CN"/>
                    </w:rPr>
                  </w:pPr>
                </w:p>
              </w:tc>
              <w:tc>
                <w:tcPr>
                  <w:tcW w:w="289" w:type="pct"/>
                  <w:vMerge w:val="restart"/>
                  <w:vAlign w:val="center"/>
                </w:tcPr>
                <w:p w14:paraId="630FAA32">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87.3</w:t>
                  </w:r>
                </w:p>
              </w:tc>
              <w:tc>
                <w:tcPr>
                  <w:tcW w:w="244" w:type="pct"/>
                  <w:vAlign w:val="center"/>
                </w:tcPr>
                <w:p w14:paraId="1522BC7B">
                  <w:pPr>
                    <w:widowControl/>
                    <w:jc w:val="center"/>
                    <w:textAlignment w:val="center"/>
                    <w:rPr>
                      <w:rFonts w:hint="eastAsia"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346" w:type="pct"/>
                  <w:vAlign w:val="center"/>
                </w:tcPr>
                <w:p w14:paraId="37D13911">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15.483</w:t>
                  </w:r>
                </w:p>
              </w:tc>
              <w:tc>
                <w:tcPr>
                  <w:tcW w:w="323" w:type="pct"/>
                  <w:vAlign w:val="center"/>
                </w:tcPr>
                <w:p w14:paraId="7BA6622A">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0.155</w:t>
                  </w:r>
                </w:p>
              </w:tc>
              <w:tc>
                <w:tcPr>
                  <w:tcW w:w="283" w:type="pct"/>
                  <w:vAlign w:val="center"/>
                </w:tcPr>
                <w:p w14:paraId="7F21B0BC">
                  <w:pPr>
                    <w:widowControl/>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0.371</w:t>
                  </w:r>
                </w:p>
              </w:tc>
              <w:tc>
                <w:tcPr>
                  <w:tcW w:w="318" w:type="pct"/>
                  <w:vAlign w:val="center"/>
                </w:tcPr>
                <w:p w14:paraId="52242E9C">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70</w:t>
                  </w:r>
                </w:p>
              </w:tc>
              <w:tc>
                <w:tcPr>
                  <w:tcW w:w="244" w:type="pct"/>
                  <w:vAlign w:val="center"/>
                </w:tcPr>
                <w:p w14:paraId="4428B9D1">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265" w:type="pct"/>
                  <w:vMerge w:val="restart"/>
                  <w:vAlign w:val="center"/>
                </w:tcPr>
                <w:p w14:paraId="1B45EA4C">
                  <w:pPr>
                    <w:widowControl/>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2400</w:t>
                  </w:r>
                </w:p>
              </w:tc>
            </w:tr>
            <w:tr w14:paraId="7A3A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48" w:type="pct"/>
                  <w:vMerge w:val="continue"/>
                  <w:vAlign w:val="center"/>
                </w:tcPr>
                <w:p w14:paraId="7BF80E53">
                  <w:pPr>
                    <w:widowControl/>
                    <w:jc w:val="center"/>
                    <w:textAlignment w:val="center"/>
                    <w:rPr>
                      <w:rFonts w:hint="eastAsia" w:cs="Times New Roman"/>
                      <w:color w:val="auto"/>
                      <w:sz w:val="21"/>
                      <w:szCs w:val="21"/>
                      <w:highlight w:val="none"/>
                      <w:lang w:val="en-US" w:eastAsia="zh-CN"/>
                    </w:rPr>
                  </w:pPr>
                </w:p>
              </w:tc>
              <w:tc>
                <w:tcPr>
                  <w:tcW w:w="210" w:type="pct"/>
                  <w:vMerge w:val="continue"/>
                  <w:vAlign w:val="center"/>
                </w:tcPr>
                <w:p w14:paraId="1B57EEA8">
                  <w:pPr>
                    <w:widowControl/>
                    <w:jc w:val="center"/>
                    <w:textAlignment w:val="center"/>
                    <w:rPr>
                      <w:rFonts w:hint="default" w:ascii="Times New Roman" w:hAnsi="Times New Roman" w:eastAsia="宋体" w:cs="Times New Roman"/>
                      <w:color w:val="auto"/>
                      <w:kern w:val="0"/>
                      <w:sz w:val="21"/>
                      <w:szCs w:val="21"/>
                      <w:highlight w:val="none"/>
                      <w:lang w:bidi="ar"/>
                    </w:rPr>
                  </w:pPr>
                </w:p>
              </w:tc>
              <w:tc>
                <w:tcPr>
                  <w:tcW w:w="397" w:type="pct"/>
                  <w:vAlign w:val="center"/>
                </w:tcPr>
                <w:p w14:paraId="7BBA0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二甲苯</w:t>
                  </w:r>
                </w:p>
              </w:tc>
              <w:tc>
                <w:tcPr>
                  <w:tcW w:w="335" w:type="pct"/>
                  <w:vAlign w:val="center"/>
                </w:tcPr>
                <w:p w14:paraId="6BF2531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5.75</w:t>
                  </w:r>
                </w:p>
              </w:tc>
              <w:tc>
                <w:tcPr>
                  <w:tcW w:w="313" w:type="pct"/>
                  <w:vAlign w:val="center"/>
                </w:tcPr>
                <w:p w14:paraId="1E0468A4">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0.058</w:t>
                  </w:r>
                </w:p>
              </w:tc>
              <w:tc>
                <w:tcPr>
                  <w:tcW w:w="294" w:type="pct"/>
                  <w:vAlign w:val="center"/>
                </w:tcPr>
                <w:p w14:paraId="4B478D37">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0.138</w:t>
                  </w:r>
                </w:p>
              </w:tc>
              <w:tc>
                <w:tcPr>
                  <w:tcW w:w="360" w:type="pct"/>
                  <w:vMerge w:val="continue"/>
                  <w:vAlign w:val="center"/>
                </w:tcPr>
                <w:p w14:paraId="67F8968F">
                  <w:pPr>
                    <w:widowControl/>
                    <w:jc w:val="center"/>
                    <w:textAlignment w:val="center"/>
                    <w:rPr>
                      <w:rFonts w:hint="default" w:cs="Times New Roman"/>
                      <w:color w:val="auto"/>
                      <w:sz w:val="21"/>
                      <w:szCs w:val="21"/>
                      <w:highlight w:val="none"/>
                      <w:lang w:val="en-US" w:eastAsia="zh-CN"/>
                    </w:rPr>
                  </w:pPr>
                </w:p>
              </w:tc>
              <w:tc>
                <w:tcPr>
                  <w:tcW w:w="283" w:type="pct"/>
                  <w:vMerge w:val="continue"/>
                  <w:vAlign w:val="center"/>
                </w:tcPr>
                <w:p w14:paraId="785BC191">
                  <w:pPr>
                    <w:widowControl/>
                    <w:jc w:val="center"/>
                    <w:textAlignment w:val="center"/>
                    <w:rPr>
                      <w:rFonts w:hint="eastAsia" w:cs="Times New Roman"/>
                      <w:color w:val="auto"/>
                      <w:sz w:val="21"/>
                      <w:szCs w:val="21"/>
                      <w:highlight w:val="none"/>
                      <w:lang w:val="en-US" w:eastAsia="zh-CN"/>
                    </w:rPr>
                  </w:pPr>
                </w:p>
              </w:tc>
              <w:tc>
                <w:tcPr>
                  <w:tcW w:w="242" w:type="pct"/>
                  <w:vMerge w:val="continue"/>
                  <w:vAlign w:val="center"/>
                </w:tcPr>
                <w:p w14:paraId="036C5804">
                  <w:pPr>
                    <w:widowControl/>
                    <w:jc w:val="center"/>
                    <w:textAlignment w:val="center"/>
                    <w:rPr>
                      <w:rFonts w:hint="default" w:cs="Times New Roman"/>
                      <w:color w:val="auto"/>
                      <w:sz w:val="21"/>
                      <w:szCs w:val="21"/>
                      <w:highlight w:val="none"/>
                      <w:lang w:val="en-US" w:eastAsia="zh-CN"/>
                    </w:rPr>
                  </w:pPr>
                </w:p>
              </w:tc>
              <w:tc>
                <w:tcPr>
                  <w:tcW w:w="289" w:type="pct"/>
                  <w:vMerge w:val="continue"/>
                  <w:vAlign w:val="center"/>
                </w:tcPr>
                <w:p w14:paraId="3F4D999B">
                  <w:pPr>
                    <w:widowControl/>
                    <w:jc w:val="center"/>
                    <w:textAlignment w:val="center"/>
                    <w:rPr>
                      <w:rFonts w:hint="default" w:cs="Times New Roman"/>
                      <w:color w:val="auto"/>
                      <w:sz w:val="21"/>
                      <w:szCs w:val="21"/>
                      <w:highlight w:val="none"/>
                      <w:lang w:val="en-US" w:eastAsia="zh-CN"/>
                    </w:rPr>
                  </w:pPr>
                </w:p>
              </w:tc>
              <w:tc>
                <w:tcPr>
                  <w:tcW w:w="244" w:type="pct"/>
                  <w:vAlign w:val="center"/>
                </w:tcPr>
                <w:p w14:paraId="7177066C">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346" w:type="pct"/>
                  <w:vAlign w:val="center"/>
                </w:tcPr>
                <w:p w14:paraId="1024A7B3">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7.5</w:t>
                  </w:r>
                </w:p>
              </w:tc>
              <w:tc>
                <w:tcPr>
                  <w:tcW w:w="323" w:type="pct"/>
                  <w:vAlign w:val="center"/>
                </w:tcPr>
                <w:p w14:paraId="0CDE0B79">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0.075</w:t>
                  </w:r>
                </w:p>
              </w:tc>
              <w:tc>
                <w:tcPr>
                  <w:tcW w:w="283" w:type="pct"/>
                  <w:vAlign w:val="center"/>
                </w:tcPr>
                <w:p w14:paraId="378F8CB7">
                  <w:pPr>
                    <w:widowControl/>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0.18</w:t>
                  </w:r>
                </w:p>
              </w:tc>
              <w:tc>
                <w:tcPr>
                  <w:tcW w:w="318" w:type="pct"/>
                  <w:vAlign w:val="center"/>
                </w:tcPr>
                <w:p w14:paraId="59B9E224">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w:t>
                  </w:r>
                </w:p>
              </w:tc>
              <w:tc>
                <w:tcPr>
                  <w:tcW w:w="244" w:type="pct"/>
                  <w:vAlign w:val="center"/>
                </w:tcPr>
                <w:p w14:paraId="79FC70D0">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265" w:type="pct"/>
                  <w:vMerge w:val="continue"/>
                  <w:vAlign w:val="center"/>
                </w:tcPr>
                <w:p w14:paraId="3CE5A7D3">
                  <w:pPr>
                    <w:widowControl/>
                    <w:jc w:val="center"/>
                    <w:textAlignment w:val="center"/>
                    <w:rPr>
                      <w:rFonts w:hint="default" w:eastAsia="宋体" w:cs="Times New Roman"/>
                      <w:color w:val="auto"/>
                      <w:kern w:val="0"/>
                      <w:sz w:val="21"/>
                      <w:szCs w:val="21"/>
                      <w:highlight w:val="none"/>
                      <w:lang w:val="en-US" w:eastAsia="zh-CN" w:bidi="ar"/>
                    </w:rPr>
                  </w:pPr>
                </w:p>
              </w:tc>
            </w:tr>
            <w:tr w14:paraId="37CD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48" w:type="pct"/>
                  <w:vMerge w:val="continue"/>
                  <w:vAlign w:val="center"/>
                </w:tcPr>
                <w:p w14:paraId="1DF4CF11">
                  <w:pPr>
                    <w:widowControl/>
                    <w:jc w:val="center"/>
                    <w:textAlignment w:val="center"/>
                    <w:rPr>
                      <w:rFonts w:hint="eastAsia" w:cs="Times New Roman"/>
                      <w:color w:val="auto"/>
                      <w:sz w:val="21"/>
                      <w:szCs w:val="21"/>
                      <w:highlight w:val="none"/>
                      <w:lang w:val="en-US" w:eastAsia="zh-CN"/>
                    </w:rPr>
                  </w:pPr>
                </w:p>
              </w:tc>
              <w:tc>
                <w:tcPr>
                  <w:tcW w:w="210" w:type="pct"/>
                  <w:vMerge w:val="continue"/>
                  <w:vAlign w:val="center"/>
                </w:tcPr>
                <w:p w14:paraId="1329551C">
                  <w:pPr>
                    <w:widowControl/>
                    <w:jc w:val="center"/>
                    <w:textAlignment w:val="center"/>
                    <w:rPr>
                      <w:rFonts w:hint="default" w:ascii="Times New Roman" w:hAnsi="Times New Roman" w:eastAsia="宋体" w:cs="Times New Roman"/>
                      <w:color w:val="auto"/>
                      <w:kern w:val="0"/>
                      <w:sz w:val="21"/>
                      <w:szCs w:val="21"/>
                      <w:highlight w:val="none"/>
                      <w:lang w:bidi="ar"/>
                    </w:rPr>
                  </w:pPr>
                </w:p>
              </w:tc>
              <w:tc>
                <w:tcPr>
                  <w:tcW w:w="397" w:type="pct"/>
                  <w:vAlign w:val="center"/>
                </w:tcPr>
                <w:p w14:paraId="72C2C3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醋酸丁酯</w:t>
                  </w:r>
                </w:p>
              </w:tc>
              <w:tc>
                <w:tcPr>
                  <w:tcW w:w="335" w:type="pct"/>
                  <w:vAlign w:val="center"/>
                </w:tcPr>
                <w:p w14:paraId="3CF4645B">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21.625</w:t>
                  </w:r>
                </w:p>
              </w:tc>
              <w:tc>
                <w:tcPr>
                  <w:tcW w:w="313" w:type="pct"/>
                  <w:vAlign w:val="center"/>
                </w:tcPr>
                <w:p w14:paraId="49606689">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0.216</w:t>
                  </w:r>
                </w:p>
              </w:tc>
              <w:tc>
                <w:tcPr>
                  <w:tcW w:w="294" w:type="pct"/>
                  <w:vAlign w:val="center"/>
                </w:tcPr>
                <w:p w14:paraId="66F9E171">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0.519</w:t>
                  </w:r>
                </w:p>
              </w:tc>
              <w:tc>
                <w:tcPr>
                  <w:tcW w:w="360" w:type="pct"/>
                  <w:vMerge w:val="continue"/>
                  <w:vAlign w:val="center"/>
                </w:tcPr>
                <w:p w14:paraId="08006E19">
                  <w:pPr>
                    <w:widowControl/>
                    <w:jc w:val="center"/>
                    <w:textAlignment w:val="center"/>
                    <w:rPr>
                      <w:rFonts w:hint="default" w:cs="Times New Roman"/>
                      <w:color w:val="auto"/>
                      <w:sz w:val="21"/>
                      <w:szCs w:val="21"/>
                      <w:highlight w:val="none"/>
                      <w:lang w:val="en-US" w:eastAsia="zh-CN"/>
                    </w:rPr>
                  </w:pPr>
                </w:p>
              </w:tc>
              <w:tc>
                <w:tcPr>
                  <w:tcW w:w="283" w:type="pct"/>
                  <w:vMerge w:val="continue"/>
                  <w:vAlign w:val="center"/>
                </w:tcPr>
                <w:p w14:paraId="5B6B108A">
                  <w:pPr>
                    <w:widowControl/>
                    <w:jc w:val="center"/>
                    <w:textAlignment w:val="center"/>
                    <w:rPr>
                      <w:rFonts w:hint="eastAsia" w:cs="Times New Roman"/>
                      <w:color w:val="auto"/>
                      <w:sz w:val="21"/>
                      <w:szCs w:val="21"/>
                      <w:highlight w:val="none"/>
                      <w:lang w:val="en-US" w:eastAsia="zh-CN"/>
                    </w:rPr>
                  </w:pPr>
                </w:p>
              </w:tc>
              <w:tc>
                <w:tcPr>
                  <w:tcW w:w="242" w:type="pct"/>
                  <w:vMerge w:val="continue"/>
                  <w:vAlign w:val="center"/>
                </w:tcPr>
                <w:p w14:paraId="3FE66DBB">
                  <w:pPr>
                    <w:widowControl/>
                    <w:jc w:val="center"/>
                    <w:textAlignment w:val="center"/>
                    <w:rPr>
                      <w:rFonts w:hint="default" w:cs="Times New Roman"/>
                      <w:color w:val="auto"/>
                      <w:sz w:val="21"/>
                      <w:szCs w:val="21"/>
                      <w:highlight w:val="none"/>
                      <w:lang w:val="en-US" w:eastAsia="zh-CN"/>
                    </w:rPr>
                  </w:pPr>
                </w:p>
              </w:tc>
              <w:tc>
                <w:tcPr>
                  <w:tcW w:w="289" w:type="pct"/>
                  <w:vMerge w:val="continue"/>
                  <w:vAlign w:val="center"/>
                </w:tcPr>
                <w:p w14:paraId="4C78C829">
                  <w:pPr>
                    <w:widowControl/>
                    <w:jc w:val="center"/>
                    <w:textAlignment w:val="center"/>
                    <w:rPr>
                      <w:rFonts w:hint="default" w:cs="Times New Roman"/>
                      <w:color w:val="auto"/>
                      <w:sz w:val="21"/>
                      <w:szCs w:val="21"/>
                      <w:highlight w:val="none"/>
                      <w:lang w:val="en-US" w:eastAsia="zh-CN"/>
                    </w:rPr>
                  </w:pPr>
                </w:p>
              </w:tc>
              <w:tc>
                <w:tcPr>
                  <w:tcW w:w="244" w:type="pct"/>
                  <w:vAlign w:val="center"/>
                </w:tcPr>
                <w:p w14:paraId="1FAB8FCA">
                  <w:pPr>
                    <w:widowControl/>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346" w:type="pct"/>
                  <w:vAlign w:val="center"/>
                </w:tcPr>
                <w:p w14:paraId="4F75A656">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2.625</w:t>
                  </w:r>
                </w:p>
              </w:tc>
              <w:tc>
                <w:tcPr>
                  <w:tcW w:w="323" w:type="pct"/>
                  <w:vAlign w:val="center"/>
                </w:tcPr>
                <w:p w14:paraId="72C9BB5A">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0.026</w:t>
                  </w:r>
                </w:p>
              </w:tc>
              <w:tc>
                <w:tcPr>
                  <w:tcW w:w="283" w:type="pct"/>
                  <w:vAlign w:val="center"/>
                </w:tcPr>
                <w:p w14:paraId="54F4A16B">
                  <w:pPr>
                    <w:widowControl/>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0.063</w:t>
                  </w:r>
                </w:p>
              </w:tc>
              <w:tc>
                <w:tcPr>
                  <w:tcW w:w="318" w:type="pct"/>
                  <w:vAlign w:val="center"/>
                </w:tcPr>
                <w:p w14:paraId="5CC55E51">
                  <w:pPr>
                    <w:widowControl/>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w:t>
                  </w:r>
                </w:p>
              </w:tc>
              <w:tc>
                <w:tcPr>
                  <w:tcW w:w="244" w:type="pct"/>
                  <w:vAlign w:val="center"/>
                </w:tcPr>
                <w:p w14:paraId="42DD68B8">
                  <w:pPr>
                    <w:widowControl/>
                    <w:jc w:val="center"/>
                    <w:textAlignment w:val="center"/>
                    <w:rPr>
                      <w:rFonts w:hint="eastAsia" w:cs="Times New Roman"/>
                      <w:color w:val="auto"/>
                      <w:kern w:val="0"/>
                      <w:sz w:val="21"/>
                      <w:szCs w:val="21"/>
                      <w:highlight w:val="none"/>
                      <w:lang w:val="en-US" w:eastAsia="zh-CN" w:bidi="ar"/>
                    </w:rPr>
                  </w:pPr>
                </w:p>
              </w:tc>
              <w:tc>
                <w:tcPr>
                  <w:tcW w:w="265" w:type="pct"/>
                  <w:vAlign w:val="center"/>
                </w:tcPr>
                <w:p w14:paraId="54E9F3E7">
                  <w:pPr>
                    <w:widowControl/>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2400</w:t>
                  </w:r>
                </w:p>
              </w:tc>
            </w:tr>
            <w:tr w14:paraId="5C96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000" w:type="pct"/>
                  <w:gridSpan w:val="17"/>
                  <w:vAlign w:val="center"/>
                </w:tcPr>
                <w:p w14:paraId="0E1B79D0">
                  <w:pPr>
                    <w:widowControl/>
                    <w:jc w:val="both"/>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备注：二甲苯及醋酸丁酯的量包含在非甲烷总烃中</w:t>
                  </w:r>
                </w:p>
              </w:tc>
            </w:tr>
          </w:tbl>
          <w:p w14:paraId="0CD2FA64">
            <w:pPr>
              <w:pStyle w:val="19"/>
              <w:widowControl w:val="0"/>
              <w:jc w:val="cente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 xml:space="preserve"> </w:t>
            </w:r>
          </w:p>
        </w:tc>
      </w:tr>
    </w:tbl>
    <w:p w14:paraId="5015BC16">
      <w:pPr>
        <w:adjustRightInd w:val="0"/>
        <w:snapToGrid w:val="0"/>
        <w:spacing w:line="360" w:lineRule="auto"/>
        <w:rPr>
          <w:rFonts w:ascii="宋体" w:cs="宋体"/>
          <w:b/>
          <w:color w:val="auto"/>
          <w:kern w:val="0"/>
          <w:sz w:val="28"/>
          <w:szCs w:val="28"/>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90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74"/>
      </w:tblGrid>
      <w:tr w14:paraId="69B4B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670" w:type="dxa"/>
            <w:tcMar>
              <w:left w:w="28" w:type="dxa"/>
              <w:right w:w="28" w:type="dxa"/>
            </w:tcMar>
            <w:vAlign w:val="center"/>
          </w:tcPr>
          <w:p w14:paraId="5B4CC6D8">
            <w:pPr>
              <w:adjustRightInd w:val="0"/>
              <w:snapToGrid w:val="0"/>
              <w:jc w:val="center"/>
              <w:rPr>
                <w:bCs/>
                <w:color w:val="auto"/>
                <w:highlight w:val="none"/>
              </w:rPr>
            </w:pPr>
            <w:r>
              <w:rPr>
                <w:bCs/>
                <w:color w:val="auto"/>
                <w:highlight w:val="none"/>
              </w:rPr>
              <w:t>运营期环境影响和保护措施</w:t>
            </w:r>
          </w:p>
        </w:tc>
        <w:tc>
          <w:tcPr>
            <w:tcW w:w="8374" w:type="dxa"/>
          </w:tcPr>
          <w:p w14:paraId="0785BDCE">
            <w:pPr>
              <w:adjustRightInd w:val="0"/>
              <w:snapToGrid w:val="0"/>
              <w:spacing w:line="360" w:lineRule="auto"/>
              <w:ind w:firstLine="480" w:firstLineChars="200"/>
              <w:jc w:val="left"/>
              <w:rPr>
                <w:b/>
                <w:bCs/>
                <w:color w:val="auto"/>
                <w:highlight w:val="none"/>
              </w:rPr>
            </w:pPr>
            <w:r>
              <w:rPr>
                <w:rFonts w:hint="eastAsia"/>
                <w:color w:val="auto"/>
                <w:highlight w:val="none"/>
              </w:rPr>
              <w:t>（2）</w:t>
            </w:r>
            <w:r>
              <w:rPr>
                <w:rFonts w:hint="eastAsia"/>
                <w:color w:val="auto"/>
                <w:highlight w:val="none"/>
                <w:shd w:val="clear" w:color="auto" w:fill="auto"/>
                <w:lang w:val="en-US" w:eastAsia="zh-CN"/>
              </w:rPr>
              <w:t>废气排放口设置</w:t>
            </w:r>
            <w:r>
              <w:rPr>
                <w:rFonts w:hint="eastAsia"/>
                <w:color w:val="auto"/>
                <w:highlight w:val="none"/>
                <w:shd w:val="clear" w:color="auto" w:fill="auto"/>
              </w:rPr>
              <w:t>情况</w:t>
            </w:r>
          </w:p>
          <w:p w14:paraId="38A8CB26">
            <w:pPr>
              <w:spacing w:line="240" w:lineRule="auto"/>
              <w:jc w:val="center"/>
              <w:rPr>
                <w:b/>
                <w:bCs/>
                <w:color w:val="auto"/>
                <w:highlight w:val="none"/>
              </w:rPr>
            </w:pPr>
            <w:r>
              <w:rPr>
                <w:b/>
                <w:bCs/>
                <w:color w:val="auto"/>
                <w:highlight w:val="none"/>
              </w:rPr>
              <w:t>表4</w:t>
            </w:r>
            <w:r>
              <w:rPr>
                <w:rFonts w:hint="eastAsia"/>
                <w:b/>
                <w:bCs/>
                <w:color w:val="auto"/>
                <w:highlight w:val="none"/>
                <w:lang w:val="en-US" w:eastAsia="zh-CN"/>
              </w:rPr>
              <w:t>-2</w:t>
            </w:r>
            <w:r>
              <w:rPr>
                <w:rFonts w:hint="eastAsia"/>
                <w:b/>
                <w:bCs/>
                <w:color w:val="auto"/>
                <w:highlight w:val="none"/>
              </w:rPr>
              <w:t xml:space="preserve">  </w:t>
            </w:r>
            <w:r>
              <w:rPr>
                <w:b/>
                <w:bCs/>
                <w:color w:val="auto"/>
                <w:highlight w:val="none"/>
              </w:rPr>
              <w:t>产排污环节、废气污染物对应排放口类型一览表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309"/>
              <w:gridCol w:w="900"/>
              <w:gridCol w:w="1326"/>
              <w:gridCol w:w="750"/>
              <w:gridCol w:w="694"/>
              <w:gridCol w:w="707"/>
              <w:gridCol w:w="845"/>
              <w:gridCol w:w="929"/>
            </w:tblGrid>
            <w:tr w14:paraId="7222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vMerge w:val="restart"/>
                  <w:vAlign w:val="center"/>
                </w:tcPr>
                <w:p w14:paraId="0D8A0E2A">
                  <w:pPr>
                    <w:jc w:val="center"/>
                    <w:rPr>
                      <w:b/>
                      <w:bCs/>
                      <w:color w:val="auto"/>
                      <w:sz w:val="21"/>
                      <w:szCs w:val="21"/>
                      <w:highlight w:val="none"/>
                    </w:rPr>
                  </w:pPr>
                  <w:r>
                    <w:rPr>
                      <w:b/>
                      <w:bCs/>
                      <w:color w:val="auto"/>
                      <w:sz w:val="21"/>
                      <w:szCs w:val="21"/>
                      <w:highlight w:val="none"/>
                    </w:rPr>
                    <w:t>产污环节</w:t>
                  </w:r>
                </w:p>
              </w:tc>
              <w:tc>
                <w:tcPr>
                  <w:tcW w:w="1309" w:type="dxa"/>
                  <w:vMerge w:val="restart"/>
                  <w:vAlign w:val="center"/>
                </w:tcPr>
                <w:p w14:paraId="7133D17D">
                  <w:pPr>
                    <w:jc w:val="center"/>
                    <w:rPr>
                      <w:b/>
                      <w:bCs/>
                      <w:color w:val="auto"/>
                      <w:sz w:val="21"/>
                      <w:szCs w:val="21"/>
                      <w:highlight w:val="none"/>
                    </w:rPr>
                  </w:pPr>
                  <w:r>
                    <w:rPr>
                      <w:b/>
                      <w:bCs/>
                      <w:color w:val="auto"/>
                      <w:sz w:val="21"/>
                      <w:szCs w:val="21"/>
                      <w:highlight w:val="none"/>
                    </w:rPr>
                    <w:t>污染物种类</w:t>
                  </w:r>
                </w:p>
              </w:tc>
              <w:tc>
                <w:tcPr>
                  <w:tcW w:w="900" w:type="dxa"/>
                  <w:vMerge w:val="restart"/>
                  <w:vAlign w:val="center"/>
                </w:tcPr>
                <w:p w14:paraId="26052D5A">
                  <w:pPr>
                    <w:jc w:val="center"/>
                    <w:rPr>
                      <w:b/>
                      <w:bCs/>
                      <w:color w:val="auto"/>
                      <w:sz w:val="21"/>
                      <w:szCs w:val="21"/>
                      <w:highlight w:val="none"/>
                    </w:rPr>
                  </w:pPr>
                  <w:r>
                    <w:rPr>
                      <w:b/>
                      <w:bCs/>
                      <w:color w:val="auto"/>
                      <w:sz w:val="21"/>
                      <w:szCs w:val="21"/>
                      <w:highlight w:val="none"/>
                    </w:rPr>
                    <w:t>排放形式</w:t>
                  </w:r>
                </w:p>
              </w:tc>
              <w:tc>
                <w:tcPr>
                  <w:tcW w:w="3477" w:type="dxa"/>
                  <w:gridSpan w:val="4"/>
                  <w:vAlign w:val="center"/>
                </w:tcPr>
                <w:p w14:paraId="6C6F1751">
                  <w:pPr>
                    <w:jc w:val="center"/>
                    <w:rPr>
                      <w:b/>
                      <w:bCs/>
                      <w:color w:val="auto"/>
                      <w:sz w:val="21"/>
                      <w:szCs w:val="21"/>
                      <w:highlight w:val="none"/>
                    </w:rPr>
                  </w:pPr>
                  <w:r>
                    <w:rPr>
                      <w:b/>
                      <w:bCs/>
                      <w:color w:val="auto"/>
                      <w:sz w:val="21"/>
                      <w:szCs w:val="21"/>
                      <w:highlight w:val="none"/>
                    </w:rPr>
                    <w:t>治理设施</w:t>
                  </w:r>
                </w:p>
              </w:tc>
              <w:tc>
                <w:tcPr>
                  <w:tcW w:w="845" w:type="dxa"/>
                  <w:vMerge w:val="restart"/>
                  <w:vAlign w:val="center"/>
                </w:tcPr>
                <w:p w14:paraId="3C797C85">
                  <w:pPr>
                    <w:jc w:val="center"/>
                    <w:rPr>
                      <w:b/>
                      <w:bCs/>
                      <w:color w:val="auto"/>
                      <w:sz w:val="21"/>
                      <w:szCs w:val="21"/>
                      <w:highlight w:val="none"/>
                    </w:rPr>
                  </w:pPr>
                  <w:r>
                    <w:rPr>
                      <w:b/>
                      <w:bCs/>
                      <w:color w:val="auto"/>
                      <w:sz w:val="21"/>
                      <w:szCs w:val="21"/>
                      <w:highlight w:val="none"/>
                    </w:rPr>
                    <w:t>排放口编号</w:t>
                  </w:r>
                </w:p>
              </w:tc>
              <w:tc>
                <w:tcPr>
                  <w:tcW w:w="929" w:type="dxa"/>
                  <w:vMerge w:val="restart"/>
                  <w:vAlign w:val="center"/>
                </w:tcPr>
                <w:p w14:paraId="034DCCD2">
                  <w:pPr>
                    <w:jc w:val="center"/>
                    <w:rPr>
                      <w:b/>
                      <w:bCs/>
                      <w:color w:val="auto"/>
                      <w:sz w:val="21"/>
                      <w:szCs w:val="21"/>
                      <w:highlight w:val="none"/>
                    </w:rPr>
                  </w:pPr>
                  <w:r>
                    <w:rPr>
                      <w:b/>
                      <w:bCs/>
                      <w:color w:val="auto"/>
                      <w:sz w:val="21"/>
                      <w:szCs w:val="21"/>
                      <w:highlight w:val="none"/>
                    </w:rPr>
                    <w:t>排放口类型</w:t>
                  </w:r>
                </w:p>
              </w:tc>
            </w:tr>
            <w:tr w14:paraId="4568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vMerge w:val="continue"/>
                  <w:vAlign w:val="center"/>
                </w:tcPr>
                <w:p w14:paraId="7F39762C">
                  <w:pPr>
                    <w:jc w:val="center"/>
                    <w:rPr>
                      <w:color w:val="auto"/>
                      <w:sz w:val="21"/>
                      <w:szCs w:val="21"/>
                      <w:highlight w:val="none"/>
                    </w:rPr>
                  </w:pPr>
                </w:p>
              </w:tc>
              <w:tc>
                <w:tcPr>
                  <w:tcW w:w="1309" w:type="dxa"/>
                  <w:vMerge w:val="continue"/>
                  <w:vAlign w:val="center"/>
                </w:tcPr>
                <w:p w14:paraId="17675805">
                  <w:pPr>
                    <w:jc w:val="center"/>
                    <w:rPr>
                      <w:color w:val="auto"/>
                      <w:sz w:val="21"/>
                      <w:szCs w:val="21"/>
                      <w:highlight w:val="none"/>
                    </w:rPr>
                  </w:pPr>
                </w:p>
              </w:tc>
              <w:tc>
                <w:tcPr>
                  <w:tcW w:w="900" w:type="dxa"/>
                  <w:vMerge w:val="continue"/>
                  <w:vAlign w:val="center"/>
                </w:tcPr>
                <w:p w14:paraId="183AD453">
                  <w:pPr>
                    <w:jc w:val="center"/>
                    <w:rPr>
                      <w:color w:val="auto"/>
                      <w:sz w:val="21"/>
                      <w:szCs w:val="21"/>
                      <w:highlight w:val="none"/>
                    </w:rPr>
                  </w:pPr>
                </w:p>
              </w:tc>
              <w:tc>
                <w:tcPr>
                  <w:tcW w:w="1326" w:type="dxa"/>
                  <w:vAlign w:val="center"/>
                </w:tcPr>
                <w:p w14:paraId="15C22145">
                  <w:pPr>
                    <w:jc w:val="center"/>
                    <w:rPr>
                      <w:b/>
                      <w:bCs/>
                      <w:color w:val="auto"/>
                      <w:sz w:val="21"/>
                      <w:szCs w:val="21"/>
                      <w:highlight w:val="none"/>
                    </w:rPr>
                  </w:pPr>
                  <w:r>
                    <w:rPr>
                      <w:b/>
                      <w:bCs/>
                      <w:color w:val="auto"/>
                      <w:sz w:val="21"/>
                      <w:szCs w:val="21"/>
                      <w:highlight w:val="none"/>
                    </w:rPr>
                    <w:t>治理工艺</w:t>
                  </w:r>
                </w:p>
              </w:tc>
              <w:tc>
                <w:tcPr>
                  <w:tcW w:w="750" w:type="dxa"/>
                  <w:vAlign w:val="center"/>
                </w:tcPr>
                <w:p w14:paraId="4AE32A2F">
                  <w:pPr>
                    <w:jc w:val="center"/>
                    <w:rPr>
                      <w:b/>
                      <w:bCs/>
                      <w:color w:val="auto"/>
                      <w:sz w:val="21"/>
                      <w:szCs w:val="21"/>
                      <w:highlight w:val="none"/>
                    </w:rPr>
                  </w:pPr>
                  <w:r>
                    <w:rPr>
                      <w:b/>
                      <w:bCs/>
                      <w:color w:val="auto"/>
                      <w:sz w:val="21"/>
                      <w:szCs w:val="21"/>
                      <w:highlight w:val="none"/>
                    </w:rPr>
                    <w:t>收集效率</w:t>
                  </w:r>
                </w:p>
              </w:tc>
              <w:tc>
                <w:tcPr>
                  <w:tcW w:w="694" w:type="dxa"/>
                  <w:vAlign w:val="center"/>
                </w:tcPr>
                <w:p w14:paraId="559A7D15">
                  <w:pPr>
                    <w:jc w:val="center"/>
                    <w:rPr>
                      <w:b/>
                      <w:bCs/>
                      <w:color w:val="auto"/>
                      <w:sz w:val="21"/>
                      <w:szCs w:val="21"/>
                      <w:highlight w:val="none"/>
                    </w:rPr>
                  </w:pPr>
                  <w:r>
                    <w:rPr>
                      <w:b/>
                      <w:bCs/>
                      <w:color w:val="auto"/>
                      <w:sz w:val="21"/>
                      <w:szCs w:val="21"/>
                      <w:highlight w:val="none"/>
                    </w:rPr>
                    <w:t>处理效率</w:t>
                  </w:r>
                </w:p>
              </w:tc>
              <w:tc>
                <w:tcPr>
                  <w:tcW w:w="707" w:type="dxa"/>
                  <w:vAlign w:val="center"/>
                </w:tcPr>
                <w:p w14:paraId="0110417A">
                  <w:pPr>
                    <w:jc w:val="center"/>
                    <w:rPr>
                      <w:b/>
                      <w:bCs/>
                      <w:color w:val="auto"/>
                      <w:sz w:val="21"/>
                      <w:szCs w:val="21"/>
                      <w:highlight w:val="none"/>
                    </w:rPr>
                  </w:pPr>
                  <w:r>
                    <w:rPr>
                      <w:b/>
                      <w:bCs/>
                      <w:color w:val="auto"/>
                      <w:sz w:val="21"/>
                      <w:szCs w:val="21"/>
                      <w:highlight w:val="none"/>
                    </w:rPr>
                    <w:t>是否可行</w:t>
                  </w:r>
                </w:p>
              </w:tc>
              <w:tc>
                <w:tcPr>
                  <w:tcW w:w="845" w:type="dxa"/>
                  <w:vMerge w:val="continue"/>
                  <w:vAlign w:val="center"/>
                </w:tcPr>
                <w:p w14:paraId="6DDA51A0">
                  <w:pPr>
                    <w:jc w:val="center"/>
                    <w:rPr>
                      <w:color w:val="auto"/>
                      <w:sz w:val="21"/>
                      <w:szCs w:val="21"/>
                      <w:highlight w:val="none"/>
                    </w:rPr>
                  </w:pPr>
                </w:p>
              </w:tc>
              <w:tc>
                <w:tcPr>
                  <w:tcW w:w="929" w:type="dxa"/>
                  <w:vMerge w:val="continue"/>
                  <w:vAlign w:val="center"/>
                </w:tcPr>
                <w:p w14:paraId="0A20C447">
                  <w:pPr>
                    <w:jc w:val="center"/>
                    <w:rPr>
                      <w:color w:val="auto"/>
                      <w:sz w:val="21"/>
                      <w:szCs w:val="21"/>
                      <w:highlight w:val="none"/>
                    </w:rPr>
                  </w:pPr>
                </w:p>
              </w:tc>
            </w:tr>
            <w:tr w14:paraId="7215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vAlign w:val="center"/>
                </w:tcPr>
                <w:p w14:paraId="4956BAB6">
                  <w:pPr>
                    <w:jc w:val="center"/>
                    <w:rPr>
                      <w:rFonts w:hint="default"/>
                      <w:color w:val="auto"/>
                      <w:sz w:val="21"/>
                      <w:szCs w:val="21"/>
                      <w:highlight w:val="none"/>
                      <w:lang w:val="en-US" w:eastAsia="zh-CN"/>
                    </w:rPr>
                  </w:pPr>
                  <w:r>
                    <w:rPr>
                      <w:rFonts w:hint="eastAsia"/>
                      <w:color w:val="auto"/>
                      <w:sz w:val="21"/>
                      <w:szCs w:val="21"/>
                      <w:highlight w:val="none"/>
                      <w:lang w:val="en-US" w:eastAsia="zh-CN"/>
                    </w:rPr>
                    <w:t>注塑</w:t>
                  </w:r>
                </w:p>
              </w:tc>
              <w:tc>
                <w:tcPr>
                  <w:tcW w:w="1309" w:type="dxa"/>
                  <w:vAlign w:val="center"/>
                </w:tcPr>
                <w:p w14:paraId="1B59C03B">
                  <w:pPr>
                    <w:jc w:val="center"/>
                    <w:rPr>
                      <w:rFonts w:hint="default"/>
                      <w:color w:val="auto"/>
                      <w:sz w:val="21"/>
                      <w:szCs w:val="21"/>
                      <w:highlight w:val="none"/>
                      <w:lang w:val="en-US" w:eastAsia="zh-CN"/>
                    </w:rPr>
                  </w:pPr>
                  <w:r>
                    <w:rPr>
                      <w:rFonts w:hint="eastAsia"/>
                      <w:color w:val="auto"/>
                      <w:sz w:val="21"/>
                      <w:szCs w:val="21"/>
                      <w:highlight w:val="none"/>
                      <w:lang w:val="en-US" w:eastAsia="zh-CN"/>
                    </w:rPr>
                    <w:t>非甲烷总烃、苯乙烯、丙烯腈</w:t>
                  </w:r>
                </w:p>
              </w:tc>
              <w:tc>
                <w:tcPr>
                  <w:tcW w:w="900" w:type="dxa"/>
                  <w:vAlign w:val="center"/>
                </w:tcPr>
                <w:p w14:paraId="5F16C978">
                  <w:pPr>
                    <w:jc w:val="center"/>
                    <w:rPr>
                      <w:rFonts w:hint="default"/>
                      <w:color w:val="auto"/>
                      <w:sz w:val="21"/>
                      <w:szCs w:val="21"/>
                      <w:highlight w:val="none"/>
                      <w:lang w:val="en-US" w:eastAsia="zh-CN"/>
                    </w:rPr>
                  </w:pPr>
                  <w:r>
                    <w:rPr>
                      <w:rFonts w:hint="eastAsia"/>
                      <w:color w:val="auto"/>
                      <w:sz w:val="21"/>
                      <w:szCs w:val="21"/>
                      <w:highlight w:val="none"/>
                      <w:lang w:val="en-US" w:eastAsia="zh-CN"/>
                    </w:rPr>
                    <w:t>有组织</w:t>
                  </w:r>
                </w:p>
              </w:tc>
              <w:tc>
                <w:tcPr>
                  <w:tcW w:w="1326" w:type="dxa"/>
                  <w:vAlign w:val="center"/>
                </w:tcPr>
                <w:p w14:paraId="34480D5F">
                  <w:pPr>
                    <w:jc w:val="center"/>
                    <w:rPr>
                      <w:rFonts w:hint="default"/>
                      <w:color w:val="auto"/>
                      <w:sz w:val="21"/>
                      <w:szCs w:val="21"/>
                      <w:highlight w:val="none"/>
                      <w:lang w:val="en-US" w:eastAsia="zh-CN"/>
                    </w:rPr>
                  </w:pPr>
                  <w:r>
                    <w:rPr>
                      <w:rFonts w:hint="eastAsia"/>
                      <w:color w:val="auto"/>
                      <w:sz w:val="21"/>
                      <w:szCs w:val="21"/>
                      <w:highlight w:val="none"/>
                      <w:lang w:val="en-US" w:eastAsia="zh-CN"/>
                    </w:rPr>
                    <w:t>二级活性炭吸附装置</w:t>
                  </w:r>
                </w:p>
              </w:tc>
              <w:tc>
                <w:tcPr>
                  <w:tcW w:w="750" w:type="dxa"/>
                  <w:vAlign w:val="center"/>
                </w:tcPr>
                <w:p w14:paraId="2C772B06">
                  <w:pPr>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694" w:type="dxa"/>
                  <w:vAlign w:val="center"/>
                </w:tcPr>
                <w:p w14:paraId="17590753">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95</w:t>
                  </w:r>
                </w:p>
              </w:tc>
              <w:tc>
                <w:tcPr>
                  <w:tcW w:w="707" w:type="dxa"/>
                  <w:vAlign w:val="center"/>
                </w:tcPr>
                <w:p w14:paraId="06FB062C">
                  <w:pPr>
                    <w:jc w:val="center"/>
                    <w:rPr>
                      <w:rFonts w:hint="eastAsia"/>
                      <w:color w:val="auto"/>
                      <w:sz w:val="21"/>
                      <w:szCs w:val="21"/>
                      <w:highlight w:val="none"/>
                    </w:rPr>
                  </w:pPr>
                  <w:r>
                    <w:rPr>
                      <w:rFonts w:hint="eastAsia"/>
                      <w:color w:val="auto"/>
                      <w:sz w:val="21"/>
                      <w:szCs w:val="21"/>
                      <w:highlight w:val="none"/>
                      <w:lang w:val="en-US" w:eastAsia="zh-CN"/>
                    </w:rPr>
                    <w:t>是</w:t>
                  </w:r>
                </w:p>
              </w:tc>
              <w:tc>
                <w:tcPr>
                  <w:tcW w:w="845" w:type="dxa"/>
                  <w:vAlign w:val="center"/>
                </w:tcPr>
                <w:p w14:paraId="64245B56">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DA001</w:t>
                  </w:r>
                </w:p>
              </w:tc>
              <w:tc>
                <w:tcPr>
                  <w:tcW w:w="929" w:type="dxa"/>
                  <w:vMerge w:val="restart"/>
                  <w:vAlign w:val="center"/>
                </w:tcPr>
                <w:p w14:paraId="4B7FFEF2">
                  <w:pPr>
                    <w:jc w:val="center"/>
                    <w:rPr>
                      <w:rFonts w:hint="default"/>
                      <w:color w:val="auto"/>
                      <w:sz w:val="21"/>
                      <w:szCs w:val="21"/>
                      <w:highlight w:val="none"/>
                      <w:lang w:val="en-US" w:eastAsia="zh-CN"/>
                    </w:rPr>
                  </w:pPr>
                  <w:r>
                    <w:rPr>
                      <w:rFonts w:hint="eastAsia"/>
                      <w:color w:val="auto"/>
                      <w:sz w:val="21"/>
                      <w:szCs w:val="21"/>
                      <w:highlight w:val="none"/>
                      <w:lang w:val="en-US" w:eastAsia="zh-CN"/>
                    </w:rPr>
                    <w:t>一般排放口</w:t>
                  </w:r>
                </w:p>
              </w:tc>
            </w:tr>
            <w:tr w14:paraId="58BA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vMerge w:val="restart"/>
                  <w:vAlign w:val="center"/>
                </w:tcPr>
                <w:p w14:paraId="5B566099">
                  <w:pPr>
                    <w:jc w:val="center"/>
                    <w:rPr>
                      <w:rFonts w:hint="default"/>
                      <w:color w:val="auto"/>
                      <w:sz w:val="21"/>
                      <w:szCs w:val="21"/>
                      <w:highlight w:val="none"/>
                      <w:lang w:val="en-US" w:eastAsia="zh-CN"/>
                    </w:rPr>
                  </w:pPr>
                  <w:r>
                    <w:rPr>
                      <w:rFonts w:hint="eastAsia"/>
                      <w:color w:val="auto"/>
                      <w:sz w:val="21"/>
                      <w:szCs w:val="21"/>
                      <w:highlight w:val="none"/>
                      <w:lang w:val="en-US" w:eastAsia="zh-CN"/>
                    </w:rPr>
                    <w:t>喷漆</w:t>
                  </w:r>
                </w:p>
              </w:tc>
              <w:tc>
                <w:tcPr>
                  <w:tcW w:w="1309" w:type="dxa"/>
                  <w:vAlign w:val="center"/>
                </w:tcPr>
                <w:p w14:paraId="35980503">
                  <w:pPr>
                    <w:jc w:val="center"/>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900" w:type="dxa"/>
                  <w:vMerge w:val="restart"/>
                  <w:vAlign w:val="center"/>
                </w:tcPr>
                <w:p w14:paraId="491D1740">
                  <w:pPr>
                    <w:jc w:val="center"/>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326" w:type="dxa"/>
                  <w:vAlign w:val="center"/>
                </w:tcPr>
                <w:p w14:paraId="49B43CDC">
                  <w:pPr>
                    <w:jc w:val="center"/>
                    <w:rPr>
                      <w:rFonts w:hint="default"/>
                      <w:color w:val="auto"/>
                      <w:sz w:val="21"/>
                      <w:szCs w:val="21"/>
                      <w:highlight w:val="none"/>
                      <w:lang w:val="en-US" w:eastAsia="zh-CN"/>
                    </w:rPr>
                  </w:pPr>
                  <w:r>
                    <w:rPr>
                      <w:rFonts w:hint="eastAsia"/>
                      <w:color w:val="auto"/>
                      <w:sz w:val="21"/>
                      <w:szCs w:val="21"/>
                      <w:highlight w:val="none"/>
                      <w:lang w:val="en-US" w:eastAsia="zh-CN"/>
                    </w:rPr>
                    <w:t>一级水喷淋</w:t>
                  </w:r>
                </w:p>
              </w:tc>
              <w:tc>
                <w:tcPr>
                  <w:tcW w:w="750" w:type="dxa"/>
                  <w:vMerge w:val="restart"/>
                  <w:vAlign w:val="center"/>
                </w:tcPr>
                <w:p w14:paraId="42792F48">
                  <w:pPr>
                    <w:jc w:val="center"/>
                    <w:rPr>
                      <w:rFonts w:hint="default"/>
                      <w:color w:val="auto"/>
                      <w:sz w:val="21"/>
                      <w:szCs w:val="21"/>
                      <w:highlight w:val="none"/>
                      <w:lang w:val="en-US" w:eastAsia="zh-CN"/>
                    </w:rPr>
                  </w:pPr>
                  <w:r>
                    <w:rPr>
                      <w:rFonts w:hint="eastAsia"/>
                      <w:color w:val="auto"/>
                      <w:sz w:val="21"/>
                      <w:szCs w:val="21"/>
                      <w:highlight w:val="none"/>
                      <w:lang w:val="en-US" w:eastAsia="zh-CN"/>
                    </w:rPr>
                    <w:t>95</w:t>
                  </w:r>
                </w:p>
              </w:tc>
              <w:tc>
                <w:tcPr>
                  <w:tcW w:w="694" w:type="dxa"/>
                  <w:vAlign w:val="center"/>
                </w:tcPr>
                <w:p w14:paraId="08566C24">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707" w:type="dxa"/>
                  <w:vMerge w:val="restart"/>
                  <w:vAlign w:val="center"/>
                </w:tcPr>
                <w:p w14:paraId="10A6DAA9">
                  <w:pPr>
                    <w:jc w:val="center"/>
                    <w:rPr>
                      <w:rFonts w:hint="eastAsia"/>
                      <w:color w:val="auto"/>
                      <w:sz w:val="21"/>
                      <w:szCs w:val="21"/>
                      <w:highlight w:val="none"/>
                    </w:rPr>
                  </w:pPr>
                  <w:r>
                    <w:rPr>
                      <w:rFonts w:hint="eastAsia"/>
                      <w:color w:val="auto"/>
                      <w:sz w:val="21"/>
                      <w:szCs w:val="21"/>
                      <w:highlight w:val="none"/>
                      <w:lang w:val="en-US" w:eastAsia="zh-CN"/>
                    </w:rPr>
                    <w:t>是</w:t>
                  </w:r>
                </w:p>
              </w:tc>
              <w:tc>
                <w:tcPr>
                  <w:tcW w:w="845" w:type="dxa"/>
                  <w:vMerge w:val="restart"/>
                  <w:vAlign w:val="center"/>
                </w:tcPr>
                <w:p w14:paraId="667EBBB2">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DA002</w:t>
                  </w:r>
                </w:p>
              </w:tc>
              <w:tc>
                <w:tcPr>
                  <w:tcW w:w="929" w:type="dxa"/>
                  <w:vMerge w:val="continue"/>
                  <w:vAlign w:val="center"/>
                </w:tcPr>
                <w:p w14:paraId="6D32D21E">
                  <w:pPr>
                    <w:jc w:val="center"/>
                    <w:rPr>
                      <w:rFonts w:hint="eastAsia"/>
                      <w:color w:val="auto"/>
                      <w:sz w:val="21"/>
                      <w:szCs w:val="21"/>
                      <w:highlight w:val="none"/>
                      <w:lang w:val="en-US" w:eastAsia="zh-CN"/>
                    </w:rPr>
                  </w:pPr>
                </w:p>
              </w:tc>
            </w:tr>
            <w:tr w14:paraId="58A3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88" w:type="dxa"/>
                  <w:vMerge w:val="continue"/>
                  <w:vAlign w:val="center"/>
                </w:tcPr>
                <w:p w14:paraId="164CA729">
                  <w:pPr>
                    <w:jc w:val="center"/>
                    <w:rPr>
                      <w:rFonts w:hint="eastAsia"/>
                      <w:color w:val="auto"/>
                      <w:sz w:val="21"/>
                      <w:szCs w:val="21"/>
                      <w:highlight w:val="none"/>
                      <w:lang w:val="en-US" w:eastAsia="zh-CN"/>
                    </w:rPr>
                  </w:pPr>
                </w:p>
              </w:tc>
              <w:tc>
                <w:tcPr>
                  <w:tcW w:w="1309" w:type="dxa"/>
                  <w:vAlign w:val="center"/>
                </w:tcPr>
                <w:p w14:paraId="717D9607">
                  <w:pPr>
                    <w:jc w:val="center"/>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900" w:type="dxa"/>
                  <w:vMerge w:val="continue"/>
                  <w:vAlign w:val="center"/>
                </w:tcPr>
                <w:p w14:paraId="4F1AA31E">
                  <w:pPr>
                    <w:jc w:val="center"/>
                    <w:rPr>
                      <w:rFonts w:hint="eastAsia"/>
                      <w:color w:val="auto"/>
                      <w:sz w:val="21"/>
                      <w:szCs w:val="21"/>
                      <w:highlight w:val="none"/>
                      <w:lang w:val="en-US" w:eastAsia="zh-CN"/>
                    </w:rPr>
                  </w:pPr>
                </w:p>
              </w:tc>
              <w:tc>
                <w:tcPr>
                  <w:tcW w:w="1326" w:type="dxa"/>
                  <w:vMerge w:val="restart"/>
                  <w:vAlign w:val="center"/>
                </w:tcPr>
                <w:p w14:paraId="2159CAB9">
                  <w:pPr>
                    <w:jc w:val="center"/>
                    <w:rPr>
                      <w:rFonts w:hint="eastAsia"/>
                      <w:color w:val="auto"/>
                      <w:sz w:val="21"/>
                      <w:szCs w:val="21"/>
                      <w:highlight w:val="none"/>
                      <w:lang w:val="en-US" w:eastAsia="zh-CN"/>
                    </w:rPr>
                  </w:pPr>
                  <w:r>
                    <w:rPr>
                      <w:rFonts w:hint="eastAsia"/>
                      <w:color w:val="auto"/>
                      <w:sz w:val="21"/>
                      <w:szCs w:val="21"/>
                      <w:highlight w:val="none"/>
                      <w:lang w:val="en-US" w:eastAsia="zh-CN"/>
                    </w:rPr>
                    <w:t>活性炭吸脱附+RCO</w:t>
                  </w:r>
                </w:p>
              </w:tc>
              <w:tc>
                <w:tcPr>
                  <w:tcW w:w="750" w:type="dxa"/>
                  <w:vMerge w:val="continue"/>
                  <w:vAlign w:val="center"/>
                </w:tcPr>
                <w:p w14:paraId="1D85A01D">
                  <w:pPr>
                    <w:jc w:val="center"/>
                    <w:rPr>
                      <w:rFonts w:hint="default"/>
                      <w:color w:val="auto"/>
                      <w:sz w:val="21"/>
                      <w:szCs w:val="21"/>
                      <w:highlight w:val="none"/>
                      <w:lang w:val="en-US" w:eastAsia="zh-CN"/>
                    </w:rPr>
                  </w:pPr>
                </w:p>
              </w:tc>
              <w:tc>
                <w:tcPr>
                  <w:tcW w:w="694" w:type="dxa"/>
                  <w:vMerge w:val="restart"/>
                  <w:vAlign w:val="center"/>
                </w:tcPr>
                <w:p w14:paraId="6AE31728">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87.3</w:t>
                  </w:r>
                </w:p>
              </w:tc>
              <w:tc>
                <w:tcPr>
                  <w:tcW w:w="707" w:type="dxa"/>
                  <w:vMerge w:val="continue"/>
                  <w:vAlign w:val="center"/>
                </w:tcPr>
                <w:p w14:paraId="436C45A4">
                  <w:pPr>
                    <w:jc w:val="center"/>
                    <w:rPr>
                      <w:rFonts w:hint="eastAsia"/>
                      <w:color w:val="auto"/>
                      <w:sz w:val="21"/>
                      <w:szCs w:val="21"/>
                      <w:highlight w:val="none"/>
                      <w:lang w:val="en-US" w:eastAsia="zh-CN"/>
                    </w:rPr>
                  </w:pPr>
                </w:p>
              </w:tc>
              <w:tc>
                <w:tcPr>
                  <w:tcW w:w="845" w:type="dxa"/>
                  <w:vMerge w:val="continue"/>
                  <w:vAlign w:val="center"/>
                </w:tcPr>
                <w:p w14:paraId="2D743059">
                  <w:pPr>
                    <w:jc w:val="center"/>
                    <w:rPr>
                      <w:rFonts w:hint="eastAsia" w:eastAsia="宋体"/>
                      <w:color w:val="auto"/>
                      <w:sz w:val="21"/>
                      <w:szCs w:val="21"/>
                      <w:highlight w:val="none"/>
                      <w:lang w:val="en-US" w:eastAsia="zh-CN"/>
                    </w:rPr>
                  </w:pPr>
                </w:p>
              </w:tc>
              <w:tc>
                <w:tcPr>
                  <w:tcW w:w="929" w:type="dxa"/>
                  <w:vMerge w:val="continue"/>
                  <w:vAlign w:val="center"/>
                </w:tcPr>
                <w:p w14:paraId="4D86732D">
                  <w:pPr>
                    <w:jc w:val="center"/>
                    <w:rPr>
                      <w:rFonts w:hint="eastAsia"/>
                      <w:color w:val="auto"/>
                      <w:sz w:val="21"/>
                      <w:szCs w:val="21"/>
                      <w:highlight w:val="none"/>
                      <w:lang w:val="en-US" w:eastAsia="zh-CN"/>
                    </w:rPr>
                  </w:pPr>
                </w:p>
              </w:tc>
            </w:tr>
            <w:tr w14:paraId="3799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vMerge w:val="continue"/>
                  <w:vAlign w:val="center"/>
                </w:tcPr>
                <w:p w14:paraId="4A787E36">
                  <w:pPr>
                    <w:jc w:val="center"/>
                    <w:rPr>
                      <w:rFonts w:hint="eastAsia"/>
                      <w:color w:val="auto"/>
                      <w:sz w:val="21"/>
                      <w:szCs w:val="21"/>
                      <w:highlight w:val="none"/>
                      <w:lang w:val="en-US" w:eastAsia="zh-CN"/>
                    </w:rPr>
                  </w:pPr>
                </w:p>
              </w:tc>
              <w:tc>
                <w:tcPr>
                  <w:tcW w:w="1309" w:type="dxa"/>
                  <w:vAlign w:val="center"/>
                </w:tcPr>
                <w:p w14:paraId="18DAAB91">
                  <w:pPr>
                    <w:jc w:val="center"/>
                    <w:rPr>
                      <w:rFonts w:hint="default"/>
                      <w:color w:val="auto"/>
                      <w:sz w:val="21"/>
                      <w:szCs w:val="21"/>
                      <w:highlight w:val="none"/>
                      <w:lang w:val="en-US" w:eastAsia="zh-CN"/>
                    </w:rPr>
                  </w:pPr>
                  <w:r>
                    <w:rPr>
                      <w:rFonts w:hint="eastAsia"/>
                      <w:color w:val="auto"/>
                      <w:sz w:val="21"/>
                      <w:szCs w:val="21"/>
                      <w:highlight w:val="none"/>
                      <w:lang w:val="en-US" w:eastAsia="zh-CN"/>
                    </w:rPr>
                    <w:t>二甲苯</w:t>
                  </w:r>
                </w:p>
              </w:tc>
              <w:tc>
                <w:tcPr>
                  <w:tcW w:w="900" w:type="dxa"/>
                  <w:vMerge w:val="continue"/>
                  <w:vAlign w:val="center"/>
                </w:tcPr>
                <w:p w14:paraId="732F75E8">
                  <w:pPr>
                    <w:jc w:val="center"/>
                    <w:rPr>
                      <w:rFonts w:hint="eastAsia"/>
                      <w:color w:val="auto"/>
                      <w:sz w:val="21"/>
                      <w:szCs w:val="21"/>
                      <w:highlight w:val="none"/>
                      <w:lang w:val="en-US" w:eastAsia="zh-CN"/>
                    </w:rPr>
                  </w:pPr>
                </w:p>
              </w:tc>
              <w:tc>
                <w:tcPr>
                  <w:tcW w:w="1326" w:type="dxa"/>
                  <w:vMerge w:val="continue"/>
                  <w:vAlign w:val="center"/>
                </w:tcPr>
                <w:p w14:paraId="6DD0C72F">
                  <w:pPr>
                    <w:jc w:val="center"/>
                    <w:rPr>
                      <w:rFonts w:hint="eastAsia"/>
                      <w:color w:val="auto"/>
                      <w:sz w:val="21"/>
                      <w:szCs w:val="21"/>
                      <w:highlight w:val="none"/>
                      <w:lang w:val="en-US" w:eastAsia="zh-CN"/>
                    </w:rPr>
                  </w:pPr>
                </w:p>
              </w:tc>
              <w:tc>
                <w:tcPr>
                  <w:tcW w:w="750" w:type="dxa"/>
                  <w:vMerge w:val="continue"/>
                  <w:vAlign w:val="center"/>
                </w:tcPr>
                <w:p w14:paraId="5B794973">
                  <w:pPr>
                    <w:jc w:val="center"/>
                    <w:rPr>
                      <w:rFonts w:hint="eastAsia"/>
                      <w:color w:val="auto"/>
                      <w:sz w:val="21"/>
                      <w:szCs w:val="21"/>
                      <w:highlight w:val="none"/>
                      <w:lang w:val="en-US" w:eastAsia="zh-CN"/>
                    </w:rPr>
                  </w:pPr>
                </w:p>
              </w:tc>
              <w:tc>
                <w:tcPr>
                  <w:tcW w:w="694" w:type="dxa"/>
                  <w:vMerge w:val="continue"/>
                  <w:vAlign w:val="center"/>
                </w:tcPr>
                <w:p w14:paraId="0B247268">
                  <w:pPr>
                    <w:jc w:val="center"/>
                    <w:rPr>
                      <w:rFonts w:hint="default"/>
                      <w:color w:val="auto"/>
                      <w:sz w:val="21"/>
                      <w:szCs w:val="21"/>
                      <w:highlight w:val="none"/>
                      <w:lang w:val="en-US" w:eastAsia="zh-CN"/>
                    </w:rPr>
                  </w:pPr>
                </w:p>
              </w:tc>
              <w:tc>
                <w:tcPr>
                  <w:tcW w:w="707" w:type="dxa"/>
                  <w:vMerge w:val="continue"/>
                  <w:vAlign w:val="center"/>
                </w:tcPr>
                <w:p w14:paraId="6DCDB963">
                  <w:pPr>
                    <w:jc w:val="center"/>
                    <w:rPr>
                      <w:rFonts w:hint="eastAsia"/>
                      <w:color w:val="auto"/>
                      <w:sz w:val="21"/>
                      <w:szCs w:val="21"/>
                      <w:highlight w:val="none"/>
                      <w:lang w:val="en-US" w:eastAsia="zh-CN"/>
                    </w:rPr>
                  </w:pPr>
                </w:p>
              </w:tc>
              <w:tc>
                <w:tcPr>
                  <w:tcW w:w="845" w:type="dxa"/>
                  <w:vMerge w:val="continue"/>
                  <w:vAlign w:val="center"/>
                </w:tcPr>
                <w:p w14:paraId="57093B85">
                  <w:pPr>
                    <w:jc w:val="center"/>
                    <w:rPr>
                      <w:rFonts w:hint="eastAsia" w:eastAsia="宋体"/>
                      <w:color w:val="auto"/>
                      <w:sz w:val="21"/>
                      <w:szCs w:val="21"/>
                      <w:highlight w:val="none"/>
                      <w:lang w:val="en-US" w:eastAsia="zh-CN"/>
                    </w:rPr>
                  </w:pPr>
                </w:p>
              </w:tc>
              <w:tc>
                <w:tcPr>
                  <w:tcW w:w="929" w:type="dxa"/>
                  <w:vMerge w:val="continue"/>
                  <w:vAlign w:val="center"/>
                </w:tcPr>
                <w:p w14:paraId="78C0332E">
                  <w:pPr>
                    <w:jc w:val="center"/>
                    <w:rPr>
                      <w:rFonts w:hint="eastAsia"/>
                      <w:color w:val="auto"/>
                      <w:sz w:val="21"/>
                      <w:szCs w:val="21"/>
                      <w:highlight w:val="none"/>
                      <w:lang w:val="en-US" w:eastAsia="zh-CN"/>
                    </w:rPr>
                  </w:pPr>
                </w:p>
              </w:tc>
            </w:tr>
            <w:tr w14:paraId="21F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vMerge w:val="continue"/>
                  <w:vAlign w:val="center"/>
                </w:tcPr>
                <w:p w14:paraId="0DD6B27E">
                  <w:pPr>
                    <w:jc w:val="center"/>
                    <w:rPr>
                      <w:rFonts w:hint="eastAsia"/>
                      <w:color w:val="auto"/>
                      <w:sz w:val="21"/>
                      <w:szCs w:val="21"/>
                      <w:highlight w:val="none"/>
                      <w:lang w:val="en-US" w:eastAsia="zh-CN"/>
                    </w:rPr>
                  </w:pPr>
                </w:p>
              </w:tc>
              <w:tc>
                <w:tcPr>
                  <w:tcW w:w="1309" w:type="dxa"/>
                  <w:vAlign w:val="center"/>
                </w:tcPr>
                <w:p w14:paraId="08395A32">
                  <w:pPr>
                    <w:jc w:val="center"/>
                    <w:rPr>
                      <w:rFonts w:hint="default"/>
                      <w:color w:val="auto"/>
                      <w:sz w:val="21"/>
                      <w:szCs w:val="21"/>
                      <w:highlight w:val="none"/>
                      <w:lang w:val="en-US" w:eastAsia="zh-CN"/>
                    </w:rPr>
                  </w:pPr>
                  <w:r>
                    <w:rPr>
                      <w:rFonts w:hint="eastAsia"/>
                      <w:color w:val="auto"/>
                      <w:sz w:val="21"/>
                      <w:szCs w:val="21"/>
                      <w:highlight w:val="none"/>
                      <w:lang w:val="en-US" w:eastAsia="zh-CN"/>
                    </w:rPr>
                    <w:t>醋酸丁酯</w:t>
                  </w:r>
                </w:p>
              </w:tc>
              <w:tc>
                <w:tcPr>
                  <w:tcW w:w="900" w:type="dxa"/>
                  <w:vMerge w:val="continue"/>
                  <w:vAlign w:val="center"/>
                </w:tcPr>
                <w:p w14:paraId="4E284367">
                  <w:pPr>
                    <w:jc w:val="center"/>
                    <w:rPr>
                      <w:rFonts w:hint="eastAsia"/>
                      <w:color w:val="auto"/>
                      <w:sz w:val="21"/>
                      <w:szCs w:val="21"/>
                      <w:highlight w:val="none"/>
                      <w:lang w:val="en-US" w:eastAsia="zh-CN"/>
                    </w:rPr>
                  </w:pPr>
                </w:p>
              </w:tc>
              <w:tc>
                <w:tcPr>
                  <w:tcW w:w="1326" w:type="dxa"/>
                  <w:vMerge w:val="continue"/>
                  <w:vAlign w:val="center"/>
                </w:tcPr>
                <w:p w14:paraId="1DE53DB2">
                  <w:pPr>
                    <w:jc w:val="center"/>
                    <w:rPr>
                      <w:rFonts w:hint="eastAsia"/>
                      <w:color w:val="auto"/>
                      <w:sz w:val="21"/>
                      <w:szCs w:val="21"/>
                      <w:highlight w:val="none"/>
                      <w:lang w:val="en-US" w:eastAsia="zh-CN"/>
                    </w:rPr>
                  </w:pPr>
                </w:p>
              </w:tc>
              <w:tc>
                <w:tcPr>
                  <w:tcW w:w="750" w:type="dxa"/>
                  <w:vMerge w:val="continue"/>
                  <w:vAlign w:val="center"/>
                </w:tcPr>
                <w:p w14:paraId="2F24635B">
                  <w:pPr>
                    <w:jc w:val="center"/>
                    <w:rPr>
                      <w:rFonts w:hint="eastAsia"/>
                      <w:color w:val="auto"/>
                      <w:sz w:val="21"/>
                      <w:szCs w:val="21"/>
                      <w:highlight w:val="none"/>
                      <w:lang w:val="en-US" w:eastAsia="zh-CN"/>
                    </w:rPr>
                  </w:pPr>
                </w:p>
              </w:tc>
              <w:tc>
                <w:tcPr>
                  <w:tcW w:w="694" w:type="dxa"/>
                  <w:vMerge w:val="continue"/>
                  <w:vAlign w:val="center"/>
                </w:tcPr>
                <w:p w14:paraId="0FD78B2F">
                  <w:pPr>
                    <w:jc w:val="center"/>
                    <w:rPr>
                      <w:rFonts w:hint="default"/>
                      <w:color w:val="auto"/>
                      <w:sz w:val="21"/>
                      <w:szCs w:val="21"/>
                      <w:highlight w:val="none"/>
                      <w:lang w:val="en-US" w:eastAsia="zh-CN"/>
                    </w:rPr>
                  </w:pPr>
                </w:p>
              </w:tc>
              <w:tc>
                <w:tcPr>
                  <w:tcW w:w="707" w:type="dxa"/>
                  <w:vMerge w:val="continue"/>
                  <w:vAlign w:val="center"/>
                </w:tcPr>
                <w:p w14:paraId="400F7064">
                  <w:pPr>
                    <w:jc w:val="center"/>
                    <w:rPr>
                      <w:rFonts w:hint="eastAsia"/>
                      <w:color w:val="auto"/>
                      <w:sz w:val="21"/>
                      <w:szCs w:val="21"/>
                      <w:highlight w:val="none"/>
                      <w:lang w:val="en-US" w:eastAsia="zh-CN"/>
                    </w:rPr>
                  </w:pPr>
                </w:p>
              </w:tc>
              <w:tc>
                <w:tcPr>
                  <w:tcW w:w="845" w:type="dxa"/>
                  <w:vMerge w:val="continue"/>
                  <w:vAlign w:val="center"/>
                </w:tcPr>
                <w:p w14:paraId="0C86F755">
                  <w:pPr>
                    <w:jc w:val="center"/>
                    <w:rPr>
                      <w:rFonts w:hint="eastAsia" w:eastAsia="宋体"/>
                      <w:color w:val="auto"/>
                      <w:sz w:val="21"/>
                      <w:szCs w:val="21"/>
                      <w:highlight w:val="none"/>
                      <w:lang w:val="en-US" w:eastAsia="zh-CN"/>
                    </w:rPr>
                  </w:pPr>
                </w:p>
              </w:tc>
              <w:tc>
                <w:tcPr>
                  <w:tcW w:w="929" w:type="dxa"/>
                  <w:vMerge w:val="continue"/>
                  <w:vAlign w:val="center"/>
                </w:tcPr>
                <w:p w14:paraId="194EEE44">
                  <w:pPr>
                    <w:jc w:val="center"/>
                    <w:rPr>
                      <w:rFonts w:hint="eastAsia"/>
                      <w:color w:val="auto"/>
                      <w:sz w:val="21"/>
                      <w:szCs w:val="21"/>
                      <w:highlight w:val="none"/>
                      <w:lang w:val="en-US" w:eastAsia="zh-CN"/>
                    </w:rPr>
                  </w:pPr>
                </w:p>
              </w:tc>
            </w:tr>
          </w:tbl>
          <w:p w14:paraId="478A3175">
            <w:pPr>
              <w:adjustRightInd w:val="0"/>
              <w:snapToGrid w:val="0"/>
              <w:spacing w:before="120" w:beforeLines="50"/>
              <w:jc w:val="center"/>
              <w:rPr>
                <w:rFonts w:hint="default" w:eastAsia="宋体"/>
                <w:b/>
                <w:bCs/>
                <w:color w:val="auto"/>
                <w:highlight w:val="none"/>
                <w:lang w:val="en-US" w:eastAsia="zh-CN"/>
              </w:rPr>
            </w:pPr>
            <w:r>
              <w:rPr>
                <w:b/>
                <w:bCs/>
                <w:color w:val="auto"/>
                <w:highlight w:val="none"/>
              </w:rPr>
              <w:t>表4</w:t>
            </w:r>
            <w:r>
              <w:rPr>
                <w:rFonts w:hint="eastAsia"/>
                <w:b/>
                <w:bCs/>
                <w:color w:val="auto"/>
                <w:highlight w:val="none"/>
                <w:lang w:val="en-US" w:eastAsia="zh-CN"/>
              </w:rPr>
              <w:t>-3</w:t>
            </w:r>
            <w:r>
              <w:rPr>
                <w:b/>
                <w:bCs/>
                <w:color w:val="auto"/>
                <w:highlight w:val="none"/>
              </w:rPr>
              <w:t xml:space="preserve"> </w:t>
            </w:r>
            <w:r>
              <w:rPr>
                <w:rFonts w:hint="eastAsia"/>
                <w:b/>
                <w:bCs/>
                <w:color w:val="auto"/>
                <w:highlight w:val="none"/>
              </w:rPr>
              <w:t xml:space="preserve"> </w:t>
            </w:r>
            <w:r>
              <w:rPr>
                <w:rFonts w:hint="eastAsia"/>
                <w:b/>
                <w:bCs/>
                <w:color w:val="auto"/>
                <w:highlight w:val="none"/>
                <w:lang w:val="en-US" w:eastAsia="zh-CN"/>
              </w:rPr>
              <w:t>排气筒情况一览表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2160"/>
              <w:gridCol w:w="1215"/>
              <w:gridCol w:w="1170"/>
              <w:gridCol w:w="1932"/>
            </w:tblGrid>
            <w:tr w14:paraId="59B9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1" w:type="dxa"/>
                  <w:vAlign w:val="center"/>
                </w:tcPr>
                <w:p w14:paraId="7470B6E8">
                  <w:pPr>
                    <w:jc w:val="center"/>
                    <w:outlineLvl w:val="0"/>
                    <w:rPr>
                      <w:rFonts w:hint="default" w:eastAsia="宋体"/>
                      <w:b/>
                      <w:color w:val="auto"/>
                      <w:sz w:val="21"/>
                      <w:szCs w:val="21"/>
                      <w:highlight w:val="none"/>
                      <w:lang w:val="en-US" w:eastAsia="zh-CN"/>
                    </w:rPr>
                  </w:pPr>
                  <w:r>
                    <w:rPr>
                      <w:rFonts w:hint="eastAsia"/>
                      <w:b/>
                      <w:color w:val="auto"/>
                      <w:sz w:val="21"/>
                      <w:szCs w:val="21"/>
                      <w:highlight w:val="none"/>
                      <w:lang w:val="en-US" w:eastAsia="zh-CN"/>
                    </w:rPr>
                    <w:t>排放口编号</w:t>
                  </w:r>
                </w:p>
              </w:tc>
              <w:tc>
                <w:tcPr>
                  <w:tcW w:w="2160" w:type="dxa"/>
                  <w:vAlign w:val="center"/>
                </w:tcPr>
                <w:p w14:paraId="299871AA">
                  <w:pPr>
                    <w:jc w:val="center"/>
                    <w:outlineLvl w:val="0"/>
                    <w:rPr>
                      <w:rFonts w:hint="default" w:eastAsia="宋体"/>
                      <w:b/>
                      <w:color w:val="auto"/>
                      <w:sz w:val="21"/>
                      <w:szCs w:val="21"/>
                      <w:highlight w:val="none"/>
                      <w:lang w:val="en-US" w:eastAsia="zh-CN"/>
                    </w:rPr>
                  </w:pPr>
                  <w:r>
                    <w:rPr>
                      <w:rFonts w:hint="eastAsia"/>
                      <w:b/>
                      <w:color w:val="auto"/>
                      <w:sz w:val="21"/>
                      <w:szCs w:val="21"/>
                      <w:highlight w:val="none"/>
                      <w:lang w:val="en-US" w:eastAsia="zh-CN"/>
                    </w:rPr>
                    <w:t>排放内容</w:t>
                  </w:r>
                </w:p>
              </w:tc>
              <w:tc>
                <w:tcPr>
                  <w:tcW w:w="1215" w:type="dxa"/>
                  <w:vAlign w:val="center"/>
                </w:tcPr>
                <w:p w14:paraId="034AD9BE">
                  <w:pPr>
                    <w:jc w:val="center"/>
                    <w:outlineLvl w:val="0"/>
                    <w:rPr>
                      <w:rFonts w:hint="default" w:eastAsia="宋体"/>
                      <w:b/>
                      <w:color w:val="auto"/>
                      <w:sz w:val="21"/>
                      <w:szCs w:val="21"/>
                      <w:highlight w:val="none"/>
                      <w:lang w:val="en-US" w:eastAsia="zh-CN"/>
                    </w:rPr>
                  </w:pPr>
                  <w:r>
                    <w:rPr>
                      <w:rFonts w:hint="eastAsia"/>
                      <w:b/>
                      <w:color w:val="auto"/>
                      <w:sz w:val="21"/>
                      <w:szCs w:val="21"/>
                      <w:highlight w:val="none"/>
                      <w:lang w:val="en-US" w:eastAsia="zh-CN"/>
                    </w:rPr>
                    <w:t>排放口内径（m）</w:t>
                  </w:r>
                </w:p>
              </w:tc>
              <w:tc>
                <w:tcPr>
                  <w:tcW w:w="1170" w:type="dxa"/>
                  <w:vAlign w:val="center"/>
                </w:tcPr>
                <w:p w14:paraId="40B8845F">
                  <w:pPr>
                    <w:jc w:val="center"/>
                    <w:outlineLvl w:val="0"/>
                    <w:rPr>
                      <w:rFonts w:hint="default"/>
                      <w:b/>
                      <w:color w:val="auto"/>
                      <w:sz w:val="21"/>
                      <w:szCs w:val="21"/>
                      <w:highlight w:val="none"/>
                      <w:lang w:val="en-US" w:eastAsia="zh-CN"/>
                    </w:rPr>
                  </w:pPr>
                  <w:r>
                    <w:rPr>
                      <w:rFonts w:hint="eastAsia"/>
                      <w:b/>
                      <w:color w:val="auto"/>
                      <w:sz w:val="21"/>
                      <w:szCs w:val="21"/>
                      <w:highlight w:val="none"/>
                      <w:lang w:val="en-US" w:eastAsia="zh-CN"/>
                    </w:rPr>
                    <w:t>排气筒高度（m）</w:t>
                  </w:r>
                </w:p>
              </w:tc>
              <w:tc>
                <w:tcPr>
                  <w:tcW w:w="1932" w:type="dxa"/>
                  <w:vAlign w:val="center"/>
                </w:tcPr>
                <w:p w14:paraId="33371365">
                  <w:pPr>
                    <w:jc w:val="center"/>
                    <w:outlineLvl w:val="0"/>
                    <w:rPr>
                      <w:rFonts w:hint="default"/>
                      <w:b/>
                      <w:color w:val="auto"/>
                      <w:sz w:val="21"/>
                      <w:szCs w:val="21"/>
                      <w:highlight w:val="none"/>
                      <w:lang w:val="en-US" w:eastAsia="zh-CN"/>
                    </w:rPr>
                  </w:pPr>
                  <w:r>
                    <w:rPr>
                      <w:rFonts w:hint="eastAsia"/>
                      <w:b/>
                      <w:color w:val="auto"/>
                      <w:sz w:val="21"/>
                      <w:szCs w:val="21"/>
                      <w:highlight w:val="none"/>
                      <w:lang w:val="en-US" w:eastAsia="zh-CN"/>
                    </w:rPr>
                    <w:t>坐标</w:t>
                  </w:r>
                </w:p>
              </w:tc>
            </w:tr>
            <w:tr w14:paraId="5131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1" w:type="dxa"/>
                  <w:vAlign w:val="center"/>
                </w:tcPr>
                <w:p w14:paraId="3982C414">
                  <w:pPr>
                    <w:jc w:val="center"/>
                    <w:rPr>
                      <w:rFonts w:hint="default"/>
                      <w:color w:val="auto"/>
                      <w:sz w:val="21"/>
                      <w:szCs w:val="21"/>
                      <w:highlight w:val="none"/>
                      <w:lang w:val="en-US"/>
                    </w:rPr>
                  </w:pPr>
                  <w:r>
                    <w:rPr>
                      <w:rFonts w:hint="eastAsia" w:cs="Times New Roman"/>
                      <w:color w:val="auto"/>
                      <w:kern w:val="0"/>
                      <w:sz w:val="21"/>
                      <w:szCs w:val="21"/>
                      <w:highlight w:val="none"/>
                      <w:lang w:val="en-US" w:eastAsia="zh-CN" w:bidi="ar"/>
                    </w:rPr>
                    <w:t>DA001/</w:t>
                  </w:r>
                  <w:r>
                    <w:rPr>
                      <w:rFonts w:hint="eastAsia" w:cs="Times New Roman"/>
                      <w:color w:val="auto"/>
                      <w:sz w:val="21"/>
                      <w:szCs w:val="21"/>
                      <w:highlight w:val="none"/>
                      <w:lang w:val="en-US" w:eastAsia="zh-CN"/>
                    </w:rPr>
                    <w:t>注塑</w:t>
                  </w:r>
                  <w:r>
                    <w:rPr>
                      <w:rFonts w:hint="eastAsia" w:cs="Times New Roman"/>
                      <w:color w:val="auto"/>
                      <w:kern w:val="0"/>
                      <w:sz w:val="21"/>
                      <w:szCs w:val="21"/>
                      <w:highlight w:val="none"/>
                      <w:lang w:val="en-US" w:eastAsia="zh-CN" w:bidi="ar"/>
                    </w:rPr>
                    <w:t>废气</w:t>
                  </w:r>
                </w:p>
              </w:tc>
              <w:tc>
                <w:tcPr>
                  <w:tcW w:w="2160" w:type="dxa"/>
                  <w:vAlign w:val="center"/>
                </w:tcPr>
                <w:p w14:paraId="4B9CF30D">
                  <w:pPr>
                    <w:jc w:val="center"/>
                    <w:outlineLvl w:val="0"/>
                    <w:rPr>
                      <w:rFonts w:hint="default" w:eastAsia="宋体"/>
                      <w:bCs/>
                      <w:color w:val="auto"/>
                      <w:sz w:val="21"/>
                      <w:szCs w:val="21"/>
                      <w:highlight w:val="none"/>
                      <w:lang w:val="en-US" w:eastAsia="zh-CN"/>
                    </w:rPr>
                  </w:pPr>
                  <w:r>
                    <w:rPr>
                      <w:rFonts w:hint="eastAsia" w:cs="Times New Roman"/>
                      <w:color w:val="auto"/>
                      <w:kern w:val="0"/>
                      <w:sz w:val="21"/>
                      <w:szCs w:val="21"/>
                      <w:highlight w:val="none"/>
                      <w:lang w:val="en-US" w:eastAsia="zh-CN" w:bidi="ar"/>
                    </w:rPr>
                    <w:t>非甲烷总烃、苯乙烯、丙烯腈</w:t>
                  </w:r>
                </w:p>
              </w:tc>
              <w:tc>
                <w:tcPr>
                  <w:tcW w:w="1215" w:type="dxa"/>
                  <w:vAlign w:val="center"/>
                </w:tcPr>
                <w:p w14:paraId="58642FF4">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1170" w:type="dxa"/>
                  <w:vAlign w:val="center"/>
                </w:tcPr>
                <w:p w14:paraId="7FD731F5">
                  <w:pPr>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1932" w:type="dxa"/>
                  <w:vAlign w:val="center"/>
                </w:tcPr>
                <w:p w14:paraId="7A3A461D">
                  <w:pPr>
                    <w:jc w:val="center"/>
                    <w:rPr>
                      <w:rFonts w:hint="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117°55′46.506″</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33°28′9.508″</w:t>
                  </w:r>
                </w:p>
              </w:tc>
            </w:tr>
            <w:tr w14:paraId="708C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1" w:type="dxa"/>
                  <w:vAlign w:val="center"/>
                </w:tcPr>
                <w:p w14:paraId="01880925">
                  <w:pPr>
                    <w:jc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DA002/</w:t>
                  </w:r>
                  <w:r>
                    <w:rPr>
                      <w:rFonts w:hint="eastAsia" w:cs="Times New Roman"/>
                      <w:color w:val="auto"/>
                      <w:sz w:val="21"/>
                      <w:szCs w:val="21"/>
                      <w:highlight w:val="none"/>
                      <w:lang w:val="en-US" w:eastAsia="zh-CN"/>
                    </w:rPr>
                    <w:t>喷漆调漆</w:t>
                  </w:r>
                  <w:r>
                    <w:rPr>
                      <w:rFonts w:hint="eastAsia" w:cs="Times New Roman"/>
                      <w:color w:val="auto"/>
                      <w:kern w:val="0"/>
                      <w:sz w:val="21"/>
                      <w:szCs w:val="21"/>
                      <w:highlight w:val="none"/>
                      <w:lang w:val="en-US" w:eastAsia="zh-CN" w:bidi="ar"/>
                    </w:rPr>
                    <w:t>废气</w:t>
                  </w:r>
                </w:p>
              </w:tc>
              <w:tc>
                <w:tcPr>
                  <w:tcW w:w="2160" w:type="dxa"/>
                  <w:vAlign w:val="center"/>
                </w:tcPr>
                <w:p w14:paraId="749AF408">
                  <w:pPr>
                    <w:jc w:val="center"/>
                    <w:outlineLvl w:val="0"/>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颗粒物、非甲烷总烃、二甲苯、醋酸丁酯</w:t>
                  </w:r>
                </w:p>
              </w:tc>
              <w:tc>
                <w:tcPr>
                  <w:tcW w:w="1215" w:type="dxa"/>
                  <w:vAlign w:val="center"/>
                </w:tcPr>
                <w:p w14:paraId="345CF618">
                  <w:pPr>
                    <w:jc w:val="center"/>
                    <w:rPr>
                      <w:rFonts w:hint="eastAsia"/>
                      <w:color w:val="auto"/>
                      <w:sz w:val="21"/>
                      <w:szCs w:val="21"/>
                      <w:highlight w:val="none"/>
                      <w:lang w:val="en-US" w:eastAsia="zh-CN"/>
                    </w:rPr>
                  </w:pPr>
                  <w:r>
                    <w:rPr>
                      <w:rFonts w:hint="eastAsia"/>
                      <w:color w:val="auto"/>
                      <w:sz w:val="21"/>
                      <w:szCs w:val="21"/>
                      <w:highlight w:val="none"/>
                      <w:lang w:val="en-US" w:eastAsia="zh-CN"/>
                    </w:rPr>
                    <w:t>0.5</w:t>
                  </w:r>
                </w:p>
              </w:tc>
              <w:tc>
                <w:tcPr>
                  <w:tcW w:w="1170" w:type="dxa"/>
                  <w:vAlign w:val="center"/>
                </w:tcPr>
                <w:p w14:paraId="6FAC10FA">
                  <w:pPr>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1932" w:type="dxa"/>
                  <w:vAlign w:val="center"/>
                </w:tcPr>
                <w:p w14:paraId="6AD173F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117°55′47.395″</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33°28′10</w:t>
                  </w:r>
                  <w:r>
                    <w:rPr>
                      <w:rFonts w:hint="eastAsia" w:cs="Times New Roman"/>
                      <w:color w:val="auto"/>
                      <w:sz w:val="21"/>
                      <w:szCs w:val="21"/>
                      <w:highlight w:val="none"/>
                      <w:lang w:val="en-US" w:eastAsia="zh-CN"/>
                    </w:rPr>
                    <w:t>0</w:t>
                  </w:r>
                </w:p>
              </w:tc>
            </w:tr>
          </w:tbl>
          <w:p w14:paraId="4DAEBCE3">
            <w:pPr>
              <w:adjustRightInd w:val="0"/>
              <w:snapToGrid w:val="0"/>
              <w:spacing w:before="120" w:beforeLines="50"/>
              <w:jc w:val="center"/>
              <w:rPr>
                <w:b/>
                <w:bCs/>
                <w:color w:val="auto"/>
                <w:highlight w:val="none"/>
              </w:rPr>
            </w:pPr>
            <w:r>
              <w:rPr>
                <w:b/>
                <w:bCs/>
                <w:color w:val="auto"/>
                <w:highlight w:val="none"/>
              </w:rPr>
              <w:t>表4</w:t>
            </w:r>
            <w:r>
              <w:rPr>
                <w:rFonts w:hint="eastAsia"/>
                <w:b/>
                <w:bCs/>
                <w:color w:val="auto"/>
                <w:highlight w:val="none"/>
                <w:lang w:val="en-US" w:eastAsia="zh-CN"/>
              </w:rPr>
              <w:t xml:space="preserve">-4 </w:t>
            </w:r>
            <w:r>
              <w:rPr>
                <w:rFonts w:hint="eastAsia"/>
                <w:b/>
                <w:bCs/>
                <w:color w:val="auto"/>
                <w:highlight w:val="none"/>
              </w:rPr>
              <w:t xml:space="preserve"> </w:t>
            </w:r>
            <w:r>
              <w:rPr>
                <w:b/>
                <w:bCs/>
                <w:color w:val="auto"/>
                <w:highlight w:val="none"/>
              </w:rPr>
              <w:t>项目无组织废气产生及排放情况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00"/>
              <w:gridCol w:w="1316"/>
              <w:gridCol w:w="1336"/>
              <w:gridCol w:w="1094"/>
              <w:gridCol w:w="1094"/>
              <w:gridCol w:w="1074"/>
            </w:tblGrid>
            <w:tr w14:paraId="427B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7DC9386F">
                  <w:pPr>
                    <w:jc w:val="center"/>
                    <w:outlineLvl w:val="0"/>
                    <w:rPr>
                      <w:b/>
                      <w:color w:val="auto"/>
                      <w:sz w:val="21"/>
                      <w:szCs w:val="21"/>
                      <w:highlight w:val="none"/>
                    </w:rPr>
                  </w:pPr>
                  <w:r>
                    <w:rPr>
                      <w:b/>
                      <w:color w:val="auto"/>
                      <w:sz w:val="21"/>
                      <w:szCs w:val="21"/>
                      <w:highlight w:val="none"/>
                    </w:rPr>
                    <w:t>序号</w:t>
                  </w:r>
                </w:p>
              </w:tc>
              <w:tc>
                <w:tcPr>
                  <w:tcW w:w="1500" w:type="dxa"/>
                  <w:vAlign w:val="center"/>
                </w:tcPr>
                <w:p w14:paraId="653306E3">
                  <w:pPr>
                    <w:jc w:val="center"/>
                    <w:outlineLvl w:val="0"/>
                    <w:rPr>
                      <w:b/>
                      <w:color w:val="auto"/>
                      <w:sz w:val="21"/>
                      <w:szCs w:val="21"/>
                      <w:highlight w:val="none"/>
                    </w:rPr>
                  </w:pPr>
                  <w:r>
                    <w:rPr>
                      <w:b/>
                      <w:color w:val="auto"/>
                      <w:sz w:val="21"/>
                      <w:szCs w:val="21"/>
                      <w:highlight w:val="none"/>
                    </w:rPr>
                    <w:t>污染物</w:t>
                  </w:r>
                </w:p>
              </w:tc>
              <w:tc>
                <w:tcPr>
                  <w:tcW w:w="1316" w:type="dxa"/>
                  <w:vAlign w:val="center"/>
                </w:tcPr>
                <w:p w14:paraId="55F3E5D2">
                  <w:pPr>
                    <w:jc w:val="center"/>
                    <w:outlineLvl w:val="0"/>
                    <w:rPr>
                      <w:b/>
                      <w:color w:val="auto"/>
                      <w:sz w:val="21"/>
                      <w:szCs w:val="21"/>
                      <w:highlight w:val="none"/>
                    </w:rPr>
                  </w:pPr>
                  <w:r>
                    <w:rPr>
                      <w:b/>
                      <w:color w:val="auto"/>
                      <w:sz w:val="21"/>
                      <w:szCs w:val="21"/>
                      <w:highlight w:val="none"/>
                    </w:rPr>
                    <w:t>污染源位置</w:t>
                  </w:r>
                </w:p>
              </w:tc>
              <w:tc>
                <w:tcPr>
                  <w:tcW w:w="1336" w:type="dxa"/>
                  <w:vAlign w:val="center"/>
                </w:tcPr>
                <w:p w14:paraId="3D58F7AD">
                  <w:pPr>
                    <w:jc w:val="center"/>
                    <w:outlineLvl w:val="0"/>
                    <w:rPr>
                      <w:b/>
                      <w:color w:val="auto"/>
                      <w:sz w:val="21"/>
                      <w:szCs w:val="21"/>
                      <w:highlight w:val="none"/>
                    </w:rPr>
                  </w:pPr>
                  <w:r>
                    <w:rPr>
                      <w:b/>
                      <w:color w:val="auto"/>
                      <w:sz w:val="21"/>
                      <w:szCs w:val="21"/>
                      <w:highlight w:val="none"/>
                    </w:rPr>
                    <w:t>污染物排放（t/a）</w:t>
                  </w:r>
                </w:p>
              </w:tc>
              <w:tc>
                <w:tcPr>
                  <w:tcW w:w="1094" w:type="dxa"/>
                  <w:vAlign w:val="center"/>
                </w:tcPr>
                <w:p w14:paraId="5576103F">
                  <w:pPr>
                    <w:jc w:val="center"/>
                    <w:outlineLvl w:val="0"/>
                    <w:rPr>
                      <w:b/>
                      <w:color w:val="auto"/>
                      <w:sz w:val="21"/>
                      <w:szCs w:val="21"/>
                      <w:highlight w:val="none"/>
                    </w:rPr>
                  </w:pPr>
                  <w:r>
                    <w:rPr>
                      <w:b/>
                      <w:color w:val="auto"/>
                      <w:sz w:val="21"/>
                      <w:szCs w:val="21"/>
                      <w:highlight w:val="none"/>
                    </w:rPr>
                    <w:t>面源宽度（m）</w:t>
                  </w:r>
                </w:p>
              </w:tc>
              <w:tc>
                <w:tcPr>
                  <w:tcW w:w="1094" w:type="dxa"/>
                  <w:vAlign w:val="center"/>
                </w:tcPr>
                <w:p w14:paraId="33D60CD4">
                  <w:pPr>
                    <w:jc w:val="center"/>
                    <w:outlineLvl w:val="0"/>
                    <w:rPr>
                      <w:b/>
                      <w:color w:val="auto"/>
                      <w:sz w:val="21"/>
                      <w:szCs w:val="21"/>
                      <w:highlight w:val="none"/>
                    </w:rPr>
                  </w:pPr>
                  <w:r>
                    <w:rPr>
                      <w:b/>
                      <w:color w:val="auto"/>
                      <w:sz w:val="21"/>
                      <w:szCs w:val="21"/>
                      <w:highlight w:val="none"/>
                    </w:rPr>
                    <w:t>面源长度（m）</w:t>
                  </w:r>
                </w:p>
              </w:tc>
              <w:tc>
                <w:tcPr>
                  <w:tcW w:w="1074" w:type="dxa"/>
                  <w:vAlign w:val="center"/>
                </w:tcPr>
                <w:p w14:paraId="3A4B1174">
                  <w:pPr>
                    <w:jc w:val="center"/>
                    <w:outlineLvl w:val="0"/>
                    <w:rPr>
                      <w:b/>
                      <w:color w:val="auto"/>
                      <w:sz w:val="21"/>
                      <w:szCs w:val="21"/>
                      <w:highlight w:val="none"/>
                    </w:rPr>
                  </w:pPr>
                  <w:r>
                    <w:rPr>
                      <w:b/>
                      <w:color w:val="auto"/>
                      <w:sz w:val="21"/>
                      <w:szCs w:val="21"/>
                      <w:highlight w:val="none"/>
                    </w:rPr>
                    <w:t>面源高度（m）</w:t>
                  </w:r>
                </w:p>
              </w:tc>
            </w:tr>
            <w:tr w14:paraId="09ED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7B29F69D">
                  <w:pPr>
                    <w:jc w:val="center"/>
                    <w:outlineLvl w:val="0"/>
                    <w:rPr>
                      <w:rFonts w:hint="eastAsia" w:eastAsia="宋体"/>
                      <w:bCs/>
                      <w:color w:val="auto"/>
                      <w:sz w:val="21"/>
                      <w:szCs w:val="21"/>
                      <w:highlight w:val="none"/>
                      <w:lang w:val="en-US" w:eastAsia="zh-CN"/>
                    </w:rPr>
                  </w:pPr>
                  <w:r>
                    <w:rPr>
                      <w:rFonts w:hint="eastAsia"/>
                      <w:bCs/>
                      <w:color w:val="auto"/>
                      <w:sz w:val="21"/>
                      <w:szCs w:val="21"/>
                      <w:highlight w:val="none"/>
                      <w:lang w:val="en-US" w:eastAsia="zh-CN"/>
                    </w:rPr>
                    <w:t>1</w:t>
                  </w:r>
                </w:p>
              </w:tc>
              <w:tc>
                <w:tcPr>
                  <w:tcW w:w="1500" w:type="dxa"/>
                  <w:vAlign w:val="center"/>
                </w:tcPr>
                <w:p w14:paraId="554A903E">
                  <w:pPr>
                    <w:jc w:val="center"/>
                    <w:rPr>
                      <w:color w:val="auto"/>
                      <w:sz w:val="21"/>
                      <w:szCs w:val="21"/>
                      <w:highlight w:val="none"/>
                    </w:rPr>
                  </w:pPr>
                  <w:r>
                    <w:rPr>
                      <w:rFonts w:hint="eastAsia" w:cs="Times New Roman"/>
                      <w:color w:val="auto"/>
                      <w:kern w:val="0"/>
                      <w:sz w:val="21"/>
                      <w:szCs w:val="21"/>
                      <w:highlight w:val="none"/>
                      <w:lang w:val="en-US" w:eastAsia="zh-CN" w:bidi="ar"/>
                    </w:rPr>
                    <w:t>颗粒物</w:t>
                  </w:r>
                </w:p>
              </w:tc>
              <w:tc>
                <w:tcPr>
                  <w:tcW w:w="1316" w:type="dxa"/>
                  <w:vMerge w:val="restart"/>
                  <w:vAlign w:val="center"/>
                </w:tcPr>
                <w:p w14:paraId="2CFFC1C9">
                  <w:pPr>
                    <w:jc w:val="center"/>
                    <w:outlineLvl w:val="0"/>
                    <w:rPr>
                      <w:rFonts w:hint="default" w:eastAsia="宋体"/>
                      <w:bCs/>
                      <w:color w:val="auto"/>
                      <w:sz w:val="21"/>
                      <w:szCs w:val="21"/>
                      <w:highlight w:val="none"/>
                      <w:lang w:val="en-US" w:eastAsia="zh-CN"/>
                    </w:rPr>
                  </w:pPr>
                  <w:r>
                    <w:rPr>
                      <w:rFonts w:hint="eastAsia"/>
                      <w:bCs/>
                      <w:color w:val="auto"/>
                      <w:sz w:val="21"/>
                      <w:szCs w:val="21"/>
                      <w:highlight w:val="none"/>
                      <w:lang w:val="en-US" w:eastAsia="zh-CN"/>
                    </w:rPr>
                    <w:t>生产车间</w:t>
                  </w:r>
                </w:p>
              </w:tc>
              <w:tc>
                <w:tcPr>
                  <w:tcW w:w="1336" w:type="dxa"/>
                  <w:vAlign w:val="center"/>
                </w:tcPr>
                <w:p w14:paraId="0FB405BF">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0.081</w:t>
                  </w:r>
                </w:p>
              </w:tc>
              <w:tc>
                <w:tcPr>
                  <w:tcW w:w="1094" w:type="dxa"/>
                  <w:vMerge w:val="restart"/>
                  <w:vAlign w:val="center"/>
                </w:tcPr>
                <w:p w14:paraId="6A32AC00">
                  <w:pPr>
                    <w:jc w:val="center"/>
                    <w:outlineLvl w:val="0"/>
                    <w:rPr>
                      <w:rFonts w:hint="default" w:eastAsia="宋体"/>
                      <w:bCs/>
                      <w:color w:val="auto"/>
                      <w:sz w:val="21"/>
                      <w:szCs w:val="21"/>
                      <w:highlight w:val="none"/>
                      <w:lang w:val="en-US" w:eastAsia="zh-CN"/>
                    </w:rPr>
                  </w:pPr>
                  <w:r>
                    <w:rPr>
                      <w:rFonts w:hint="eastAsia"/>
                      <w:bCs/>
                      <w:color w:val="auto"/>
                      <w:sz w:val="21"/>
                      <w:szCs w:val="21"/>
                      <w:highlight w:val="none"/>
                      <w:lang w:val="en-US" w:eastAsia="zh-CN"/>
                    </w:rPr>
                    <w:t>92</w:t>
                  </w:r>
                </w:p>
              </w:tc>
              <w:tc>
                <w:tcPr>
                  <w:tcW w:w="1094" w:type="dxa"/>
                  <w:vMerge w:val="restart"/>
                  <w:vAlign w:val="center"/>
                </w:tcPr>
                <w:p w14:paraId="4E8FD54B">
                  <w:pPr>
                    <w:jc w:val="center"/>
                    <w:outlineLvl w:val="0"/>
                    <w:rPr>
                      <w:rFonts w:hint="default" w:eastAsia="宋体"/>
                      <w:bCs/>
                      <w:color w:val="auto"/>
                      <w:sz w:val="21"/>
                      <w:szCs w:val="21"/>
                      <w:highlight w:val="none"/>
                      <w:lang w:val="en-US" w:eastAsia="zh-CN"/>
                    </w:rPr>
                  </w:pPr>
                  <w:r>
                    <w:rPr>
                      <w:rFonts w:hint="eastAsia"/>
                      <w:bCs/>
                      <w:color w:val="auto"/>
                      <w:sz w:val="21"/>
                      <w:szCs w:val="21"/>
                      <w:highlight w:val="none"/>
                      <w:lang w:val="en-US" w:eastAsia="zh-CN"/>
                    </w:rPr>
                    <w:t>51</w:t>
                  </w:r>
                </w:p>
              </w:tc>
              <w:tc>
                <w:tcPr>
                  <w:tcW w:w="1074" w:type="dxa"/>
                  <w:vMerge w:val="restart"/>
                  <w:vAlign w:val="center"/>
                </w:tcPr>
                <w:p w14:paraId="75EEECF3">
                  <w:pPr>
                    <w:jc w:val="center"/>
                    <w:outlineLvl w:val="0"/>
                    <w:rPr>
                      <w:rFonts w:hint="default" w:eastAsia="宋体"/>
                      <w:bCs/>
                      <w:color w:val="auto"/>
                      <w:sz w:val="21"/>
                      <w:szCs w:val="21"/>
                      <w:highlight w:val="none"/>
                      <w:lang w:val="en-US" w:eastAsia="zh-CN"/>
                    </w:rPr>
                  </w:pPr>
                  <w:r>
                    <w:rPr>
                      <w:rFonts w:hint="eastAsia"/>
                      <w:bCs/>
                      <w:color w:val="auto"/>
                      <w:sz w:val="21"/>
                      <w:szCs w:val="21"/>
                      <w:highlight w:val="none"/>
                      <w:lang w:val="en-US" w:eastAsia="zh-CN"/>
                    </w:rPr>
                    <w:t>10</w:t>
                  </w:r>
                </w:p>
              </w:tc>
            </w:tr>
            <w:tr w14:paraId="2D55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72988BF1">
                  <w:pPr>
                    <w:jc w:val="center"/>
                    <w:outlineLvl w:val="0"/>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1500" w:type="dxa"/>
                  <w:vAlign w:val="center"/>
                </w:tcPr>
                <w:p w14:paraId="17D5BABB">
                  <w:pPr>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c>
                <w:tcPr>
                  <w:tcW w:w="1316" w:type="dxa"/>
                  <w:vMerge w:val="continue"/>
                  <w:vAlign w:val="center"/>
                </w:tcPr>
                <w:p w14:paraId="221A30F6">
                  <w:pPr>
                    <w:jc w:val="center"/>
                    <w:outlineLvl w:val="0"/>
                    <w:rPr>
                      <w:rFonts w:hint="eastAsia"/>
                      <w:bCs/>
                      <w:color w:val="auto"/>
                      <w:sz w:val="21"/>
                      <w:szCs w:val="21"/>
                      <w:highlight w:val="none"/>
                      <w:lang w:val="en-US" w:eastAsia="zh-CN"/>
                    </w:rPr>
                  </w:pPr>
                </w:p>
              </w:tc>
              <w:tc>
                <w:tcPr>
                  <w:tcW w:w="1336" w:type="dxa"/>
                  <w:vAlign w:val="center"/>
                </w:tcPr>
                <w:p w14:paraId="13268B3A">
                  <w:pPr>
                    <w:jc w:val="center"/>
                    <w:rPr>
                      <w:rFonts w:hint="default"/>
                      <w:color w:val="auto"/>
                      <w:sz w:val="21"/>
                      <w:szCs w:val="21"/>
                      <w:highlight w:val="none"/>
                      <w:lang w:val="en-US" w:eastAsia="zh-CN"/>
                    </w:rPr>
                  </w:pPr>
                  <w:r>
                    <w:rPr>
                      <w:rFonts w:hint="eastAsia"/>
                      <w:color w:val="auto"/>
                      <w:sz w:val="21"/>
                      <w:szCs w:val="21"/>
                      <w:highlight w:val="none"/>
                      <w:lang w:val="en-US" w:eastAsia="zh-CN"/>
                    </w:rPr>
                    <w:t>0.316</w:t>
                  </w:r>
                </w:p>
              </w:tc>
              <w:tc>
                <w:tcPr>
                  <w:tcW w:w="1094" w:type="dxa"/>
                  <w:vMerge w:val="continue"/>
                  <w:vAlign w:val="center"/>
                </w:tcPr>
                <w:p w14:paraId="254A2766">
                  <w:pPr>
                    <w:jc w:val="center"/>
                    <w:outlineLvl w:val="0"/>
                    <w:rPr>
                      <w:rFonts w:hint="eastAsia"/>
                      <w:bCs/>
                      <w:color w:val="auto"/>
                      <w:sz w:val="21"/>
                      <w:szCs w:val="21"/>
                      <w:highlight w:val="none"/>
                      <w:lang w:val="en-US" w:eastAsia="zh-CN"/>
                    </w:rPr>
                  </w:pPr>
                </w:p>
              </w:tc>
              <w:tc>
                <w:tcPr>
                  <w:tcW w:w="1094" w:type="dxa"/>
                  <w:vMerge w:val="continue"/>
                  <w:vAlign w:val="center"/>
                </w:tcPr>
                <w:p w14:paraId="453417BC">
                  <w:pPr>
                    <w:jc w:val="center"/>
                    <w:outlineLvl w:val="0"/>
                    <w:rPr>
                      <w:rFonts w:hint="eastAsia"/>
                      <w:bCs/>
                      <w:color w:val="auto"/>
                      <w:sz w:val="21"/>
                      <w:szCs w:val="21"/>
                      <w:highlight w:val="none"/>
                      <w:lang w:val="en-US" w:eastAsia="zh-CN"/>
                    </w:rPr>
                  </w:pPr>
                </w:p>
              </w:tc>
              <w:tc>
                <w:tcPr>
                  <w:tcW w:w="1074" w:type="dxa"/>
                  <w:vMerge w:val="continue"/>
                  <w:vAlign w:val="center"/>
                </w:tcPr>
                <w:p w14:paraId="0D94C57E">
                  <w:pPr>
                    <w:jc w:val="center"/>
                    <w:outlineLvl w:val="0"/>
                    <w:rPr>
                      <w:rFonts w:hint="eastAsia"/>
                      <w:bCs/>
                      <w:color w:val="auto"/>
                      <w:sz w:val="21"/>
                      <w:szCs w:val="21"/>
                      <w:highlight w:val="none"/>
                      <w:lang w:val="en-US" w:eastAsia="zh-CN"/>
                    </w:rPr>
                  </w:pPr>
                </w:p>
              </w:tc>
            </w:tr>
            <w:tr w14:paraId="05D2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6D454985">
                  <w:pPr>
                    <w:jc w:val="center"/>
                    <w:outlineLvl w:val="0"/>
                    <w:rPr>
                      <w:rFonts w:hint="default"/>
                      <w:bCs/>
                      <w:color w:val="auto"/>
                      <w:sz w:val="21"/>
                      <w:szCs w:val="21"/>
                      <w:highlight w:val="none"/>
                      <w:lang w:val="en-US" w:eastAsia="zh-CN"/>
                    </w:rPr>
                  </w:pPr>
                  <w:r>
                    <w:rPr>
                      <w:rFonts w:hint="eastAsia"/>
                      <w:bCs/>
                      <w:color w:val="auto"/>
                      <w:sz w:val="21"/>
                      <w:szCs w:val="21"/>
                      <w:highlight w:val="none"/>
                      <w:lang w:val="en-US" w:eastAsia="zh-CN"/>
                    </w:rPr>
                    <w:t>3</w:t>
                  </w:r>
                </w:p>
              </w:tc>
              <w:tc>
                <w:tcPr>
                  <w:tcW w:w="1500" w:type="dxa"/>
                  <w:vAlign w:val="center"/>
                </w:tcPr>
                <w:p w14:paraId="558839B2">
                  <w:pPr>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二甲苯</w:t>
                  </w:r>
                </w:p>
              </w:tc>
              <w:tc>
                <w:tcPr>
                  <w:tcW w:w="1316" w:type="dxa"/>
                  <w:vMerge w:val="continue"/>
                  <w:vAlign w:val="center"/>
                </w:tcPr>
                <w:p w14:paraId="27F4CD13">
                  <w:pPr>
                    <w:jc w:val="center"/>
                    <w:outlineLvl w:val="0"/>
                    <w:rPr>
                      <w:rFonts w:hint="eastAsia"/>
                      <w:bCs/>
                      <w:color w:val="auto"/>
                      <w:sz w:val="21"/>
                      <w:szCs w:val="21"/>
                      <w:highlight w:val="none"/>
                      <w:lang w:val="en-US" w:eastAsia="zh-CN"/>
                    </w:rPr>
                  </w:pPr>
                </w:p>
              </w:tc>
              <w:tc>
                <w:tcPr>
                  <w:tcW w:w="1336" w:type="dxa"/>
                  <w:vAlign w:val="center"/>
                </w:tcPr>
                <w:p w14:paraId="7917EF92">
                  <w:pPr>
                    <w:jc w:val="center"/>
                    <w:rPr>
                      <w:rFonts w:hint="default"/>
                      <w:color w:val="auto"/>
                      <w:sz w:val="21"/>
                      <w:szCs w:val="21"/>
                      <w:highlight w:val="none"/>
                      <w:lang w:val="en-US" w:eastAsia="zh-CN"/>
                    </w:rPr>
                  </w:pPr>
                  <w:r>
                    <w:rPr>
                      <w:rFonts w:hint="eastAsia"/>
                      <w:color w:val="auto"/>
                      <w:sz w:val="21"/>
                      <w:szCs w:val="21"/>
                      <w:highlight w:val="none"/>
                      <w:lang w:val="en-US" w:eastAsia="zh-CN"/>
                    </w:rPr>
                    <w:t>0.007</w:t>
                  </w:r>
                </w:p>
              </w:tc>
              <w:tc>
                <w:tcPr>
                  <w:tcW w:w="1094" w:type="dxa"/>
                  <w:vMerge w:val="continue"/>
                  <w:vAlign w:val="center"/>
                </w:tcPr>
                <w:p w14:paraId="5CA4E7FD">
                  <w:pPr>
                    <w:jc w:val="center"/>
                    <w:outlineLvl w:val="0"/>
                    <w:rPr>
                      <w:rFonts w:hint="eastAsia"/>
                      <w:bCs/>
                      <w:color w:val="auto"/>
                      <w:sz w:val="21"/>
                      <w:szCs w:val="21"/>
                      <w:highlight w:val="none"/>
                      <w:lang w:val="en-US" w:eastAsia="zh-CN"/>
                    </w:rPr>
                  </w:pPr>
                </w:p>
              </w:tc>
              <w:tc>
                <w:tcPr>
                  <w:tcW w:w="1094" w:type="dxa"/>
                  <w:vMerge w:val="continue"/>
                  <w:vAlign w:val="center"/>
                </w:tcPr>
                <w:p w14:paraId="0635514E">
                  <w:pPr>
                    <w:jc w:val="center"/>
                    <w:outlineLvl w:val="0"/>
                    <w:rPr>
                      <w:rFonts w:hint="eastAsia"/>
                      <w:bCs/>
                      <w:color w:val="auto"/>
                      <w:sz w:val="21"/>
                      <w:szCs w:val="21"/>
                      <w:highlight w:val="none"/>
                      <w:lang w:val="en-US" w:eastAsia="zh-CN"/>
                    </w:rPr>
                  </w:pPr>
                </w:p>
              </w:tc>
              <w:tc>
                <w:tcPr>
                  <w:tcW w:w="1074" w:type="dxa"/>
                  <w:vMerge w:val="continue"/>
                  <w:vAlign w:val="center"/>
                </w:tcPr>
                <w:p w14:paraId="39BD7E06">
                  <w:pPr>
                    <w:jc w:val="center"/>
                    <w:outlineLvl w:val="0"/>
                    <w:rPr>
                      <w:rFonts w:hint="eastAsia"/>
                      <w:bCs/>
                      <w:color w:val="auto"/>
                      <w:sz w:val="21"/>
                      <w:szCs w:val="21"/>
                      <w:highlight w:val="none"/>
                      <w:lang w:val="en-US" w:eastAsia="zh-CN"/>
                    </w:rPr>
                  </w:pPr>
                </w:p>
              </w:tc>
            </w:tr>
            <w:tr w14:paraId="65EC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0A70A338">
                  <w:pPr>
                    <w:jc w:val="center"/>
                    <w:outlineLvl w:val="0"/>
                    <w:rPr>
                      <w:rFonts w:hint="default"/>
                      <w:bCs/>
                      <w:color w:val="auto"/>
                      <w:sz w:val="21"/>
                      <w:szCs w:val="21"/>
                      <w:highlight w:val="none"/>
                      <w:lang w:val="en-US" w:eastAsia="zh-CN"/>
                    </w:rPr>
                  </w:pPr>
                  <w:r>
                    <w:rPr>
                      <w:rFonts w:hint="eastAsia"/>
                      <w:bCs/>
                      <w:color w:val="auto"/>
                      <w:sz w:val="21"/>
                      <w:szCs w:val="21"/>
                      <w:highlight w:val="none"/>
                      <w:lang w:val="en-US" w:eastAsia="zh-CN"/>
                    </w:rPr>
                    <w:t>4</w:t>
                  </w:r>
                </w:p>
              </w:tc>
              <w:tc>
                <w:tcPr>
                  <w:tcW w:w="1500" w:type="dxa"/>
                  <w:vAlign w:val="center"/>
                </w:tcPr>
                <w:p w14:paraId="1CF35E84">
                  <w:pPr>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醋酸丁酯</w:t>
                  </w:r>
                </w:p>
              </w:tc>
              <w:tc>
                <w:tcPr>
                  <w:tcW w:w="1316" w:type="dxa"/>
                  <w:vMerge w:val="continue"/>
                  <w:vAlign w:val="center"/>
                </w:tcPr>
                <w:p w14:paraId="18C5BACD">
                  <w:pPr>
                    <w:jc w:val="center"/>
                    <w:outlineLvl w:val="0"/>
                    <w:rPr>
                      <w:rFonts w:hint="eastAsia"/>
                      <w:bCs/>
                      <w:color w:val="auto"/>
                      <w:sz w:val="21"/>
                      <w:szCs w:val="21"/>
                      <w:highlight w:val="none"/>
                      <w:lang w:val="en-US" w:eastAsia="zh-CN"/>
                    </w:rPr>
                  </w:pPr>
                </w:p>
              </w:tc>
              <w:tc>
                <w:tcPr>
                  <w:tcW w:w="1336" w:type="dxa"/>
                  <w:vAlign w:val="center"/>
                </w:tcPr>
                <w:p w14:paraId="47016564">
                  <w:pPr>
                    <w:jc w:val="center"/>
                    <w:rPr>
                      <w:rFonts w:hint="default"/>
                      <w:color w:val="auto"/>
                      <w:sz w:val="21"/>
                      <w:szCs w:val="21"/>
                      <w:highlight w:val="none"/>
                      <w:lang w:val="en-US" w:eastAsia="zh-CN"/>
                    </w:rPr>
                  </w:pPr>
                  <w:r>
                    <w:rPr>
                      <w:rFonts w:hint="eastAsia"/>
                      <w:color w:val="auto"/>
                      <w:sz w:val="21"/>
                      <w:szCs w:val="21"/>
                      <w:highlight w:val="none"/>
                      <w:lang w:val="en-US" w:eastAsia="zh-CN"/>
                    </w:rPr>
                    <w:t>0.026</w:t>
                  </w:r>
                </w:p>
              </w:tc>
              <w:tc>
                <w:tcPr>
                  <w:tcW w:w="1094" w:type="dxa"/>
                  <w:vMerge w:val="continue"/>
                  <w:vAlign w:val="center"/>
                </w:tcPr>
                <w:p w14:paraId="578228F0">
                  <w:pPr>
                    <w:jc w:val="center"/>
                    <w:outlineLvl w:val="0"/>
                    <w:rPr>
                      <w:rFonts w:hint="eastAsia"/>
                      <w:bCs/>
                      <w:color w:val="auto"/>
                      <w:sz w:val="21"/>
                      <w:szCs w:val="21"/>
                      <w:highlight w:val="none"/>
                      <w:lang w:val="en-US" w:eastAsia="zh-CN"/>
                    </w:rPr>
                  </w:pPr>
                </w:p>
              </w:tc>
              <w:tc>
                <w:tcPr>
                  <w:tcW w:w="1094" w:type="dxa"/>
                  <w:vMerge w:val="continue"/>
                  <w:vAlign w:val="center"/>
                </w:tcPr>
                <w:p w14:paraId="02B17107">
                  <w:pPr>
                    <w:jc w:val="center"/>
                    <w:outlineLvl w:val="0"/>
                    <w:rPr>
                      <w:rFonts w:hint="eastAsia"/>
                      <w:bCs/>
                      <w:color w:val="auto"/>
                      <w:sz w:val="21"/>
                      <w:szCs w:val="21"/>
                      <w:highlight w:val="none"/>
                      <w:lang w:val="en-US" w:eastAsia="zh-CN"/>
                    </w:rPr>
                  </w:pPr>
                </w:p>
              </w:tc>
              <w:tc>
                <w:tcPr>
                  <w:tcW w:w="1074" w:type="dxa"/>
                  <w:vMerge w:val="continue"/>
                  <w:vAlign w:val="center"/>
                </w:tcPr>
                <w:p w14:paraId="3EA259DD">
                  <w:pPr>
                    <w:jc w:val="center"/>
                    <w:outlineLvl w:val="0"/>
                    <w:rPr>
                      <w:rFonts w:hint="eastAsia"/>
                      <w:bCs/>
                      <w:color w:val="auto"/>
                      <w:sz w:val="21"/>
                      <w:szCs w:val="21"/>
                      <w:highlight w:val="none"/>
                      <w:lang w:val="en-US" w:eastAsia="zh-CN"/>
                    </w:rPr>
                  </w:pPr>
                </w:p>
              </w:tc>
            </w:tr>
            <w:tr w14:paraId="2509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8" w:type="dxa"/>
                  <w:gridSpan w:val="7"/>
                  <w:vAlign w:val="center"/>
                </w:tcPr>
                <w:p w14:paraId="21BC79A0">
                  <w:pPr>
                    <w:jc w:val="both"/>
                    <w:outlineLvl w:val="0"/>
                    <w:rPr>
                      <w:rFonts w:hint="default"/>
                      <w:bCs/>
                      <w:color w:val="auto"/>
                      <w:sz w:val="21"/>
                      <w:szCs w:val="21"/>
                      <w:highlight w:val="none"/>
                      <w:lang w:val="en-US" w:eastAsia="zh-CN"/>
                    </w:rPr>
                  </w:pPr>
                  <w:r>
                    <w:rPr>
                      <w:rFonts w:hint="eastAsia"/>
                      <w:bCs/>
                      <w:color w:val="auto"/>
                      <w:sz w:val="21"/>
                      <w:szCs w:val="21"/>
                      <w:highlight w:val="none"/>
                      <w:lang w:val="en-US" w:eastAsia="zh-CN"/>
                    </w:rPr>
                    <w:t>备注：二甲苯及醋酸丁酯的量包含在非甲烷总烃中</w:t>
                  </w:r>
                </w:p>
              </w:tc>
            </w:tr>
          </w:tbl>
          <w:p w14:paraId="0AFA503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b w:val="0"/>
                <w:bCs/>
                <w:color w:val="auto"/>
                <w:sz w:val="24"/>
                <w:highlight w:val="none"/>
              </w:rPr>
            </w:pPr>
            <w:r>
              <w:rPr>
                <w:rFonts w:hint="eastAsia"/>
                <w:b w:val="0"/>
                <w:bCs/>
                <w:color w:val="auto"/>
                <w:sz w:val="24"/>
                <w:highlight w:val="none"/>
                <w:lang w:eastAsia="zh-CN"/>
              </w:rPr>
              <w:t>（</w:t>
            </w:r>
            <w:r>
              <w:rPr>
                <w:rFonts w:hint="eastAsia"/>
                <w:b w:val="0"/>
                <w:bCs/>
                <w:color w:val="auto"/>
                <w:sz w:val="24"/>
                <w:highlight w:val="none"/>
                <w:lang w:val="en-US" w:eastAsia="zh-CN"/>
              </w:rPr>
              <w:t>3</w:t>
            </w:r>
            <w:r>
              <w:rPr>
                <w:rFonts w:hint="eastAsia"/>
                <w:b w:val="0"/>
                <w:bCs/>
                <w:color w:val="auto"/>
                <w:sz w:val="24"/>
                <w:highlight w:val="none"/>
                <w:lang w:eastAsia="zh-CN"/>
              </w:rPr>
              <w:t>）</w:t>
            </w:r>
            <w:r>
              <w:rPr>
                <w:b w:val="0"/>
                <w:bCs/>
                <w:color w:val="auto"/>
                <w:sz w:val="24"/>
                <w:highlight w:val="none"/>
              </w:rPr>
              <w:t>无组织废气处理措施</w:t>
            </w:r>
          </w:p>
          <w:p w14:paraId="55B9BEFD">
            <w:pPr>
              <w:adjustRightInd w:val="0"/>
              <w:snapToGrid w:val="0"/>
              <w:spacing w:line="360" w:lineRule="auto"/>
              <w:ind w:firstLine="480" w:firstLineChars="200"/>
              <w:jc w:val="left"/>
              <w:rPr>
                <w:b/>
                <w:bCs/>
                <w:color w:val="auto"/>
                <w:highlight w:val="none"/>
              </w:rPr>
            </w:pPr>
            <w:r>
              <w:rPr>
                <w:rFonts w:ascii="Times New Roman" w:hAnsi="Times New Roman" w:eastAsia="宋体" w:cs="Times New Roman"/>
                <w:color w:val="auto"/>
                <w:sz w:val="24"/>
                <w:szCs w:val="24"/>
                <w:highlight w:val="none"/>
              </w:rPr>
              <w:t>项目无组织排放废气主要是</w:t>
            </w:r>
            <w:r>
              <w:rPr>
                <w:rFonts w:hint="eastAsia" w:cs="Times New Roman"/>
                <w:color w:val="auto"/>
                <w:sz w:val="24"/>
                <w:szCs w:val="24"/>
                <w:highlight w:val="none"/>
                <w:lang w:val="en-US" w:eastAsia="zh-CN"/>
              </w:rPr>
              <w:t>生产车间</w:t>
            </w:r>
            <w:r>
              <w:rPr>
                <w:rFonts w:hint="eastAsia" w:ascii="Times New Roman" w:hAnsi="Times New Roman" w:eastAsia="宋体" w:cs="Times New Roman"/>
                <w:color w:val="auto"/>
                <w:sz w:val="24"/>
                <w:szCs w:val="24"/>
                <w:highlight w:val="none"/>
                <w:lang w:val="en-US" w:eastAsia="zh-CN"/>
              </w:rPr>
              <w:t>内</w:t>
            </w:r>
            <w:r>
              <w:rPr>
                <w:rFonts w:hint="eastAsia" w:cs="Times New Roman"/>
                <w:color w:val="auto"/>
                <w:sz w:val="24"/>
                <w:szCs w:val="24"/>
                <w:highlight w:val="none"/>
                <w:lang w:eastAsia="zh-CN"/>
              </w:rPr>
              <w:t>未收集</w:t>
            </w:r>
            <w:r>
              <w:rPr>
                <w:rFonts w:ascii="Times New Roman" w:hAnsi="Times New Roman" w:eastAsia="宋体" w:cs="Times New Roman"/>
                <w:color w:val="auto"/>
                <w:sz w:val="24"/>
                <w:szCs w:val="24"/>
                <w:highlight w:val="none"/>
              </w:rPr>
              <w:t>的无组织</w:t>
            </w:r>
            <w:r>
              <w:rPr>
                <w:rFonts w:hint="eastAsia" w:cs="Times New Roman"/>
                <w:color w:val="auto"/>
                <w:sz w:val="24"/>
                <w:szCs w:val="24"/>
                <w:highlight w:val="none"/>
                <w:lang w:val="en-US" w:eastAsia="zh-CN"/>
              </w:rPr>
              <w:t>颗粒物、非甲烷总烃、二甲苯、苯乙烯。</w:t>
            </w:r>
            <w:r>
              <w:rPr>
                <w:rFonts w:ascii="Times New Roman" w:hAnsi="Times New Roman" w:eastAsia="宋体" w:cs="Times New Roman"/>
                <w:color w:val="auto"/>
                <w:kern w:val="0"/>
                <w:sz w:val="24"/>
                <w:szCs w:val="24"/>
                <w:highlight w:val="none"/>
                <w:lang w:val="zh-CN"/>
              </w:rPr>
              <w:t>为有效控制废气的无组织排放，本项</w:t>
            </w:r>
            <w:r>
              <w:rPr>
                <w:rFonts w:hint="eastAsia" w:ascii="Times New Roman" w:hAnsi="Times New Roman" w:eastAsia="宋体" w:cs="Times New Roman"/>
                <w:color w:val="auto"/>
                <w:kern w:val="0"/>
                <w:sz w:val="24"/>
                <w:szCs w:val="24"/>
                <w:highlight w:val="none"/>
                <w:lang w:val="en-US" w:eastAsia="zh-CN"/>
              </w:rPr>
              <w:t>目</w:t>
            </w:r>
            <w:r>
              <w:rPr>
                <w:rFonts w:ascii="Times New Roman" w:hAnsi="Times New Roman" w:eastAsia="宋体" w:cs="Times New Roman"/>
                <w:color w:val="auto"/>
                <w:kern w:val="0"/>
                <w:sz w:val="24"/>
                <w:szCs w:val="24"/>
                <w:highlight w:val="none"/>
                <w:lang w:val="zh-CN"/>
              </w:rPr>
              <w:t>采取预防为主的方针，同时优化工艺设计，尽量最大限度收集废气</w:t>
            </w:r>
            <w:r>
              <w:rPr>
                <w:rFonts w:hint="eastAsia" w:ascii="Times New Roman" w:hAnsi="Times New Roman" w:cs="Times New Roman"/>
                <w:color w:val="auto"/>
                <w:kern w:val="0"/>
                <w:sz w:val="24"/>
                <w:szCs w:val="24"/>
                <w:highlight w:val="none"/>
                <w:lang w:val="en-US" w:eastAsia="zh-CN"/>
              </w:rPr>
              <w:t>处理后</w:t>
            </w:r>
            <w:r>
              <w:rPr>
                <w:rFonts w:ascii="Times New Roman" w:hAnsi="Times New Roman" w:eastAsia="宋体" w:cs="Times New Roman"/>
                <w:color w:val="auto"/>
                <w:kern w:val="0"/>
                <w:sz w:val="24"/>
                <w:szCs w:val="24"/>
                <w:highlight w:val="none"/>
                <w:lang w:val="zh-CN"/>
              </w:rPr>
              <w:t>排放</w:t>
            </w:r>
            <w:r>
              <w:rPr>
                <w:rFonts w:hint="eastAsia" w:cs="Times New Roman"/>
                <w:color w:val="auto"/>
                <w:kern w:val="0"/>
                <w:sz w:val="24"/>
                <w:szCs w:val="24"/>
                <w:highlight w:val="none"/>
                <w:lang w:val="zh-CN"/>
              </w:rPr>
              <w:t>，</w:t>
            </w:r>
            <w:r>
              <w:rPr>
                <w:rFonts w:ascii="Times New Roman" w:hAnsi="Times New Roman" w:eastAsia="宋体" w:cs="Times New Roman"/>
                <w:color w:val="auto"/>
                <w:kern w:val="0"/>
                <w:sz w:val="24"/>
                <w:szCs w:val="24"/>
                <w:highlight w:val="none"/>
                <w:lang w:val="zh-CN"/>
              </w:rPr>
              <w:t>本环评建议采用以下方式</w:t>
            </w:r>
            <w:r>
              <w:rPr>
                <w:rFonts w:hint="eastAsia" w:ascii="Times New Roman" w:hAnsi="Times New Roman" w:eastAsia="宋体" w:cs="Times New Roman"/>
                <w:color w:val="auto"/>
                <w:kern w:val="0"/>
                <w:sz w:val="24"/>
                <w:szCs w:val="24"/>
                <w:highlight w:val="none"/>
                <w:lang w:val="zh-CN"/>
              </w:rPr>
              <w:t>：</w:t>
            </w:r>
            <w:r>
              <w:rPr>
                <w:rFonts w:hint="eastAsia" w:cs="Times New Roman"/>
                <w:color w:val="auto"/>
                <w:kern w:val="0"/>
                <w:sz w:val="24"/>
                <w:szCs w:val="24"/>
                <w:highlight w:val="none"/>
                <w:lang w:val="en-US" w:eastAsia="zh-CN"/>
              </w:rPr>
              <w:t>如油漆存放在调漆房内的油类漆类存放区，使用油漆的过程应该全部位于喷漆房内，使用完的油漆桶应盖盖密闭放置危废暂存间中；破碎工序在破碎机器破碎口加盖，并设置单独破碎间</w:t>
            </w:r>
            <w:r>
              <w:rPr>
                <w:rFonts w:ascii="Times New Roman" w:hAnsi="Times New Roman" w:eastAsia="宋体" w:cs="Times New Roman"/>
                <w:color w:val="auto"/>
                <w:kern w:val="0"/>
                <w:sz w:val="24"/>
                <w:szCs w:val="24"/>
                <w:highlight w:val="none"/>
                <w:lang w:val="zh-CN"/>
              </w:rPr>
              <w:t>。增强</w:t>
            </w:r>
            <w:r>
              <w:rPr>
                <w:rFonts w:hint="eastAsia" w:cs="Times New Roman"/>
                <w:color w:val="auto"/>
                <w:kern w:val="0"/>
                <w:sz w:val="24"/>
                <w:szCs w:val="24"/>
                <w:highlight w:val="none"/>
                <w:lang w:val="en-US" w:eastAsia="zh-CN"/>
              </w:rPr>
              <w:t>生产车间</w:t>
            </w:r>
            <w:r>
              <w:rPr>
                <w:rFonts w:ascii="Times New Roman" w:hAnsi="Times New Roman" w:eastAsia="宋体" w:cs="Times New Roman"/>
                <w:color w:val="auto"/>
                <w:kern w:val="0"/>
                <w:sz w:val="24"/>
                <w:szCs w:val="24"/>
                <w:highlight w:val="none"/>
                <w:lang w:val="zh-CN"/>
              </w:rPr>
              <w:t>通风，降低无组织排放浓度当</w:t>
            </w:r>
            <w:r>
              <w:rPr>
                <w:rFonts w:hint="eastAsia" w:cs="Times New Roman"/>
                <w:color w:val="auto"/>
                <w:kern w:val="0"/>
                <w:sz w:val="24"/>
                <w:szCs w:val="24"/>
                <w:highlight w:val="none"/>
                <w:lang w:val="en-US" w:eastAsia="zh-CN"/>
              </w:rPr>
              <w:t>生产车间</w:t>
            </w:r>
            <w:r>
              <w:rPr>
                <w:rFonts w:ascii="Times New Roman" w:hAnsi="Times New Roman" w:eastAsia="宋体" w:cs="Times New Roman"/>
                <w:color w:val="auto"/>
                <w:kern w:val="0"/>
                <w:sz w:val="24"/>
                <w:szCs w:val="24"/>
                <w:highlight w:val="none"/>
                <w:lang w:val="zh-CN"/>
              </w:rPr>
              <w:t>内出现无组织排放时应加强车间通风，以达到降低污染物在</w:t>
            </w:r>
            <w:r>
              <w:rPr>
                <w:rFonts w:hint="eastAsia" w:cs="Times New Roman"/>
                <w:color w:val="auto"/>
                <w:kern w:val="0"/>
                <w:sz w:val="24"/>
                <w:szCs w:val="24"/>
                <w:highlight w:val="none"/>
                <w:lang w:val="en-US" w:eastAsia="zh-CN"/>
              </w:rPr>
              <w:t>生产车间</w:t>
            </w:r>
            <w:r>
              <w:rPr>
                <w:rFonts w:ascii="Times New Roman" w:hAnsi="Times New Roman" w:eastAsia="宋体" w:cs="Times New Roman"/>
                <w:color w:val="auto"/>
                <w:kern w:val="0"/>
                <w:sz w:val="24"/>
                <w:szCs w:val="24"/>
                <w:highlight w:val="none"/>
                <w:lang w:val="zh-CN"/>
              </w:rPr>
              <w:t>或仓储的局部区域的浓度，减少对</w:t>
            </w:r>
            <w:r>
              <w:rPr>
                <w:rFonts w:hint="eastAsia" w:ascii="Times New Roman" w:hAnsi="Times New Roman" w:eastAsia="宋体" w:cs="Times New Roman"/>
                <w:color w:val="auto"/>
                <w:kern w:val="0"/>
                <w:sz w:val="24"/>
                <w:szCs w:val="24"/>
                <w:highlight w:val="none"/>
                <w:lang w:val="en-US" w:eastAsia="zh-CN"/>
              </w:rPr>
              <w:t>人员</w:t>
            </w:r>
            <w:r>
              <w:rPr>
                <w:rFonts w:ascii="Times New Roman" w:hAnsi="Times New Roman" w:eastAsia="宋体" w:cs="Times New Roman"/>
                <w:color w:val="auto"/>
                <w:kern w:val="0"/>
                <w:sz w:val="24"/>
                <w:szCs w:val="24"/>
                <w:highlight w:val="none"/>
                <w:lang w:val="zh-CN"/>
              </w:rPr>
              <w:t>的健康安全和环境的影响。</w:t>
            </w:r>
          </w:p>
          <w:p w14:paraId="7D0E201A">
            <w:pPr>
              <w:adjustRightInd w:val="0"/>
              <w:snapToGrid w:val="0"/>
              <w:spacing w:line="360" w:lineRule="auto"/>
              <w:ind w:firstLine="480" w:firstLineChars="200"/>
              <w:jc w:val="left"/>
              <w:rPr>
                <w:b/>
                <w:bCs/>
                <w:color w:val="auto"/>
                <w:highlight w:val="none"/>
              </w:rPr>
            </w:pPr>
            <w:r>
              <w:rPr>
                <w:rFonts w:ascii="Times New Roman" w:hAnsi="Times New Roman" w:eastAsia="宋体" w:cs="Times New Roman"/>
                <w:color w:val="auto"/>
                <w:kern w:val="0"/>
                <w:sz w:val="24"/>
                <w:szCs w:val="24"/>
                <w:highlight w:val="none"/>
                <w:lang w:val="zh-CN"/>
              </w:rPr>
              <w:t>除此之外，本项目运营时应加强</w:t>
            </w:r>
            <w:r>
              <w:rPr>
                <w:rFonts w:hint="eastAsia" w:cs="Times New Roman"/>
                <w:color w:val="auto"/>
                <w:kern w:val="0"/>
                <w:sz w:val="24"/>
                <w:szCs w:val="24"/>
                <w:highlight w:val="none"/>
                <w:lang w:val="en-US" w:eastAsia="zh-CN"/>
              </w:rPr>
              <w:t>工作</w:t>
            </w:r>
            <w:r>
              <w:rPr>
                <w:rFonts w:hint="eastAsia" w:ascii="Times New Roman" w:hAnsi="Times New Roman" w:eastAsia="宋体" w:cs="Times New Roman"/>
                <w:color w:val="auto"/>
                <w:kern w:val="0"/>
                <w:sz w:val="24"/>
                <w:szCs w:val="24"/>
                <w:highlight w:val="none"/>
                <w:lang w:val="en-US" w:eastAsia="zh-CN"/>
              </w:rPr>
              <w:t>人员</w:t>
            </w:r>
            <w:r>
              <w:rPr>
                <w:rFonts w:ascii="Times New Roman" w:hAnsi="Times New Roman" w:eastAsia="宋体" w:cs="Times New Roman"/>
                <w:color w:val="auto"/>
                <w:kern w:val="0"/>
                <w:sz w:val="24"/>
                <w:szCs w:val="24"/>
                <w:highlight w:val="none"/>
                <w:lang w:val="zh-CN"/>
              </w:rPr>
              <w:t>的培训和管理，减少人为造成的废气无组织排放。</w:t>
            </w:r>
          </w:p>
          <w:p w14:paraId="26002F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rFonts w:hint="eastAsia"/>
                <w:bCs/>
                <w:color w:val="auto"/>
                <w:highlight w:val="none"/>
              </w:rPr>
              <w:t>（</w:t>
            </w:r>
            <w:r>
              <w:rPr>
                <w:rFonts w:hint="eastAsia"/>
                <w:bCs/>
                <w:color w:val="auto"/>
                <w:highlight w:val="none"/>
                <w:lang w:val="en-US" w:eastAsia="zh-CN"/>
              </w:rPr>
              <w:t>4</w:t>
            </w:r>
            <w:r>
              <w:rPr>
                <w:rFonts w:hint="eastAsia"/>
                <w:bCs/>
                <w:color w:val="auto"/>
                <w:highlight w:val="none"/>
              </w:rPr>
              <w:t>）废气处理可行性分析：</w:t>
            </w:r>
          </w:p>
          <w:p w14:paraId="481EC0F7">
            <w:pPr>
              <w:spacing w:line="360" w:lineRule="auto"/>
              <w:ind w:firstLine="480" w:firstLineChars="200"/>
              <w:rPr>
                <w:color w:val="auto"/>
                <w:kern w:val="0"/>
                <w:highlight w:val="none"/>
              </w:rPr>
            </w:pPr>
            <w:r>
              <w:rPr>
                <w:color w:val="auto"/>
                <w:kern w:val="0"/>
                <w:highlight w:val="none"/>
              </w:rPr>
              <w:t>①</w:t>
            </w:r>
            <w:r>
              <w:rPr>
                <w:rFonts w:hint="eastAsia"/>
                <w:color w:val="auto"/>
                <w:kern w:val="0"/>
                <w:highlight w:val="none"/>
              </w:rPr>
              <w:t>技术可行</w:t>
            </w:r>
          </w:p>
          <w:p w14:paraId="6BCFC294">
            <w:pPr>
              <w:spacing w:line="360" w:lineRule="auto"/>
              <w:ind w:firstLine="480" w:firstLineChars="200"/>
              <w:rPr>
                <w:rFonts w:hint="default" w:eastAsia="宋体"/>
                <w:color w:val="auto"/>
                <w:kern w:val="0"/>
                <w:highlight w:val="none"/>
                <w:lang w:val="en-US" w:eastAsia="zh-CN"/>
              </w:rPr>
            </w:pPr>
            <w:r>
              <w:rPr>
                <w:color w:val="auto"/>
                <w:kern w:val="0"/>
                <w:highlight w:val="none"/>
              </w:rPr>
              <w:t>本项目</w:t>
            </w:r>
            <w:r>
              <w:rPr>
                <w:rFonts w:hint="eastAsia"/>
                <w:color w:val="auto"/>
                <w:kern w:val="0"/>
                <w:highlight w:val="none"/>
                <w:lang w:val="en-US" w:eastAsia="zh-CN"/>
              </w:rPr>
              <w:t>注塑</w:t>
            </w:r>
            <w:r>
              <w:rPr>
                <w:color w:val="auto"/>
                <w:kern w:val="0"/>
                <w:highlight w:val="none"/>
              </w:rPr>
              <w:t>废气主要为</w:t>
            </w:r>
            <w:r>
              <w:rPr>
                <w:rFonts w:hint="eastAsia"/>
                <w:color w:val="auto"/>
                <w:kern w:val="0"/>
                <w:highlight w:val="none"/>
                <w:lang w:val="en-US" w:eastAsia="zh-CN"/>
              </w:rPr>
              <w:t>非甲烷总烃、苯乙烯、丙烯腈</w:t>
            </w:r>
            <w:r>
              <w:rPr>
                <w:color w:val="auto"/>
                <w:kern w:val="0"/>
                <w:highlight w:val="none"/>
              </w:rPr>
              <w:t>，</w:t>
            </w:r>
            <w:r>
              <w:rPr>
                <w:rFonts w:hint="eastAsia"/>
                <w:color w:val="auto"/>
                <w:kern w:val="0"/>
                <w:highlight w:val="none"/>
                <w:lang w:val="en-US" w:eastAsia="zh-CN"/>
              </w:rPr>
              <w:t>喷漆及烘干废气为颗粒物和非甲烷总烃（其中包含二甲苯）。</w:t>
            </w:r>
          </w:p>
          <w:p w14:paraId="4292EF65">
            <w:pPr>
              <w:spacing w:line="360" w:lineRule="auto"/>
              <w:ind w:firstLine="480" w:firstLineChars="200"/>
              <w:rPr>
                <w:rFonts w:hint="default" w:ascii="宋体" w:hAnsi="宋体" w:cs="宋体"/>
                <w:bCs/>
                <w:color w:val="auto"/>
                <w:spacing w:val="0"/>
                <w:highlight w:val="none"/>
                <w:lang w:val="en-US"/>
              </w:rPr>
            </w:pPr>
            <w:r>
              <w:rPr>
                <w:rFonts w:hint="eastAsia"/>
                <w:color w:val="auto"/>
                <w:sz w:val="24"/>
                <w:szCs w:val="24"/>
                <w:highlight w:val="none"/>
                <w:lang w:val="en-US" w:eastAsia="zh-CN"/>
              </w:rPr>
              <w:t>注塑</w:t>
            </w:r>
            <w:r>
              <w:rPr>
                <w:rFonts w:hint="eastAsia"/>
                <w:color w:val="auto"/>
                <w:sz w:val="24"/>
                <w:szCs w:val="24"/>
                <w:highlight w:val="none"/>
              </w:rPr>
              <w:t>废气收集后</w:t>
            </w:r>
            <w:r>
              <w:rPr>
                <w:rFonts w:hint="eastAsia" w:cs="Times New Roman"/>
                <w:b w:val="0"/>
                <w:bCs w:val="0"/>
                <w:color w:val="auto"/>
                <w:sz w:val="24"/>
                <w:szCs w:val="24"/>
                <w:highlight w:val="none"/>
                <w:lang w:val="en-US" w:eastAsia="zh-CN"/>
              </w:rPr>
              <w:t>通过二级活性炭吸附装置处理后</w:t>
            </w:r>
            <w:r>
              <w:rPr>
                <w:rFonts w:hint="eastAsia" w:cs="Times New Roman"/>
                <w:color w:val="auto"/>
                <w:sz w:val="24"/>
                <w:szCs w:val="24"/>
                <w:highlight w:val="none"/>
                <w:lang w:val="en-US" w:eastAsia="zh-CN"/>
              </w:rPr>
              <w:t>于15m高排气筒（DA001）排放。</w:t>
            </w:r>
            <w:r>
              <w:rPr>
                <w:rFonts w:hint="eastAsia"/>
                <w:color w:val="auto"/>
                <w:kern w:val="0"/>
                <w:highlight w:val="none"/>
                <w:lang w:val="en-US" w:eastAsia="zh-CN"/>
              </w:rPr>
              <w:t>喷漆及烘干废气</w:t>
            </w:r>
            <w:r>
              <w:rPr>
                <w:rFonts w:hint="eastAsia" w:cs="Times New Roman"/>
                <w:b w:val="0"/>
                <w:bCs w:val="0"/>
                <w:color w:val="auto"/>
                <w:sz w:val="24"/>
                <w:szCs w:val="24"/>
                <w:highlight w:val="none"/>
                <w:lang w:val="en-US" w:eastAsia="zh-CN"/>
              </w:rPr>
              <w:t>通过一级水喷淋+活性炭吸/脱附+RCO处理后于15</w:t>
            </w:r>
            <w:r>
              <w:rPr>
                <w:rFonts w:hint="eastAsia" w:cs="Times New Roman"/>
                <w:color w:val="auto"/>
                <w:sz w:val="24"/>
                <w:szCs w:val="24"/>
                <w:highlight w:val="none"/>
                <w:lang w:val="en-US" w:eastAsia="zh-CN"/>
              </w:rPr>
              <w:t>m高排气筒（DA002）排放。</w:t>
            </w:r>
          </w:p>
          <w:p w14:paraId="7434B5B5">
            <w:pPr>
              <w:pStyle w:val="19"/>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baseline"/>
              <w:rPr>
                <w:bCs/>
                <w:color w:val="auto"/>
                <w:highlight w:val="none"/>
              </w:rPr>
            </w:pPr>
            <w:r>
              <w:rPr>
                <w:rFonts w:hint="eastAsia" w:ascii="宋体" w:hAnsi="宋体" w:cs="宋体"/>
                <w:bCs/>
                <w:color w:val="auto"/>
                <w:spacing w:val="0"/>
                <w:highlight w:val="none"/>
              </w:rPr>
              <w:t>项目废气处理措施可行性分析：</w:t>
            </w:r>
            <w:r>
              <w:rPr>
                <w:rFonts w:hint="eastAsia" w:ascii="宋体" w:hAnsi="宋体" w:cs="宋体"/>
                <w:bCs/>
                <w:color w:val="auto"/>
                <w:spacing w:val="0"/>
                <w:highlight w:val="none"/>
                <w:lang w:val="en-US" w:eastAsia="zh-CN"/>
              </w:rPr>
              <w:t>根据</w:t>
            </w:r>
            <w:r>
              <w:rPr>
                <w:color w:val="auto"/>
                <w:highlight w:val="none"/>
              </w:rPr>
              <w:t>《</w:t>
            </w:r>
            <w:r>
              <w:rPr>
                <w:rFonts w:hint="eastAsia"/>
                <w:color w:val="auto"/>
                <w:highlight w:val="none"/>
              </w:rPr>
              <w:t>排污许可证申请与核发技术规范铁路、船舶、航空航天和其他运输设备制造业</w:t>
            </w:r>
            <w:r>
              <w:rPr>
                <w:color w:val="auto"/>
                <w:highlight w:val="none"/>
              </w:rPr>
              <w:t>》（HJ</w:t>
            </w:r>
            <w:r>
              <w:rPr>
                <w:rFonts w:hint="eastAsia"/>
                <w:color w:val="auto"/>
                <w:highlight w:val="none"/>
                <w:lang w:val="en-US" w:eastAsia="zh-CN"/>
              </w:rPr>
              <w:t xml:space="preserve"> 1124</w:t>
            </w:r>
            <w:r>
              <w:rPr>
                <w:color w:val="auto"/>
                <w:highlight w:val="none"/>
              </w:rPr>
              <w:t>-20</w:t>
            </w:r>
            <w:r>
              <w:rPr>
                <w:rFonts w:hint="eastAsia"/>
                <w:color w:val="auto"/>
                <w:highlight w:val="none"/>
                <w:lang w:val="en-US" w:eastAsia="zh-CN"/>
              </w:rPr>
              <w:t>20</w:t>
            </w:r>
            <w:r>
              <w:rPr>
                <w:color w:val="auto"/>
                <w:highlight w:val="none"/>
              </w:rPr>
              <w:t>）</w:t>
            </w:r>
            <w:r>
              <w:rPr>
                <w:rFonts w:hint="eastAsia"/>
                <w:color w:val="auto"/>
                <w:highlight w:val="none"/>
                <w:lang w:val="en-US" w:eastAsia="zh-CN"/>
              </w:rPr>
              <w:t>附录A</w:t>
            </w:r>
            <w:r>
              <w:rPr>
                <w:bCs/>
                <w:color w:val="auto"/>
                <w:highlight w:val="none"/>
              </w:rPr>
              <w:t>，本项目采取的污染防治措施可行。</w:t>
            </w:r>
          </w:p>
          <w:p w14:paraId="0BDE4DC2">
            <w:pPr>
              <w:spacing w:line="360" w:lineRule="auto"/>
              <w:ind w:firstLine="480" w:firstLineChars="200"/>
              <w:rPr>
                <w:color w:val="auto"/>
                <w:highlight w:val="none"/>
              </w:rPr>
            </w:pPr>
            <w:r>
              <w:rPr>
                <w:color w:val="auto"/>
                <w:highlight w:val="none"/>
              </w:rPr>
              <w:t>②</w:t>
            </w:r>
            <w:r>
              <w:rPr>
                <w:rFonts w:hint="eastAsia"/>
                <w:color w:val="auto"/>
                <w:highlight w:val="none"/>
              </w:rPr>
              <w:t>废气治理设施适用性分析</w:t>
            </w:r>
          </w:p>
          <w:p w14:paraId="39E9BD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eastAsia="宋体"/>
                <w:highlight w:val="none"/>
                <w:lang w:val="en-US" w:eastAsia="zh-CN"/>
              </w:rPr>
            </w:pPr>
            <w:r>
              <w:rPr>
                <w:rFonts w:hint="eastAsia"/>
                <w:highlight w:val="none"/>
                <w:lang w:val="en-US" w:eastAsia="zh-CN"/>
              </w:rPr>
              <w:t>一级水喷淋塔：喷淋塔作为环保</w:t>
            </w:r>
            <w:r>
              <w:rPr>
                <w:rFonts w:hint="eastAsia"/>
                <w:highlight w:val="none"/>
                <w:lang w:val="en-US" w:eastAsia="zh-CN"/>
              </w:rPr>
              <w:fldChar w:fldCharType="begin"/>
            </w:r>
            <w:r>
              <w:rPr>
                <w:rFonts w:hint="eastAsia"/>
                <w:highlight w:val="none"/>
                <w:lang w:val="en-US" w:eastAsia="zh-CN"/>
              </w:rPr>
              <w:instrText xml:space="preserve"> HYPERLINK "https://baike.baidu.com/item/%E5%BA%9F%E6%B0%94%E5%A4%84%E7%90%86/2087278?fromModule=lemma_inlink" \t "https://baike.baidu.com/item/%E5%96%B7%E6%B7%8B%E5%A1%94/_blank" </w:instrText>
            </w:r>
            <w:r>
              <w:rPr>
                <w:rFonts w:hint="eastAsia"/>
                <w:highlight w:val="none"/>
                <w:lang w:val="en-US" w:eastAsia="zh-CN"/>
              </w:rPr>
              <w:fldChar w:fldCharType="separate"/>
            </w:r>
            <w:r>
              <w:rPr>
                <w:rFonts w:hint="eastAsia"/>
                <w:highlight w:val="none"/>
                <w:lang w:val="en-US" w:eastAsia="zh-CN"/>
              </w:rPr>
              <w:t>废气处理</w:t>
            </w:r>
            <w:r>
              <w:rPr>
                <w:rFonts w:hint="eastAsia"/>
                <w:highlight w:val="none"/>
                <w:lang w:val="en-US" w:eastAsia="zh-CN"/>
              </w:rPr>
              <w:fldChar w:fldCharType="end"/>
            </w:r>
            <w:r>
              <w:rPr>
                <w:rFonts w:hint="eastAsia"/>
                <w:highlight w:val="none"/>
                <w:lang w:val="en-US" w:eastAsia="zh-CN"/>
              </w:rPr>
              <w:t>的一种处理设备而存在，根据工作原理分为</w:t>
            </w:r>
            <w:r>
              <w:rPr>
                <w:rFonts w:hint="eastAsia"/>
                <w:highlight w:val="none"/>
                <w:lang w:val="en-US" w:eastAsia="zh-CN"/>
              </w:rPr>
              <w:fldChar w:fldCharType="begin"/>
            </w:r>
            <w:r>
              <w:rPr>
                <w:rFonts w:hint="eastAsia"/>
                <w:highlight w:val="none"/>
                <w:lang w:val="en-US" w:eastAsia="zh-CN"/>
              </w:rPr>
              <w:instrText xml:space="preserve"> HYPERLINK "https://baike.baidu.com/item/%E5%BE%AA%E7%8E%AF%E6%B0%B4/9454925?fromModule=lemma_inlink" \t "https://baike.baidu.com/item/%E5%96%B7%E6%B7%8B%E5%A1%94/_blank" </w:instrText>
            </w:r>
            <w:r>
              <w:rPr>
                <w:rFonts w:hint="eastAsia"/>
                <w:highlight w:val="none"/>
                <w:lang w:val="en-US" w:eastAsia="zh-CN"/>
              </w:rPr>
              <w:fldChar w:fldCharType="separate"/>
            </w:r>
            <w:r>
              <w:rPr>
                <w:rFonts w:hint="eastAsia"/>
                <w:highlight w:val="none"/>
                <w:lang w:val="en-US" w:eastAsia="zh-CN"/>
              </w:rPr>
              <w:t>循环水</w:t>
            </w:r>
            <w:r>
              <w:rPr>
                <w:rFonts w:hint="eastAsia"/>
                <w:highlight w:val="none"/>
                <w:lang w:val="en-US" w:eastAsia="zh-CN"/>
              </w:rPr>
              <w:fldChar w:fldCharType="end"/>
            </w:r>
            <w:r>
              <w:rPr>
                <w:rFonts w:hint="eastAsia"/>
                <w:highlight w:val="none"/>
                <w:lang w:val="en-US" w:eastAsia="zh-CN"/>
              </w:rPr>
              <w:t>喷淋塔，碱液喷淋塔，酸液喷淋塔，</w:t>
            </w:r>
            <w:r>
              <w:t>含尘废气或者含油废气通过喷淋</w:t>
            </w:r>
            <w:r>
              <w:rPr>
                <w:rFonts w:hint="default"/>
              </w:rPr>
              <w:fldChar w:fldCharType="begin"/>
            </w:r>
            <w:r>
              <w:rPr>
                <w:rFonts w:hint="default"/>
              </w:rPr>
              <w:instrText xml:space="preserve"> HYPERLINK "https://baike.baidu.com/item/%E5%A1%94%E4%BD%93/1401913?fromModule=lemma_inlink" \t "https://baike.baidu.com/item/%E5%96%B7%E6%B7%8B%E5%A1%94/_blank" </w:instrText>
            </w:r>
            <w:r>
              <w:rPr>
                <w:rFonts w:hint="default"/>
              </w:rPr>
              <w:fldChar w:fldCharType="separate"/>
            </w:r>
            <w:r>
              <w:rPr>
                <w:rFonts w:hint="default"/>
              </w:rPr>
              <w:t>塔体</w:t>
            </w:r>
            <w:r>
              <w:rPr>
                <w:rFonts w:hint="default"/>
              </w:rPr>
              <w:fldChar w:fldCharType="end"/>
            </w:r>
            <w:r>
              <w:rPr>
                <w:rFonts w:hint="default"/>
              </w:rPr>
              <w:t>时，塔体内部合适位置（根据设计而定）喷出液态介质，有的为</w:t>
            </w:r>
            <w:r>
              <w:rPr>
                <w:rFonts w:hint="default"/>
              </w:rPr>
              <w:fldChar w:fldCharType="begin"/>
            </w:r>
            <w:r>
              <w:rPr>
                <w:rFonts w:hint="default"/>
              </w:rPr>
              <w:instrText xml:space="preserve"> HYPERLINK "https://baike.baidu.com/item/%E7%A2%B1%E6%B6%B2/3631877?fromModule=lemma_inlink" \t "https://baike.baidu.com/item/%E5%96%B7%E6%B7%8B%E5%A1%94/_blank" </w:instrText>
            </w:r>
            <w:r>
              <w:rPr>
                <w:rFonts w:hint="default"/>
              </w:rPr>
              <w:fldChar w:fldCharType="separate"/>
            </w:r>
            <w:r>
              <w:rPr>
                <w:rFonts w:hint="default"/>
              </w:rPr>
              <w:t>碱液</w:t>
            </w:r>
            <w:r>
              <w:rPr>
                <w:rFonts w:hint="default"/>
              </w:rPr>
              <w:fldChar w:fldCharType="end"/>
            </w:r>
            <w:r>
              <w:rPr>
                <w:rFonts w:hint="default"/>
              </w:rPr>
              <w:t>，有的为</w:t>
            </w:r>
            <w:r>
              <w:rPr>
                <w:rFonts w:hint="default"/>
              </w:rPr>
              <w:fldChar w:fldCharType="begin"/>
            </w:r>
            <w:r>
              <w:rPr>
                <w:rFonts w:hint="default"/>
              </w:rPr>
              <w:instrText xml:space="preserve"> HYPERLINK "https://baike.baidu.com/item/%E7%A1%AB%E9%85%B8/114535?fromModule=lemma_inlink" \t "https://baike.baidu.com/item/%E5%96%B7%E6%B7%8B%E5%A1%94/_blank" </w:instrText>
            </w:r>
            <w:r>
              <w:rPr>
                <w:rFonts w:hint="default"/>
              </w:rPr>
              <w:fldChar w:fldCharType="separate"/>
            </w:r>
            <w:r>
              <w:rPr>
                <w:rFonts w:hint="default"/>
              </w:rPr>
              <w:t>硫酸</w:t>
            </w:r>
            <w:r>
              <w:rPr>
                <w:rFonts w:hint="default"/>
              </w:rPr>
              <w:fldChar w:fldCharType="end"/>
            </w:r>
            <w:r>
              <w:rPr>
                <w:rFonts w:hint="default"/>
              </w:rPr>
              <w:t>溶液。如废气含有酸性则选择碱液喷淋中和酸性，如废气含碱性则选择硫酸溶液吸收。具体选择何等酸碱溶液根据废气性质和企业自身情况而定。无酸碱但含油、尘废气则可通过</w:t>
            </w:r>
            <w:r>
              <w:rPr>
                <w:rFonts w:hint="default"/>
              </w:rPr>
              <w:fldChar w:fldCharType="begin"/>
            </w:r>
            <w:r>
              <w:rPr>
                <w:rFonts w:hint="default"/>
              </w:rPr>
              <w:instrText xml:space="preserve"> HYPERLINK "https://baike.baidu.com/item/%E5%BE%AA%E7%8E%AF%E6%B0%B4/9454925?fromModule=lemma_inlink" \t "https://baike.baidu.com/item/%E5%96%B7%E6%B7%8B%E5%A1%94/_blank" </w:instrText>
            </w:r>
            <w:r>
              <w:rPr>
                <w:rFonts w:hint="default"/>
              </w:rPr>
              <w:fldChar w:fldCharType="separate"/>
            </w:r>
            <w:r>
              <w:rPr>
                <w:rFonts w:hint="default"/>
              </w:rPr>
              <w:t>循环水</w:t>
            </w:r>
            <w:r>
              <w:rPr>
                <w:rFonts w:hint="default"/>
              </w:rPr>
              <w:fldChar w:fldCharType="end"/>
            </w:r>
            <w:r>
              <w:rPr>
                <w:rFonts w:hint="default"/>
              </w:rPr>
              <w:t>溶液喷淋处理。当废气从塔体底部进入时就与喷淋塔喷出的喷淋介质接触，接触后废气或者油污被水珠包裹，包裹</w:t>
            </w:r>
            <w:r>
              <w:rPr>
                <w:rFonts w:hint="default"/>
              </w:rPr>
              <w:fldChar w:fldCharType="begin"/>
            </w:r>
            <w:r>
              <w:rPr>
                <w:rFonts w:hint="default"/>
              </w:rPr>
              <w:instrText xml:space="preserve"> HYPERLINK "https://baike.baidu.com/item/%E6%B1%A1%E6%9F%93%E7%89%A9/5660142?fromModule=lemma_inlink" \t "https://baike.baidu.com/item/%E5%96%B7%E6%B7%8B%E5%A1%94/_blank" </w:instrText>
            </w:r>
            <w:r>
              <w:rPr>
                <w:rFonts w:hint="default"/>
              </w:rPr>
              <w:fldChar w:fldCharType="separate"/>
            </w:r>
            <w:r>
              <w:rPr>
                <w:rFonts w:hint="default"/>
              </w:rPr>
              <w:t>污染物</w:t>
            </w:r>
            <w:r>
              <w:rPr>
                <w:rFonts w:hint="default"/>
              </w:rPr>
              <w:fldChar w:fldCharType="end"/>
            </w:r>
            <w:r>
              <w:rPr>
                <w:rFonts w:hint="default"/>
              </w:rPr>
              <w:t>的水珠再次碰撞</w:t>
            </w:r>
            <w:r>
              <w:rPr>
                <w:rFonts w:hint="default"/>
              </w:rPr>
              <w:fldChar w:fldCharType="begin"/>
            </w:r>
            <w:r>
              <w:rPr>
                <w:rFonts w:hint="default"/>
              </w:rPr>
              <w:instrText xml:space="preserve"> HYPERLINK "https://baike.baidu.com/item/%E8%A1%A8%E9%9D%A2%E7%A7%AF/9430991?fromModule=lemma_inlink" \t "https://baike.baidu.com/item/%E5%96%B7%E6%B7%8B%E5%A1%94/_blank" </w:instrText>
            </w:r>
            <w:r>
              <w:rPr>
                <w:rFonts w:hint="default"/>
              </w:rPr>
              <w:fldChar w:fldCharType="separate"/>
            </w:r>
            <w:r>
              <w:rPr>
                <w:rFonts w:hint="default"/>
              </w:rPr>
              <w:t>表面积</w:t>
            </w:r>
            <w:r>
              <w:rPr>
                <w:rFonts w:hint="default"/>
              </w:rPr>
              <w:fldChar w:fldCharType="end"/>
            </w:r>
            <w:r>
              <w:rPr>
                <w:rFonts w:hint="default"/>
              </w:rPr>
              <w:t>增大且重力增大。重力增大的情况下包裹污染物的水滴则在重力影响下落入喷淋塔底部，较重的污染物沉入塔体底部，较轻的污染物则浮于循环水体表面。</w:t>
            </w:r>
          </w:p>
          <w:p w14:paraId="123EDD4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highlight w:val="none"/>
              </w:rPr>
            </w:pPr>
            <w:r>
              <w:rPr>
                <w:rFonts w:hint="eastAsia"/>
                <w:color w:val="auto"/>
                <w:highlight w:val="none"/>
              </w:rPr>
              <w:t>二级活性炭吸附</w:t>
            </w:r>
            <w:r>
              <w:rPr>
                <w:rFonts w:ascii="宋体" w:hAnsi="宋体" w:cs="宋体"/>
                <w:bCs/>
                <w:color w:val="auto"/>
                <w:kern w:val="0"/>
                <w:highlight w:val="none"/>
              </w:rPr>
              <w:t>：</w:t>
            </w:r>
            <w:r>
              <w:rPr>
                <w:color w:val="auto"/>
                <w:highlight w:val="none"/>
              </w:rPr>
              <w:t>利用活性炭吸附剂表面的吸附能力，使废气与大表面的多孔性活性炭吸附剂相接触，废气中的污染物被吸附在活性炭表面上，使其与气体混合物分离，净化后的气体高空排放。</w:t>
            </w:r>
            <w:r>
              <w:rPr>
                <w:rFonts w:hint="eastAsia"/>
                <w:color w:val="auto"/>
                <w:highlight w:val="none"/>
              </w:rPr>
              <w:t>本项目利用“二级活性炭吸附”处理有机废气，为国内较为普遍的有机废气处理方式，现有的管理经验较为丰富，企业可以节省大量管理维护培训费用，活性炭吸附装置运行稳定，维护简单。</w:t>
            </w:r>
            <w:r>
              <w:rPr>
                <w:color w:val="auto"/>
                <w:highlight w:val="none"/>
              </w:rPr>
              <w:t>吸附装置选用箱式结构，且吸附单元水平放置；吸附装置设置检修口，且检修口设在吸附装置立面，位置设置便于操作，避免从吸附装置上、下方向操作，尺寸符合日常维护要求。活性炭吸附装置设置观察口，尺寸不少于15cm×15cm，使用有机玻璃等透明材质制作，并符合安全、防火、耐腐蚀要求。本项目采用蜂窝状吸附剂，设计气流速度＜1.2m/s，满足《吸附法工业有机废气治理工程技术规范》HJ2026-2013内吸附单元的气体流速设计要求（≤1.2m/s）。项目选用活性炭碘值≥800mg/g、水分含量≤15%、灰分14%、耐磨强度≥90%、装填密度0.5g/cm³；经过吸附处理的污染物排放应符合GB16297；故本项目选用的有机废气处理装置满足《有机废气治理活性炭吸附装置技术规范（TZSESS010-2024）》的相关要求。</w:t>
            </w:r>
          </w:p>
          <w:p w14:paraId="6093BA2F">
            <w:pPr>
              <w:adjustRightInd w:val="0"/>
              <w:snapToGrid w:val="0"/>
              <w:spacing w:line="240" w:lineRule="auto"/>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 4-</w:t>
            </w:r>
            <w:r>
              <w:rPr>
                <w:rFonts w:hint="eastAsia" w:cs="Times New Roman"/>
                <w:b/>
                <w:bCs/>
                <w:color w:val="auto"/>
                <w:highlight w:val="none"/>
                <w:lang w:val="en-US" w:eastAsia="zh-CN"/>
              </w:rPr>
              <w:t>5</w:t>
            </w:r>
            <w:r>
              <w:rPr>
                <w:rFonts w:hint="eastAsia" w:ascii="Times New Roman" w:hAnsi="Times New Roman" w:eastAsia="宋体" w:cs="Times New Roman"/>
                <w:b/>
                <w:bCs/>
                <w:color w:val="auto"/>
                <w:highlight w:val="none"/>
                <w:lang w:val="zh-CN" w:eastAsia="zh-CN"/>
              </w:rPr>
              <w:t xml:space="preserve">  </w:t>
            </w:r>
            <w:r>
              <w:rPr>
                <w:rFonts w:hint="eastAsia" w:ascii="Times New Roman" w:hAnsi="Times New Roman" w:eastAsia="宋体" w:cs="Times New Roman"/>
                <w:b/>
                <w:bCs/>
                <w:color w:val="auto"/>
                <w:highlight w:val="none"/>
                <w:lang w:val="en-US" w:eastAsia="zh-CN"/>
              </w:rPr>
              <w:t>项目活性炭吸附装置参数</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3912"/>
            </w:tblGrid>
            <w:tr w14:paraId="742E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599" w:type="pct"/>
                  <w:tcBorders>
                    <w:tl2br w:val="single" w:color="auto" w:sz="4" w:space="0"/>
                  </w:tcBorders>
                  <w:vAlign w:val="center"/>
                </w:tcPr>
                <w:p w14:paraId="356FAF3B">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编号</w:t>
                  </w:r>
                </w:p>
                <w:p w14:paraId="3A64468A">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参数</w:t>
                  </w:r>
                </w:p>
              </w:tc>
              <w:tc>
                <w:tcPr>
                  <w:tcW w:w="2400" w:type="pct"/>
                  <w:tcBorders>
                    <w:tl2br w:val="nil"/>
                    <w:tr2bl w:val="nil"/>
                  </w:tcBorders>
                  <w:vAlign w:val="center"/>
                </w:tcPr>
                <w:p w14:paraId="63D48BD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TA002</w:t>
                  </w:r>
                </w:p>
              </w:tc>
            </w:tr>
            <w:tr w14:paraId="2FC5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7F34400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烟气温度</w:t>
                  </w:r>
                </w:p>
              </w:tc>
              <w:tc>
                <w:tcPr>
                  <w:tcW w:w="2400" w:type="pct"/>
                  <w:tcBorders>
                    <w:tl2br w:val="nil"/>
                    <w:tr2bl w:val="nil"/>
                  </w:tcBorders>
                  <w:vAlign w:val="center"/>
                </w:tcPr>
                <w:p w14:paraId="42E92577">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25℃</w:t>
                  </w:r>
                </w:p>
              </w:tc>
            </w:tr>
            <w:tr w14:paraId="7BBF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6773DE7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烟气量</w:t>
                  </w:r>
                </w:p>
              </w:tc>
              <w:tc>
                <w:tcPr>
                  <w:tcW w:w="2400" w:type="pct"/>
                  <w:tcBorders>
                    <w:tl2br w:val="nil"/>
                    <w:tr2bl w:val="nil"/>
                  </w:tcBorders>
                  <w:vAlign w:val="center"/>
                </w:tcPr>
                <w:p w14:paraId="5FF56F0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/h</w:t>
                  </w:r>
                </w:p>
              </w:tc>
            </w:tr>
            <w:tr w14:paraId="24CE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4CC41864">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设计去除效率</w:t>
                  </w:r>
                </w:p>
              </w:tc>
              <w:tc>
                <w:tcPr>
                  <w:tcW w:w="2400" w:type="pct"/>
                  <w:tcBorders>
                    <w:tl2br w:val="nil"/>
                    <w:tr2bl w:val="nil"/>
                  </w:tcBorders>
                  <w:vAlign w:val="center"/>
                </w:tcPr>
                <w:p w14:paraId="6D840E69">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90%</w:t>
                  </w:r>
                </w:p>
              </w:tc>
            </w:tr>
            <w:tr w14:paraId="3993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17929B2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每套活性炭级数</w:t>
                  </w:r>
                </w:p>
              </w:tc>
              <w:tc>
                <w:tcPr>
                  <w:tcW w:w="2400" w:type="pct"/>
                  <w:tcBorders>
                    <w:tl2br w:val="nil"/>
                    <w:tr2bl w:val="nil"/>
                  </w:tcBorders>
                  <w:vAlign w:val="center"/>
                </w:tcPr>
                <w:p w14:paraId="487CBE0C">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2级</w:t>
                  </w:r>
                </w:p>
              </w:tc>
            </w:tr>
            <w:tr w14:paraId="5396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6A361737">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每级活性炭装厚度</w:t>
                  </w:r>
                </w:p>
              </w:tc>
              <w:tc>
                <w:tcPr>
                  <w:tcW w:w="2400" w:type="pct"/>
                  <w:tcBorders>
                    <w:tl2br w:val="nil"/>
                    <w:tr2bl w:val="nil"/>
                  </w:tcBorders>
                  <w:vAlign w:val="center"/>
                </w:tcPr>
                <w:p w14:paraId="54E0B06E">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m</w:t>
                  </w:r>
                </w:p>
              </w:tc>
            </w:tr>
            <w:tr w14:paraId="5D10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99" w:type="pct"/>
                  <w:tcBorders>
                    <w:tl2br w:val="nil"/>
                    <w:tr2bl w:val="nil"/>
                  </w:tcBorders>
                  <w:vAlign w:val="center"/>
                </w:tcPr>
                <w:p w14:paraId="4361B16A">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单套截面积</w:t>
                  </w:r>
                </w:p>
              </w:tc>
              <w:tc>
                <w:tcPr>
                  <w:tcW w:w="2400" w:type="pct"/>
                  <w:tcBorders>
                    <w:tl2br w:val="nil"/>
                    <w:tr2bl w:val="nil"/>
                  </w:tcBorders>
                  <w:vAlign w:val="center"/>
                </w:tcPr>
                <w:p w14:paraId="41F9B5DA">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3</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p>
              </w:tc>
            </w:tr>
            <w:tr w14:paraId="77CE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1156BCA5">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活性炭密度</w:t>
                  </w:r>
                </w:p>
              </w:tc>
              <w:tc>
                <w:tcPr>
                  <w:tcW w:w="2400" w:type="pct"/>
                  <w:tcBorders>
                    <w:tl2br w:val="nil"/>
                    <w:tr2bl w:val="nil"/>
                  </w:tcBorders>
                  <w:vAlign w:val="center"/>
                </w:tcPr>
                <w:p w14:paraId="14FFA0CF">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0.5g/cm</w:t>
                  </w:r>
                  <w:r>
                    <w:rPr>
                      <w:rFonts w:hint="default" w:ascii="Times New Roman" w:hAnsi="Times New Roman" w:cs="Times New Roman"/>
                      <w:sz w:val="21"/>
                      <w:szCs w:val="21"/>
                      <w:vertAlign w:val="superscript"/>
                      <w:lang w:val="en-US" w:eastAsia="zh-CN"/>
                    </w:rPr>
                    <w:t>3</w:t>
                  </w:r>
                </w:p>
              </w:tc>
            </w:tr>
            <w:tr w14:paraId="7982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37CA3B29">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设计气流速度</w:t>
                  </w:r>
                </w:p>
              </w:tc>
              <w:tc>
                <w:tcPr>
                  <w:tcW w:w="2400" w:type="pct"/>
                  <w:tcBorders>
                    <w:tl2br w:val="nil"/>
                    <w:tr2bl w:val="nil"/>
                  </w:tcBorders>
                  <w:vAlign w:val="center"/>
                </w:tcPr>
                <w:p w14:paraId="56E3CC5F">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&lt;1.2m/s</w:t>
                  </w:r>
                </w:p>
              </w:tc>
            </w:tr>
            <w:tr w14:paraId="5C74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2599" w:type="pct"/>
                  <w:tcBorders>
                    <w:tl2br w:val="nil"/>
                    <w:tr2bl w:val="nil"/>
                  </w:tcBorders>
                  <w:vAlign w:val="center"/>
                </w:tcPr>
                <w:p w14:paraId="6F74A7D0">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设计停留时间</w:t>
                  </w:r>
                </w:p>
              </w:tc>
              <w:tc>
                <w:tcPr>
                  <w:tcW w:w="2400" w:type="pct"/>
                  <w:tcBorders>
                    <w:tl2br w:val="nil"/>
                    <w:tr2bl w:val="nil"/>
                  </w:tcBorders>
                  <w:vAlign w:val="center"/>
                </w:tcPr>
                <w:p w14:paraId="7011B30B">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1.0s</w:t>
                  </w:r>
                </w:p>
              </w:tc>
            </w:tr>
            <w:tr w14:paraId="4B0B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595566C9">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更换周期</w:t>
                  </w:r>
                </w:p>
              </w:tc>
              <w:tc>
                <w:tcPr>
                  <w:tcW w:w="2400" w:type="pct"/>
                  <w:tcBorders>
                    <w:tl2br w:val="nil"/>
                    <w:tr2bl w:val="nil"/>
                  </w:tcBorders>
                  <w:vAlign w:val="center"/>
                </w:tcPr>
                <w:p w14:paraId="3665171B">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次/a（按30%吸附率控制）</w:t>
                  </w:r>
                </w:p>
              </w:tc>
            </w:tr>
            <w:tr w14:paraId="641F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pct"/>
                  <w:tcBorders>
                    <w:tl2br w:val="nil"/>
                    <w:tr2bl w:val="nil"/>
                  </w:tcBorders>
                  <w:vAlign w:val="center"/>
                </w:tcPr>
                <w:p w14:paraId="50C00F8A">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活性炭更换量</w:t>
                  </w:r>
                </w:p>
              </w:tc>
              <w:tc>
                <w:tcPr>
                  <w:tcW w:w="2400" w:type="pct"/>
                  <w:tcBorders>
                    <w:tl2br w:val="nil"/>
                    <w:tr2bl w:val="nil"/>
                  </w:tcBorders>
                  <w:vAlign w:val="center"/>
                </w:tcPr>
                <w:p w14:paraId="280A9E5B">
                  <w:pPr>
                    <w:pStyle w:val="2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t/a</w:t>
                  </w:r>
                </w:p>
              </w:tc>
            </w:tr>
          </w:tbl>
          <w:p w14:paraId="58562A44">
            <w:pPr>
              <w:bidi w:val="0"/>
              <w:spacing w:line="360" w:lineRule="auto"/>
              <w:ind w:firstLine="480" w:firstLineChars="200"/>
              <w:rPr>
                <w:rFonts w:hint="eastAsia" w:eastAsia="宋体"/>
                <w:lang w:val="en-US" w:eastAsia="zh-CN"/>
              </w:rPr>
            </w:pPr>
            <w:r>
              <w:rPr>
                <w:rFonts w:hint="eastAsia" w:ascii="Times New Roman" w:hAnsi="Times New Roman" w:eastAsia="宋体" w:cs="Times New Roman"/>
                <w:highlight w:val="none"/>
                <w:lang w:val="en-US" w:eastAsia="zh-CN"/>
              </w:rPr>
              <w:t>RCO装置</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eastAsia="zh-CN"/>
              </w:rPr>
              <w:fldChar w:fldCharType="begin"/>
            </w:r>
            <w:r>
              <w:rPr>
                <w:rFonts w:hint="eastAsia" w:ascii="Times New Roman" w:hAnsi="Times New Roman" w:eastAsia="宋体" w:cs="Times New Roman"/>
                <w:highlight w:val="none"/>
                <w:lang w:eastAsia="zh-CN"/>
              </w:rPr>
              <w:instrText xml:space="preserve"> HYPERLINK "https://www.163.com/dy/article/JD0P2MPI055660YY.html" \t "https://cn.bing.com/_blank" </w:instrText>
            </w:r>
            <w:r>
              <w:rPr>
                <w:rFonts w:hint="eastAsia" w:ascii="Times New Roman" w:hAnsi="Times New Roman" w:eastAsia="宋体" w:cs="Times New Roman"/>
                <w:highlight w:val="none"/>
                <w:lang w:eastAsia="zh-CN"/>
              </w:rPr>
              <w:fldChar w:fldCharType="separate"/>
            </w:r>
            <w:r>
              <w:rPr>
                <w:rFonts w:hint="eastAsia" w:ascii="Times New Roman" w:hAnsi="Times New Roman" w:eastAsia="宋体" w:cs="Times New Roman"/>
                <w:highlight w:val="none"/>
                <w:lang w:eastAsia="zh-CN"/>
              </w:rPr>
              <w:t>RCO废气处理技术是一种有机废气处理技术，基本原理是通过催化剂的作用，将低浓度的有机废气在较低的温度下完全氧化为无害的水和二氧化碳，同时释放出大量的热能，实现废气的净化和资源化利用。RCO蓄热式催化燃烧设备的工作原理是通过催化剂对VOC分子的吸附，提高反应物浓度，然后在较低的起燃温度下发生无氧燃烧，分解成CO</w:t>
            </w:r>
            <w:r>
              <w:rPr>
                <w:rFonts w:hint="eastAsia" w:ascii="Times New Roman" w:hAnsi="Times New Roman" w:eastAsia="宋体" w:cs="Times New Roman"/>
                <w:highlight w:val="none"/>
                <w:vertAlign w:val="subscript"/>
                <w:lang w:eastAsia="zh-CN"/>
              </w:rPr>
              <w:t>2</w:t>
            </w:r>
            <w:r>
              <w:rPr>
                <w:rFonts w:hint="eastAsia" w:ascii="Times New Roman" w:hAnsi="Times New Roman" w:eastAsia="宋体" w:cs="Times New Roman"/>
                <w:highlight w:val="none"/>
                <w:lang w:eastAsia="zh-CN"/>
              </w:rPr>
              <w:t>和H</w:t>
            </w:r>
            <w:r>
              <w:rPr>
                <w:rFonts w:hint="eastAsia" w:ascii="Times New Roman" w:hAnsi="Times New Roman" w:eastAsia="宋体" w:cs="Times New Roman"/>
                <w:highlight w:val="none"/>
                <w:vertAlign w:val="subscript"/>
                <w:lang w:eastAsia="zh-CN"/>
              </w:rPr>
              <w:t>2</w:t>
            </w:r>
            <w:r>
              <w:rPr>
                <w:rFonts w:hint="eastAsia" w:ascii="Times New Roman" w:hAnsi="Times New Roman" w:eastAsia="宋体" w:cs="Times New Roman"/>
                <w:highlight w:val="none"/>
                <w:lang w:eastAsia="zh-CN"/>
              </w:rPr>
              <w:t>O，具有低能耗和安全的特点。RCO废气处理工艺的工作原理包括预热、催化反应和再生阶段。</w:t>
            </w:r>
            <w:r>
              <w:rPr>
                <w:rFonts w:hint="eastAsia" w:ascii="Times New Roman" w:hAnsi="Times New Roman" w:eastAsia="宋体" w:cs="Times New Roman"/>
                <w:highlight w:val="none"/>
                <w:lang w:eastAsia="zh-CN"/>
              </w:rPr>
              <w:fldChar w:fldCharType="end"/>
            </w:r>
          </w:p>
          <w:p w14:paraId="074159A6">
            <w:pPr>
              <w:autoSpaceDE w:val="0"/>
              <w:autoSpaceDN w:val="0"/>
              <w:adjustRightInd w:val="0"/>
              <w:jc w:val="center"/>
              <w:rPr>
                <w:b/>
                <w:bCs/>
                <w:color w:val="auto"/>
                <w:kern w:val="0"/>
                <w:highlight w:val="none"/>
              </w:rPr>
            </w:pPr>
            <w:r>
              <w:rPr>
                <w:b/>
                <w:bCs/>
                <w:color w:val="auto"/>
                <w:kern w:val="0"/>
                <w:highlight w:val="none"/>
                <w:lang w:bidi="ar"/>
              </w:rPr>
              <w:t>表4</w:t>
            </w:r>
            <w:r>
              <w:rPr>
                <w:rFonts w:hint="eastAsia"/>
                <w:b/>
                <w:bCs/>
                <w:color w:val="auto"/>
                <w:kern w:val="0"/>
                <w:highlight w:val="none"/>
                <w:lang w:val="en-US" w:eastAsia="zh-CN" w:bidi="ar"/>
              </w:rPr>
              <w:t>-6</w:t>
            </w:r>
            <w:r>
              <w:rPr>
                <w:b/>
                <w:bCs/>
                <w:color w:val="auto"/>
                <w:kern w:val="0"/>
                <w:highlight w:val="none"/>
                <w:lang w:bidi="ar"/>
              </w:rPr>
              <w:t xml:space="preserve"> </w:t>
            </w:r>
            <w:r>
              <w:rPr>
                <w:rFonts w:hint="eastAsia"/>
                <w:b/>
                <w:bCs/>
                <w:color w:val="auto"/>
                <w:kern w:val="0"/>
                <w:highlight w:val="none"/>
                <w:lang w:bidi="ar"/>
              </w:rPr>
              <w:t xml:space="preserve"> 废气治理设施</w:t>
            </w:r>
            <w:r>
              <w:rPr>
                <w:rFonts w:hint="eastAsia"/>
                <w:b/>
                <w:bCs/>
                <w:color w:val="auto"/>
                <w:kern w:val="0"/>
                <w:highlight w:val="none"/>
                <w:lang w:val="en-US" w:eastAsia="zh-CN" w:bidi="ar"/>
              </w:rPr>
              <w:t>可行</w:t>
            </w:r>
            <w:r>
              <w:rPr>
                <w:rFonts w:hint="eastAsia"/>
                <w:b/>
                <w:bCs/>
                <w:color w:val="auto"/>
                <w:kern w:val="0"/>
                <w:highlight w:val="none"/>
                <w:lang w:bidi="ar"/>
              </w:rPr>
              <w:t>性分析</w:t>
            </w:r>
            <w:r>
              <w:rPr>
                <w:b/>
                <w:bCs/>
                <w:color w:val="auto"/>
                <w:kern w:val="0"/>
                <w:highlight w:val="none"/>
                <w:lang w:bidi="ar"/>
              </w:rPr>
              <w:t>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11"/>
              <w:gridCol w:w="1272"/>
              <w:gridCol w:w="2022"/>
              <w:gridCol w:w="1997"/>
              <w:gridCol w:w="1161"/>
            </w:tblGrid>
            <w:tr w14:paraId="1EB7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vAlign w:val="center"/>
                </w:tcPr>
                <w:p w14:paraId="61FC1180">
                  <w:pPr>
                    <w:pStyle w:val="77"/>
                    <w:spacing w:line="240" w:lineRule="auto"/>
                    <w:rPr>
                      <w:rFonts w:hint="eastAsia" w:eastAsia="宋体"/>
                      <w:b/>
                      <w:bCs/>
                      <w:color w:val="auto"/>
                      <w:sz w:val="21"/>
                      <w:highlight w:val="none"/>
                      <w:lang w:eastAsia="zh-CN"/>
                    </w:rPr>
                  </w:pPr>
                  <w:r>
                    <w:rPr>
                      <w:rFonts w:hint="eastAsia"/>
                      <w:b/>
                      <w:bCs/>
                      <w:color w:val="auto"/>
                      <w:sz w:val="21"/>
                      <w:highlight w:val="none"/>
                      <w:lang w:val="en-US" w:eastAsia="zh-CN"/>
                    </w:rPr>
                    <w:t>生产单元</w:t>
                  </w:r>
                </w:p>
              </w:tc>
              <w:tc>
                <w:tcPr>
                  <w:tcW w:w="911" w:type="dxa"/>
                  <w:vAlign w:val="center"/>
                </w:tcPr>
                <w:p w14:paraId="0F9A34E1">
                  <w:pPr>
                    <w:pStyle w:val="77"/>
                    <w:spacing w:line="240" w:lineRule="auto"/>
                    <w:rPr>
                      <w:rFonts w:hint="default" w:eastAsia="宋体"/>
                      <w:b/>
                      <w:bCs/>
                      <w:color w:val="auto"/>
                      <w:sz w:val="21"/>
                      <w:highlight w:val="none"/>
                      <w:lang w:val="en-US" w:eastAsia="zh-CN"/>
                    </w:rPr>
                  </w:pPr>
                  <w:r>
                    <w:rPr>
                      <w:rFonts w:hint="eastAsia"/>
                      <w:b/>
                      <w:bCs/>
                      <w:color w:val="auto"/>
                      <w:sz w:val="21"/>
                      <w:highlight w:val="none"/>
                      <w:lang w:val="en-US" w:eastAsia="zh-CN"/>
                    </w:rPr>
                    <w:t>生产设施</w:t>
                  </w:r>
                </w:p>
              </w:tc>
              <w:tc>
                <w:tcPr>
                  <w:tcW w:w="1272" w:type="dxa"/>
                  <w:vAlign w:val="center"/>
                </w:tcPr>
                <w:p w14:paraId="694F84C2">
                  <w:pPr>
                    <w:pStyle w:val="77"/>
                    <w:spacing w:line="240" w:lineRule="auto"/>
                    <w:rPr>
                      <w:rFonts w:hint="eastAsia" w:eastAsia="宋体"/>
                      <w:b/>
                      <w:bCs/>
                      <w:color w:val="auto"/>
                      <w:sz w:val="21"/>
                      <w:highlight w:val="none"/>
                      <w:lang w:eastAsia="zh-CN"/>
                    </w:rPr>
                  </w:pPr>
                  <w:r>
                    <w:rPr>
                      <w:rFonts w:hint="eastAsia"/>
                      <w:b/>
                      <w:bCs/>
                      <w:color w:val="auto"/>
                      <w:sz w:val="21"/>
                      <w:highlight w:val="none"/>
                      <w:lang w:val="en-US" w:eastAsia="zh-CN"/>
                    </w:rPr>
                    <w:t>污染物</w:t>
                  </w:r>
                </w:p>
              </w:tc>
              <w:tc>
                <w:tcPr>
                  <w:tcW w:w="2022" w:type="dxa"/>
                  <w:vAlign w:val="center"/>
                </w:tcPr>
                <w:p w14:paraId="4A51B8B8">
                  <w:pPr>
                    <w:pStyle w:val="77"/>
                    <w:spacing w:line="240" w:lineRule="auto"/>
                    <w:rPr>
                      <w:rFonts w:hint="default" w:eastAsia="宋体"/>
                      <w:b/>
                      <w:bCs/>
                      <w:color w:val="auto"/>
                      <w:sz w:val="21"/>
                      <w:highlight w:val="none"/>
                      <w:lang w:val="en-US" w:eastAsia="zh-CN"/>
                    </w:rPr>
                  </w:pPr>
                  <w:r>
                    <w:rPr>
                      <w:rFonts w:hint="eastAsia"/>
                      <w:b/>
                      <w:bCs/>
                      <w:color w:val="auto"/>
                      <w:sz w:val="21"/>
                      <w:highlight w:val="none"/>
                      <w:lang w:val="en-US" w:eastAsia="zh-CN"/>
                    </w:rPr>
                    <w:t>推荐可行技术</w:t>
                  </w:r>
                </w:p>
              </w:tc>
              <w:tc>
                <w:tcPr>
                  <w:tcW w:w="1997" w:type="dxa"/>
                  <w:vAlign w:val="center"/>
                </w:tcPr>
                <w:p w14:paraId="026C14B2">
                  <w:pPr>
                    <w:pStyle w:val="77"/>
                    <w:spacing w:line="240" w:lineRule="auto"/>
                    <w:rPr>
                      <w:rFonts w:hint="default" w:eastAsia="宋体"/>
                      <w:b/>
                      <w:bCs/>
                      <w:color w:val="auto"/>
                      <w:sz w:val="21"/>
                      <w:highlight w:val="none"/>
                      <w:lang w:val="en-US" w:eastAsia="zh-CN"/>
                    </w:rPr>
                  </w:pPr>
                  <w:r>
                    <w:rPr>
                      <w:rFonts w:hint="eastAsia"/>
                      <w:b/>
                      <w:bCs/>
                      <w:color w:val="auto"/>
                      <w:sz w:val="21"/>
                      <w:highlight w:val="none"/>
                      <w:lang w:val="en-US" w:eastAsia="zh-CN"/>
                    </w:rPr>
                    <w:t>本项目拟采取措施</w:t>
                  </w:r>
                </w:p>
              </w:tc>
              <w:tc>
                <w:tcPr>
                  <w:tcW w:w="1161" w:type="dxa"/>
                  <w:vAlign w:val="center"/>
                </w:tcPr>
                <w:p w14:paraId="65ECE4AF">
                  <w:pPr>
                    <w:pStyle w:val="77"/>
                    <w:spacing w:line="240" w:lineRule="auto"/>
                    <w:rPr>
                      <w:rFonts w:hint="default" w:eastAsia="宋体"/>
                      <w:b/>
                      <w:bCs/>
                      <w:color w:val="auto"/>
                      <w:sz w:val="21"/>
                      <w:highlight w:val="none"/>
                      <w:lang w:val="en-US" w:eastAsia="zh-CN"/>
                    </w:rPr>
                  </w:pPr>
                  <w:r>
                    <w:rPr>
                      <w:rFonts w:hint="eastAsia"/>
                      <w:b/>
                      <w:bCs/>
                      <w:color w:val="auto"/>
                      <w:sz w:val="21"/>
                      <w:highlight w:val="none"/>
                      <w:lang w:val="en-US" w:eastAsia="zh-CN"/>
                    </w:rPr>
                    <w:t>是否属于可行技术</w:t>
                  </w:r>
                </w:p>
              </w:tc>
            </w:tr>
            <w:tr w14:paraId="3ECD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vAlign w:val="center"/>
                </w:tcPr>
                <w:p w14:paraId="2DA396AD">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注塑</w:t>
                  </w:r>
                </w:p>
              </w:tc>
              <w:tc>
                <w:tcPr>
                  <w:tcW w:w="911" w:type="dxa"/>
                  <w:vAlign w:val="center"/>
                </w:tcPr>
                <w:p w14:paraId="04E6A317">
                  <w:pPr>
                    <w:pStyle w:val="77"/>
                    <w:spacing w:line="240" w:lineRule="auto"/>
                    <w:rPr>
                      <w:rFonts w:hint="default" w:eastAsia="宋体"/>
                      <w:color w:val="auto"/>
                      <w:sz w:val="21"/>
                      <w:highlight w:val="none"/>
                      <w:lang w:val="en-US" w:eastAsia="zh-CN"/>
                    </w:rPr>
                  </w:pPr>
                  <w:r>
                    <w:rPr>
                      <w:rFonts w:hint="eastAsia"/>
                      <w:color w:val="auto"/>
                      <w:sz w:val="21"/>
                      <w:highlight w:val="none"/>
                      <w:lang w:val="en-US" w:eastAsia="zh-CN"/>
                    </w:rPr>
                    <w:t>注塑机</w:t>
                  </w:r>
                </w:p>
              </w:tc>
              <w:tc>
                <w:tcPr>
                  <w:tcW w:w="1272" w:type="dxa"/>
                  <w:vAlign w:val="center"/>
                </w:tcPr>
                <w:p w14:paraId="04894695">
                  <w:pPr>
                    <w:pStyle w:val="77"/>
                    <w:spacing w:line="240" w:lineRule="auto"/>
                    <w:rPr>
                      <w:rFonts w:hint="default" w:eastAsia="宋体"/>
                      <w:color w:val="auto"/>
                      <w:sz w:val="21"/>
                      <w:highlight w:val="none"/>
                      <w:lang w:val="en-US" w:eastAsia="zh-CN"/>
                    </w:rPr>
                  </w:pPr>
                  <w:r>
                    <w:rPr>
                      <w:rFonts w:hint="eastAsia"/>
                      <w:color w:val="auto"/>
                      <w:sz w:val="21"/>
                      <w:szCs w:val="21"/>
                      <w:highlight w:val="none"/>
                      <w:lang w:val="en-US" w:eastAsia="zh-CN"/>
                    </w:rPr>
                    <w:t>非甲烷总烃、苯乙烯、丙烯腈</w:t>
                  </w:r>
                </w:p>
              </w:tc>
              <w:tc>
                <w:tcPr>
                  <w:tcW w:w="2022" w:type="dxa"/>
                  <w:vAlign w:val="center"/>
                </w:tcPr>
                <w:p w14:paraId="44B3D604">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吸附、催化燃烧</w:t>
                  </w:r>
                </w:p>
              </w:tc>
              <w:tc>
                <w:tcPr>
                  <w:tcW w:w="1997" w:type="dxa"/>
                  <w:vAlign w:val="center"/>
                </w:tcPr>
                <w:p w14:paraId="4A8ED73D">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二级活性炭吸附</w:t>
                  </w:r>
                </w:p>
              </w:tc>
              <w:tc>
                <w:tcPr>
                  <w:tcW w:w="1161" w:type="dxa"/>
                  <w:vMerge w:val="restart"/>
                  <w:vAlign w:val="center"/>
                </w:tcPr>
                <w:p w14:paraId="20B7EA5E">
                  <w:pPr>
                    <w:pStyle w:val="77"/>
                    <w:spacing w:line="240" w:lineRule="auto"/>
                    <w:rPr>
                      <w:rFonts w:hint="default"/>
                      <w:color w:val="auto"/>
                      <w:sz w:val="21"/>
                      <w:highlight w:val="none"/>
                      <w:lang w:val="en-US" w:eastAsia="zh-CN"/>
                    </w:rPr>
                  </w:pPr>
                  <w:r>
                    <w:rPr>
                      <w:rFonts w:hint="eastAsia"/>
                      <w:color w:val="auto"/>
                      <w:sz w:val="21"/>
                      <w:highlight w:val="none"/>
                      <w:lang w:val="en-US" w:eastAsia="zh-CN"/>
                    </w:rPr>
                    <w:t>是</w:t>
                  </w:r>
                </w:p>
              </w:tc>
            </w:tr>
            <w:tr w14:paraId="5442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vMerge w:val="restart"/>
                  <w:vAlign w:val="center"/>
                </w:tcPr>
                <w:p w14:paraId="698D9686">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调漆喷漆烘干</w:t>
                  </w:r>
                </w:p>
              </w:tc>
              <w:tc>
                <w:tcPr>
                  <w:tcW w:w="911" w:type="dxa"/>
                  <w:vMerge w:val="restart"/>
                  <w:vAlign w:val="center"/>
                </w:tcPr>
                <w:p w14:paraId="1FB45007">
                  <w:pPr>
                    <w:pStyle w:val="77"/>
                    <w:spacing w:line="240" w:lineRule="auto"/>
                    <w:rPr>
                      <w:rFonts w:hint="eastAsia" w:eastAsia="宋体"/>
                      <w:color w:val="auto"/>
                      <w:sz w:val="21"/>
                      <w:highlight w:val="none"/>
                      <w:lang w:val="en-US" w:eastAsia="zh-CN"/>
                    </w:rPr>
                  </w:pPr>
                  <w:r>
                    <w:rPr>
                      <w:rFonts w:hint="eastAsia"/>
                      <w:color w:val="auto"/>
                      <w:sz w:val="21"/>
                      <w:highlight w:val="none"/>
                      <w:lang w:val="en-US" w:eastAsia="zh-CN"/>
                    </w:rPr>
                    <w:t>喷漆房</w:t>
                  </w:r>
                </w:p>
              </w:tc>
              <w:tc>
                <w:tcPr>
                  <w:tcW w:w="1272" w:type="dxa"/>
                  <w:vAlign w:val="center"/>
                </w:tcPr>
                <w:p w14:paraId="65F0CCD1">
                  <w:pPr>
                    <w:pStyle w:val="77"/>
                    <w:spacing w:line="240" w:lineRule="auto"/>
                    <w:rPr>
                      <w:rFonts w:hint="eastAsia" w:eastAsia="宋体"/>
                      <w:color w:val="auto"/>
                      <w:sz w:val="21"/>
                      <w:highlight w:val="none"/>
                      <w:lang w:val="en-US" w:eastAsia="zh-CN"/>
                    </w:rPr>
                  </w:pPr>
                  <w:r>
                    <w:rPr>
                      <w:rFonts w:hint="eastAsia"/>
                      <w:color w:val="auto"/>
                      <w:sz w:val="21"/>
                      <w:highlight w:val="none"/>
                      <w:lang w:val="en-US" w:eastAsia="zh-CN"/>
                    </w:rPr>
                    <w:t>颗粒物</w:t>
                  </w:r>
                </w:p>
              </w:tc>
              <w:tc>
                <w:tcPr>
                  <w:tcW w:w="2022" w:type="dxa"/>
                  <w:vAlign w:val="center"/>
                </w:tcPr>
                <w:p w14:paraId="2295EB4B">
                  <w:pPr>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文丘里/水旋/水帘、石灰粉吸附、纸盒过滤、化学纤维过滤</w:t>
                  </w:r>
                </w:p>
              </w:tc>
              <w:tc>
                <w:tcPr>
                  <w:tcW w:w="1997" w:type="dxa"/>
                  <w:vAlign w:val="center"/>
                </w:tcPr>
                <w:p w14:paraId="30A82E2B">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一级水喷淋</w:t>
                  </w:r>
                </w:p>
              </w:tc>
              <w:tc>
                <w:tcPr>
                  <w:tcW w:w="1161" w:type="dxa"/>
                  <w:vMerge w:val="continue"/>
                  <w:vAlign w:val="center"/>
                </w:tcPr>
                <w:p w14:paraId="05990701">
                  <w:pPr>
                    <w:pStyle w:val="77"/>
                    <w:spacing w:line="240" w:lineRule="auto"/>
                    <w:rPr>
                      <w:rFonts w:hint="default"/>
                      <w:color w:val="auto"/>
                      <w:sz w:val="21"/>
                      <w:highlight w:val="none"/>
                      <w:lang w:val="en-US" w:eastAsia="zh-CN"/>
                    </w:rPr>
                  </w:pPr>
                </w:p>
              </w:tc>
            </w:tr>
            <w:tr w14:paraId="6AB4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vMerge w:val="continue"/>
                  <w:vAlign w:val="center"/>
                </w:tcPr>
                <w:p w14:paraId="1492D737">
                  <w:pPr>
                    <w:jc w:val="center"/>
                    <w:rPr>
                      <w:rFonts w:hint="eastAsia" w:eastAsia="宋体"/>
                      <w:color w:val="auto"/>
                      <w:sz w:val="21"/>
                      <w:szCs w:val="21"/>
                      <w:highlight w:val="none"/>
                      <w:lang w:val="en-US" w:eastAsia="zh-CN"/>
                    </w:rPr>
                  </w:pPr>
                </w:p>
              </w:tc>
              <w:tc>
                <w:tcPr>
                  <w:tcW w:w="911" w:type="dxa"/>
                  <w:vMerge w:val="continue"/>
                  <w:vAlign w:val="center"/>
                </w:tcPr>
                <w:p w14:paraId="6AC79FC4">
                  <w:pPr>
                    <w:jc w:val="center"/>
                    <w:rPr>
                      <w:color w:val="auto"/>
                      <w:sz w:val="21"/>
                      <w:szCs w:val="21"/>
                      <w:highlight w:val="none"/>
                    </w:rPr>
                  </w:pPr>
                </w:p>
              </w:tc>
              <w:tc>
                <w:tcPr>
                  <w:tcW w:w="1272" w:type="dxa"/>
                  <w:vAlign w:val="center"/>
                </w:tcPr>
                <w:p w14:paraId="73BEAAF7">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非甲烷总烃、二甲苯、醋酸丁酯</w:t>
                  </w:r>
                </w:p>
              </w:tc>
              <w:tc>
                <w:tcPr>
                  <w:tcW w:w="2022" w:type="dxa"/>
                  <w:vAlign w:val="center"/>
                </w:tcPr>
                <w:p w14:paraId="02B048CF">
                  <w:pPr>
                    <w:jc w:val="center"/>
                    <w:rPr>
                      <w:color w:val="auto"/>
                      <w:sz w:val="21"/>
                      <w:szCs w:val="21"/>
                      <w:highlight w:val="none"/>
                    </w:rPr>
                  </w:pPr>
                  <w:r>
                    <w:rPr>
                      <w:rFonts w:hint="eastAsia"/>
                      <w:color w:val="auto"/>
                      <w:sz w:val="21"/>
                      <w:szCs w:val="21"/>
                      <w:highlight w:val="none"/>
                      <w:lang w:val="en-US" w:eastAsia="zh-CN"/>
                    </w:rPr>
                    <w:t>吸附、催化燃烧</w:t>
                  </w:r>
                </w:p>
              </w:tc>
              <w:tc>
                <w:tcPr>
                  <w:tcW w:w="1997" w:type="dxa"/>
                  <w:vAlign w:val="center"/>
                </w:tcPr>
                <w:p w14:paraId="343201F4">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活性炭吸附/脱附+RCO</w:t>
                  </w:r>
                </w:p>
              </w:tc>
              <w:tc>
                <w:tcPr>
                  <w:tcW w:w="1161" w:type="dxa"/>
                  <w:vMerge w:val="continue"/>
                  <w:vAlign w:val="center"/>
                </w:tcPr>
                <w:p w14:paraId="14913215">
                  <w:pPr>
                    <w:jc w:val="center"/>
                    <w:rPr>
                      <w:color w:val="auto"/>
                      <w:sz w:val="21"/>
                      <w:szCs w:val="21"/>
                      <w:highlight w:val="none"/>
                    </w:rPr>
                  </w:pPr>
                </w:p>
              </w:tc>
            </w:tr>
          </w:tbl>
          <w:p w14:paraId="2A671EA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（5）</w:t>
            </w:r>
            <w:r>
              <w:rPr>
                <w:rFonts w:hint="eastAsia"/>
                <w:color w:val="auto"/>
                <w:kern w:val="0"/>
                <w:highlight w:val="none"/>
                <w:lang w:val="en-US" w:eastAsia="zh-CN" w:bidi="ar"/>
              </w:rPr>
              <w:t>监测计划</w:t>
            </w:r>
          </w:p>
          <w:p w14:paraId="2820E3E0">
            <w:pPr>
              <w:autoSpaceDE w:val="0"/>
              <w:autoSpaceDN w:val="0"/>
              <w:adjustRightInd w:val="0"/>
              <w:spacing w:line="360" w:lineRule="auto"/>
              <w:ind w:firstLine="480" w:firstLineChars="200"/>
              <w:rPr>
                <w:b/>
                <w:bCs/>
                <w:color w:val="auto"/>
                <w:kern w:val="0"/>
                <w:highlight w:val="none"/>
                <w:lang w:bidi="ar"/>
              </w:rPr>
            </w:pPr>
            <w:r>
              <w:rPr>
                <w:color w:val="auto"/>
                <w:kern w:val="0"/>
                <w:highlight w:val="none"/>
                <w:lang w:bidi="ar"/>
              </w:rPr>
              <w:t>根据《</w:t>
            </w:r>
            <w:r>
              <w:rPr>
                <w:rFonts w:hint="eastAsia"/>
                <w:color w:val="auto"/>
                <w:kern w:val="0"/>
                <w:highlight w:val="none"/>
                <w:lang w:val="en-US" w:eastAsia="zh-CN" w:bidi="ar"/>
              </w:rPr>
              <w:t>排污单位自行监测技术指南 涂装</w:t>
            </w:r>
            <w:r>
              <w:rPr>
                <w:color w:val="auto"/>
                <w:kern w:val="0"/>
                <w:highlight w:val="none"/>
                <w:lang w:bidi="ar"/>
              </w:rPr>
              <w:t>》（HJ</w:t>
            </w:r>
            <w:r>
              <w:rPr>
                <w:rFonts w:hint="eastAsia"/>
                <w:color w:val="auto"/>
                <w:kern w:val="0"/>
                <w:highlight w:val="none"/>
                <w:lang w:val="en-US" w:eastAsia="zh-CN" w:bidi="ar"/>
              </w:rPr>
              <w:t>1086-2020</w:t>
            </w:r>
            <w:r>
              <w:rPr>
                <w:color w:val="auto"/>
                <w:kern w:val="0"/>
                <w:highlight w:val="none"/>
                <w:lang w:bidi="ar"/>
              </w:rPr>
              <w:t>）</w:t>
            </w:r>
            <w:r>
              <w:rPr>
                <w:rFonts w:hint="eastAsia"/>
                <w:color w:val="auto"/>
                <w:kern w:val="0"/>
                <w:highlight w:val="none"/>
                <w:lang w:eastAsia="zh-CN" w:bidi="ar"/>
              </w:rPr>
              <w:t>、《排污单位自行监测技术指南 橡胶和塑料制品》(HJ1207-2021)</w:t>
            </w:r>
            <w:r>
              <w:rPr>
                <w:color w:val="auto"/>
                <w:kern w:val="0"/>
                <w:highlight w:val="none"/>
                <w:lang w:bidi="ar"/>
              </w:rPr>
              <w:t>中相关要求，项目在投入运行后，需定期对项目污染源开展监测活动，具体如下所示。</w:t>
            </w:r>
          </w:p>
          <w:p w14:paraId="426B2494">
            <w:pPr>
              <w:autoSpaceDE w:val="0"/>
              <w:autoSpaceDN w:val="0"/>
              <w:adjustRightInd w:val="0"/>
              <w:jc w:val="center"/>
              <w:rPr>
                <w:b/>
                <w:bCs/>
                <w:color w:val="auto"/>
                <w:kern w:val="0"/>
                <w:highlight w:val="none"/>
              </w:rPr>
            </w:pPr>
            <w:r>
              <w:rPr>
                <w:b/>
                <w:bCs/>
                <w:color w:val="auto"/>
                <w:kern w:val="0"/>
                <w:highlight w:val="none"/>
                <w:lang w:bidi="ar"/>
              </w:rPr>
              <w:t>表4</w:t>
            </w:r>
            <w:r>
              <w:rPr>
                <w:rFonts w:hint="eastAsia"/>
                <w:b/>
                <w:bCs/>
                <w:color w:val="auto"/>
                <w:kern w:val="0"/>
                <w:highlight w:val="none"/>
                <w:lang w:val="en-US" w:eastAsia="zh-CN" w:bidi="ar"/>
              </w:rPr>
              <w:t>-7</w:t>
            </w:r>
            <w:r>
              <w:rPr>
                <w:b/>
                <w:bCs/>
                <w:color w:val="auto"/>
                <w:kern w:val="0"/>
                <w:highlight w:val="none"/>
                <w:lang w:bidi="ar"/>
              </w:rPr>
              <w:t xml:space="preserve"> </w:t>
            </w:r>
            <w:r>
              <w:rPr>
                <w:rFonts w:hint="eastAsia"/>
                <w:b/>
                <w:bCs/>
                <w:color w:val="auto"/>
                <w:kern w:val="0"/>
                <w:highlight w:val="none"/>
                <w:lang w:bidi="ar"/>
              </w:rPr>
              <w:t xml:space="preserve"> </w:t>
            </w:r>
            <w:r>
              <w:rPr>
                <w:b/>
                <w:bCs/>
                <w:color w:val="auto"/>
                <w:kern w:val="0"/>
                <w:highlight w:val="none"/>
                <w:lang w:bidi="ar"/>
              </w:rPr>
              <w:t>废气监测计划表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252"/>
              <w:gridCol w:w="1319"/>
              <w:gridCol w:w="1092"/>
              <w:gridCol w:w="2398"/>
              <w:gridCol w:w="1161"/>
            </w:tblGrid>
            <w:tr w14:paraId="394F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dxa"/>
                  <w:vAlign w:val="center"/>
                </w:tcPr>
                <w:p w14:paraId="08734509">
                  <w:pPr>
                    <w:pStyle w:val="77"/>
                    <w:spacing w:line="240" w:lineRule="auto"/>
                    <w:rPr>
                      <w:b/>
                      <w:bCs/>
                      <w:color w:val="auto"/>
                      <w:sz w:val="21"/>
                      <w:highlight w:val="none"/>
                    </w:rPr>
                  </w:pPr>
                  <w:r>
                    <w:rPr>
                      <w:b/>
                      <w:bCs/>
                      <w:color w:val="auto"/>
                      <w:sz w:val="21"/>
                      <w:highlight w:val="none"/>
                    </w:rPr>
                    <w:t>监测点位置</w:t>
                  </w:r>
                </w:p>
              </w:tc>
              <w:tc>
                <w:tcPr>
                  <w:tcW w:w="1252" w:type="dxa"/>
                  <w:vAlign w:val="center"/>
                </w:tcPr>
                <w:p w14:paraId="096DDC85">
                  <w:pPr>
                    <w:pStyle w:val="77"/>
                    <w:spacing w:line="240" w:lineRule="auto"/>
                    <w:rPr>
                      <w:b/>
                      <w:bCs/>
                      <w:color w:val="auto"/>
                      <w:sz w:val="21"/>
                      <w:highlight w:val="none"/>
                    </w:rPr>
                  </w:pPr>
                  <w:r>
                    <w:rPr>
                      <w:b/>
                      <w:bCs/>
                      <w:color w:val="auto"/>
                      <w:sz w:val="21"/>
                      <w:highlight w:val="none"/>
                    </w:rPr>
                    <w:t>监测内容</w:t>
                  </w:r>
                </w:p>
              </w:tc>
              <w:tc>
                <w:tcPr>
                  <w:tcW w:w="1319" w:type="dxa"/>
                  <w:vAlign w:val="center"/>
                </w:tcPr>
                <w:p w14:paraId="7FF24DB3">
                  <w:pPr>
                    <w:pStyle w:val="77"/>
                    <w:spacing w:line="240" w:lineRule="auto"/>
                    <w:rPr>
                      <w:b/>
                      <w:bCs/>
                      <w:color w:val="auto"/>
                      <w:sz w:val="21"/>
                      <w:highlight w:val="none"/>
                    </w:rPr>
                  </w:pPr>
                  <w:r>
                    <w:rPr>
                      <w:b/>
                      <w:bCs/>
                      <w:color w:val="auto"/>
                      <w:sz w:val="21"/>
                      <w:highlight w:val="none"/>
                    </w:rPr>
                    <w:t>监测指标</w:t>
                  </w:r>
                </w:p>
              </w:tc>
              <w:tc>
                <w:tcPr>
                  <w:tcW w:w="1092" w:type="dxa"/>
                  <w:vAlign w:val="center"/>
                </w:tcPr>
                <w:p w14:paraId="733318CC">
                  <w:pPr>
                    <w:pStyle w:val="77"/>
                    <w:spacing w:line="240" w:lineRule="auto"/>
                    <w:rPr>
                      <w:b/>
                      <w:bCs/>
                      <w:color w:val="auto"/>
                      <w:sz w:val="21"/>
                      <w:highlight w:val="none"/>
                    </w:rPr>
                  </w:pPr>
                  <w:r>
                    <w:rPr>
                      <w:b/>
                      <w:bCs/>
                      <w:color w:val="auto"/>
                      <w:sz w:val="21"/>
                      <w:highlight w:val="none"/>
                    </w:rPr>
                    <w:t>监测方式</w:t>
                  </w:r>
                </w:p>
              </w:tc>
              <w:tc>
                <w:tcPr>
                  <w:tcW w:w="2398" w:type="dxa"/>
                  <w:vAlign w:val="center"/>
                </w:tcPr>
                <w:p w14:paraId="621A2CC3">
                  <w:pPr>
                    <w:pStyle w:val="77"/>
                    <w:spacing w:line="240" w:lineRule="auto"/>
                    <w:rPr>
                      <w:b/>
                      <w:bCs/>
                      <w:color w:val="auto"/>
                      <w:sz w:val="21"/>
                      <w:highlight w:val="none"/>
                    </w:rPr>
                  </w:pPr>
                  <w:r>
                    <w:rPr>
                      <w:b/>
                      <w:bCs/>
                      <w:color w:val="auto"/>
                      <w:sz w:val="21"/>
                      <w:highlight w:val="none"/>
                    </w:rPr>
                    <w:t>监测采样方法及个数</w:t>
                  </w:r>
                </w:p>
              </w:tc>
              <w:tc>
                <w:tcPr>
                  <w:tcW w:w="1161" w:type="dxa"/>
                  <w:vAlign w:val="center"/>
                </w:tcPr>
                <w:p w14:paraId="459866E5">
                  <w:pPr>
                    <w:pStyle w:val="77"/>
                    <w:spacing w:line="240" w:lineRule="auto"/>
                    <w:rPr>
                      <w:b/>
                      <w:bCs/>
                      <w:color w:val="auto"/>
                      <w:sz w:val="21"/>
                      <w:highlight w:val="none"/>
                    </w:rPr>
                  </w:pPr>
                  <w:r>
                    <w:rPr>
                      <w:b/>
                      <w:bCs/>
                      <w:color w:val="auto"/>
                      <w:sz w:val="21"/>
                      <w:highlight w:val="none"/>
                    </w:rPr>
                    <w:t>监测频次</w:t>
                  </w:r>
                </w:p>
              </w:tc>
            </w:tr>
            <w:tr w14:paraId="6DAF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dxa"/>
                  <w:vAlign w:val="center"/>
                </w:tcPr>
                <w:p w14:paraId="70B56CF4">
                  <w:pPr>
                    <w:jc w:val="center"/>
                    <w:rPr>
                      <w:color w:val="auto"/>
                      <w:sz w:val="21"/>
                      <w:szCs w:val="21"/>
                      <w:highlight w:val="none"/>
                    </w:rPr>
                  </w:pPr>
                  <w:r>
                    <w:rPr>
                      <w:color w:val="auto"/>
                      <w:sz w:val="21"/>
                      <w:szCs w:val="21"/>
                      <w:highlight w:val="none"/>
                    </w:rPr>
                    <w:t>DA001</w:t>
                  </w:r>
                </w:p>
              </w:tc>
              <w:tc>
                <w:tcPr>
                  <w:tcW w:w="1252" w:type="dxa"/>
                  <w:vAlign w:val="center"/>
                </w:tcPr>
                <w:p w14:paraId="1CC37AC8">
                  <w:pPr>
                    <w:pStyle w:val="77"/>
                    <w:spacing w:line="240" w:lineRule="auto"/>
                    <w:rPr>
                      <w:color w:val="auto"/>
                      <w:sz w:val="21"/>
                      <w:highlight w:val="none"/>
                    </w:rPr>
                  </w:pPr>
                  <w:r>
                    <w:rPr>
                      <w:color w:val="auto"/>
                      <w:sz w:val="21"/>
                      <w:highlight w:val="none"/>
                    </w:rPr>
                    <w:t>烟气流速、烟气温度、烟气压力、烟气量</w:t>
                  </w:r>
                </w:p>
              </w:tc>
              <w:tc>
                <w:tcPr>
                  <w:tcW w:w="1319" w:type="dxa"/>
                  <w:vAlign w:val="center"/>
                </w:tcPr>
                <w:p w14:paraId="72AF2CDC">
                  <w:pPr>
                    <w:pStyle w:val="77"/>
                    <w:spacing w:line="240" w:lineRule="auto"/>
                    <w:rPr>
                      <w:rFonts w:hint="default" w:eastAsia="宋体"/>
                      <w:color w:val="auto"/>
                      <w:sz w:val="21"/>
                      <w:highlight w:val="none"/>
                      <w:lang w:val="en-US" w:eastAsia="zh-CN"/>
                    </w:rPr>
                  </w:pPr>
                  <w:r>
                    <w:rPr>
                      <w:rFonts w:hint="eastAsia"/>
                      <w:color w:val="auto"/>
                      <w:sz w:val="21"/>
                      <w:highlight w:val="none"/>
                      <w:lang w:val="en-US" w:eastAsia="zh-CN"/>
                    </w:rPr>
                    <w:t>非甲烷总烃、丙烯腈、苯乙烯</w:t>
                  </w:r>
                </w:p>
              </w:tc>
              <w:tc>
                <w:tcPr>
                  <w:tcW w:w="1092" w:type="dxa"/>
                  <w:vAlign w:val="center"/>
                </w:tcPr>
                <w:p w14:paraId="401D8D75">
                  <w:pPr>
                    <w:jc w:val="center"/>
                    <w:rPr>
                      <w:color w:val="auto"/>
                      <w:sz w:val="21"/>
                      <w:szCs w:val="21"/>
                      <w:highlight w:val="none"/>
                    </w:rPr>
                  </w:pPr>
                  <w:r>
                    <w:rPr>
                      <w:color w:val="auto"/>
                      <w:sz w:val="21"/>
                      <w:szCs w:val="21"/>
                      <w:highlight w:val="none"/>
                    </w:rPr>
                    <w:t>手工监测</w:t>
                  </w:r>
                </w:p>
              </w:tc>
              <w:tc>
                <w:tcPr>
                  <w:tcW w:w="2398" w:type="dxa"/>
                  <w:vAlign w:val="center"/>
                </w:tcPr>
                <w:p w14:paraId="01BB253A">
                  <w:pPr>
                    <w:jc w:val="center"/>
                    <w:rPr>
                      <w:color w:val="auto"/>
                      <w:sz w:val="21"/>
                      <w:szCs w:val="21"/>
                      <w:highlight w:val="none"/>
                    </w:rPr>
                  </w:pPr>
                  <w:r>
                    <w:rPr>
                      <w:color w:val="auto"/>
                      <w:sz w:val="21"/>
                      <w:szCs w:val="21"/>
                      <w:highlight w:val="none"/>
                    </w:rPr>
                    <w:t>非连续采样，至少3个</w:t>
                  </w:r>
                </w:p>
              </w:tc>
              <w:tc>
                <w:tcPr>
                  <w:tcW w:w="1161" w:type="dxa"/>
                  <w:vAlign w:val="center"/>
                </w:tcPr>
                <w:p w14:paraId="5710E054">
                  <w:pPr>
                    <w:pStyle w:val="77"/>
                    <w:spacing w:line="240" w:lineRule="auto"/>
                    <w:rPr>
                      <w:color w:val="auto"/>
                      <w:sz w:val="21"/>
                      <w:highlight w:val="none"/>
                    </w:rPr>
                  </w:pPr>
                  <w:r>
                    <w:rPr>
                      <w:rFonts w:hint="eastAsia"/>
                      <w:color w:val="auto"/>
                      <w:sz w:val="21"/>
                      <w:highlight w:val="none"/>
                      <w:lang w:val="en-US" w:eastAsia="zh-CN"/>
                    </w:rPr>
                    <w:t>一</w:t>
                  </w:r>
                  <w:r>
                    <w:rPr>
                      <w:color w:val="auto"/>
                      <w:sz w:val="21"/>
                      <w:highlight w:val="none"/>
                    </w:rPr>
                    <w:t>年一次</w:t>
                  </w:r>
                </w:p>
              </w:tc>
            </w:tr>
            <w:tr w14:paraId="10F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dxa"/>
                  <w:vAlign w:val="center"/>
                </w:tcPr>
                <w:p w14:paraId="76458C7C">
                  <w:pPr>
                    <w:jc w:val="center"/>
                    <w:rPr>
                      <w:rFonts w:hint="eastAsia" w:eastAsia="宋体"/>
                      <w:color w:val="auto"/>
                      <w:sz w:val="21"/>
                      <w:szCs w:val="21"/>
                      <w:highlight w:val="none"/>
                      <w:lang w:eastAsia="zh-CN"/>
                    </w:rPr>
                  </w:pPr>
                  <w:r>
                    <w:rPr>
                      <w:color w:val="auto"/>
                      <w:sz w:val="21"/>
                      <w:szCs w:val="21"/>
                      <w:highlight w:val="none"/>
                    </w:rPr>
                    <w:t>DA00</w:t>
                  </w:r>
                  <w:r>
                    <w:rPr>
                      <w:rFonts w:hint="eastAsia"/>
                      <w:color w:val="auto"/>
                      <w:sz w:val="21"/>
                      <w:szCs w:val="21"/>
                      <w:highlight w:val="none"/>
                      <w:lang w:val="en-US" w:eastAsia="zh-CN"/>
                    </w:rPr>
                    <w:t>2</w:t>
                  </w:r>
                </w:p>
              </w:tc>
              <w:tc>
                <w:tcPr>
                  <w:tcW w:w="1252" w:type="dxa"/>
                  <w:vAlign w:val="center"/>
                </w:tcPr>
                <w:p w14:paraId="2037D6D8">
                  <w:pPr>
                    <w:pStyle w:val="77"/>
                    <w:spacing w:line="240" w:lineRule="auto"/>
                    <w:rPr>
                      <w:color w:val="auto"/>
                      <w:sz w:val="21"/>
                      <w:highlight w:val="none"/>
                    </w:rPr>
                  </w:pPr>
                  <w:r>
                    <w:rPr>
                      <w:color w:val="auto"/>
                      <w:sz w:val="21"/>
                      <w:highlight w:val="none"/>
                    </w:rPr>
                    <w:t>烟气流速、烟气温度、烟气压力、烟气量</w:t>
                  </w:r>
                </w:p>
              </w:tc>
              <w:tc>
                <w:tcPr>
                  <w:tcW w:w="1319" w:type="dxa"/>
                  <w:vAlign w:val="center"/>
                </w:tcPr>
                <w:p w14:paraId="1BD7CBCC">
                  <w:pPr>
                    <w:pStyle w:val="77"/>
                    <w:spacing w:line="240" w:lineRule="auto"/>
                    <w:rPr>
                      <w:rFonts w:hint="default"/>
                      <w:color w:val="auto"/>
                      <w:sz w:val="21"/>
                      <w:highlight w:val="none"/>
                      <w:lang w:val="en-US"/>
                    </w:rPr>
                  </w:pPr>
                  <w:r>
                    <w:rPr>
                      <w:rFonts w:hint="eastAsia"/>
                      <w:color w:val="auto"/>
                      <w:sz w:val="21"/>
                      <w:highlight w:val="none"/>
                    </w:rPr>
                    <w:t>颗粒物</w:t>
                  </w:r>
                  <w:r>
                    <w:rPr>
                      <w:rFonts w:hint="eastAsia"/>
                      <w:color w:val="auto"/>
                      <w:sz w:val="21"/>
                      <w:highlight w:val="none"/>
                      <w:lang w:eastAsia="zh-CN"/>
                    </w:rPr>
                    <w:t>、</w:t>
                  </w:r>
                  <w:r>
                    <w:rPr>
                      <w:rFonts w:hint="eastAsia"/>
                      <w:color w:val="auto"/>
                      <w:sz w:val="21"/>
                      <w:highlight w:val="none"/>
                      <w:lang w:val="en-US" w:eastAsia="zh-CN"/>
                    </w:rPr>
                    <w:t>非甲烷总烃、二甲苯、醋酸丁酯</w:t>
                  </w:r>
                </w:p>
              </w:tc>
              <w:tc>
                <w:tcPr>
                  <w:tcW w:w="1092" w:type="dxa"/>
                  <w:vAlign w:val="center"/>
                </w:tcPr>
                <w:p w14:paraId="341DE629">
                  <w:pPr>
                    <w:jc w:val="center"/>
                    <w:rPr>
                      <w:color w:val="auto"/>
                      <w:sz w:val="21"/>
                      <w:szCs w:val="21"/>
                      <w:highlight w:val="none"/>
                    </w:rPr>
                  </w:pPr>
                  <w:r>
                    <w:rPr>
                      <w:color w:val="auto"/>
                      <w:sz w:val="21"/>
                      <w:szCs w:val="21"/>
                      <w:highlight w:val="none"/>
                    </w:rPr>
                    <w:t>手工监测</w:t>
                  </w:r>
                </w:p>
              </w:tc>
              <w:tc>
                <w:tcPr>
                  <w:tcW w:w="2398" w:type="dxa"/>
                  <w:vAlign w:val="center"/>
                </w:tcPr>
                <w:p w14:paraId="084415C4">
                  <w:pPr>
                    <w:jc w:val="center"/>
                    <w:rPr>
                      <w:color w:val="auto"/>
                      <w:sz w:val="21"/>
                      <w:szCs w:val="21"/>
                      <w:highlight w:val="none"/>
                    </w:rPr>
                  </w:pPr>
                  <w:r>
                    <w:rPr>
                      <w:color w:val="auto"/>
                      <w:sz w:val="21"/>
                      <w:szCs w:val="21"/>
                      <w:highlight w:val="none"/>
                    </w:rPr>
                    <w:t>非连续采样，至少3个</w:t>
                  </w:r>
                </w:p>
              </w:tc>
              <w:tc>
                <w:tcPr>
                  <w:tcW w:w="1161" w:type="dxa"/>
                  <w:vAlign w:val="center"/>
                </w:tcPr>
                <w:p w14:paraId="1C005E5F">
                  <w:pPr>
                    <w:pStyle w:val="77"/>
                    <w:spacing w:line="240" w:lineRule="auto"/>
                    <w:rPr>
                      <w:rFonts w:hint="eastAsia"/>
                      <w:color w:val="auto"/>
                      <w:sz w:val="21"/>
                      <w:highlight w:val="none"/>
                      <w:lang w:val="en-US" w:eastAsia="zh-CN"/>
                    </w:rPr>
                  </w:pPr>
                  <w:r>
                    <w:rPr>
                      <w:rFonts w:hint="eastAsia"/>
                      <w:color w:val="auto"/>
                      <w:sz w:val="21"/>
                      <w:highlight w:val="none"/>
                      <w:lang w:val="en-US" w:eastAsia="zh-CN"/>
                    </w:rPr>
                    <w:t>一</w:t>
                  </w:r>
                  <w:r>
                    <w:rPr>
                      <w:color w:val="auto"/>
                      <w:sz w:val="21"/>
                      <w:highlight w:val="none"/>
                    </w:rPr>
                    <w:t>年一次</w:t>
                  </w:r>
                </w:p>
              </w:tc>
            </w:tr>
            <w:tr w14:paraId="6C56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dxa"/>
                  <w:vAlign w:val="center"/>
                </w:tcPr>
                <w:p w14:paraId="7D0B013A">
                  <w:pPr>
                    <w:jc w:val="center"/>
                    <w:rPr>
                      <w:color w:val="auto"/>
                      <w:sz w:val="21"/>
                      <w:szCs w:val="21"/>
                      <w:highlight w:val="none"/>
                    </w:rPr>
                  </w:pPr>
                  <w:r>
                    <w:rPr>
                      <w:color w:val="auto"/>
                      <w:sz w:val="21"/>
                      <w:szCs w:val="21"/>
                      <w:highlight w:val="none"/>
                    </w:rPr>
                    <w:t>厂界</w:t>
                  </w:r>
                </w:p>
              </w:tc>
              <w:tc>
                <w:tcPr>
                  <w:tcW w:w="1252" w:type="dxa"/>
                  <w:vAlign w:val="center"/>
                </w:tcPr>
                <w:p w14:paraId="7F187F2C">
                  <w:pPr>
                    <w:jc w:val="center"/>
                    <w:rPr>
                      <w:color w:val="auto"/>
                      <w:sz w:val="21"/>
                      <w:szCs w:val="21"/>
                      <w:highlight w:val="none"/>
                    </w:rPr>
                  </w:pPr>
                  <w:r>
                    <w:rPr>
                      <w:color w:val="auto"/>
                      <w:sz w:val="21"/>
                      <w:szCs w:val="21"/>
                      <w:highlight w:val="none"/>
                    </w:rPr>
                    <w:t>温度，湿度，气压，风速，风向</w:t>
                  </w:r>
                </w:p>
              </w:tc>
              <w:tc>
                <w:tcPr>
                  <w:tcW w:w="1319" w:type="dxa"/>
                  <w:vAlign w:val="center"/>
                </w:tcPr>
                <w:p w14:paraId="0830E850">
                  <w:pPr>
                    <w:jc w:val="center"/>
                    <w:rPr>
                      <w:rFonts w:hint="default" w:eastAsia="宋体"/>
                      <w:color w:val="auto"/>
                      <w:sz w:val="21"/>
                      <w:szCs w:val="21"/>
                      <w:highlight w:val="none"/>
                      <w:lang w:val="en-US" w:eastAsia="zh-CN"/>
                    </w:rPr>
                  </w:pPr>
                  <w:r>
                    <w:rPr>
                      <w:color w:val="auto"/>
                      <w:sz w:val="21"/>
                      <w:szCs w:val="21"/>
                      <w:highlight w:val="none"/>
                    </w:rPr>
                    <w:t>颗粒物</w:t>
                  </w:r>
                  <w:r>
                    <w:rPr>
                      <w:rFonts w:hint="eastAsia"/>
                      <w:color w:val="auto"/>
                      <w:sz w:val="21"/>
                      <w:szCs w:val="21"/>
                      <w:highlight w:val="none"/>
                    </w:rPr>
                    <w:t>、</w:t>
                  </w:r>
                  <w:r>
                    <w:rPr>
                      <w:rFonts w:hint="eastAsia"/>
                      <w:color w:val="auto"/>
                      <w:sz w:val="21"/>
                      <w:highlight w:val="none"/>
                    </w:rPr>
                    <w:t>非甲烷总烃</w:t>
                  </w:r>
                  <w:r>
                    <w:rPr>
                      <w:rFonts w:hint="eastAsia"/>
                      <w:color w:val="auto"/>
                      <w:sz w:val="21"/>
                      <w:highlight w:val="none"/>
                      <w:lang w:eastAsia="zh-CN"/>
                    </w:rPr>
                    <w:t>、</w:t>
                  </w:r>
                  <w:r>
                    <w:rPr>
                      <w:rFonts w:hint="eastAsia"/>
                      <w:color w:val="auto"/>
                      <w:sz w:val="21"/>
                      <w:highlight w:val="none"/>
                      <w:lang w:val="en-US" w:eastAsia="zh-CN"/>
                    </w:rPr>
                    <w:t>二甲苯、醋酸丁酯、苯乙烯</w:t>
                  </w:r>
                </w:p>
              </w:tc>
              <w:tc>
                <w:tcPr>
                  <w:tcW w:w="1092" w:type="dxa"/>
                  <w:vAlign w:val="center"/>
                </w:tcPr>
                <w:p w14:paraId="45D0BF27">
                  <w:pPr>
                    <w:jc w:val="center"/>
                    <w:rPr>
                      <w:color w:val="auto"/>
                      <w:sz w:val="21"/>
                      <w:szCs w:val="21"/>
                      <w:highlight w:val="none"/>
                    </w:rPr>
                  </w:pPr>
                  <w:r>
                    <w:rPr>
                      <w:color w:val="auto"/>
                      <w:sz w:val="21"/>
                      <w:szCs w:val="21"/>
                      <w:highlight w:val="none"/>
                    </w:rPr>
                    <w:t>手工监测</w:t>
                  </w:r>
                </w:p>
              </w:tc>
              <w:tc>
                <w:tcPr>
                  <w:tcW w:w="2398" w:type="dxa"/>
                  <w:vAlign w:val="center"/>
                </w:tcPr>
                <w:p w14:paraId="170E5948">
                  <w:pPr>
                    <w:jc w:val="center"/>
                    <w:rPr>
                      <w:color w:val="auto"/>
                      <w:sz w:val="21"/>
                      <w:szCs w:val="21"/>
                      <w:highlight w:val="none"/>
                    </w:rPr>
                  </w:pPr>
                  <w:r>
                    <w:rPr>
                      <w:color w:val="auto"/>
                      <w:sz w:val="21"/>
                      <w:szCs w:val="21"/>
                      <w:highlight w:val="none"/>
                    </w:rPr>
                    <w:t>连续采样</w:t>
                  </w:r>
                </w:p>
              </w:tc>
              <w:tc>
                <w:tcPr>
                  <w:tcW w:w="1161" w:type="dxa"/>
                  <w:vAlign w:val="center"/>
                </w:tcPr>
                <w:p w14:paraId="1DA5B937">
                  <w:pPr>
                    <w:jc w:val="center"/>
                    <w:rPr>
                      <w:color w:val="auto"/>
                      <w:sz w:val="21"/>
                      <w:szCs w:val="21"/>
                      <w:highlight w:val="none"/>
                    </w:rPr>
                  </w:pPr>
                  <w:r>
                    <w:rPr>
                      <w:rFonts w:hint="eastAsia"/>
                      <w:color w:val="auto"/>
                      <w:sz w:val="21"/>
                      <w:highlight w:val="none"/>
                      <w:lang w:val="en-US" w:eastAsia="zh-CN"/>
                    </w:rPr>
                    <w:t>一</w:t>
                  </w:r>
                  <w:r>
                    <w:rPr>
                      <w:color w:val="auto"/>
                      <w:sz w:val="21"/>
                      <w:highlight w:val="none"/>
                    </w:rPr>
                    <w:t>年一次</w:t>
                  </w:r>
                </w:p>
              </w:tc>
            </w:tr>
          </w:tbl>
          <w:p w14:paraId="6EF5DC5E">
            <w:pPr>
              <w:adjustRightInd w:val="0"/>
              <w:snapToGrid w:val="0"/>
              <w:spacing w:before="120" w:beforeLines="50"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w:t>
            </w:r>
            <w:r>
              <w:rPr>
                <w:color w:val="auto"/>
                <w:highlight w:val="none"/>
              </w:rPr>
              <w:t>非正常工况</w:t>
            </w:r>
          </w:p>
          <w:p w14:paraId="2448AAA9">
            <w:pPr>
              <w:spacing w:line="360" w:lineRule="auto"/>
              <w:ind w:firstLine="480" w:firstLineChars="200"/>
              <w:rPr>
                <w:color w:val="auto"/>
                <w:highlight w:val="none"/>
              </w:rPr>
            </w:pPr>
            <w:r>
              <w:rPr>
                <w:color w:val="auto"/>
                <w:highlight w:val="none"/>
              </w:rPr>
              <w:t>非正常排放是指生产过程中开停车（工、炉）、设备检修、工艺设备运转异常等非正常工况下的污染物排放，以及污染物排放控制措施达不到应有效率等情况下的排放。项目废气非正常工况排放主要为</w:t>
            </w:r>
            <w:r>
              <w:rPr>
                <w:rFonts w:hint="eastAsia"/>
                <w:color w:val="auto"/>
                <w:highlight w:val="none"/>
                <w:lang w:val="en-US" w:eastAsia="zh-CN"/>
              </w:rPr>
              <w:t>一次水喷淋设施、二级活性炭吸附装置合RCO装置</w:t>
            </w:r>
            <w:r>
              <w:rPr>
                <w:color w:val="auto"/>
                <w:highlight w:val="none"/>
              </w:rPr>
              <w:t>发生故障时，废气处理效率仅为</w:t>
            </w:r>
            <w:r>
              <w:rPr>
                <w:rFonts w:hint="eastAsia"/>
                <w:color w:val="auto"/>
                <w:highlight w:val="none"/>
                <w:lang w:val="en-US" w:eastAsia="zh-CN"/>
              </w:rPr>
              <w:t>5</w:t>
            </w:r>
            <w:r>
              <w:rPr>
                <w:color w:val="auto"/>
                <w:highlight w:val="none"/>
              </w:rPr>
              <w:t>0%的状态进行估算，但废气收集系统可以正常运行，废气处理设施出现故障不能正常运行时，应立即停产进行维修，避免对周围环境造成污染。废气非正常工况源强情况见</w:t>
            </w:r>
            <w:r>
              <w:rPr>
                <w:rFonts w:hint="eastAsia"/>
                <w:color w:val="auto"/>
                <w:highlight w:val="none"/>
              </w:rPr>
              <w:t>下</w:t>
            </w:r>
            <w:r>
              <w:rPr>
                <w:color w:val="auto"/>
                <w:highlight w:val="none"/>
              </w:rPr>
              <w:t>表。</w:t>
            </w:r>
          </w:p>
          <w:p w14:paraId="5313E11A">
            <w:pPr>
              <w:jc w:val="center"/>
              <w:rPr>
                <w:b/>
                <w:bCs/>
                <w:color w:val="auto"/>
                <w:highlight w:val="none"/>
              </w:rPr>
            </w:pPr>
            <w:r>
              <w:rPr>
                <w:b/>
                <w:bCs/>
                <w:color w:val="auto"/>
                <w:highlight w:val="none"/>
              </w:rPr>
              <w:t>表4</w:t>
            </w:r>
            <w:r>
              <w:rPr>
                <w:rFonts w:hint="eastAsia"/>
                <w:b/>
                <w:bCs/>
                <w:color w:val="auto"/>
                <w:highlight w:val="none"/>
                <w:lang w:val="en-US" w:eastAsia="zh-CN"/>
              </w:rPr>
              <w:t>-8</w:t>
            </w:r>
            <w:r>
              <w:rPr>
                <w:b/>
                <w:bCs/>
                <w:color w:val="auto"/>
                <w:highlight w:val="none"/>
              </w:rPr>
              <w:t xml:space="preserve">  废气非正常工况排放量核算表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20"/>
              <w:gridCol w:w="780"/>
              <w:gridCol w:w="1140"/>
              <w:gridCol w:w="1245"/>
              <w:gridCol w:w="994"/>
              <w:gridCol w:w="783"/>
              <w:gridCol w:w="775"/>
              <w:gridCol w:w="1285"/>
            </w:tblGrid>
            <w:tr w14:paraId="5EB7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Align w:val="center"/>
                </w:tcPr>
                <w:p w14:paraId="518BE67E">
                  <w:pPr>
                    <w:jc w:val="center"/>
                    <w:rPr>
                      <w:b/>
                      <w:bCs/>
                      <w:color w:val="auto"/>
                      <w:sz w:val="21"/>
                      <w:szCs w:val="21"/>
                      <w:highlight w:val="none"/>
                    </w:rPr>
                  </w:pPr>
                  <w:r>
                    <w:rPr>
                      <w:b/>
                      <w:bCs/>
                      <w:color w:val="auto"/>
                      <w:sz w:val="21"/>
                      <w:szCs w:val="21"/>
                      <w:highlight w:val="none"/>
                    </w:rPr>
                    <w:t>序号</w:t>
                  </w:r>
                </w:p>
              </w:tc>
              <w:tc>
                <w:tcPr>
                  <w:tcW w:w="720" w:type="dxa"/>
                  <w:vAlign w:val="center"/>
                </w:tcPr>
                <w:p w14:paraId="641AA695">
                  <w:pPr>
                    <w:jc w:val="center"/>
                    <w:rPr>
                      <w:b/>
                      <w:bCs/>
                      <w:color w:val="auto"/>
                      <w:sz w:val="21"/>
                      <w:szCs w:val="21"/>
                      <w:highlight w:val="none"/>
                    </w:rPr>
                  </w:pPr>
                  <w:r>
                    <w:rPr>
                      <w:b/>
                      <w:bCs/>
                      <w:color w:val="auto"/>
                      <w:sz w:val="21"/>
                      <w:szCs w:val="21"/>
                      <w:highlight w:val="none"/>
                    </w:rPr>
                    <w:t>污染源</w:t>
                  </w:r>
                </w:p>
              </w:tc>
              <w:tc>
                <w:tcPr>
                  <w:tcW w:w="780" w:type="dxa"/>
                  <w:vAlign w:val="center"/>
                </w:tcPr>
                <w:p w14:paraId="611F96BB">
                  <w:pPr>
                    <w:jc w:val="center"/>
                    <w:rPr>
                      <w:b/>
                      <w:bCs/>
                      <w:color w:val="auto"/>
                      <w:sz w:val="21"/>
                      <w:szCs w:val="21"/>
                      <w:highlight w:val="none"/>
                    </w:rPr>
                  </w:pPr>
                  <w:r>
                    <w:rPr>
                      <w:b/>
                      <w:bCs/>
                      <w:color w:val="auto"/>
                      <w:sz w:val="21"/>
                      <w:szCs w:val="21"/>
                      <w:highlight w:val="none"/>
                    </w:rPr>
                    <w:t>非正常排放原因</w:t>
                  </w:r>
                </w:p>
              </w:tc>
              <w:tc>
                <w:tcPr>
                  <w:tcW w:w="1140" w:type="dxa"/>
                  <w:vAlign w:val="center"/>
                </w:tcPr>
                <w:p w14:paraId="1AF9B5BD">
                  <w:pPr>
                    <w:jc w:val="center"/>
                    <w:rPr>
                      <w:b/>
                      <w:bCs/>
                      <w:color w:val="auto"/>
                      <w:sz w:val="21"/>
                      <w:szCs w:val="21"/>
                      <w:highlight w:val="none"/>
                    </w:rPr>
                  </w:pPr>
                  <w:r>
                    <w:rPr>
                      <w:b/>
                      <w:bCs/>
                      <w:color w:val="auto"/>
                      <w:sz w:val="21"/>
                      <w:szCs w:val="21"/>
                      <w:highlight w:val="none"/>
                    </w:rPr>
                    <w:t>污染物</w:t>
                  </w:r>
                </w:p>
              </w:tc>
              <w:tc>
                <w:tcPr>
                  <w:tcW w:w="1245" w:type="dxa"/>
                  <w:vAlign w:val="center"/>
                </w:tcPr>
                <w:p w14:paraId="16B04722">
                  <w:pPr>
                    <w:jc w:val="center"/>
                    <w:rPr>
                      <w:b/>
                      <w:bCs/>
                      <w:color w:val="auto"/>
                      <w:sz w:val="21"/>
                      <w:szCs w:val="21"/>
                      <w:highlight w:val="none"/>
                    </w:rPr>
                  </w:pPr>
                  <w:r>
                    <w:rPr>
                      <w:b/>
                      <w:bCs/>
                      <w:color w:val="auto"/>
                      <w:sz w:val="21"/>
                      <w:szCs w:val="21"/>
                      <w:highlight w:val="none"/>
                    </w:rPr>
                    <w:t>非正常排放</w:t>
                  </w:r>
                  <w:r>
                    <w:rPr>
                      <w:rFonts w:hint="eastAsia"/>
                      <w:b/>
                      <w:bCs/>
                      <w:color w:val="auto"/>
                      <w:sz w:val="21"/>
                      <w:szCs w:val="21"/>
                      <w:highlight w:val="none"/>
                      <w:lang w:val="en-US" w:eastAsia="zh-CN"/>
                    </w:rPr>
                    <w:t>浓度（mg/m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w:t>
                  </w:r>
                </w:p>
              </w:tc>
              <w:tc>
                <w:tcPr>
                  <w:tcW w:w="994" w:type="dxa"/>
                  <w:vAlign w:val="center"/>
                </w:tcPr>
                <w:p w14:paraId="3EEA1B02">
                  <w:pPr>
                    <w:jc w:val="center"/>
                    <w:rPr>
                      <w:rFonts w:hint="eastAsia" w:eastAsia="宋体"/>
                      <w:b/>
                      <w:bCs/>
                      <w:color w:val="auto"/>
                      <w:sz w:val="21"/>
                      <w:szCs w:val="21"/>
                      <w:highlight w:val="none"/>
                      <w:lang w:val="en-US" w:eastAsia="zh-CN"/>
                    </w:rPr>
                  </w:pPr>
                  <w:r>
                    <w:rPr>
                      <w:b/>
                      <w:bCs/>
                      <w:color w:val="auto"/>
                      <w:sz w:val="21"/>
                      <w:szCs w:val="21"/>
                      <w:highlight w:val="none"/>
                    </w:rPr>
                    <w:t>非正常排放速率/（kg/h）</w:t>
                  </w:r>
                </w:p>
              </w:tc>
              <w:tc>
                <w:tcPr>
                  <w:tcW w:w="783" w:type="dxa"/>
                  <w:vAlign w:val="center"/>
                </w:tcPr>
                <w:p w14:paraId="04EEE5FB">
                  <w:pPr>
                    <w:jc w:val="center"/>
                    <w:rPr>
                      <w:b/>
                      <w:bCs/>
                      <w:color w:val="auto"/>
                      <w:sz w:val="21"/>
                      <w:szCs w:val="21"/>
                      <w:highlight w:val="none"/>
                    </w:rPr>
                  </w:pPr>
                  <w:r>
                    <w:rPr>
                      <w:b/>
                      <w:bCs/>
                      <w:color w:val="auto"/>
                      <w:sz w:val="21"/>
                      <w:szCs w:val="21"/>
                      <w:highlight w:val="none"/>
                    </w:rPr>
                    <w:t>单次持续时间/h</w:t>
                  </w:r>
                </w:p>
              </w:tc>
              <w:tc>
                <w:tcPr>
                  <w:tcW w:w="775" w:type="dxa"/>
                  <w:vAlign w:val="center"/>
                </w:tcPr>
                <w:p w14:paraId="41507A42">
                  <w:pPr>
                    <w:jc w:val="center"/>
                    <w:rPr>
                      <w:b/>
                      <w:bCs/>
                      <w:color w:val="auto"/>
                      <w:sz w:val="21"/>
                      <w:szCs w:val="21"/>
                      <w:highlight w:val="none"/>
                    </w:rPr>
                  </w:pPr>
                  <w:r>
                    <w:rPr>
                      <w:b/>
                      <w:bCs/>
                      <w:color w:val="auto"/>
                      <w:sz w:val="21"/>
                      <w:szCs w:val="21"/>
                      <w:highlight w:val="none"/>
                    </w:rPr>
                    <w:t>单次发生频次/次</w:t>
                  </w:r>
                </w:p>
              </w:tc>
              <w:tc>
                <w:tcPr>
                  <w:tcW w:w="1285" w:type="dxa"/>
                  <w:vAlign w:val="center"/>
                </w:tcPr>
                <w:p w14:paraId="019C279C">
                  <w:pPr>
                    <w:jc w:val="center"/>
                    <w:rPr>
                      <w:b/>
                      <w:bCs/>
                      <w:color w:val="auto"/>
                      <w:sz w:val="21"/>
                      <w:szCs w:val="21"/>
                      <w:highlight w:val="none"/>
                    </w:rPr>
                  </w:pPr>
                  <w:r>
                    <w:rPr>
                      <w:b/>
                      <w:bCs/>
                      <w:color w:val="auto"/>
                      <w:sz w:val="21"/>
                      <w:szCs w:val="21"/>
                      <w:highlight w:val="none"/>
                    </w:rPr>
                    <w:t>应对措施</w:t>
                  </w:r>
                </w:p>
              </w:tc>
            </w:tr>
            <w:tr w14:paraId="4ADF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096BE77B">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720" w:type="dxa"/>
                  <w:vAlign w:val="center"/>
                </w:tcPr>
                <w:p w14:paraId="779BAE71">
                  <w:pPr>
                    <w:jc w:val="center"/>
                    <w:rPr>
                      <w:rFonts w:hint="default"/>
                      <w:color w:val="auto"/>
                      <w:sz w:val="21"/>
                      <w:szCs w:val="21"/>
                      <w:highlight w:val="none"/>
                      <w:lang w:val="en-US" w:eastAsia="zh-CN"/>
                    </w:rPr>
                  </w:pPr>
                  <w:r>
                    <w:rPr>
                      <w:rFonts w:hint="eastAsia"/>
                      <w:color w:val="auto"/>
                      <w:sz w:val="21"/>
                      <w:szCs w:val="21"/>
                      <w:highlight w:val="none"/>
                      <w:lang w:val="en-US" w:eastAsia="zh-CN"/>
                    </w:rPr>
                    <w:t>注塑</w:t>
                  </w:r>
                </w:p>
              </w:tc>
              <w:tc>
                <w:tcPr>
                  <w:tcW w:w="780" w:type="dxa"/>
                  <w:vMerge w:val="restart"/>
                  <w:vAlign w:val="center"/>
                </w:tcPr>
                <w:p w14:paraId="6E90EE11">
                  <w:pPr>
                    <w:jc w:val="center"/>
                    <w:rPr>
                      <w:color w:val="auto"/>
                      <w:sz w:val="21"/>
                      <w:szCs w:val="21"/>
                      <w:highlight w:val="none"/>
                    </w:rPr>
                  </w:pPr>
                  <w:r>
                    <w:rPr>
                      <w:color w:val="auto"/>
                      <w:sz w:val="21"/>
                      <w:szCs w:val="21"/>
                      <w:highlight w:val="none"/>
                    </w:rPr>
                    <w:t>废气处理设施故障，处理效率为</w:t>
                  </w:r>
                  <w:r>
                    <w:rPr>
                      <w:rFonts w:hint="eastAsia"/>
                      <w:color w:val="auto"/>
                      <w:sz w:val="21"/>
                      <w:szCs w:val="21"/>
                      <w:highlight w:val="none"/>
                      <w:lang w:val="en-US" w:eastAsia="zh-CN"/>
                    </w:rPr>
                    <w:t>5</w:t>
                  </w:r>
                  <w:r>
                    <w:rPr>
                      <w:color w:val="auto"/>
                      <w:sz w:val="21"/>
                      <w:szCs w:val="21"/>
                      <w:highlight w:val="none"/>
                    </w:rPr>
                    <w:t>0</w:t>
                  </w:r>
                  <w:r>
                    <w:rPr>
                      <w:rFonts w:hint="eastAsia"/>
                      <w:color w:val="auto"/>
                      <w:sz w:val="21"/>
                      <w:szCs w:val="21"/>
                      <w:highlight w:val="none"/>
                    </w:rPr>
                    <w:t>%</w:t>
                  </w:r>
                </w:p>
              </w:tc>
              <w:tc>
                <w:tcPr>
                  <w:tcW w:w="1140" w:type="dxa"/>
                  <w:vAlign w:val="center"/>
                </w:tcPr>
                <w:p w14:paraId="4D58AB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1245" w:type="dxa"/>
                  <w:vAlign w:val="center"/>
                </w:tcPr>
                <w:p w14:paraId="3C1655AD">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9.375</w:t>
                  </w:r>
                </w:p>
              </w:tc>
              <w:tc>
                <w:tcPr>
                  <w:tcW w:w="994" w:type="dxa"/>
                  <w:vAlign w:val="center"/>
                </w:tcPr>
                <w:p w14:paraId="4AF7106B">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0.113</w:t>
                  </w:r>
                </w:p>
              </w:tc>
              <w:tc>
                <w:tcPr>
                  <w:tcW w:w="783" w:type="dxa"/>
                  <w:vAlign w:val="center"/>
                </w:tcPr>
                <w:p w14:paraId="1964558A">
                  <w:pPr>
                    <w:jc w:val="center"/>
                    <w:rPr>
                      <w:color w:val="auto"/>
                      <w:sz w:val="21"/>
                      <w:szCs w:val="21"/>
                      <w:highlight w:val="none"/>
                    </w:rPr>
                  </w:pPr>
                  <w:r>
                    <w:rPr>
                      <w:color w:val="auto"/>
                      <w:sz w:val="21"/>
                      <w:szCs w:val="21"/>
                      <w:highlight w:val="none"/>
                    </w:rPr>
                    <w:t>0.5</w:t>
                  </w:r>
                </w:p>
              </w:tc>
              <w:tc>
                <w:tcPr>
                  <w:tcW w:w="775" w:type="dxa"/>
                  <w:vAlign w:val="center"/>
                </w:tcPr>
                <w:p w14:paraId="04544B05">
                  <w:pPr>
                    <w:jc w:val="center"/>
                    <w:rPr>
                      <w:color w:val="auto"/>
                      <w:sz w:val="21"/>
                      <w:szCs w:val="21"/>
                      <w:highlight w:val="none"/>
                    </w:rPr>
                  </w:pPr>
                  <w:r>
                    <w:rPr>
                      <w:color w:val="auto"/>
                      <w:sz w:val="21"/>
                      <w:szCs w:val="21"/>
                      <w:highlight w:val="none"/>
                    </w:rPr>
                    <w:t>1</w:t>
                  </w:r>
                </w:p>
              </w:tc>
              <w:tc>
                <w:tcPr>
                  <w:tcW w:w="1285" w:type="dxa"/>
                  <w:vMerge w:val="restart"/>
                  <w:vAlign w:val="center"/>
                </w:tcPr>
                <w:p w14:paraId="7251B450">
                  <w:pPr>
                    <w:jc w:val="center"/>
                    <w:rPr>
                      <w:color w:val="auto"/>
                      <w:sz w:val="21"/>
                      <w:szCs w:val="21"/>
                      <w:highlight w:val="none"/>
                    </w:rPr>
                  </w:pPr>
                  <w:r>
                    <w:rPr>
                      <w:color w:val="auto"/>
                      <w:sz w:val="21"/>
                      <w:szCs w:val="21"/>
                      <w:highlight w:val="none"/>
                    </w:rPr>
                    <w:t>立即停止生产，关闭排放阀，及时维修</w:t>
                  </w:r>
                </w:p>
              </w:tc>
            </w:tr>
            <w:tr w14:paraId="56DB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26" w:type="dxa"/>
                  <w:vMerge w:val="restart"/>
                  <w:vAlign w:val="center"/>
                </w:tcPr>
                <w:p w14:paraId="7BE11D64">
                  <w:pPr>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720" w:type="dxa"/>
                  <w:vMerge w:val="restart"/>
                  <w:vAlign w:val="center"/>
                </w:tcPr>
                <w:p w14:paraId="7F6A3A11">
                  <w:pPr>
                    <w:jc w:val="center"/>
                    <w:rPr>
                      <w:rFonts w:hint="default"/>
                      <w:color w:val="auto"/>
                      <w:sz w:val="21"/>
                      <w:szCs w:val="21"/>
                      <w:highlight w:val="none"/>
                      <w:lang w:val="en-US" w:eastAsia="zh-CN"/>
                    </w:rPr>
                  </w:pPr>
                  <w:r>
                    <w:rPr>
                      <w:rFonts w:hint="eastAsia"/>
                      <w:color w:val="auto"/>
                      <w:sz w:val="21"/>
                      <w:szCs w:val="21"/>
                      <w:highlight w:val="none"/>
                      <w:lang w:val="en-US" w:eastAsia="zh-CN"/>
                    </w:rPr>
                    <w:t>喷漆</w:t>
                  </w:r>
                </w:p>
              </w:tc>
              <w:tc>
                <w:tcPr>
                  <w:tcW w:w="780" w:type="dxa"/>
                  <w:vMerge w:val="continue"/>
                  <w:vAlign w:val="center"/>
                </w:tcPr>
                <w:p w14:paraId="5FE859F3">
                  <w:pPr>
                    <w:jc w:val="center"/>
                    <w:rPr>
                      <w:color w:val="auto"/>
                      <w:sz w:val="21"/>
                      <w:szCs w:val="21"/>
                      <w:highlight w:val="none"/>
                    </w:rPr>
                  </w:pPr>
                </w:p>
              </w:tc>
              <w:tc>
                <w:tcPr>
                  <w:tcW w:w="1140" w:type="dxa"/>
                  <w:vAlign w:val="center"/>
                </w:tcPr>
                <w:p w14:paraId="779C7B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1245" w:type="dxa"/>
                  <w:vAlign w:val="center"/>
                </w:tcPr>
                <w:p w14:paraId="6380CA75">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32</w:t>
                  </w:r>
                </w:p>
              </w:tc>
              <w:tc>
                <w:tcPr>
                  <w:tcW w:w="994" w:type="dxa"/>
                  <w:vAlign w:val="center"/>
                </w:tcPr>
                <w:p w14:paraId="5E398B3E">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0.32</w:t>
                  </w:r>
                </w:p>
              </w:tc>
              <w:tc>
                <w:tcPr>
                  <w:tcW w:w="783" w:type="dxa"/>
                  <w:vAlign w:val="center"/>
                </w:tcPr>
                <w:p w14:paraId="586CEFF8">
                  <w:pPr>
                    <w:jc w:val="center"/>
                    <w:rPr>
                      <w:color w:val="auto"/>
                      <w:sz w:val="21"/>
                      <w:szCs w:val="21"/>
                      <w:highlight w:val="none"/>
                    </w:rPr>
                  </w:pPr>
                  <w:r>
                    <w:rPr>
                      <w:color w:val="auto"/>
                      <w:sz w:val="21"/>
                      <w:szCs w:val="21"/>
                      <w:highlight w:val="none"/>
                    </w:rPr>
                    <w:t>0.5</w:t>
                  </w:r>
                </w:p>
              </w:tc>
              <w:tc>
                <w:tcPr>
                  <w:tcW w:w="775" w:type="dxa"/>
                  <w:vAlign w:val="center"/>
                </w:tcPr>
                <w:p w14:paraId="55DA7CEB">
                  <w:pPr>
                    <w:jc w:val="center"/>
                    <w:rPr>
                      <w:color w:val="auto"/>
                      <w:sz w:val="21"/>
                      <w:szCs w:val="21"/>
                      <w:highlight w:val="none"/>
                    </w:rPr>
                  </w:pPr>
                  <w:r>
                    <w:rPr>
                      <w:color w:val="auto"/>
                      <w:sz w:val="21"/>
                      <w:szCs w:val="21"/>
                      <w:highlight w:val="none"/>
                    </w:rPr>
                    <w:t>1</w:t>
                  </w:r>
                </w:p>
              </w:tc>
              <w:tc>
                <w:tcPr>
                  <w:tcW w:w="1285" w:type="dxa"/>
                  <w:vMerge w:val="continue"/>
                  <w:vAlign w:val="center"/>
                </w:tcPr>
                <w:p w14:paraId="31F1240C">
                  <w:pPr>
                    <w:jc w:val="center"/>
                    <w:rPr>
                      <w:color w:val="auto"/>
                      <w:sz w:val="21"/>
                      <w:szCs w:val="21"/>
                      <w:highlight w:val="none"/>
                    </w:rPr>
                  </w:pPr>
                </w:p>
              </w:tc>
            </w:tr>
            <w:tr w14:paraId="4C49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B4B1ED4">
                  <w:pPr>
                    <w:jc w:val="center"/>
                    <w:rPr>
                      <w:rFonts w:hint="eastAsia"/>
                      <w:color w:val="auto"/>
                      <w:sz w:val="21"/>
                      <w:szCs w:val="21"/>
                      <w:highlight w:val="none"/>
                      <w:lang w:val="en-US" w:eastAsia="zh-CN"/>
                    </w:rPr>
                  </w:pPr>
                </w:p>
              </w:tc>
              <w:tc>
                <w:tcPr>
                  <w:tcW w:w="720" w:type="dxa"/>
                  <w:vMerge w:val="continue"/>
                  <w:vAlign w:val="center"/>
                </w:tcPr>
                <w:p w14:paraId="758E5DE7">
                  <w:pPr>
                    <w:jc w:val="center"/>
                    <w:rPr>
                      <w:rFonts w:hint="eastAsia"/>
                      <w:color w:val="auto"/>
                      <w:sz w:val="21"/>
                      <w:szCs w:val="21"/>
                      <w:highlight w:val="none"/>
                      <w:lang w:val="en-US" w:eastAsia="zh-CN"/>
                    </w:rPr>
                  </w:pPr>
                </w:p>
              </w:tc>
              <w:tc>
                <w:tcPr>
                  <w:tcW w:w="780" w:type="dxa"/>
                  <w:vMerge w:val="continue"/>
                  <w:vAlign w:val="center"/>
                </w:tcPr>
                <w:p w14:paraId="1F374AAD">
                  <w:pPr>
                    <w:jc w:val="center"/>
                    <w:rPr>
                      <w:color w:val="auto"/>
                      <w:sz w:val="21"/>
                      <w:szCs w:val="21"/>
                      <w:highlight w:val="none"/>
                    </w:rPr>
                  </w:pPr>
                </w:p>
              </w:tc>
              <w:tc>
                <w:tcPr>
                  <w:tcW w:w="1140" w:type="dxa"/>
                  <w:vAlign w:val="center"/>
                </w:tcPr>
                <w:p w14:paraId="0A923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1245" w:type="dxa"/>
                  <w:vAlign w:val="center"/>
                </w:tcPr>
                <w:p w14:paraId="242D9F80">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64.021</w:t>
                  </w:r>
                </w:p>
              </w:tc>
              <w:tc>
                <w:tcPr>
                  <w:tcW w:w="994" w:type="dxa"/>
                  <w:vAlign w:val="center"/>
                </w:tcPr>
                <w:p w14:paraId="240B9D4C">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0.64</w:t>
                  </w:r>
                </w:p>
              </w:tc>
              <w:tc>
                <w:tcPr>
                  <w:tcW w:w="783" w:type="dxa"/>
                  <w:vAlign w:val="center"/>
                </w:tcPr>
                <w:p w14:paraId="51FBFEC1">
                  <w:pPr>
                    <w:jc w:val="center"/>
                    <w:rPr>
                      <w:color w:val="auto"/>
                      <w:sz w:val="21"/>
                      <w:szCs w:val="21"/>
                      <w:highlight w:val="none"/>
                    </w:rPr>
                  </w:pPr>
                  <w:r>
                    <w:rPr>
                      <w:color w:val="auto"/>
                      <w:sz w:val="21"/>
                      <w:szCs w:val="21"/>
                      <w:highlight w:val="none"/>
                    </w:rPr>
                    <w:t>0.5</w:t>
                  </w:r>
                </w:p>
              </w:tc>
              <w:tc>
                <w:tcPr>
                  <w:tcW w:w="775" w:type="dxa"/>
                  <w:vAlign w:val="center"/>
                </w:tcPr>
                <w:p w14:paraId="0F4AA7A3">
                  <w:pPr>
                    <w:jc w:val="center"/>
                    <w:rPr>
                      <w:color w:val="auto"/>
                      <w:sz w:val="21"/>
                      <w:szCs w:val="21"/>
                      <w:highlight w:val="none"/>
                    </w:rPr>
                  </w:pPr>
                  <w:r>
                    <w:rPr>
                      <w:color w:val="auto"/>
                      <w:sz w:val="21"/>
                      <w:szCs w:val="21"/>
                      <w:highlight w:val="none"/>
                    </w:rPr>
                    <w:t>1</w:t>
                  </w:r>
                </w:p>
              </w:tc>
              <w:tc>
                <w:tcPr>
                  <w:tcW w:w="1285" w:type="dxa"/>
                  <w:vMerge w:val="continue"/>
                  <w:vAlign w:val="center"/>
                </w:tcPr>
                <w:p w14:paraId="7373AA11">
                  <w:pPr>
                    <w:jc w:val="center"/>
                    <w:rPr>
                      <w:color w:val="auto"/>
                      <w:sz w:val="21"/>
                      <w:szCs w:val="21"/>
                      <w:highlight w:val="none"/>
                    </w:rPr>
                  </w:pPr>
                </w:p>
              </w:tc>
            </w:tr>
            <w:tr w14:paraId="1183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153BD117">
                  <w:pPr>
                    <w:jc w:val="center"/>
                    <w:rPr>
                      <w:rFonts w:hint="eastAsia"/>
                      <w:color w:val="auto"/>
                      <w:sz w:val="21"/>
                      <w:szCs w:val="21"/>
                      <w:highlight w:val="none"/>
                      <w:lang w:val="en-US" w:eastAsia="zh-CN"/>
                    </w:rPr>
                  </w:pPr>
                </w:p>
              </w:tc>
              <w:tc>
                <w:tcPr>
                  <w:tcW w:w="720" w:type="dxa"/>
                  <w:vMerge w:val="continue"/>
                  <w:vAlign w:val="center"/>
                </w:tcPr>
                <w:p w14:paraId="1F18C6F2">
                  <w:pPr>
                    <w:jc w:val="center"/>
                    <w:rPr>
                      <w:rFonts w:hint="eastAsia"/>
                      <w:color w:val="auto"/>
                      <w:sz w:val="21"/>
                      <w:szCs w:val="21"/>
                      <w:highlight w:val="none"/>
                      <w:lang w:val="en-US" w:eastAsia="zh-CN"/>
                    </w:rPr>
                  </w:pPr>
                </w:p>
              </w:tc>
              <w:tc>
                <w:tcPr>
                  <w:tcW w:w="780" w:type="dxa"/>
                  <w:vMerge w:val="continue"/>
                  <w:vAlign w:val="center"/>
                </w:tcPr>
                <w:p w14:paraId="5FF9D0D1">
                  <w:pPr>
                    <w:jc w:val="center"/>
                    <w:rPr>
                      <w:color w:val="auto"/>
                      <w:sz w:val="21"/>
                      <w:szCs w:val="21"/>
                      <w:highlight w:val="none"/>
                    </w:rPr>
                  </w:pPr>
                </w:p>
              </w:tc>
              <w:tc>
                <w:tcPr>
                  <w:tcW w:w="1140" w:type="dxa"/>
                  <w:vAlign w:val="center"/>
                </w:tcPr>
                <w:p w14:paraId="391BF7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二甲苯</w:t>
                  </w:r>
                </w:p>
              </w:tc>
              <w:tc>
                <w:tcPr>
                  <w:tcW w:w="1245" w:type="dxa"/>
                  <w:vAlign w:val="center"/>
                </w:tcPr>
                <w:p w14:paraId="20446B69">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2.875</w:t>
                  </w:r>
                </w:p>
              </w:tc>
              <w:tc>
                <w:tcPr>
                  <w:tcW w:w="994" w:type="dxa"/>
                  <w:vAlign w:val="center"/>
                </w:tcPr>
                <w:p w14:paraId="0746633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0.029</w:t>
                  </w:r>
                </w:p>
              </w:tc>
              <w:tc>
                <w:tcPr>
                  <w:tcW w:w="783" w:type="dxa"/>
                  <w:vAlign w:val="center"/>
                </w:tcPr>
                <w:p w14:paraId="115D7680">
                  <w:pPr>
                    <w:jc w:val="center"/>
                    <w:rPr>
                      <w:color w:val="auto"/>
                      <w:sz w:val="21"/>
                      <w:szCs w:val="21"/>
                      <w:highlight w:val="none"/>
                    </w:rPr>
                  </w:pPr>
                  <w:r>
                    <w:rPr>
                      <w:color w:val="auto"/>
                      <w:sz w:val="21"/>
                      <w:szCs w:val="21"/>
                      <w:highlight w:val="none"/>
                    </w:rPr>
                    <w:t>0.5</w:t>
                  </w:r>
                </w:p>
              </w:tc>
              <w:tc>
                <w:tcPr>
                  <w:tcW w:w="775" w:type="dxa"/>
                  <w:vAlign w:val="center"/>
                </w:tcPr>
                <w:p w14:paraId="10E01224">
                  <w:pPr>
                    <w:jc w:val="center"/>
                    <w:rPr>
                      <w:color w:val="auto"/>
                      <w:sz w:val="21"/>
                      <w:szCs w:val="21"/>
                      <w:highlight w:val="none"/>
                    </w:rPr>
                  </w:pPr>
                  <w:r>
                    <w:rPr>
                      <w:color w:val="auto"/>
                      <w:sz w:val="21"/>
                      <w:szCs w:val="21"/>
                      <w:highlight w:val="none"/>
                    </w:rPr>
                    <w:t>1</w:t>
                  </w:r>
                </w:p>
              </w:tc>
              <w:tc>
                <w:tcPr>
                  <w:tcW w:w="1285" w:type="dxa"/>
                  <w:vMerge w:val="continue"/>
                  <w:vAlign w:val="center"/>
                </w:tcPr>
                <w:p w14:paraId="4B0D9706">
                  <w:pPr>
                    <w:jc w:val="center"/>
                    <w:rPr>
                      <w:color w:val="auto"/>
                      <w:sz w:val="21"/>
                      <w:szCs w:val="21"/>
                      <w:highlight w:val="none"/>
                    </w:rPr>
                  </w:pPr>
                </w:p>
              </w:tc>
            </w:tr>
            <w:tr w14:paraId="676E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1F88A7ED">
                  <w:pPr>
                    <w:jc w:val="center"/>
                    <w:rPr>
                      <w:rFonts w:hint="eastAsia"/>
                      <w:color w:val="auto"/>
                      <w:sz w:val="21"/>
                      <w:szCs w:val="21"/>
                      <w:highlight w:val="none"/>
                      <w:lang w:val="en-US" w:eastAsia="zh-CN"/>
                    </w:rPr>
                  </w:pPr>
                </w:p>
              </w:tc>
              <w:tc>
                <w:tcPr>
                  <w:tcW w:w="720" w:type="dxa"/>
                  <w:vMerge w:val="continue"/>
                  <w:vAlign w:val="center"/>
                </w:tcPr>
                <w:p w14:paraId="001E8CFD">
                  <w:pPr>
                    <w:jc w:val="center"/>
                    <w:rPr>
                      <w:rFonts w:hint="eastAsia"/>
                      <w:color w:val="auto"/>
                      <w:sz w:val="21"/>
                      <w:szCs w:val="21"/>
                      <w:highlight w:val="none"/>
                      <w:lang w:val="en-US" w:eastAsia="zh-CN"/>
                    </w:rPr>
                  </w:pPr>
                </w:p>
              </w:tc>
              <w:tc>
                <w:tcPr>
                  <w:tcW w:w="780" w:type="dxa"/>
                  <w:vMerge w:val="continue"/>
                  <w:vAlign w:val="center"/>
                </w:tcPr>
                <w:p w14:paraId="434221D2">
                  <w:pPr>
                    <w:jc w:val="center"/>
                    <w:rPr>
                      <w:color w:val="auto"/>
                      <w:sz w:val="21"/>
                      <w:szCs w:val="21"/>
                      <w:highlight w:val="none"/>
                    </w:rPr>
                  </w:pPr>
                </w:p>
              </w:tc>
              <w:tc>
                <w:tcPr>
                  <w:tcW w:w="1140" w:type="dxa"/>
                  <w:vAlign w:val="center"/>
                </w:tcPr>
                <w:p w14:paraId="3F5680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醋酸丁酯</w:t>
                  </w:r>
                </w:p>
              </w:tc>
              <w:tc>
                <w:tcPr>
                  <w:tcW w:w="1245" w:type="dxa"/>
                  <w:vAlign w:val="center"/>
                </w:tcPr>
                <w:p w14:paraId="750F25F6">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10.813</w:t>
                  </w:r>
                </w:p>
              </w:tc>
              <w:tc>
                <w:tcPr>
                  <w:tcW w:w="994" w:type="dxa"/>
                  <w:vAlign w:val="center"/>
                </w:tcPr>
                <w:p w14:paraId="5EF24EF6">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0.108</w:t>
                  </w:r>
                </w:p>
              </w:tc>
              <w:tc>
                <w:tcPr>
                  <w:tcW w:w="783" w:type="dxa"/>
                  <w:shd w:val="clear" w:color="auto" w:fill="auto"/>
                  <w:vAlign w:val="center"/>
                </w:tcPr>
                <w:p w14:paraId="75B37B14">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0.5</w:t>
                  </w:r>
                </w:p>
              </w:tc>
              <w:tc>
                <w:tcPr>
                  <w:tcW w:w="775" w:type="dxa"/>
                  <w:shd w:val="clear" w:color="auto" w:fill="auto"/>
                  <w:vAlign w:val="center"/>
                </w:tcPr>
                <w:p w14:paraId="1BC7E843">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w:t>
                  </w:r>
                </w:p>
              </w:tc>
              <w:tc>
                <w:tcPr>
                  <w:tcW w:w="1285" w:type="dxa"/>
                  <w:vMerge w:val="continue"/>
                  <w:vAlign w:val="center"/>
                </w:tcPr>
                <w:p w14:paraId="62019160">
                  <w:pPr>
                    <w:jc w:val="center"/>
                    <w:rPr>
                      <w:color w:val="auto"/>
                      <w:sz w:val="21"/>
                      <w:szCs w:val="21"/>
                      <w:highlight w:val="none"/>
                    </w:rPr>
                  </w:pPr>
                </w:p>
              </w:tc>
            </w:tr>
          </w:tbl>
          <w:p w14:paraId="2BD2F9AB">
            <w:pPr>
              <w:adjustRightInd w:val="0"/>
              <w:snapToGrid w:val="0"/>
              <w:spacing w:before="120" w:beforeLines="50" w:line="360" w:lineRule="auto"/>
              <w:jc w:val="left"/>
              <w:rPr>
                <w:rFonts w:ascii="宋体" w:hAnsi="宋体" w:cs="宋体"/>
                <w:b/>
                <w:color w:val="auto"/>
                <w:spacing w:val="-10"/>
                <w:highlight w:val="none"/>
              </w:rPr>
            </w:pPr>
            <w:r>
              <w:rPr>
                <w:rFonts w:hint="eastAsia" w:ascii="宋体" w:hAnsi="宋体" w:cs="宋体"/>
                <w:b/>
                <w:color w:val="auto"/>
                <w:spacing w:val="-10"/>
                <w:highlight w:val="none"/>
                <w:lang w:val="en-US" w:eastAsia="zh-CN"/>
              </w:rPr>
              <w:t>二</w:t>
            </w:r>
            <w:r>
              <w:rPr>
                <w:rFonts w:hint="eastAsia" w:ascii="宋体" w:hAnsi="宋体" w:cs="宋体"/>
                <w:b/>
                <w:color w:val="auto"/>
                <w:spacing w:val="-10"/>
                <w:highlight w:val="none"/>
              </w:rPr>
              <w:t>、废（污）水</w:t>
            </w:r>
          </w:p>
          <w:p w14:paraId="261139EC">
            <w:pPr>
              <w:spacing w:line="360" w:lineRule="auto"/>
              <w:ind w:firstLine="480" w:firstLineChars="200"/>
              <w:rPr>
                <w:rFonts w:hint="default" w:eastAsia="宋体"/>
                <w:color w:val="auto"/>
                <w:highlight w:val="none"/>
                <w:lang w:val="en-US" w:eastAsia="zh-CN"/>
              </w:rPr>
            </w:pPr>
            <w:r>
              <w:rPr>
                <w:color w:val="auto"/>
                <w:highlight w:val="none"/>
              </w:rPr>
              <w:t>项目用水主要是</w:t>
            </w:r>
            <w:r>
              <w:rPr>
                <w:rFonts w:hint="eastAsia"/>
                <w:color w:val="auto"/>
                <w:highlight w:val="none"/>
                <w:lang w:val="en-US" w:eastAsia="zh-CN"/>
              </w:rPr>
              <w:t>员工生活用水、冷却循环水、喷淋塔用水、转印用水。</w:t>
            </w:r>
          </w:p>
          <w:p w14:paraId="104DBC08">
            <w:pPr>
              <w:spacing w:line="360" w:lineRule="auto"/>
              <w:ind w:firstLine="480" w:firstLineChars="200"/>
              <w:rPr>
                <w:rFonts w:hint="eastAsia"/>
                <w:color w:val="auto"/>
                <w:highlight w:val="none"/>
              </w:rPr>
            </w:pPr>
            <w:r>
              <w:rPr>
                <w:rFonts w:hint="eastAsia"/>
                <w:color w:val="auto"/>
                <w:highlight w:val="none"/>
                <w:lang w:val="en-US" w:eastAsia="zh-CN"/>
              </w:rPr>
              <w:t>①员工生活用水：</w:t>
            </w:r>
            <w:r>
              <w:rPr>
                <w:color w:val="auto"/>
                <w:sz w:val="24"/>
                <w:highlight w:val="none"/>
              </w:rPr>
              <w:t>项目劳动定员</w:t>
            </w:r>
            <w:r>
              <w:rPr>
                <w:rFonts w:hint="eastAsia"/>
                <w:color w:val="auto"/>
                <w:sz w:val="24"/>
                <w:highlight w:val="none"/>
                <w:lang w:val="en-US" w:eastAsia="zh-CN"/>
              </w:rPr>
              <w:t>40</w:t>
            </w:r>
            <w:r>
              <w:rPr>
                <w:color w:val="auto"/>
                <w:sz w:val="24"/>
                <w:highlight w:val="none"/>
              </w:rPr>
              <w:t>人，</w:t>
            </w:r>
            <w:r>
              <w:rPr>
                <w:rFonts w:hint="eastAsia"/>
                <w:color w:val="auto"/>
                <w:sz w:val="24"/>
                <w:highlight w:val="none"/>
              </w:rPr>
              <w:t>年工作3</w:t>
            </w:r>
            <w:r>
              <w:rPr>
                <w:color w:val="auto"/>
                <w:sz w:val="24"/>
                <w:highlight w:val="none"/>
              </w:rPr>
              <w:t>00</w:t>
            </w:r>
            <w:r>
              <w:rPr>
                <w:rFonts w:hint="eastAsia"/>
                <w:color w:val="auto"/>
                <w:sz w:val="24"/>
                <w:highlight w:val="none"/>
              </w:rPr>
              <w:t>天，厂区不</w:t>
            </w:r>
            <w:r>
              <w:rPr>
                <w:color w:val="auto"/>
                <w:sz w:val="24"/>
                <w:highlight w:val="none"/>
              </w:rPr>
              <w:t>提供食宿。根据《</w:t>
            </w:r>
            <w:r>
              <w:rPr>
                <w:rFonts w:hint="eastAsia"/>
                <w:color w:val="auto"/>
                <w:sz w:val="24"/>
                <w:highlight w:val="none"/>
              </w:rPr>
              <w:t>宿州市城市</w:t>
            </w:r>
            <w:r>
              <w:rPr>
                <w:color w:val="auto"/>
                <w:sz w:val="24"/>
                <w:highlight w:val="none"/>
              </w:rPr>
              <w:t>行业用水定额》（DB3413</w:t>
            </w:r>
            <w:r>
              <w:rPr>
                <w:rFonts w:hint="eastAsia"/>
                <w:color w:val="auto"/>
                <w:sz w:val="24"/>
                <w:highlight w:val="none"/>
              </w:rPr>
              <w:t>/</w:t>
            </w:r>
            <w:r>
              <w:rPr>
                <w:color w:val="auto"/>
                <w:sz w:val="24"/>
                <w:highlight w:val="none"/>
              </w:rPr>
              <w:t>T0001-2020），员工用水定额按70L/人·d计算，生活用水量为</w:t>
            </w:r>
            <w:r>
              <w:rPr>
                <w:rFonts w:hint="eastAsia"/>
                <w:color w:val="auto"/>
                <w:sz w:val="24"/>
                <w:highlight w:val="none"/>
                <w:lang w:val="en-US" w:eastAsia="zh-CN"/>
              </w:rPr>
              <w:t>840</w:t>
            </w:r>
            <w:r>
              <w:rPr>
                <w:rFonts w:hint="eastAsia"/>
                <w:color w:val="auto"/>
                <w:sz w:val="24"/>
                <w:highlight w:val="none"/>
              </w:rPr>
              <w:t>t/a，</w:t>
            </w:r>
            <w:r>
              <w:rPr>
                <w:color w:val="auto"/>
                <w:sz w:val="24"/>
                <w:highlight w:val="none"/>
              </w:rPr>
              <w:t>污水产生量按照用水量80%计算，则</w:t>
            </w:r>
            <w:r>
              <w:rPr>
                <w:rFonts w:hint="eastAsia"/>
                <w:color w:val="auto"/>
                <w:sz w:val="24"/>
                <w:highlight w:val="none"/>
                <w:lang w:val="en-US" w:eastAsia="zh-CN"/>
              </w:rPr>
              <w:t>生活污水</w:t>
            </w:r>
            <w:r>
              <w:rPr>
                <w:rFonts w:hint="eastAsia"/>
                <w:color w:val="auto"/>
                <w:sz w:val="24"/>
                <w:highlight w:val="none"/>
              </w:rPr>
              <w:t>产生量为</w:t>
            </w:r>
            <w:r>
              <w:rPr>
                <w:rFonts w:hint="eastAsia"/>
                <w:color w:val="auto"/>
                <w:sz w:val="24"/>
                <w:highlight w:val="none"/>
                <w:lang w:val="en-US" w:eastAsia="zh-CN"/>
              </w:rPr>
              <w:t>672</w:t>
            </w:r>
            <w:r>
              <w:rPr>
                <w:color w:val="auto"/>
                <w:sz w:val="24"/>
                <w:highlight w:val="none"/>
              </w:rPr>
              <w:t>t/a</w:t>
            </w:r>
            <w:r>
              <w:rPr>
                <w:rFonts w:hint="eastAsia"/>
                <w:color w:val="auto"/>
                <w:highlight w:val="none"/>
              </w:rPr>
              <w:t>。</w:t>
            </w:r>
          </w:p>
          <w:p w14:paraId="266AB2EE">
            <w:pPr>
              <w:spacing w:line="360" w:lineRule="auto"/>
              <w:ind w:firstLine="480" w:firstLineChars="200"/>
              <w:rPr>
                <w:rFonts w:hint="eastAsia"/>
                <w:color w:val="auto"/>
                <w:highlight w:val="none"/>
                <w:lang w:val="en-US" w:eastAsia="zh-CN"/>
              </w:rPr>
            </w:pPr>
            <w:r>
              <w:rPr>
                <w:rFonts w:hint="eastAsia"/>
                <w:color w:val="auto"/>
                <w:highlight w:val="none"/>
                <w:lang w:val="en-US" w:eastAsia="zh-CN"/>
              </w:rPr>
              <w:t>②</w:t>
            </w:r>
            <w:r>
              <w:rPr>
                <w:rFonts w:hint="eastAsia"/>
                <w:color w:val="auto"/>
                <w:highlight w:val="none"/>
                <w:vertAlign w:val="baseline"/>
                <w:lang w:val="en-US" w:eastAsia="zh-CN"/>
              </w:rPr>
              <w:t>冷却循环水：</w:t>
            </w:r>
            <w:r>
              <w:rPr>
                <w:rFonts w:hint="default" w:ascii="Times New Roman" w:hAnsi="Times New Roman" w:eastAsia="宋体" w:cs="Times New Roman"/>
                <w:sz w:val="24"/>
                <w:szCs w:val="24"/>
              </w:rPr>
              <w:t>项目冷却塔冷却</w:t>
            </w:r>
            <w:r>
              <w:rPr>
                <w:rFonts w:hint="eastAsia" w:ascii="Times New Roman" w:hAnsi="Times New Roman" w:eastAsia="宋体" w:cs="Times New Roman"/>
                <w:sz w:val="24"/>
                <w:szCs w:val="24"/>
                <w:lang w:val="en-US" w:eastAsia="zh-CN"/>
              </w:rPr>
              <w:t>能力为</w:t>
            </w: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rPr>
              <w:t>/h，运行</w:t>
            </w:r>
            <w:r>
              <w:rPr>
                <w:rFonts w:hint="eastAsia" w:ascii="Times New Roman" w:hAnsi="Times New Roman" w:eastAsia="宋体" w:cs="Times New Roman"/>
                <w:sz w:val="24"/>
                <w:szCs w:val="24"/>
                <w:lang w:val="en-US" w:eastAsia="zh-CN"/>
              </w:rPr>
              <w:t>时长</w:t>
            </w:r>
            <w:r>
              <w:rPr>
                <w:rFonts w:hint="eastAsia" w:cs="Times New Roman"/>
                <w:sz w:val="24"/>
                <w:szCs w:val="24"/>
                <w:lang w:val="en-US" w:eastAsia="zh-CN"/>
              </w:rPr>
              <w:t>7200h/a</w:t>
            </w:r>
            <w:r>
              <w:rPr>
                <w:rFonts w:hint="default" w:ascii="Times New Roman" w:hAnsi="Times New Roman" w:eastAsia="宋体" w:cs="Times New Roman"/>
                <w:sz w:val="24"/>
                <w:szCs w:val="24"/>
              </w:rPr>
              <w:t>，则该冷却循环水量为</w:t>
            </w:r>
            <w:r>
              <w:rPr>
                <w:rFonts w:hint="eastAsia" w:cs="Times New Roman"/>
                <w:sz w:val="24"/>
                <w:szCs w:val="24"/>
                <w:lang w:val="en-US" w:eastAsia="zh-CN"/>
              </w:rPr>
              <w:t>144000</w:t>
            </w:r>
            <w:r>
              <w:rPr>
                <w:rFonts w:hint="eastAsia"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rPr>
              <w:t>a。循环冷却水循环使用，定期补充新鲜水，新鲜水补充占循环水量的2%。本项目循环冷却塔的补水量为</w:t>
            </w:r>
            <w:r>
              <w:rPr>
                <w:rFonts w:hint="eastAsia" w:cs="Times New Roman"/>
                <w:sz w:val="24"/>
                <w:szCs w:val="24"/>
                <w:lang w:val="en-US" w:eastAsia="zh-CN"/>
              </w:rPr>
              <w:t>2880</w:t>
            </w:r>
            <w:r>
              <w:rPr>
                <w:rFonts w:hint="eastAsia" w:ascii="Times New Roman" w:hAnsi="Times New Roman" w:eastAsia="宋体" w:cs="Times New Roman"/>
                <w:sz w:val="24"/>
                <w:szCs w:val="24"/>
                <w:lang w:val="en-US" w:eastAsia="zh-CN"/>
              </w:rPr>
              <w:t>t/a</w:t>
            </w:r>
            <w:r>
              <w:rPr>
                <w:rFonts w:hint="eastAsia" w:cs="Times New Roman"/>
                <w:sz w:val="24"/>
                <w:szCs w:val="24"/>
                <w:lang w:val="en-US" w:eastAsia="zh-CN"/>
              </w:rPr>
              <w:t>。</w:t>
            </w:r>
          </w:p>
          <w:p w14:paraId="68C76F3D">
            <w:pPr>
              <w:spacing w:line="360" w:lineRule="auto"/>
              <w:ind w:firstLine="480" w:firstLineChars="200"/>
              <w:jc w:val="left"/>
              <w:rPr>
                <w:rFonts w:hint="eastAsia"/>
                <w:color w:val="auto"/>
                <w:highlight w:val="none"/>
                <w:vertAlign w:val="baseline"/>
                <w:lang w:val="en-US" w:eastAsia="zh-CN"/>
              </w:rPr>
            </w:pPr>
            <w:r>
              <w:rPr>
                <w:rFonts w:hint="eastAsia"/>
                <w:color w:val="auto"/>
                <w:highlight w:val="none"/>
                <w:lang w:val="en-US" w:eastAsia="zh-CN"/>
              </w:rPr>
              <w:t>③喷淋塔用水：项目废气处理装置采用喷淋塔处理装置，喷淋塔定期捞渣，定期补充新鲜水，补充量0.1t/d（30t/a），</w:t>
            </w:r>
            <w:r>
              <w:rPr>
                <w:rFonts w:hint="eastAsia"/>
                <w:color w:val="auto"/>
                <w:highlight w:val="none"/>
                <w:vertAlign w:val="baseline"/>
                <w:lang w:val="en-US" w:eastAsia="zh-CN"/>
              </w:rPr>
              <w:t>喷淋水箱1m3，</w:t>
            </w:r>
            <w:r>
              <w:rPr>
                <w:rFonts w:hint="eastAsia"/>
                <w:color w:val="auto"/>
                <w:highlight w:val="none"/>
                <w:lang w:val="en-US" w:eastAsia="zh-CN"/>
              </w:rPr>
              <w:t>内部水一年一换</w:t>
            </w:r>
            <w:r>
              <w:rPr>
                <w:rFonts w:hint="eastAsia"/>
                <w:color w:val="auto"/>
                <w:highlight w:val="none"/>
                <w:vertAlign w:val="baseline"/>
                <w:lang w:val="en-US" w:eastAsia="zh-CN"/>
              </w:rPr>
              <w:t>，故喷淋废水1t/a，作为危废处理。</w:t>
            </w:r>
          </w:p>
          <w:p w14:paraId="0F8CB96E">
            <w:pPr>
              <w:autoSpaceDE w:val="0"/>
              <w:autoSpaceDN w:val="0"/>
              <w:adjustRightInd w:val="0"/>
              <w:spacing w:line="360" w:lineRule="auto"/>
              <w:ind w:firstLine="480" w:firstLineChars="200"/>
              <w:jc w:val="left"/>
              <w:rPr>
                <w:rFonts w:hint="eastAsia"/>
                <w:color w:val="auto"/>
                <w:highlight w:val="none"/>
                <w:lang w:val="en-US" w:eastAsia="zh-CN"/>
              </w:rPr>
            </w:pPr>
            <w:r>
              <w:rPr>
                <w:rFonts w:hint="eastAsia"/>
                <w:color w:val="auto"/>
                <w:highlight w:val="none"/>
                <w:vertAlign w:val="baseline"/>
                <w:lang w:val="en-US" w:eastAsia="zh-CN"/>
              </w:rPr>
              <w:t>④</w:t>
            </w:r>
            <w:r>
              <w:rPr>
                <w:rFonts w:hint="eastAsia"/>
                <w:color w:val="auto"/>
                <w:highlight w:val="none"/>
                <w:lang w:val="en-US" w:eastAsia="zh-CN"/>
              </w:rPr>
              <w:t>转印活化水用水：项目转印工序中会使用到活化水，企业外购，年使用量10t，</w:t>
            </w:r>
            <w:r>
              <w:rPr>
                <w:rFonts w:hint="eastAsia"/>
                <w:color w:val="auto"/>
                <w:kern w:val="0"/>
                <w:szCs w:val="24"/>
                <w:highlight w:val="none"/>
                <w:lang w:val="en-US" w:eastAsia="zh-CN"/>
              </w:rPr>
              <w:t>转印线蓄水池为1.5m</w:t>
            </w:r>
            <w:r>
              <w:rPr>
                <w:rFonts w:hint="eastAsia"/>
                <w:color w:val="auto"/>
                <w:kern w:val="0"/>
                <w:szCs w:val="24"/>
                <w:highlight w:val="none"/>
                <w:vertAlign w:val="superscript"/>
                <w:lang w:val="en-US" w:eastAsia="zh-CN"/>
              </w:rPr>
              <w:t>3</w:t>
            </w:r>
            <w:r>
              <w:rPr>
                <w:rFonts w:hint="eastAsia"/>
                <w:color w:val="auto"/>
                <w:kern w:val="0"/>
                <w:szCs w:val="24"/>
                <w:highlight w:val="none"/>
                <w:vertAlign w:val="baseline"/>
                <w:lang w:val="en-US" w:eastAsia="zh-CN"/>
              </w:rPr>
              <w:t>，日常使用定期添加新鲜活化水，一年一换，本次计算以蓄水池量为废水，故废活化水量为1.5t，作为危险废物处理，无废水外排</w:t>
            </w:r>
            <w:r>
              <w:rPr>
                <w:rFonts w:hint="eastAsia"/>
                <w:color w:val="auto"/>
                <w:highlight w:val="none"/>
                <w:lang w:val="en-US" w:eastAsia="zh-CN"/>
              </w:rPr>
              <w:t>。</w:t>
            </w:r>
          </w:p>
          <w:p w14:paraId="33DB95A7">
            <w:pPr>
              <w:spacing w:line="360" w:lineRule="auto"/>
              <w:jc w:val="left"/>
              <w:rPr>
                <w:rFonts w:hint="eastAsia" w:ascii="Times New Roman" w:hAnsi="Times New Roman" w:eastAsia="宋体" w:cs="Times New Roman"/>
                <w:b/>
                <w:bCs/>
                <w:color w:val="auto"/>
                <w:highlight w:val="none"/>
                <w:lang w:val="en-US" w:eastAsia="zh-CN"/>
              </w:rPr>
            </w:pPr>
            <w:r>
              <w:rPr>
                <w:rFonts w:hint="default"/>
                <w:color w:val="auto"/>
                <w:highlight w:val="none"/>
                <w:lang w:val="en-US" w:eastAsia="zh-CN"/>
              </w:rPr>
              <w:drawing>
                <wp:inline distT="0" distB="0" distL="114300" distR="114300">
                  <wp:extent cx="5092700" cy="2740025"/>
                  <wp:effectExtent l="0" t="0" r="0" b="0"/>
                  <wp:docPr id="3" name="ECB019B1-382A-4266-B25C-5B523AA43C14-4" descr="C:/Users/Administrator/AppData/Local/Temp/wps.NBjTf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4" descr="C:/Users/Administrator/AppData/Local/Temp/wps.NBjTfkwps"/>
                          <pic:cNvPicPr>
                            <a:picLocks noChangeAspect="1"/>
                          </pic:cNvPicPr>
                        </pic:nvPicPr>
                        <pic:blipFill>
                          <a:blip r:embed="rId18"/>
                          <a:stretch>
                            <a:fillRect/>
                          </a:stretch>
                        </pic:blipFill>
                        <pic:spPr>
                          <a:xfrm>
                            <a:off x="0" y="0"/>
                            <a:ext cx="5092700" cy="2740025"/>
                          </a:xfrm>
                          <a:prstGeom prst="rect">
                            <a:avLst/>
                          </a:prstGeom>
                        </pic:spPr>
                      </pic:pic>
                    </a:graphicData>
                  </a:graphic>
                </wp:inline>
              </w:drawing>
            </w:r>
          </w:p>
          <w:p w14:paraId="5CBF17BC">
            <w:pPr>
              <w:spacing w:line="360" w:lineRule="auto"/>
              <w:jc w:val="center"/>
              <w:rPr>
                <w:rFonts w:hint="eastAsia"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图4</w:t>
            </w:r>
            <w:r>
              <w:rPr>
                <w:rFonts w:hint="eastAsia"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 xml:space="preserve">  项目水平衡图  t/</w:t>
            </w:r>
            <w:r>
              <w:rPr>
                <w:rFonts w:hint="eastAsia" w:cs="Times New Roman"/>
                <w:b/>
                <w:bCs/>
                <w:color w:val="auto"/>
                <w:highlight w:val="none"/>
                <w:lang w:val="en-US" w:eastAsia="zh-CN"/>
              </w:rPr>
              <w:t>a</w:t>
            </w:r>
          </w:p>
          <w:p w14:paraId="389431FF">
            <w:pPr>
              <w:adjustRightInd w:val="0"/>
              <w:snapToGrid w:val="0"/>
              <w:spacing w:line="240" w:lineRule="auto"/>
              <w:jc w:val="center"/>
              <w:rPr>
                <w:b/>
                <w:bCs/>
                <w:color w:val="auto"/>
                <w:highlight w:val="none"/>
              </w:rPr>
            </w:pPr>
            <w:r>
              <w:rPr>
                <w:rFonts w:hint="eastAsia"/>
                <w:b/>
                <w:bCs/>
                <w:color w:val="auto"/>
                <w:highlight w:val="none"/>
              </w:rPr>
              <w:t>表4</w:t>
            </w:r>
            <w:r>
              <w:rPr>
                <w:rFonts w:hint="eastAsia"/>
                <w:b/>
                <w:bCs/>
                <w:color w:val="auto"/>
                <w:highlight w:val="none"/>
                <w:lang w:val="en-US" w:eastAsia="zh-CN"/>
              </w:rPr>
              <w:t>-9</w:t>
            </w:r>
            <w:r>
              <w:rPr>
                <w:rFonts w:hint="eastAsia"/>
                <w:b/>
                <w:bCs/>
                <w:color w:val="auto"/>
                <w:highlight w:val="none"/>
              </w:rPr>
              <w:t xml:space="preserve">  废水类别、污染物种类、排放方式及污染治理设施一览表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125"/>
              <w:gridCol w:w="995"/>
              <w:gridCol w:w="735"/>
              <w:gridCol w:w="964"/>
              <w:gridCol w:w="781"/>
              <w:gridCol w:w="922"/>
              <w:gridCol w:w="957"/>
            </w:tblGrid>
            <w:tr w14:paraId="3207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69" w:type="dxa"/>
                  <w:vMerge w:val="restart"/>
                  <w:vAlign w:val="center"/>
                </w:tcPr>
                <w:p w14:paraId="5DC44072">
                  <w:pPr>
                    <w:jc w:val="center"/>
                    <w:rPr>
                      <w:b/>
                      <w:bCs/>
                      <w:color w:val="auto"/>
                      <w:sz w:val="21"/>
                      <w:szCs w:val="21"/>
                      <w:highlight w:val="none"/>
                    </w:rPr>
                  </w:pPr>
                  <w:r>
                    <w:rPr>
                      <w:b/>
                      <w:bCs/>
                      <w:color w:val="auto"/>
                      <w:sz w:val="21"/>
                      <w:szCs w:val="21"/>
                      <w:highlight w:val="none"/>
                    </w:rPr>
                    <w:t>废水类别</w:t>
                  </w:r>
                </w:p>
              </w:tc>
              <w:tc>
                <w:tcPr>
                  <w:tcW w:w="2125" w:type="dxa"/>
                  <w:vMerge w:val="restart"/>
                  <w:vAlign w:val="center"/>
                </w:tcPr>
                <w:p w14:paraId="3113334D">
                  <w:pPr>
                    <w:jc w:val="center"/>
                    <w:rPr>
                      <w:b/>
                      <w:bCs/>
                      <w:color w:val="auto"/>
                      <w:sz w:val="21"/>
                      <w:szCs w:val="21"/>
                      <w:highlight w:val="none"/>
                    </w:rPr>
                  </w:pPr>
                  <w:r>
                    <w:rPr>
                      <w:b/>
                      <w:bCs/>
                      <w:color w:val="auto"/>
                      <w:sz w:val="21"/>
                      <w:szCs w:val="21"/>
                      <w:highlight w:val="none"/>
                    </w:rPr>
                    <w:t>污染物种类</w:t>
                  </w:r>
                </w:p>
              </w:tc>
              <w:tc>
                <w:tcPr>
                  <w:tcW w:w="1730" w:type="dxa"/>
                  <w:gridSpan w:val="2"/>
                  <w:vAlign w:val="center"/>
                </w:tcPr>
                <w:p w14:paraId="2AF72CD9">
                  <w:pPr>
                    <w:jc w:val="center"/>
                    <w:rPr>
                      <w:b/>
                      <w:bCs/>
                      <w:color w:val="auto"/>
                      <w:sz w:val="21"/>
                      <w:szCs w:val="21"/>
                      <w:highlight w:val="none"/>
                    </w:rPr>
                  </w:pPr>
                  <w:r>
                    <w:rPr>
                      <w:b/>
                      <w:bCs/>
                      <w:color w:val="auto"/>
                      <w:sz w:val="21"/>
                      <w:szCs w:val="21"/>
                      <w:highlight w:val="none"/>
                    </w:rPr>
                    <w:t>污染治理设施</w:t>
                  </w:r>
                </w:p>
              </w:tc>
              <w:tc>
                <w:tcPr>
                  <w:tcW w:w="964" w:type="dxa"/>
                  <w:vMerge w:val="restart"/>
                  <w:vAlign w:val="center"/>
                </w:tcPr>
                <w:p w14:paraId="5A5A6F86">
                  <w:pPr>
                    <w:jc w:val="center"/>
                    <w:rPr>
                      <w:b/>
                      <w:bCs/>
                      <w:color w:val="auto"/>
                      <w:sz w:val="21"/>
                      <w:szCs w:val="21"/>
                      <w:highlight w:val="none"/>
                    </w:rPr>
                  </w:pPr>
                  <w:r>
                    <w:rPr>
                      <w:b/>
                      <w:bCs/>
                      <w:color w:val="auto"/>
                      <w:sz w:val="21"/>
                      <w:szCs w:val="21"/>
                      <w:highlight w:val="none"/>
                    </w:rPr>
                    <w:t>排放去向</w:t>
                  </w:r>
                </w:p>
              </w:tc>
              <w:tc>
                <w:tcPr>
                  <w:tcW w:w="781" w:type="dxa"/>
                  <w:vMerge w:val="restart"/>
                  <w:vAlign w:val="center"/>
                </w:tcPr>
                <w:p w14:paraId="698D0D5E">
                  <w:pPr>
                    <w:jc w:val="center"/>
                    <w:rPr>
                      <w:b/>
                      <w:bCs/>
                      <w:color w:val="auto"/>
                      <w:sz w:val="21"/>
                      <w:szCs w:val="21"/>
                      <w:highlight w:val="none"/>
                    </w:rPr>
                  </w:pPr>
                  <w:r>
                    <w:rPr>
                      <w:b/>
                      <w:bCs/>
                      <w:color w:val="auto"/>
                      <w:sz w:val="21"/>
                      <w:szCs w:val="21"/>
                      <w:highlight w:val="none"/>
                    </w:rPr>
                    <w:t>排放方式</w:t>
                  </w:r>
                </w:p>
              </w:tc>
              <w:tc>
                <w:tcPr>
                  <w:tcW w:w="922" w:type="dxa"/>
                  <w:vMerge w:val="restart"/>
                  <w:vAlign w:val="center"/>
                </w:tcPr>
                <w:p w14:paraId="0E24DE8F">
                  <w:pPr>
                    <w:jc w:val="center"/>
                    <w:rPr>
                      <w:b/>
                      <w:bCs/>
                      <w:color w:val="auto"/>
                      <w:sz w:val="21"/>
                      <w:szCs w:val="21"/>
                      <w:highlight w:val="none"/>
                    </w:rPr>
                  </w:pPr>
                  <w:r>
                    <w:rPr>
                      <w:b/>
                      <w:bCs/>
                      <w:color w:val="auto"/>
                      <w:sz w:val="21"/>
                      <w:szCs w:val="21"/>
                      <w:highlight w:val="none"/>
                    </w:rPr>
                    <w:t>排放口编号</w:t>
                  </w:r>
                </w:p>
              </w:tc>
              <w:tc>
                <w:tcPr>
                  <w:tcW w:w="957" w:type="dxa"/>
                  <w:vMerge w:val="restart"/>
                  <w:vAlign w:val="center"/>
                </w:tcPr>
                <w:p w14:paraId="1057147E">
                  <w:pPr>
                    <w:jc w:val="center"/>
                    <w:rPr>
                      <w:b/>
                      <w:bCs/>
                      <w:color w:val="auto"/>
                      <w:sz w:val="21"/>
                      <w:szCs w:val="21"/>
                      <w:highlight w:val="none"/>
                    </w:rPr>
                  </w:pPr>
                  <w:r>
                    <w:rPr>
                      <w:b/>
                      <w:bCs/>
                      <w:color w:val="auto"/>
                      <w:sz w:val="21"/>
                      <w:szCs w:val="21"/>
                      <w:highlight w:val="none"/>
                    </w:rPr>
                    <w:t>排放口类型</w:t>
                  </w:r>
                </w:p>
              </w:tc>
            </w:tr>
            <w:tr w14:paraId="1A7D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Merge w:val="continue"/>
                  <w:vAlign w:val="center"/>
                </w:tcPr>
                <w:p w14:paraId="3E95A94D">
                  <w:pPr>
                    <w:jc w:val="center"/>
                    <w:rPr>
                      <w:color w:val="auto"/>
                      <w:sz w:val="21"/>
                      <w:szCs w:val="21"/>
                      <w:highlight w:val="none"/>
                    </w:rPr>
                  </w:pPr>
                </w:p>
              </w:tc>
              <w:tc>
                <w:tcPr>
                  <w:tcW w:w="2125" w:type="dxa"/>
                  <w:vMerge w:val="continue"/>
                  <w:vAlign w:val="center"/>
                </w:tcPr>
                <w:p w14:paraId="587642B4">
                  <w:pPr>
                    <w:jc w:val="center"/>
                    <w:rPr>
                      <w:color w:val="auto"/>
                      <w:sz w:val="21"/>
                      <w:szCs w:val="21"/>
                      <w:highlight w:val="none"/>
                    </w:rPr>
                  </w:pPr>
                </w:p>
              </w:tc>
              <w:tc>
                <w:tcPr>
                  <w:tcW w:w="995" w:type="dxa"/>
                  <w:vAlign w:val="center"/>
                </w:tcPr>
                <w:p w14:paraId="76D436D4">
                  <w:pPr>
                    <w:jc w:val="center"/>
                    <w:rPr>
                      <w:b/>
                      <w:bCs/>
                      <w:color w:val="auto"/>
                      <w:sz w:val="21"/>
                      <w:szCs w:val="21"/>
                      <w:highlight w:val="none"/>
                    </w:rPr>
                  </w:pPr>
                  <w:r>
                    <w:rPr>
                      <w:b/>
                      <w:bCs/>
                      <w:color w:val="auto"/>
                      <w:sz w:val="21"/>
                      <w:szCs w:val="21"/>
                      <w:highlight w:val="none"/>
                    </w:rPr>
                    <w:t>治理工艺</w:t>
                  </w:r>
                </w:p>
              </w:tc>
              <w:tc>
                <w:tcPr>
                  <w:tcW w:w="735" w:type="dxa"/>
                  <w:vAlign w:val="center"/>
                </w:tcPr>
                <w:p w14:paraId="16FFB0AF">
                  <w:pPr>
                    <w:jc w:val="center"/>
                    <w:rPr>
                      <w:b/>
                      <w:bCs/>
                      <w:color w:val="auto"/>
                      <w:sz w:val="21"/>
                      <w:szCs w:val="21"/>
                      <w:highlight w:val="none"/>
                    </w:rPr>
                  </w:pPr>
                  <w:r>
                    <w:rPr>
                      <w:b/>
                      <w:bCs/>
                      <w:color w:val="auto"/>
                      <w:sz w:val="21"/>
                      <w:szCs w:val="21"/>
                      <w:highlight w:val="none"/>
                    </w:rPr>
                    <w:t>是否可行</w:t>
                  </w:r>
                </w:p>
              </w:tc>
              <w:tc>
                <w:tcPr>
                  <w:tcW w:w="964" w:type="dxa"/>
                  <w:vMerge w:val="continue"/>
                  <w:vAlign w:val="center"/>
                </w:tcPr>
                <w:p w14:paraId="7A222C5F">
                  <w:pPr>
                    <w:jc w:val="center"/>
                    <w:rPr>
                      <w:color w:val="auto"/>
                      <w:sz w:val="21"/>
                      <w:szCs w:val="21"/>
                      <w:highlight w:val="none"/>
                    </w:rPr>
                  </w:pPr>
                </w:p>
              </w:tc>
              <w:tc>
                <w:tcPr>
                  <w:tcW w:w="781" w:type="dxa"/>
                  <w:vMerge w:val="continue"/>
                  <w:vAlign w:val="center"/>
                </w:tcPr>
                <w:p w14:paraId="2A0CB7DD">
                  <w:pPr>
                    <w:jc w:val="center"/>
                    <w:rPr>
                      <w:color w:val="auto"/>
                      <w:sz w:val="21"/>
                      <w:szCs w:val="21"/>
                      <w:highlight w:val="none"/>
                    </w:rPr>
                  </w:pPr>
                </w:p>
              </w:tc>
              <w:tc>
                <w:tcPr>
                  <w:tcW w:w="922" w:type="dxa"/>
                  <w:vMerge w:val="continue"/>
                  <w:vAlign w:val="center"/>
                </w:tcPr>
                <w:p w14:paraId="29A29E36">
                  <w:pPr>
                    <w:jc w:val="center"/>
                    <w:rPr>
                      <w:color w:val="auto"/>
                      <w:sz w:val="21"/>
                      <w:szCs w:val="21"/>
                      <w:highlight w:val="none"/>
                    </w:rPr>
                  </w:pPr>
                </w:p>
              </w:tc>
              <w:tc>
                <w:tcPr>
                  <w:tcW w:w="957" w:type="dxa"/>
                  <w:vMerge w:val="continue"/>
                  <w:vAlign w:val="center"/>
                </w:tcPr>
                <w:p w14:paraId="6A96078A">
                  <w:pPr>
                    <w:jc w:val="center"/>
                    <w:rPr>
                      <w:color w:val="auto"/>
                      <w:sz w:val="21"/>
                      <w:szCs w:val="21"/>
                      <w:highlight w:val="none"/>
                    </w:rPr>
                  </w:pPr>
                </w:p>
              </w:tc>
            </w:tr>
            <w:tr w14:paraId="24E5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vAlign w:val="center"/>
                </w:tcPr>
                <w:p w14:paraId="1665E150">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生活污水</w:t>
                  </w:r>
                </w:p>
              </w:tc>
              <w:tc>
                <w:tcPr>
                  <w:tcW w:w="2125" w:type="dxa"/>
                  <w:vAlign w:val="center"/>
                </w:tcPr>
                <w:p w14:paraId="439FEFDF">
                  <w:pPr>
                    <w:jc w:val="center"/>
                    <w:rPr>
                      <w:rFonts w:hint="default" w:eastAsia="宋体"/>
                      <w:color w:val="auto"/>
                      <w:sz w:val="21"/>
                      <w:szCs w:val="21"/>
                      <w:highlight w:val="none"/>
                      <w:lang w:val="en-US" w:eastAsia="zh-CN"/>
                    </w:rPr>
                  </w:pPr>
                  <w:r>
                    <w:rPr>
                      <w:color w:val="auto"/>
                      <w:sz w:val="21"/>
                      <w:szCs w:val="21"/>
                      <w:highlight w:val="none"/>
                    </w:rPr>
                    <w:t>pH、COD、BOD</w:t>
                  </w:r>
                  <w:r>
                    <w:rPr>
                      <w:color w:val="auto"/>
                      <w:sz w:val="21"/>
                      <w:szCs w:val="21"/>
                      <w:highlight w:val="none"/>
                      <w:vertAlign w:val="subscript"/>
                    </w:rPr>
                    <w:t>5</w:t>
                  </w:r>
                  <w:r>
                    <w:rPr>
                      <w:color w:val="auto"/>
                      <w:sz w:val="21"/>
                      <w:szCs w:val="21"/>
                      <w:highlight w:val="none"/>
                    </w:rPr>
                    <w:t>、SS、</w:t>
                  </w:r>
                  <w:r>
                    <w:rPr>
                      <w:bCs/>
                      <w:snapToGrid w:val="0"/>
                      <w:color w:val="auto"/>
                      <w:kern w:val="0"/>
                      <w:sz w:val="21"/>
                      <w:szCs w:val="21"/>
                      <w:highlight w:val="none"/>
                    </w:rPr>
                    <w:t>NH</w:t>
                  </w:r>
                  <w:r>
                    <w:rPr>
                      <w:bCs/>
                      <w:snapToGrid w:val="0"/>
                      <w:color w:val="auto"/>
                      <w:kern w:val="0"/>
                      <w:sz w:val="21"/>
                      <w:szCs w:val="21"/>
                      <w:highlight w:val="none"/>
                      <w:vertAlign w:val="subscript"/>
                    </w:rPr>
                    <w:t>3</w:t>
                  </w:r>
                  <w:r>
                    <w:rPr>
                      <w:bCs/>
                      <w:snapToGrid w:val="0"/>
                      <w:color w:val="auto"/>
                      <w:kern w:val="0"/>
                      <w:sz w:val="21"/>
                      <w:szCs w:val="21"/>
                      <w:highlight w:val="none"/>
                    </w:rPr>
                    <w:t>-N</w:t>
                  </w:r>
                </w:p>
              </w:tc>
              <w:tc>
                <w:tcPr>
                  <w:tcW w:w="995" w:type="dxa"/>
                  <w:vAlign w:val="center"/>
                </w:tcPr>
                <w:p w14:paraId="34A5D9E7">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化粪池</w:t>
                  </w:r>
                </w:p>
              </w:tc>
              <w:tc>
                <w:tcPr>
                  <w:tcW w:w="735" w:type="dxa"/>
                  <w:vAlign w:val="center"/>
                </w:tcPr>
                <w:p w14:paraId="580E8C93">
                  <w:pPr>
                    <w:jc w:val="center"/>
                    <w:rPr>
                      <w:color w:val="auto"/>
                      <w:sz w:val="21"/>
                      <w:szCs w:val="21"/>
                      <w:highlight w:val="none"/>
                    </w:rPr>
                  </w:pPr>
                  <w:r>
                    <w:rPr>
                      <w:rFonts w:hint="eastAsia"/>
                      <w:color w:val="auto"/>
                      <w:sz w:val="21"/>
                      <w:szCs w:val="21"/>
                      <w:highlight w:val="none"/>
                    </w:rPr>
                    <w:t>是</w:t>
                  </w:r>
                </w:p>
              </w:tc>
              <w:tc>
                <w:tcPr>
                  <w:tcW w:w="964" w:type="dxa"/>
                  <w:vAlign w:val="center"/>
                </w:tcPr>
                <w:p w14:paraId="0B4D41D3">
                  <w:pPr>
                    <w:jc w:val="center"/>
                    <w:rPr>
                      <w:rFonts w:hint="default"/>
                      <w:color w:val="auto"/>
                      <w:sz w:val="21"/>
                      <w:szCs w:val="21"/>
                      <w:highlight w:val="none"/>
                      <w:lang w:val="en-US"/>
                    </w:rPr>
                  </w:pPr>
                  <w:r>
                    <w:rPr>
                      <w:rFonts w:hint="eastAsia"/>
                      <w:color w:val="auto"/>
                      <w:sz w:val="21"/>
                      <w:szCs w:val="21"/>
                      <w:highlight w:val="none"/>
                      <w:lang w:val="en-US" w:eastAsia="zh-CN"/>
                    </w:rPr>
                    <w:t>泗县工业污水处理厂</w:t>
                  </w:r>
                </w:p>
              </w:tc>
              <w:tc>
                <w:tcPr>
                  <w:tcW w:w="781" w:type="dxa"/>
                  <w:vAlign w:val="center"/>
                </w:tcPr>
                <w:p w14:paraId="7100902A">
                  <w:pPr>
                    <w:jc w:val="center"/>
                    <w:rPr>
                      <w:color w:val="auto"/>
                      <w:sz w:val="21"/>
                      <w:szCs w:val="21"/>
                      <w:highlight w:val="none"/>
                    </w:rPr>
                  </w:pPr>
                  <w:r>
                    <w:rPr>
                      <w:rFonts w:hint="eastAsia"/>
                      <w:color w:val="auto"/>
                      <w:sz w:val="21"/>
                      <w:szCs w:val="21"/>
                      <w:highlight w:val="none"/>
                    </w:rPr>
                    <w:t>/</w:t>
                  </w:r>
                </w:p>
              </w:tc>
              <w:tc>
                <w:tcPr>
                  <w:tcW w:w="922" w:type="dxa"/>
                  <w:vAlign w:val="center"/>
                </w:tcPr>
                <w:p w14:paraId="268B023C">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DW001</w:t>
                  </w:r>
                </w:p>
              </w:tc>
              <w:tc>
                <w:tcPr>
                  <w:tcW w:w="957" w:type="dxa"/>
                  <w:vAlign w:val="center"/>
                </w:tcPr>
                <w:p w14:paraId="1A3F2DD5">
                  <w:pPr>
                    <w:jc w:val="center"/>
                    <w:rPr>
                      <w:rFonts w:hint="default"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一般排放口</w:t>
                  </w:r>
                </w:p>
              </w:tc>
            </w:tr>
          </w:tbl>
          <w:p w14:paraId="39C274C8">
            <w:pPr>
              <w:adjustRightInd w:val="0"/>
              <w:snapToGrid w:val="0"/>
              <w:spacing w:before="120" w:beforeLines="50"/>
              <w:jc w:val="center"/>
              <w:rPr>
                <w:rFonts w:hint="default" w:eastAsia="宋体"/>
                <w:b/>
                <w:color w:val="auto"/>
                <w:highlight w:val="none"/>
                <w:lang w:val="en-US" w:eastAsia="zh-CN"/>
              </w:rPr>
            </w:pPr>
            <w:r>
              <w:rPr>
                <w:rFonts w:hint="eastAsia"/>
                <w:b/>
                <w:color w:val="auto"/>
                <w:highlight w:val="none"/>
              </w:rPr>
              <w:t>表4</w:t>
            </w:r>
            <w:r>
              <w:rPr>
                <w:rFonts w:hint="eastAsia"/>
                <w:b/>
                <w:color w:val="auto"/>
                <w:highlight w:val="none"/>
                <w:lang w:val="en-US" w:eastAsia="zh-CN"/>
              </w:rPr>
              <w:t>-10</w:t>
            </w:r>
            <w:r>
              <w:rPr>
                <w:rFonts w:hint="eastAsia"/>
                <w:b/>
                <w:color w:val="auto"/>
                <w:highlight w:val="none"/>
              </w:rPr>
              <w:t xml:space="preserve">  项目用水及排水情况一览表  </w:t>
            </w:r>
            <w:r>
              <w:rPr>
                <w:rFonts w:hint="eastAsia"/>
                <w:b/>
                <w:color w:val="auto"/>
                <w:highlight w:val="none"/>
                <w:lang w:val="en-US" w:eastAsia="zh-CN"/>
              </w:rPr>
              <w:t>pH：无量纲</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16"/>
              <w:gridCol w:w="735"/>
              <w:gridCol w:w="990"/>
              <w:gridCol w:w="1110"/>
              <w:gridCol w:w="945"/>
              <w:gridCol w:w="1036"/>
              <w:gridCol w:w="835"/>
              <w:gridCol w:w="1143"/>
              <w:gridCol w:w="838"/>
            </w:tblGrid>
            <w:tr w14:paraId="1D4A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restart"/>
                  <w:noWrap w:val="0"/>
                  <w:vAlign w:val="center"/>
                </w:tcPr>
                <w:p w14:paraId="4E434334">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废水</w:t>
                  </w:r>
                </w:p>
                <w:p w14:paraId="5D9B411A">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来源</w:t>
                  </w:r>
                </w:p>
              </w:tc>
              <w:tc>
                <w:tcPr>
                  <w:tcW w:w="451" w:type="pct"/>
                  <w:vMerge w:val="restart"/>
                  <w:noWrap w:val="0"/>
                  <w:vAlign w:val="center"/>
                </w:tcPr>
                <w:p w14:paraId="5C22358E">
                  <w:pPr>
                    <w:widowControl/>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污染物</w:t>
                  </w:r>
                </w:p>
                <w:p w14:paraId="45BEE199">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名称</w:t>
                  </w:r>
                </w:p>
              </w:tc>
              <w:tc>
                <w:tcPr>
                  <w:tcW w:w="1868" w:type="pct"/>
                  <w:gridSpan w:val="3"/>
                  <w:noWrap w:val="0"/>
                  <w:vAlign w:val="center"/>
                </w:tcPr>
                <w:p w14:paraId="6DC55F8D">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产生情况</w:t>
                  </w:r>
                </w:p>
              </w:tc>
              <w:tc>
                <w:tcPr>
                  <w:tcW w:w="635" w:type="pct"/>
                  <w:vMerge w:val="restart"/>
                  <w:noWrap w:val="0"/>
                  <w:vAlign w:val="center"/>
                </w:tcPr>
                <w:p w14:paraId="0AAF7DFB">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治理措施和排放去向</w:t>
                  </w:r>
                </w:p>
              </w:tc>
              <w:tc>
                <w:tcPr>
                  <w:tcW w:w="1728" w:type="pct"/>
                  <w:gridSpan w:val="3"/>
                  <w:noWrap w:val="0"/>
                  <w:vAlign w:val="center"/>
                </w:tcPr>
                <w:p w14:paraId="2DB7EB9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排放情况</w:t>
                  </w:r>
                </w:p>
              </w:tc>
            </w:tr>
            <w:tr w14:paraId="0B0C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continue"/>
                  <w:noWrap w:val="0"/>
                  <w:vAlign w:val="center"/>
                </w:tcPr>
                <w:p w14:paraId="254F1886">
                  <w:pPr>
                    <w:widowControl/>
                    <w:jc w:val="center"/>
                    <w:rPr>
                      <w:rFonts w:hint="default" w:ascii="Times New Roman" w:hAnsi="Times New Roman" w:eastAsia="宋体" w:cs="Times New Roman"/>
                      <w:b/>
                      <w:bCs/>
                      <w:color w:val="auto"/>
                      <w:sz w:val="21"/>
                      <w:szCs w:val="21"/>
                      <w:highlight w:val="none"/>
                    </w:rPr>
                  </w:pPr>
                </w:p>
              </w:tc>
              <w:tc>
                <w:tcPr>
                  <w:tcW w:w="451" w:type="pct"/>
                  <w:vMerge w:val="continue"/>
                  <w:noWrap w:val="0"/>
                  <w:vAlign w:val="center"/>
                </w:tcPr>
                <w:p w14:paraId="7532EFC9">
                  <w:pPr>
                    <w:widowControl/>
                    <w:jc w:val="center"/>
                    <w:rPr>
                      <w:rFonts w:hint="default" w:ascii="Times New Roman" w:hAnsi="Times New Roman" w:eastAsia="宋体" w:cs="Times New Roman"/>
                      <w:b/>
                      <w:bCs/>
                      <w:color w:val="auto"/>
                      <w:sz w:val="21"/>
                      <w:szCs w:val="21"/>
                      <w:highlight w:val="none"/>
                    </w:rPr>
                  </w:pPr>
                </w:p>
              </w:tc>
              <w:tc>
                <w:tcPr>
                  <w:tcW w:w="607" w:type="pct"/>
                  <w:noWrap w:val="0"/>
                  <w:vAlign w:val="center"/>
                </w:tcPr>
                <w:p w14:paraId="40C665F6">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废水量（</w:t>
                  </w:r>
                  <w:r>
                    <w:rPr>
                      <w:rStyle w:val="54"/>
                      <w:rFonts w:hint="default" w:ascii="Times New Roman" w:hAnsi="Times New Roman" w:eastAsia="宋体" w:cs="Times New Roman"/>
                      <w:b/>
                      <w:bCs/>
                      <w:color w:val="auto"/>
                      <w:sz w:val="21"/>
                      <w:szCs w:val="21"/>
                      <w:highlight w:val="none"/>
                      <w:lang w:bidi="ar"/>
                    </w:rPr>
                    <w:t>t/a</w:t>
                  </w:r>
                  <w:r>
                    <w:rPr>
                      <w:rStyle w:val="69"/>
                      <w:rFonts w:hint="default" w:ascii="Times New Roman" w:hAnsi="Times New Roman" w:eastAsia="宋体" w:cs="Times New Roman"/>
                      <w:b/>
                      <w:bCs/>
                      <w:color w:val="auto"/>
                      <w:sz w:val="21"/>
                      <w:szCs w:val="21"/>
                      <w:highlight w:val="none"/>
                      <w:lang w:bidi="ar"/>
                    </w:rPr>
                    <w:t>）</w:t>
                  </w:r>
                </w:p>
              </w:tc>
              <w:tc>
                <w:tcPr>
                  <w:tcW w:w="681" w:type="pct"/>
                  <w:noWrap w:val="0"/>
                  <w:vAlign w:val="center"/>
                </w:tcPr>
                <w:p w14:paraId="4E1D2A71">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产生浓度（</w:t>
                  </w:r>
                  <w:r>
                    <w:rPr>
                      <w:rStyle w:val="54"/>
                      <w:rFonts w:hint="default" w:ascii="Times New Roman" w:hAnsi="Times New Roman" w:eastAsia="宋体" w:cs="Times New Roman"/>
                      <w:b/>
                      <w:bCs/>
                      <w:color w:val="auto"/>
                      <w:sz w:val="21"/>
                      <w:szCs w:val="21"/>
                      <w:highlight w:val="none"/>
                      <w:lang w:bidi="ar"/>
                    </w:rPr>
                    <w:t>mg/L</w:t>
                  </w:r>
                  <w:r>
                    <w:rPr>
                      <w:rStyle w:val="69"/>
                      <w:rFonts w:hint="default" w:ascii="Times New Roman" w:hAnsi="Times New Roman" w:eastAsia="宋体" w:cs="Times New Roman"/>
                      <w:b/>
                      <w:bCs/>
                      <w:color w:val="auto"/>
                      <w:sz w:val="21"/>
                      <w:szCs w:val="21"/>
                      <w:highlight w:val="none"/>
                      <w:lang w:bidi="ar"/>
                    </w:rPr>
                    <w:t>）</w:t>
                  </w:r>
                </w:p>
              </w:tc>
              <w:tc>
                <w:tcPr>
                  <w:tcW w:w="579" w:type="pct"/>
                  <w:noWrap w:val="0"/>
                  <w:vAlign w:val="center"/>
                </w:tcPr>
                <w:p w14:paraId="6702BFBE">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产生量（</w:t>
                  </w:r>
                  <w:r>
                    <w:rPr>
                      <w:rStyle w:val="54"/>
                      <w:rFonts w:hint="default" w:ascii="Times New Roman" w:hAnsi="Times New Roman" w:eastAsia="宋体" w:cs="Times New Roman"/>
                      <w:b/>
                      <w:bCs/>
                      <w:color w:val="auto"/>
                      <w:sz w:val="21"/>
                      <w:szCs w:val="21"/>
                      <w:highlight w:val="none"/>
                      <w:lang w:bidi="ar"/>
                    </w:rPr>
                    <w:t>t/a</w:t>
                  </w:r>
                  <w:r>
                    <w:rPr>
                      <w:rStyle w:val="69"/>
                      <w:rFonts w:hint="default" w:ascii="Times New Roman" w:hAnsi="Times New Roman" w:eastAsia="宋体" w:cs="Times New Roman"/>
                      <w:b/>
                      <w:bCs/>
                      <w:color w:val="auto"/>
                      <w:sz w:val="21"/>
                      <w:szCs w:val="21"/>
                      <w:highlight w:val="none"/>
                      <w:lang w:bidi="ar"/>
                    </w:rPr>
                    <w:t>）</w:t>
                  </w:r>
                </w:p>
              </w:tc>
              <w:tc>
                <w:tcPr>
                  <w:tcW w:w="635" w:type="pct"/>
                  <w:vMerge w:val="continue"/>
                  <w:noWrap w:val="0"/>
                  <w:vAlign w:val="center"/>
                </w:tcPr>
                <w:p w14:paraId="781EA77F">
                  <w:pPr>
                    <w:widowControl/>
                    <w:jc w:val="center"/>
                    <w:rPr>
                      <w:rFonts w:hint="default" w:ascii="Times New Roman" w:hAnsi="Times New Roman" w:eastAsia="宋体" w:cs="Times New Roman"/>
                      <w:b/>
                      <w:bCs/>
                      <w:color w:val="auto"/>
                      <w:sz w:val="21"/>
                      <w:szCs w:val="21"/>
                      <w:highlight w:val="none"/>
                    </w:rPr>
                  </w:pPr>
                </w:p>
              </w:tc>
              <w:tc>
                <w:tcPr>
                  <w:tcW w:w="512" w:type="pct"/>
                  <w:noWrap w:val="0"/>
                  <w:vAlign w:val="center"/>
                </w:tcPr>
                <w:p w14:paraId="532299D6">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废水量（</w:t>
                  </w:r>
                  <w:r>
                    <w:rPr>
                      <w:rStyle w:val="54"/>
                      <w:rFonts w:hint="default" w:ascii="Times New Roman" w:hAnsi="Times New Roman" w:eastAsia="宋体" w:cs="Times New Roman"/>
                      <w:b/>
                      <w:bCs/>
                      <w:color w:val="auto"/>
                      <w:sz w:val="21"/>
                      <w:szCs w:val="21"/>
                      <w:highlight w:val="none"/>
                      <w:lang w:bidi="ar"/>
                    </w:rPr>
                    <w:t>t/a</w:t>
                  </w:r>
                  <w:r>
                    <w:rPr>
                      <w:rStyle w:val="69"/>
                      <w:rFonts w:hint="default" w:ascii="Times New Roman" w:hAnsi="Times New Roman" w:eastAsia="宋体" w:cs="Times New Roman"/>
                      <w:b/>
                      <w:bCs/>
                      <w:color w:val="auto"/>
                      <w:sz w:val="21"/>
                      <w:szCs w:val="21"/>
                      <w:highlight w:val="none"/>
                      <w:lang w:bidi="ar"/>
                    </w:rPr>
                    <w:t>）</w:t>
                  </w:r>
                </w:p>
              </w:tc>
              <w:tc>
                <w:tcPr>
                  <w:tcW w:w="701" w:type="pct"/>
                  <w:noWrap w:val="0"/>
                  <w:vAlign w:val="center"/>
                </w:tcPr>
                <w:p w14:paraId="6F2ED1F1">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排放浓度（</w:t>
                  </w:r>
                  <w:r>
                    <w:rPr>
                      <w:rStyle w:val="54"/>
                      <w:rFonts w:hint="default" w:ascii="Times New Roman" w:hAnsi="Times New Roman" w:eastAsia="宋体" w:cs="Times New Roman"/>
                      <w:b/>
                      <w:bCs/>
                      <w:color w:val="auto"/>
                      <w:sz w:val="21"/>
                      <w:szCs w:val="21"/>
                      <w:highlight w:val="none"/>
                      <w:lang w:bidi="ar"/>
                    </w:rPr>
                    <w:t>mg/L</w:t>
                  </w:r>
                  <w:r>
                    <w:rPr>
                      <w:rStyle w:val="69"/>
                      <w:rFonts w:hint="default" w:ascii="Times New Roman" w:hAnsi="Times New Roman" w:eastAsia="宋体" w:cs="Times New Roman"/>
                      <w:b/>
                      <w:bCs/>
                      <w:color w:val="auto"/>
                      <w:sz w:val="21"/>
                      <w:szCs w:val="21"/>
                      <w:highlight w:val="none"/>
                      <w:lang w:bidi="ar"/>
                    </w:rPr>
                    <w:t>）</w:t>
                  </w:r>
                </w:p>
              </w:tc>
              <w:tc>
                <w:tcPr>
                  <w:tcW w:w="514" w:type="pct"/>
                  <w:noWrap w:val="0"/>
                  <w:vAlign w:val="center"/>
                </w:tcPr>
                <w:p w14:paraId="4FCFE635">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排放量（</w:t>
                  </w:r>
                  <w:r>
                    <w:rPr>
                      <w:rStyle w:val="54"/>
                      <w:rFonts w:hint="default" w:ascii="Times New Roman" w:hAnsi="Times New Roman" w:eastAsia="宋体" w:cs="Times New Roman"/>
                      <w:b/>
                      <w:bCs/>
                      <w:color w:val="auto"/>
                      <w:sz w:val="21"/>
                      <w:szCs w:val="21"/>
                      <w:highlight w:val="none"/>
                      <w:lang w:bidi="ar"/>
                    </w:rPr>
                    <w:t>t/a</w:t>
                  </w:r>
                  <w:r>
                    <w:rPr>
                      <w:rStyle w:val="69"/>
                      <w:rFonts w:hint="default" w:ascii="Times New Roman" w:hAnsi="Times New Roman" w:eastAsia="宋体" w:cs="Times New Roman"/>
                      <w:b/>
                      <w:bCs/>
                      <w:color w:val="auto"/>
                      <w:sz w:val="21"/>
                      <w:szCs w:val="21"/>
                      <w:highlight w:val="none"/>
                      <w:lang w:bidi="ar"/>
                    </w:rPr>
                    <w:t>）</w:t>
                  </w:r>
                </w:p>
              </w:tc>
            </w:tr>
            <w:tr w14:paraId="4095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restart"/>
                  <w:noWrap w:val="0"/>
                  <w:vAlign w:val="center"/>
                </w:tcPr>
                <w:p w14:paraId="16C8586C">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生活</w:t>
                  </w:r>
                </w:p>
                <w:p w14:paraId="1015F67E">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污水</w:t>
                  </w:r>
                </w:p>
              </w:tc>
              <w:tc>
                <w:tcPr>
                  <w:tcW w:w="451" w:type="pct"/>
                  <w:noWrap w:val="0"/>
                  <w:vAlign w:val="center"/>
                </w:tcPr>
                <w:p w14:paraId="34466CF4">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bidi="ar"/>
                    </w:rPr>
                    <w:t>pH</w:t>
                  </w:r>
                </w:p>
              </w:tc>
              <w:tc>
                <w:tcPr>
                  <w:tcW w:w="607" w:type="pct"/>
                  <w:vMerge w:val="restart"/>
                  <w:noWrap w:val="0"/>
                  <w:vAlign w:val="center"/>
                </w:tcPr>
                <w:p w14:paraId="353C3FD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672</w:t>
                  </w:r>
                </w:p>
              </w:tc>
              <w:tc>
                <w:tcPr>
                  <w:tcW w:w="681" w:type="pct"/>
                  <w:shd w:val="clear" w:color="auto" w:fill="auto"/>
                  <w:noWrap w:val="0"/>
                  <w:vAlign w:val="center"/>
                </w:tcPr>
                <w:p w14:paraId="78BBAA91">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6~9</w:t>
                  </w:r>
                </w:p>
              </w:tc>
              <w:tc>
                <w:tcPr>
                  <w:tcW w:w="579" w:type="pct"/>
                  <w:shd w:val="clear" w:color="auto" w:fill="auto"/>
                  <w:noWrap w:val="0"/>
                  <w:vAlign w:val="center"/>
                </w:tcPr>
                <w:p w14:paraId="14967EC1">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w:t>
                  </w:r>
                </w:p>
              </w:tc>
              <w:tc>
                <w:tcPr>
                  <w:tcW w:w="635" w:type="pct"/>
                  <w:vMerge w:val="restart"/>
                  <w:noWrap w:val="0"/>
                  <w:vAlign w:val="center"/>
                </w:tcPr>
                <w:p w14:paraId="2638159A">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化粪池处理后进入</w:t>
                  </w:r>
                  <w:r>
                    <w:rPr>
                      <w:rFonts w:hint="eastAsia" w:cs="Times New Roman"/>
                      <w:color w:val="auto"/>
                      <w:kern w:val="0"/>
                      <w:sz w:val="21"/>
                      <w:szCs w:val="21"/>
                      <w:highlight w:val="none"/>
                      <w:lang w:val="en-US" w:eastAsia="zh-CN" w:bidi="ar"/>
                    </w:rPr>
                    <w:t>泗县工业污水处理厂</w:t>
                  </w:r>
                  <w:r>
                    <w:rPr>
                      <w:rFonts w:hint="default" w:ascii="Times New Roman" w:hAnsi="Times New Roman" w:eastAsia="宋体" w:cs="Times New Roman"/>
                      <w:color w:val="auto"/>
                      <w:kern w:val="0"/>
                      <w:sz w:val="21"/>
                      <w:szCs w:val="21"/>
                      <w:highlight w:val="none"/>
                      <w:lang w:bidi="ar"/>
                    </w:rPr>
                    <w:t>进一步处理后排放至</w:t>
                  </w:r>
                  <w:r>
                    <w:rPr>
                      <w:rFonts w:hint="eastAsia" w:cs="Times New Roman"/>
                      <w:color w:val="auto"/>
                      <w:kern w:val="0"/>
                      <w:sz w:val="21"/>
                      <w:szCs w:val="21"/>
                      <w:highlight w:val="none"/>
                      <w:lang w:val="en-US" w:eastAsia="zh-CN" w:bidi="ar"/>
                    </w:rPr>
                    <w:t>石梁河</w:t>
                  </w:r>
                </w:p>
              </w:tc>
              <w:tc>
                <w:tcPr>
                  <w:tcW w:w="512" w:type="pct"/>
                  <w:vMerge w:val="restart"/>
                  <w:noWrap w:val="0"/>
                  <w:vAlign w:val="center"/>
                </w:tcPr>
                <w:p w14:paraId="348D6758">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672</w:t>
                  </w:r>
                </w:p>
              </w:tc>
              <w:tc>
                <w:tcPr>
                  <w:tcW w:w="701" w:type="pct"/>
                  <w:shd w:val="clear" w:color="auto" w:fill="auto"/>
                  <w:noWrap w:val="0"/>
                  <w:vAlign w:val="center"/>
                </w:tcPr>
                <w:p w14:paraId="1A17C446">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6~9</w:t>
                  </w:r>
                </w:p>
              </w:tc>
              <w:tc>
                <w:tcPr>
                  <w:tcW w:w="514" w:type="pct"/>
                  <w:shd w:val="clear" w:color="auto" w:fill="auto"/>
                  <w:noWrap w:val="0"/>
                  <w:vAlign w:val="center"/>
                </w:tcPr>
                <w:p w14:paraId="60B30F02">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w:t>
                  </w:r>
                </w:p>
              </w:tc>
            </w:tr>
            <w:tr w14:paraId="5F10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continue"/>
                  <w:noWrap w:val="0"/>
                  <w:vAlign w:val="center"/>
                </w:tcPr>
                <w:p w14:paraId="43FA897B">
                  <w:pPr>
                    <w:widowControl/>
                    <w:jc w:val="center"/>
                    <w:textAlignment w:val="center"/>
                    <w:rPr>
                      <w:rFonts w:hint="default" w:ascii="Times New Roman" w:hAnsi="Times New Roman" w:eastAsia="宋体" w:cs="Times New Roman"/>
                      <w:color w:val="auto"/>
                      <w:sz w:val="21"/>
                      <w:szCs w:val="21"/>
                      <w:highlight w:val="none"/>
                    </w:rPr>
                  </w:pPr>
                </w:p>
              </w:tc>
              <w:tc>
                <w:tcPr>
                  <w:tcW w:w="451" w:type="pct"/>
                  <w:noWrap w:val="0"/>
                  <w:vAlign w:val="center"/>
                </w:tcPr>
                <w:p w14:paraId="0BEB7ADF">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COD</w:t>
                  </w:r>
                </w:p>
              </w:tc>
              <w:tc>
                <w:tcPr>
                  <w:tcW w:w="607" w:type="pct"/>
                  <w:vMerge w:val="continue"/>
                  <w:noWrap w:val="0"/>
                  <w:vAlign w:val="center"/>
                </w:tcPr>
                <w:p w14:paraId="563BF849">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681" w:type="pct"/>
                  <w:noWrap w:val="0"/>
                  <w:vAlign w:val="center"/>
                </w:tcPr>
                <w:p w14:paraId="36DEBBD2">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579" w:type="pct"/>
                  <w:noWrap w:val="0"/>
                  <w:vAlign w:val="center"/>
                </w:tcPr>
                <w:p w14:paraId="4B98DE6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0.202</w:t>
                  </w:r>
                </w:p>
              </w:tc>
              <w:tc>
                <w:tcPr>
                  <w:tcW w:w="635" w:type="pct"/>
                  <w:vMerge w:val="continue"/>
                  <w:noWrap w:val="0"/>
                  <w:vAlign w:val="center"/>
                </w:tcPr>
                <w:p w14:paraId="5CA7B240">
                  <w:pPr>
                    <w:widowControl/>
                    <w:jc w:val="center"/>
                    <w:textAlignment w:val="center"/>
                    <w:rPr>
                      <w:rFonts w:hint="default" w:ascii="Times New Roman" w:hAnsi="Times New Roman" w:eastAsia="宋体" w:cs="Times New Roman"/>
                      <w:color w:val="auto"/>
                      <w:sz w:val="21"/>
                      <w:szCs w:val="21"/>
                      <w:highlight w:val="none"/>
                    </w:rPr>
                  </w:pPr>
                </w:p>
              </w:tc>
              <w:tc>
                <w:tcPr>
                  <w:tcW w:w="512" w:type="pct"/>
                  <w:vMerge w:val="continue"/>
                  <w:noWrap w:val="0"/>
                  <w:vAlign w:val="center"/>
                </w:tcPr>
                <w:p w14:paraId="3D896F4A">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701" w:type="pct"/>
                  <w:noWrap w:val="0"/>
                  <w:vAlign w:val="center"/>
                </w:tcPr>
                <w:p w14:paraId="34C1E36F">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c>
                <w:tcPr>
                  <w:tcW w:w="514" w:type="pct"/>
                  <w:noWrap w:val="0"/>
                  <w:vAlign w:val="center"/>
                </w:tcPr>
                <w:p w14:paraId="210F2B66">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0.171</w:t>
                  </w:r>
                </w:p>
              </w:tc>
            </w:tr>
            <w:tr w14:paraId="5279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continue"/>
                  <w:noWrap w:val="0"/>
                  <w:vAlign w:val="center"/>
                </w:tcPr>
                <w:p w14:paraId="76C7B3F7">
                  <w:pPr>
                    <w:widowControl/>
                    <w:jc w:val="center"/>
                    <w:rPr>
                      <w:rFonts w:hint="default" w:ascii="Times New Roman" w:hAnsi="Times New Roman" w:eastAsia="宋体" w:cs="Times New Roman"/>
                      <w:color w:val="auto"/>
                      <w:sz w:val="21"/>
                      <w:szCs w:val="21"/>
                      <w:highlight w:val="none"/>
                    </w:rPr>
                  </w:pPr>
                </w:p>
              </w:tc>
              <w:tc>
                <w:tcPr>
                  <w:tcW w:w="451" w:type="pct"/>
                  <w:noWrap w:val="0"/>
                  <w:vAlign w:val="center"/>
                </w:tcPr>
                <w:p w14:paraId="6B1FEF62">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BOD</w:t>
                  </w:r>
                  <w:r>
                    <w:rPr>
                      <w:rStyle w:val="70"/>
                      <w:rFonts w:hint="default" w:ascii="Times New Roman" w:hAnsi="Times New Roman" w:eastAsia="宋体" w:cs="Times New Roman"/>
                      <w:color w:val="auto"/>
                      <w:sz w:val="21"/>
                      <w:szCs w:val="21"/>
                      <w:highlight w:val="none"/>
                      <w:vertAlign w:val="subscript"/>
                      <w:lang w:bidi="ar"/>
                    </w:rPr>
                    <w:t>5</w:t>
                  </w:r>
                </w:p>
              </w:tc>
              <w:tc>
                <w:tcPr>
                  <w:tcW w:w="607" w:type="pct"/>
                  <w:vMerge w:val="continue"/>
                  <w:noWrap w:val="0"/>
                  <w:vAlign w:val="center"/>
                </w:tcPr>
                <w:p w14:paraId="1532C612">
                  <w:pPr>
                    <w:jc w:val="center"/>
                    <w:rPr>
                      <w:rFonts w:hint="default" w:ascii="Times New Roman" w:hAnsi="Times New Roman" w:eastAsia="宋体" w:cs="Times New Roman"/>
                      <w:color w:val="auto"/>
                      <w:sz w:val="21"/>
                      <w:szCs w:val="21"/>
                      <w:highlight w:val="none"/>
                    </w:rPr>
                  </w:pPr>
                </w:p>
              </w:tc>
              <w:tc>
                <w:tcPr>
                  <w:tcW w:w="681" w:type="pct"/>
                  <w:noWrap w:val="0"/>
                  <w:vAlign w:val="center"/>
                </w:tcPr>
                <w:p w14:paraId="78004C9C">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579" w:type="pct"/>
                  <w:noWrap w:val="0"/>
                  <w:vAlign w:val="center"/>
                </w:tcPr>
                <w:p w14:paraId="2F306E53">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0.134</w:t>
                  </w:r>
                </w:p>
              </w:tc>
              <w:tc>
                <w:tcPr>
                  <w:tcW w:w="635" w:type="pct"/>
                  <w:vMerge w:val="continue"/>
                  <w:noWrap w:val="0"/>
                  <w:vAlign w:val="center"/>
                </w:tcPr>
                <w:p w14:paraId="2C209775">
                  <w:pPr>
                    <w:jc w:val="center"/>
                    <w:rPr>
                      <w:rFonts w:hint="default" w:ascii="Times New Roman" w:hAnsi="Times New Roman" w:eastAsia="宋体" w:cs="Times New Roman"/>
                      <w:color w:val="auto"/>
                      <w:sz w:val="21"/>
                      <w:szCs w:val="21"/>
                      <w:highlight w:val="none"/>
                    </w:rPr>
                  </w:pPr>
                </w:p>
              </w:tc>
              <w:tc>
                <w:tcPr>
                  <w:tcW w:w="512" w:type="pct"/>
                  <w:vMerge w:val="continue"/>
                  <w:noWrap w:val="0"/>
                  <w:vAlign w:val="center"/>
                </w:tcPr>
                <w:p w14:paraId="1C75C30F">
                  <w:pPr>
                    <w:jc w:val="center"/>
                    <w:rPr>
                      <w:rFonts w:hint="default" w:ascii="Times New Roman" w:hAnsi="Times New Roman" w:eastAsia="宋体" w:cs="Times New Roman"/>
                      <w:color w:val="auto"/>
                      <w:sz w:val="21"/>
                      <w:szCs w:val="21"/>
                      <w:highlight w:val="none"/>
                    </w:rPr>
                  </w:pPr>
                </w:p>
              </w:tc>
              <w:tc>
                <w:tcPr>
                  <w:tcW w:w="701" w:type="pct"/>
                  <w:noWrap w:val="0"/>
                  <w:vAlign w:val="center"/>
                </w:tcPr>
                <w:p w14:paraId="3707BC6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162</w:t>
                  </w:r>
                </w:p>
              </w:tc>
              <w:tc>
                <w:tcPr>
                  <w:tcW w:w="514" w:type="pct"/>
                  <w:noWrap w:val="0"/>
                  <w:vAlign w:val="center"/>
                </w:tcPr>
                <w:p w14:paraId="24DABB66">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0.121</w:t>
                  </w:r>
                </w:p>
              </w:tc>
            </w:tr>
            <w:tr w14:paraId="6C1B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continue"/>
                  <w:noWrap w:val="0"/>
                  <w:vAlign w:val="center"/>
                </w:tcPr>
                <w:p w14:paraId="4F8DF7DF">
                  <w:pPr>
                    <w:widowControl/>
                    <w:jc w:val="center"/>
                    <w:rPr>
                      <w:rFonts w:hint="default" w:ascii="Times New Roman" w:hAnsi="Times New Roman" w:eastAsia="宋体" w:cs="Times New Roman"/>
                      <w:color w:val="auto"/>
                      <w:sz w:val="21"/>
                      <w:szCs w:val="21"/>
                      <w:highlight w:val="none"/>
                    </w:rPr>
                  </w:pPr>
                </w:p>
              </w:tc>
              <w:tc>
                <w:tcPr>
                  <w:tcW w:w="451" w:type="pct"/>
                  <w:noWrap w:val="0"/>
                  <w:vAlign w:val="center"/>
                </w:tcPr>
                <w:p w14:paraId="6B57B325">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SS</w:t>
                  </w:r>
                </w:p>
              </w:tc>
              <w:tc>
                <w:tcPr>
                  <w:tcW w:w="607" w:type="pct"/>
                  <w:vMerge w:val="continue"/>
                  <w:noWrap w:val="0"/>
                  <w:vAlign w:val="center"/>
                </w:tcPr>
                <w:p w14:paraId="2A0C9518">
                  <w:pPr>
                    <w:jc w:val="center"/>
                    <w:rPr>
                      <w:rFonts w:hint="default" w:ascii="Times New Roman" w:hAnsi="Times New Roman" w:eastAsia="宋体" w:cs="Times New Roman"/>
                      <w:color w:val="auto"/>
                      <w:sz w:val="21"/>
                      <w:szCs w:val="21"/>
                      <w:highlight w:val="none"/>
                    </w:rPr>
                  </w:pPr>
                </w:p>
              </w:tc>
              <w:tc>
                <w:tcPr>
                  <w:tcW w:w="681" w:type="pct"/>
                  <w:noWrap w:val="0"/>
                  <w:vAlign w:val="center"/>
                </w:tcPr>
                <w:p w14:paraId="644580C7">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579" w:type="pct"/>
                  <w:noWrap w:val="0"/>
                  <w:vAlign w:val="center"/>
                </w:tcPr>
                <w:p w14:paraId="073769E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0.134</w:t>
                  </w:r>
                </w:p>
              </w:tc>
              <w:tc>
                <w:tcPr>
                  <w:tcW w:w="635" w:type="pct"/>
                  <w:vMerge w:val="continue"/>
                  <w:noWrap w:val="0"/>
                  <w:vAlign w:val="center"/>
                </w:tcPr>
                <w:p w14:paraId="3D7BB875">
                  <w:pPr>
                    <w:jc w:val="center"/>
                    <w:rPr>
                      <w:rFonts w:hint="default" w:ascii="Times New Roman" w:hAnsi="Times New Roman" w:eastAsia="宋体" w:cs="Times New Roman"/>
                      <w:color w:val="auto"/>
                      <w:sz w:val="21"/>
                      <w:szCs w:val="21"/>
                      <w:highlight w:val="none"/>
                    </w:rPr>
                  </w:pPr>
                </w:p>
              </w:tc>
              <w:tc>
                <w:tcPr>
                  <w:tcW w:w="512" w:type="pct"/>
                  <w:vMerge w:val="continue"/>
                  <w:noWrap w:val="0"/>
                  <w:vAlign w:val="center"/>
                </w:tcPr>
                <w:p w14:paraId="6F565852">
                  <w:pPr>
                    <w:jc w:val="center"/>
                    <w:rPr>
                      <w:rFonts w:hint="default" w:ascii="Times New Roman" w:hAnsi="Times New Roman" w:eastAsia="宋体" w:cs="Times New Roman"/>
                      <w:color w:val="auto"/>
                      <w:sz w:val="21"/>
                      <w:szCs w:val="21"/>
                      <w:highlight w:val="none"/>
                    </w:rPr>
                  </w:pPr>
                </w:p>
              </w:tc>
              <w:tc>
                <w:tcPr>
                  <w:tcW w:w="701" w:type="pct"/>
                  <w:noWrap w:val="0"/>
                  <w:vAlign w:val="center"/>
                </w:tcPr>
                <w:p w14:paraId="10C6AA88">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514" w:type="pct"/>
                  <w:noWrap w:val="0"/>
                  <w:vAlign w:val="center"/>
                </w:tcPr>
                <w:p w14:paraId="78395D03">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0.081</w:t>
                  </w:r>
                </w:p>
              </w:tc>
            </w:tr>
            <w:tr w14:paraId="3BFC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16" w:type="pct"/>
                  <w:vMerge w:val="continue"/>
                  <w:noWrap w:val="0"/>
                  <w:vAlign w:val="center"/>
                </w:tcPr>
                <w:p w14:paraId="57F41611">
                  <w:pPr>
                    <w:widowControl/>
                    <w:jc w:val="center"/>
                    <w:rPr>
                      <w:rFonts w:hint="default" w:ascii="Times New Roman" w:hAnsi="Times New Roman" w:eastAsia="宋体" w:cs="Times New Roman"/>
                      <w:color w:val="auto"/>
                      <w:sz w:val="21"/>
                      <w:szCs w:val="21"/>
                      <w:highlight w:val="none"/>
                    </w:rPr>
                  </w:pPr>
                </w:p>
              </w:tc>
              <w:tc>
                <w:tcPr>
                  <w:tcW w:w="451" w:type="pct"/>
                  <w:noWrap w:val="0"/>
                  <w:vAlign w:val="center"/>
                </w:tcPr>
                <w:p w14:paraId="06440700">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NH</w:t>
                  </w:r>
                  <w:r>
                    <w:rPr>
                      <w:rFonts w:hint="default" w:ascii="Times New Roman" w:hAnsi="Times New Roman" w:eastAsia="宋体" w:cs="Times New Roman"/>
                      <w:color w:val="auto"/>
                      <w:kern w:val="0"/>
                      <w:sz w:val="21"/>
                      <w:szCs w:val="21"/>
                      <w:highlight w:val="none"/>
                      <w:vertAlign w:val="subscript"/>
                      <w:lang w:bidi="ar"/>
                    </w:rPr>
                    <w:t>3</w:t>
                  </w:r>
                  <w:r>
                    <w:rPr>
                      <w:rFonts w:hint="default" w:ascii="Times New Roman" w:hAnsi="Times New Roman" w:eastAsia="宋体" w:cs="Times New Roman"/>
                      <w:color w:val="auto"/>
                      <w:kern w:val="0"/>
                      <w:sz w:val="21"/>
                      <w:szCs w:val="21"/>
                      <w:highlight w:val="none"/>
                      <w:lang w:bidi="ar"/>
                    </w:rPr>
                    <w:t>-N</w:t>
                  </w:r>
                </w:p>
              </w:tc>
              <w:tc>
                <w:tcPr>
                  <w:tcW w:w="607" w:type="pct"/>
                  <w:vMerge w:val="continue"/>
                  <w:noWrap w:val="0"/>
                  <w:vAlign w:val="center"/>
                </w:tcPr>
                <w:p w14:paraId="5922ABC4">
                  <w:pPr>
                    <w:jc w:val="center"/>
                    <w:rPr>
                      <w:rFonts w:hint="default" w:ascii="Times New Roman" w:hAnsi="Times New Roman" w:eastAsia="宋体" w:cs="Times New Roman"/>
                      <w:color w:val="auto"/>
                      <w:sz w:val="21"/>
                      <w:szCs w:val="21"/>
                      <w:highlight w:val="none"/>
                    </w:rPr>
                  </w:pPr>
                </w:p>
              </w:tc>
              <w:tc>
                <w:tcPr>
                  <w:tcW w:w="681" w:type="pct"/>
                  <w:noWrap w:val="0"/>
                  <w:vAlign w:val="center"/>
                </w:tcPr>
                <w:p w14:paraId="630FCADD">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579" w:type="pct"/>
                  <w:noWrap w:val="0"/>
                  <w:vAlign w:val="center"/>
                </w:tcPr>
                <w:p w14:paraId="50A8945E">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c>
                <w:tcPr>
                  <w:tcW w:w="635" w:type="pct"/>
                  <w:vMerge w:val="continue"/>
                  <w:noWrap w:val="0"/>
                  <w:vAlign w:val="center"/>
                </w:tcPr>
                <w:p w14:paraId="03B8AB33">
                  <w:pPr>
                    <w:jc w:val="center"/>
                    <w:rPr>
                      <w:rFonts w:hint="default" w:ascii="Times New Roman" w:hAnsi="Times New Roman" w:eastAsia="宋体" w:cs="Times New Roman"/>
                      <w:color w:val="auto"/>
                      <w:sz w:val="21"/>
                      <w:szCs w:val="21"/>
                      <w:highlight w:val="none"/>
                    </w:rPr>
                  </w:pPr>
                </w:p>
              </w:tc>
              <w:tc>
                <w:tcPr>
                  <w:tcW w:w="512" w:type="pct"/>
                  <w:vMerge w:val="continue"/>
                  <w:noWrap w:val="0"/>
                  <w:vAlign w:val="center"/>
                </w:tcPr>
                <w:p w14:paraId="4FEBB725">
                  <w:pPr>
                    <w:jc w:val="center"/>
                    <w:rPr>
                      <w:rFonts w:hint="default" w:ascii="Times New Roman" w:hAnsi="Times New Roman" w:eastAsia="宋体" w:cs="Times New Roman"/>
                      <w:color w:val="auto"/>
                      <w:sz w:val="21"/>
                      <w:szCs w:val="21"/>
                      <w:highlight w:val="none"/>
                    </w:rPr>
                  </w:pPr>
                </w:p>
              </w:tc>
              <w:tc>
                <w:tcPr>
                  <w:tcW w:w="701" w:type="pct"/>
                  <w:noWrap w:val="0"/>
                  <w:vAlign w:val="center"/>
                </w:tcPr>
                <w:p w14:paraId="21AAB9CE">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14" w:type="pct"/>
                  <w:noWrap w:val="0"/>
                  <w:vAlign w:val="center"/>
                </w:tcPr>
                <w:p w14:paraId="16A8D65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r>
          </w:tbl>
          <w:p w14:paraId="4E2A04C9">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color w:val="auto"/>
                <w:highlight w:val="none"/>
              </w:rPr>
            </w:pPr>
            <w:r>
              <w:rPr>
                <w:rFonts w:hint="eastAsia"/>
                <w:b/>
                <w:bCs/>
                <w:color w:val="auto"/>
                <w:highlight w:val="none"/>
              </w:rPr>
              <w:t>排放口设置及监测计划</w:t>
            </w:r>
          </w:p>
          <w:p w14:paraId="3168CD48">
            <w:pPr>
              <w:adjustRightInd w:val="0"/>
              <w:snapToGrid w:val="0"/>
              <w:spacing w:line="360" w:lineRule="auto"/>
              <w:ind w:firstLine="480" w:firstLineChars="200"/>
              <w:jc w:val="both"/>
              <w:rPr>
                <w:rFonts w:hint="eastAsia"/>
                <w:bCs/>
                <w:color w:val="auto"/>
                <w:highlight w:val="none"/>
              </w:rPr>
            </w:pPr>
            <w:r>
              <w:rPr>
                <w:rFonts w:hint="eastAsia"/>
                <w:bCs/>
                <w:color w:val="auto"/>
                <w:highlight w:val="none"/>
              </w:rPr>
              <w:t>生活</w:t>
            </w:r>
            <w:r>
              <w:rPr>
                <w:rFonts w:hint="eastAsia"/>
                <w:bCs/>
                <w:color w:val="auto"/>
                <w:highlight w:val="none"/>
                <w:lang w:val="en-US" w:eastAsia="zh-CN"/>
              </w:rPr>
              <w:t>污水</w:t>
            </w:r>
            <w:r>
              <w:rPr>
                <w:rFonts w:hint="eastAsia"/>
                <w:bCs/>
                <w:color w:val="auto"/>
                <w:highlight w:val="none"/>
              </w:rPr>
              <w:t>经化粪池处理</w:t>
            </w:r>
            <w:r>
              <w:rPr>
                <w:rFonts w:hint="eastAsia"/>
                <w:bCs/>
                <w:color w:val="auto"/>
                <w:highlight w:val="none"/>
                <w:lang w:val="en-US" w:eastAsia="zh-CN"/>
              </w:rPr>
              <w:t>后经污水管网排至厂区总排口，</w:t>
            </w:r>
            <w:r>
              <w:rPr>
                <w:bCs/>
                <w:color w:val="auto"/>
                <w:highlight w:val="none"/>
              </w:rPr>
              <w:t>进入</w:t>
            </w:r>
            <w:r>
              <w:rPr>
                <w:rFonts w:hint="eastAsia"/>
                <w:color w:val="auto"/>
                <w:highlight w:val="none"/>
                <w:lang w:val="en-US" w:eastAsia="zh-CN"/>
              </w:rPr>
              <w:t>泗县工业</w:t>
            </w:r>
            <w:r>
              <w:rPr>
                <w:rFonts w:hint="eastAsia"/>
                <w:color w:val="auto"/>
                <w:highlight w:val="none"/>
              </w:rPr>
              <w:t>污水处理厂</w:t>
            </w:r>
            <w:r>
              <w:rPr>
                <w:rFonts w:hint="eastAsia"/>
                <w:bCs/>
                <w:color w:val="auto"/>
                <w:highlight w:val="none"/>
              </w:rPr>
              <w:t>。</w:t>
            </w:r>
          </w:p>
          <w:p w14:paraId="3060889C">
            <w:pPr>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 xml:space="preserve">11  </w:t>
            </w:r>
            <w:r>
              <w:rPr>
                <w:b/>
                <w:bCs/>
                <w:color w:val="auto"/>
                <w:sz w:val="24"/>
                <w:highlight w:val="none"/>
              </w:rPr>
              <w:t>排放口基本情况一览表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814"/>
              <w:gridCol w:w="2234"/>
              <w:gridCol w:w="2376"/>
            </w:tblGrid>
            <w:tr w14:paraId="6884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56" w:type="pct"/>
                  <w:vMerge w:val="restart"/>
                  <w:noWrap w:val="0"/>
                  <w:vAlign w:val="center"/>
                </w:tcPr>
                <w:p w14:paraId="53356737">
                  <w:pPr>
                    <w:jc w:val="center"/>
                    <w:rPr>
                      <w:b/>
                      <w:bCs/>
                      <w:color w:val="auto"/>
                      <w:sz w:val="21"/>
                      <w:szCs w:val="21"/>
                      <w:highlight w:val="none"/>
                    </w:rPr>
                  </w:pPr>
                  <w:r>
                    <w:rPr>
                      <w:b/>
                      <w:bCs/>
                      <w:color w:val="auto"/>
                      <w:sz w:val="21"/>
                      <w:szCs w:val="21"/>
                      <w:highlight w:val="none"/>
                    </w:rPr>
                    <w:t>排放口编号</w:t>
                  </w:r>
                </w:p>
              </w:tc>
              <w:tc>
                <w:tcPr>
                  <w:tcW w:w="1113" w:type="pct"/>
                  <w:vMerge w:val="restart"/>
                  <w:noWrap w:val="0"/>
                  <w:vAlign w:val="center"/>
                </w:tcPr>
                <w:p w14:paraId="1294B651">
                  <w:pPr>
                    <w:jc w:val="center"/>
                    <w:rPr>
                      <w:b/>
                      <w:bCs/>
                      <w:color w:val="auto"/>
                      <w:sz w:val="21"/>
                      <w:szCs w:val="21"/>
                      <w:highlight w:val="none"/>
                    </w:rPr>
                  </w:pPr>
                  <w:r>
                    <w:rPr>
                      <w:b/>
                      <w:bCs/>
                      <w:color w:val="auto"/>
                      <w:sz w:val="21"/>
                      <w:szCs w:val="21"/>
                      <w:highlight w:val="none"/>
                    </w:rPr>
                    <w:t>排放口类型</w:t>
                  </w:r>
                </w:p>
              </w:tc>
              <w:tc>
                <w:tcPr>
                  <w:tcW w:w="2829" w:type="pct"/>
                  <w:gridSpan w:val="2"/>
                  <w:noWrap w:val="0"/>
                  <w:vAlign w:val="center"/>
                </w:tcPr>
                <w:p w14:paraId="5ADD7872">
                  <w:pPr>
                    <w:jc w:val="center"/>
                    <w:rPr>
                      <w:b/>
                      <w:bCs/>
                      <w:color w:val="auto"/>
                      <w:sz w:val="21"/>
                      <w:szCs w:val="21"/>
                      <w:highlight w:val="none"/>
                    </w:rPr>
                  </w:pPr>
                  <w:r>
                    <w:rPr>
                      <w:b/>
                      <w:bCs/>
                      <w:color w:val="auto"/>
                      <w:sz w:val="21"/>
                      <w:szCs w:val="21"/>
                      <w:highlight w:val="none"/>
                    </w:rPr>
                    <w:t>坐标</w:t>
                  </w:r>
                </w:p>
              </w:tc>
            </w:tr>
            <w:tr w14:paraId="1F0B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056" w:type="pct"/>
                  <w:vMerge w:val="continue"/>
                  <w:noWrap w:val="0"/>
                  <w:vAlign w:val="center"/>
                </w:tcPr>
                <w:p w14:paraId="1667504E">
                  <w:pPr>
                    <w:jc w:val="center"/>
                    <w:rPr>
                      <w:color w:val="auto"/>
                      <w:sz w:val="21"/>
                      <w:szCs w:val="21"/>
                      <w:highlight w:val="none"/>
                    </w:rPr>
                  </w:pPr>
                </w:p>
              </w:tc>
              <w:tc>
                <w:tcPr>
                  <w:tcW w:w="1113" w:type="pct"/>
                  <w:vMerge w:val="continue"/>
                  <w:noWrap w:val="0"/>
                  <w:vAlign w:val="center"/>
                </w:tcPr>
                <w:p w14:paraId="25F3E6A0">
                  <w:pPr>
                    <w:jc w:val="center"/>
                    <w:rPr>
                      <w:color w:val="auto"/>
                      <w:sz w:val="21"/>
                      <w:szCs w:val="21"/>
                      <w:highlight w:val="none"/>
                    </w:rPr>
                  </w:pPr>
                </w:p>
              </w:tc>
              <w:tc>
                <w:tcPr>
                  <w:tcW w:w="1371" w:type="pct"/>
                  <w:noWrap w:val="0"/>
                  <w:vAlign w:val="center"/>
                </w:tcPr>
                <w:p w14:paraId="05DD21E5">
                  <w:pPr>
                    <w:jc w:val="center"/>
                    <w:rPr>
                      <w:b/>
                      <w:bCs/>
                      <w:color w:val="auto"/>
                      <w:sz w:val="21"/>
                      <w:szCs w:val="21"/>
                      <w:highlight w:val="none"/>
                    </w:rPr>
                  </w:pPr>
                  <w:r>
                    <w:rPr>
                      <w:b/>
                      <w:bCs/>
                      <w:color w:val="auto"/>
                      <w:sz w:val="21"/>
                      <w:szCs w:val="21"/>
                      <w:highlight w:val="none"/>
                    </w:rPr>
                    <w:t>经度</w:t>
                  </w:r>
                </w:p>
              </w:tc>
              <w:tc>
                <w:tcPr>
                  <w:tcW w:w="1458" w:type="pct"/>
                  <w:noWrap w:val="0"/>
                  <w:vAlign w:val="center"/>
                </w:tcPr>
                <w:p w14:paraId="1C88C82D">
                  <w:pPr>
                    <w:jc w:val="center"/>
                    <w:rPr>
                      <w:b/>
                      <w:bCs/>
                      <w:color w:val="auto"/>
                      <w:sz w:val="21"/>
                      <w:szCs w:val="21"/>
                      <w:highlight w:val="none"/>
                    </w:rPr>
                  </w:pPr>
                  <w:r>
                    <w:rPr>
                      <w:b/>
                      <w:bCs/>
                      <w:color w:val="auto"/>
                      <w:sz w:val="21"/>
                      <w:szCs w:val="21"/>
                      <w:highlight w:val="none"/>
                    </w:rPr>
                    <w:t>纬度</w:t>
                  </w:r>
                </w:p>
              </w:tc>
            </w:tr>
            <w:tr w14:paraId="6225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pct"/>
                  <w:noWrap w:val="0"/>
                  <w:vAlign w:val="center"/>
                </w:tcPr>
                <w:p w14:paraId="02AB9699">
                  <w:pPr>
                    <w:jc w:val="center"/>
                    <w:rPr>
                      <w:color w:val="auto"/>
                      <w:sz w:val="21"/>
                      <w:szCs w:val="21"/>
                      <w:highlight w:val="none"/>
                    </w:rPr>
                  </w:pPr>
                  <w:r>
                    <w:rPr>
                      <w:color w:val="auto"/>
                      <w:sz w:val="21"/>
                      <w:szCs w:val="21"/>
                      <w:highlight w:val="none"/>
                    </w:rPr>
                    <w:t>DW001</w:t>
                  </w:r>
                </w:p>
              </w:tc>
              <w:tc>
                <w:tcPr>
                  <w:tcW w:w="1113" w:type="pct"/>
                  <w:noWrap w:val="0"/>
                  <w:vAlign w:val="center"/>
                </w:tcPr>
                <w:p w14:paraId="45EFD875">
                  <w:pPr>
                    <w:jc w:val="center"/>
                    <w:rPr>
                      <w:color w:val="auto"/>
                      <w:sz w:val="21"/>
                      <w:szCs w:val="21"/>
                      <w:highlight w:val="none"/>
                    </w:rPr>
                  </w:pPr>
                  <w:r>
                    <w:rPr>
                      <w:color w:val="auto"/>
                      <w:sz w:val="21"/>
                      <w:szCs w:val="21"/>
                      <w:highlight w:val="none"/>
                    </w:rPr>
                    <w:t>一般排放口</w:t>
                  </w:r>
                </w:p>
              </w:tc>
              <w:tc>
                <w:tcPr>
                  <w:tcW w:w="1371" w:type="pct"/>
                  <w:noWrap w:val="0"/>
                  <w:vAlign w:val="center"/>
                </w:tcPr>
                <w:p w14:paraId="4CADDA35">
                  <w:pPr>
                    <w:pStyle w:val="19"/>
                    <w:spacing w:before="0" w:beforeAutospacing="0" w:after="0" w:afterAutospacing="0"/>
                    <w:jc w:val="center"/>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117°55′42.56656″</w:t>
                  </w:r>
                </w:p>
              </w:tc>
              <w:tc>
                <w:tcPr>
                  <w:tcW w:w="1458" w:type="pct"/>
                  <w:noWrap w:val="0"/>
                  <w:vAlign w:val="center"/>
                </w:tcPr>
                <w:p w14:paraId="2FF36CCD">
                  <w:pPr>
                    <w:pStyle w:val="19"/>
                    <w:spacing w:before="0" w:beforeAutospacing="0" w:after="0" w:afterAutospacing="0"/>
                    <w:jc w:val="center"/>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33°28′16.58503″</w:t>
                  </w:r>
                </w:p>
              </w:tc>
            </w:tr>
          </w:tbl>
          <w:p w14:paraId="23DA63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ascii="宋体" w:hAnsi="宋体" w:cs="宋体"/>
                <w:color w:val="auto"/>
                <w:highlight w:val="none"/>
              </w:rPr>
              <w:t>项目废水</w:t>
            </w:r>
            <w:r>
              <w:rPr>
                <w:rFonts w:hint="eastAsia" w:ascii="宋体" w:hAnsi="宋体" w:cs="宋体"/>
                <w:color w:val="auto"/>
                <w:highlight w:val="none"/>
              </w:rPr>
              <w:t>监测</w:t>
            </w:r>
            <w:r>
              <w:rPr>
                <w:rFonts w:ascii="宋体" w:hAnsi="宋体" w:cs="宋体"/>
                <w:color w:val="auto"/>
                <w:highlight w:val="none"/>
              </w:rPr>
              <w:t>计划</w:t>
            </w:r>
            <w:r>
              <w:rPr>
                <w:rFonts w:hint="eastAsia" w:ascii="宋体" w:hAnsi="宋体" w:cs="宋体"/>
                <w:color w:val="auto"/>
                <w:highlight w:val="none"/>
                <w:lang w:val="en-US" w:eastAsia="zh-CN"/>
              </w:rPr>
              <w:t>根据</w:t>
            </w:r>
            <w:r>
              <w:rPr>
                <w:rFonts w:hint="eastAsia"/>
                <w:color w:val="auto"/>
                <w:kern w:val="0"/>
                <w:highlight w:val="none"/>
                <w:lang w:eastAsia="zh-CN" w:bidi="ar"/>
              </w:rPr>
              <w:t>《排污单位自行监测技术指南 橡胶和塑料制品》(HJ1207-2021)</w:t>
            </w:r>
            <w:r>
              <w:rPr>
                <w:rFonts w:hint="eastAsia"/>
                <w:color w:val="auto"/>
                <w:kern w:val="0"/>
                <w:highlight w:val="none"/>
                <w:lang w:val="en-US" w:eastAsia="zh-CN" w:bidi="ar"/>
              </w:rPr>
              <w:t>和《排污单位自行监测技术指南 涂装》（HJ1086-2020）</w:t>
            </w:r>
            <w:r>
              <w:rPr>
                <w:color w:val="auto"/>
                <w:kern w:val="0"/>
                <w:highlight w:val="none"/>
                <w:lang w:bidi="ar"/>
              </w:rPr>
              <w:t>中相关要求</w:t>
            </w:r>
            <w:r>
              <w:rPr>
                <w:rFonts w:hint="eastAsia" w:ascii="宋体" w:hAnsi="宋体" w:cs="宋体"/>
                <w:color w:val="auto"/>
                <w:highlight w:val="none"/>
              </w:rPr>
              <w:t>，</w:t>
            </w:r>
            <w:r>
              <w:rPr>
                <w:rFonts w:hint="eastAsia"/>
                <w:color w:val="auto"/>
                <w:highlight w:val="none"/>
                <w:lang w:eastAsia="zh-CN"/>
              </w:rPr>
              <w:t>单独排入城镇污水集中处理设施的生活污水仅说明去向，可不监测</w:t>
            </w:r>
            <w:r>
              <w:rPr>
                <w:rFonts w:hint="eastAsia" w:ascii="宋体" w:hAnsi="宋体" w:cs="宋体"/>
                <w:color w:val="auto"/>
                <w:highlight w:val="none"/>
                <w:lang w:eastAsia="zh-CN"/>
              </w:rPr>
              <w:t>。</w:t>
            </w:r>
          </w:p>
          <w:p w14:paraId="782A95A6">
            <w:pPr>
              <w:pStyle w:val="33"/>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b/>
                <w:bCs/>
                <w:color w:val="auto"/>
                <w:highlight w:val="none"/>
              </w:rPr>
            </w:pPr>
            <w:r>
              <w:rPr>
                <w:rFonts w:hint="eastAsia"/>
                <w:b/>
                <w:bCs/>
                <w:color w:val="auto"/>
                <w:highlight w:val="none"/>
              </w:rPr>
              <w:t>废水进入</w:t>
            </w:r>
            <w:r>
              <w:rPr>
                <w:rFonts w:hint="eastAsia"/>
                <w:b/>
                <w:bCs/>
                <w:color w:val="auto"/>
                <w:highlight w:val="none"/>
                <w:lang w:val="en-US" w:eastAsia="zh-CN"/>
              </w:rPr>
              <w:t>经开区</w:t>
            </w:r>
            <w:r>
              <w:rPr>
                <w:rFonts w:hint="eastAsia"/>
                <w:b/>
                <w:bCs/>
                <w:color w:val="auto"/>
                <w:highlight w:val="none"/>
              </w:rPr>
              <w:t>污水处理厂的可行性分析</w:t>
            </w:r>
          </w:p>
          <w:p w14:paraId="29845C12">
            <w:pPr>
              <w:adjustRightInd w:val="0"/>
              <w:snapToGrid w:val="0"/>
              <w:spacing w:line="360" w:lineRule="auto"/>
              <w:ind w:firstLine="480" w:firstLineChars="200"/>
            </w:pPr>
            <w:r>
              <w:t>①污水处理厂简介</w:t>
            </w:r>
          </w:p>
          <w:p w14:paraId="63D8B499">
            <w:pPr>
              <w:adjustRightInd w:val="0"/>
              <w:snapToGrid w:val="0"/>
              <w:spacing w:line="360" w:lineRule="auto"/>
              <w:ind w:firstLine="480" w:firstLineChars="200"/>
            </w:pPr>
            <w:r>
              <w:t>泗县工业污水处理厂一期设计规模为2.0×10</w:t>
            </w:r>
            <w:r>
              <w:rPr>
                <w:rFonts w:hint="eastAsia"/>
                <w:vertAlign w:val="superscript"/>
              </w:rPr>
              <w:t>4</w:t>
            </w:r>
            <w:r>
              <w:t>m</w:t>
            </w:r>
            <w:r>
              <w:rPr>
                <w:rFonts w:hint="eastAsia"/>
                <w:vertAlign w:val="superscript"/>
              </w:rPr>
              <w:t>3</w:t>
            </w:r>
            <w:r>
              <w:t>/d，共建设2条水处理线，处理规模均为1.0×10</w:t>
            </w:r>
            <w:r>
              <w:rPr>
                <w:rFonts w:hint="eastAsia"/>
                <w:vertAlign w:val="superscript"/>
              </w:rPr>
              <w:t>4</w:t>
            </w:r>
            <w:r>
              <w:t>m</w:t>
            </w:r>
            <w:r>
              <w:rPr>
                <w:rFonts w:hint="eastAsia"/>
                <w:vertAlign w:val="superscript"/>
              </w:rPr>
              <w:t>3</w:t>
            </w:r>
            <w:r>
              <w:t>/d，总占地面积为100亩，一期建设占地约31400m</w:t>
            </w:r>
            <w:r>
              <w:rPr>
                <w:rFonts w:hint="eastAsia"/>
                <w:vertAlign w:val="superscript"/>
              </w:rPr>
              <w:t>2</w:t>
            </w:r>
            <w:r>
              <w:t>，主要为接管范围内工业及生活污水，主体工艺为</w:t>
            </w:r>
            <w:r>
              <w:rPr>
                <w:rFonts w:hint="eastAsia"/>
              </w:rPr>
              <w:t>“</w:t>
            </w:r>
            <w:r>
              <w:t>曝气沉砂池+水解酸化池+AO生化池+沉淀池+反硝化滤池+纤维转盘滤池+接触消毒池</w:t>
            </w:r>
            <w:r>
              <w:rPr>
                <w:rFonts w:hint="eastAsia"/>
              </w:rPr>
              <w:t>”</w:t>
            </w:r>
            <w:r>
              <w:t>，设计出水水质稳定达到《城镇污水处理厂污染物排放标准》（GB18918-2002）表1中一级标准的A标准，尾水排入石梁河。目前污水处理厂正常运行，处理达标可行。</w:t>
            </w:r>
          </w:p>
          <w:p w14:paraId="7C03C412">
            <w:pPr>
              <w:adjustRightInd w:val="0"/>
              <w:snapToGrid w:val="0"/>
              <w:spacing w:line="360" w:lineRule="auto"/>
              <w:ind w:firstLine="480" w:firstLineChars="200"/>
            </w:pPr>
            <w:r>
              <w:t>②水量分析、水质分析</w:t>
            </w:r>
          </w:p>
          <w:p w14:paraId="67B5B9DF">
            <w:pPr>
              <w:adjustRightInd w:val="0"/>
              <w:snapToGrid w:val="0"/>
              <w:spacing w:line="360" w:lineRule="auto"/>
              <w:ind w:firstLine="480" w:firstLineChars="200"/>
            </w:pPr>
            <w:r>
              <w:t>泗县工业污水处理厂一期工程设计规模为2.0×10</w:t>
            </w:r>
            <w:r>
              <w:rPr>
                <w:rFonts w:hint="eastAsia"/>
                <w:vertAlign w:val="superscript"/>
              </w:rPr>
              <w:t>4</w:t>
            </w:r>
            <w:r>
              <w:t>m</w:t>
            </w:r>
            <w:r>
              <w:rPr>
                <w:rFonts w:hint="eastAsia"/>
                <w:vertAlign w:val="superscript"/>
              </w:rPr>
              <w:t>3</w:t>
            </w:r>
            <w:r>
              <w:t>/d。本项目日产生废水量为</w:t>
            </w:r>
            <w:r>
              <w:rPr>
                <w:rFonts w:hint="eastAsia"/>
                <w:lang w:val="en-US" w:eastAsia="zh-CN"/>
              </w:rPr>
              <w:t>2.24</w:t>
            </w:r>
            <w:r>
              <w:t>t，仅占其处理规模总量的0.</w:t>
            </w:r>
            <w:r>
              <w:rPr>
                <w:rFonts w:hint="eastAsia"/>
              </w:rPr>
              <w:t>0</w:t>
            </w:r>
            <w:r>
              <w:rPr>
                <w:rFonts w:hint="eastAsia"/>
                <w:lang w:val="en-US" w:eastAsia="zh-CN"/>
              </w:rPr>
              <w:t>001</w:t>
            </w:r>
            <w:r>
              <w:t>%。且目前污水处理厂收水量远远小于设计规模，项目污水为生活污水和</w:t>
            </w:r>
            <w:r>
              <w:rPr>
                <w:rFonts w:hint="eastAsia"/>
              </w:rPr>
              <w:t>生产废水</w:t>
            </w:r>
            <w:r>
              <w:t>，水质较简单，污染物含量浓度较低，且废水中各污染因子浓度均满足泗县工业污水处理厂接管要求，因此本项目废水进入污水处理厂处理对污水处理厂不造成冲击。</w:t>
            </w:r>
          </w:p>
          <w:p w14:paraId="1EB2DFA7">
            <w:pPr>
              <w:adjustRightInd w:val="0"/>
              <w:snapToGrid w:val="0"/>
              <w:spacing w:line="360" w:lineRule="auto"/>
              <w:ind w:firstLine="480" w:firstLineChars="200"/>
            </w:pPr>
            <w:r>
              <w:t>③收水范围</w:t>
            </w:r>
          </w:p>
          <w:p w14:paraId="69ED792C">
            <w:pPr>
              <w:adjustRightInd w:val="0"/>
              <w:snapToGrid w:val="0"/>
              <w:spacing w:line="360" w:lineRule="auto"/>
              <w:ind w:firstLine="480" w:firstLineChars="200"/>
            </w:pPr>
            <w:r>
              <w:t>泗县工业污水处理厂收水范围为泗县经济开发区规划区域，泗县县城南侧，东至东三环路；西至三环西路；南至新汴河；北至古汴河，服务面积38km</w:t>
            </w:r>
            <w:r>
              <w:rPr>
                <w:rFonts w:hint="eastAsia"/>
                <w:vertAlign w:val="superscript"/>
              </w:rPr>
              <w:t>2</w:t>
            </w:r>
            <w:r>
              <w:t>。本项目位于</w:t>
            </w:r>
            <w:r>
              <w:rPr>
                <w:rFonts w:hint="eastAsia"/>
              </w:rPr>
              <w:t>安徽省宿州市泗县经济开发区当涂路以东，蟠龙山路以西，清水沟路以北</w:t>
            </w:r>
            <w:r>
              <w:t>，根据泗县工业污水处理厂管网图，本项目所在位置污水管网已经建成，且在泗县工业污水处理厂收水范围，废水通过污水管网进入泗县工业污水处理厂。综上分析，本项目废水进入泗县工业污水处理厂处理是可行的。</w:t>
            </w:r>
          </w:p>
          <w:p w14:paraId="29C0E258">
            <w:pPr>
              <w:adjustRightInd w:val="0"/>
              <w:snapToGrid w:val="0"/>
              <w:spacing w:line="360" w:lineRule="auto"/>
            </w:pPr>
            <w:r>
              <w:t>综上所述，本项目对水环境影响较小。</w:t>
            </w:r>
          </w:p>
          <w:p w14:paraId="352F122B">
            <w:pPr>
              <w:adjustRightInd w:val="0"/>
              <w:snapToGrid w:val="0"/>
              <w:spacing w:line="360" w:lineRule="auto"/>
              <w:rPr>
                <w:b/>
                <w:bCs/>
                <w:color w:val="auto"/>
                <w:highlight w:val="none"/>
              </w:rPr>
            </w:pPr>
            <w:r>
              <w:rPr>
                <w:rFonts w:hint="eastAsia"/>
                <w:b/>
                <w:bCs/>
                <w:color w:val="auto"/>
                <w:highlight w:val="none"/>
                <w:lang w:val="en-US" w:eastAsia="zh-CN"/>
              </w:rPr>
              <w:t>三</w:t>
            </w:r>
            <w:r>
              <w:rPr>
                <w:rFonts w:hint="eastAsia"/>
                <w:b/>
                <w:bCs/>
                <w:color w:val="auto"/>
                <w:highlight w:val="none"/>
              </w:rPr>
              <w:t>、</w:t>
            </w:r>
            <w:r>
              <w:rPr>
                <w:b/>
                <w:bCs/>
                <w:color w:val="auto"/>
                <w:highlight w:val="none"/>
              </w:rPr>
              <w:t>噪声</w:t>
            </w:r>
          </w:p>
          <w:p w14:paraId="0C2F4B32">
            <w:pPr>
              <w:adjustRightInd w:val="0"/>
              <w:snapToGrid w:val="0"/>
              <w:spacing w:line="360" w:lineRule="auto"/>
              <w:ind w:firstLine="482" w:firstLineChars="200"/>
              <w:rPr>
                <w:b/>
                <w:bCs/>
                <w:color w:val="auto"/>
                <w:kern w:val="0"/>
                <w:highlight w:val="none"/>
              </w:rPr>
            </w:pPr>
            <w:r>
              <w:rPr>
                <w:rFonts w:hint="eastAsia"/>
                <w:b/>
                <w:bCs/>
                <w:color w:val="auto"/>
                <w:kern w:val="0"/>
                <w:highlight w:val="none"/>
                <w:lang w:val="en-US" w:eastAsia="zh-CN"/>
              </w:rPr>
              <w:t>1、</w:t>
            </w:r>
            <w:r>
              <w:rPr>
                <w:b/>
                <w:bCs/>
                <w:color w:val="auto"/>
                <w:kern w:val="0"/>
                <w:highlight w:val="none"/>
              </w:rPr>
              <w:t>噪声源强</w:t>
            </w:r>
          </w:p>
          <w:p w14:paraId="5EFFBBF8">
            <w:pPr>
              <w:pStyle w:val="47"/>
              <w:adjustRightInd w:val="0"/>
              <w:snapToGrid w:val="0"/>
              <w:spacing w:line="360" w:lineRule="auto"/>
              <w:rPr>
                <w:rFonts w:ascii="Times New Roman" w:hAnsi="Times New Roman" w:eastAsia="宋体"/>
                <w:color w:val="auto"/>
                <w:highlight w:val="none"/>
              </w:rPr>
            </w:pPr>
            <w:r>
              <w:rPr>
                <w:rFonts w:hint="eastAsia" w:ascii="Times New Roman" w:hAnsi="Times New Roman" w:eastAsia="宋体"/>
                <w:color w:val="auto"/>
                <w:highlight w:val="none"/>
              </w:rPr>
              <w:t>项目营运期主要噪声来源于设备运行产生的噪声，噪声源强约为</w:t>
            </w:r>
            <w:r>
              <w:rPr>
                <w:rFonts w:hint="eastAsia" w:ascii="Times New Roman" w:hAnsi="Times New Roman" w:eastAsia="宋体"/>
                <w:color w:val="auto"/>
                <w:highlight w:val="none"/>
                <w:lang w:val="en-US" w:eastAsia="zh-CN"/>
              </w:rPr>
              <w:t>70</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80</w:t>
            </w:r>
            <w:r>
              <w:rPr>
                <w:rFonts w:hint="eastAsia" w:ascii="Times New Roman" w:hAnsi="Times New Roman" w:eastAsia="宋体"/>
                <w:color w:val="auto"/>
                <w:highlight w:val="none"/>
              </w:rPr>
              <w:t>dB（A）之间，本项目对噪声较大的设备采取降噪减振措施，使厂界噪声达到《工业企业厂界环境噪声排放标准》（GB12348-2008）中3类标准详见下表。</w:t>
            </w:r>
          </w:p>
          <w:p w14:paraId="7438A53D">
            <w:pPr>
              <w:widowControl/>
              <w:adjustRightInd w:val="0"/>
              <w:snapToGrid w:val="0"/>
              <w:ind w:firstLine="482" w:firstLineChars="200"/>
              <w:jc w:val="center"/>
              <w:rPr>
                <w:b/>
                <w:color w:val="auto"/>
                <w:highlight w:val="none"/>
                <w:lang w:bidi="ar"/>
              </w:rPr>
            </w:pPr>
            <w:r>
              <w:rPr>
                <w:b/>
                <w:color w:val="auto"/>
                <w:highlight w:val="none"/>
                <w:lang w:bidi="ar"/>
              </w:rPr>
              <w:t>表</w:t>
            </w:r>
            <w:r>
              <w:rPr>
                <w:rFonts w:hint="eastAsia"/>
                <w:b/>
                <w:color w:val="auto"/>
                <w:highlight w:val="none"/>
                <w:lang w:bidi="ar"/>
              </w:rPr>
              <w:t>4</w:t>
            </w:r>
            <w:r>
              <w:rPr>
                <w:rFonts w:hint="eastAsia"/>
                <w:b/>
                <w:color w:val="auto"/>
                <w:highlight w:val="none"/>
                <w:lang w:val="en-US" w:eastAsia="zh-CN" w:bidi="ar"/>
              </w:rPr>
              <w:t>-12</w:t>
            </w:r>
            <w:r>
              <w:rPr>
                <w:b/>
                <w:color w:val="auto"/>
                <w:highlight w:val="none"/>
                <w:lang w:bidi="ar"/>
              </w:rPr>
              <w:t xml:space="preserve">  </w:t>
            </w:r>
            <w:r>
              <w:rPr>
                <w:rFonts w:hint="eastAsia"/>
                <w:b/>
                <w:color w:val="auto"/>
                <w:highlight w:val="none"/>
                <w:lang w:bidi="ar"/>
              </w:rPr>
              <w:t>工业企业噪声源强调查清单（室外声源）</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7"/>
              <w:gridCol w:w="750"/>
              <w:gridCol w:w="758"/>
              <w:gridCol w:w="913"/>
              <w:gridCol w:w="721"/>
              <w:gridCol w:w="1207"/>
              <w:gridCol w:w="979"/>
              <w:gridCol w:w="1282"/>
            </w:tblGrid>
            <w:tr w14:paraId="1061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3" w:type="pct"/>
                  <w:vMerge w:val="restart"/>
                  <w:tcMar>
                    <w:top w:w="12" w:type="dxa"/>
                    <w:left w:w="12" w:type="dxa"/>
                    <w:bottom w:w="0" w:type="dxa"/>
                    <w:right w:w="12" w:type="dxa"/>
                  </w:tcMar>
                  <w:vAlign w:val="center"/>
                </w:tcPr>
                <w:p w14:paraId="30807BF1">
                  <w:pPr>
                    <w:adjustRightInd w:val="0"/>
                    <w:snapToGrid w:val="0"/>
                    <w:jc w:val="center"/>
                    <w:rPr>
                      <w:b/>
                      <w:color w:val="auto"/>
                      <w:sz w:val="21"/>
                      <w:szCs w:val="21"/>
                      <w:highlight w:val="none"/>
                    </w:rPr>
                  </w:pPr>
                  <w:r>
                    <w:rPr>
                      <w:rFonts w:hint="eastAsia"/>
                      <w:b/>
                      <w:color w:val="auto"/>
                      <w:sz w:val="21"/>
                      <w:szCs w:val="21"/>
                      <w:highlight w:val="none"/>
                    </w:rPr>
                    <w:t>声源名称</w:t>
                  </w:r>
                </w:p>
              </w:tc>
              <w:tc>
                <w:tcPr>
                  <w:tcW w:w="460" w:type="pct"/>
                  <w:vMerge w:val="restart"/>
                  <w:vAlign w:val="center"/>
                </w:tcPr>
                <w:p w14:paraId="279A1611">
                  <w:pPr>
                    <w:adjustRightInd w:val="0"/>
                    <w:snapToGrid w:val="0"/>
                    <w:jc w:val="center"/>
                    <w:rPr>
                      <w:b/>
                      <w:color w:val="auto"/>
                      <w:sz w:val="21"/>
                      <w:szCs w:val="21"/>
                      <w:highlight w:val="none"/>
                    </w:rPr>
                  </w:pPr>
                  <w:r>
                    <w:rPr>
                      <w:rFonts w:hint="eastAsia"/>
                      <w:b/>
                      <w:color w:val="auto"/>
                      <w:sz w:val="21"/>
                      <w:szCs w:val="21"/>
                      <w:highlight w:val="none"/>
                    </w:rPr>
                    <w:t>型号</w:t>
                  </w:r>
                </w:p>
              </w:tc>
              <w:tc>
                <w:tcPr>
                  <w:tcW w:w="1468" w:type="pct"/>
                  <w:gridSpan w:val="3"/>
                  <w:vAlign w:val="center"/>
                </w:tcPr>
                <w:p w14:paraId="6E13B6A9">
                  <w:pPr>
                    <w:adjustRightInd w:val="0"/>
                    <w:snapToGrid w:val="0"/>
                    <w:jc w:val="center"/>
                    <w:rPr>
                      <w:b/>
                      <w:color w:val="auto"/>
                      <w:sz w:val="21"/>
                      <w:szCs w:val="21"/>
                      <w:highlight w:val="none"/>
                    </w:rPr>
                  </w:pPr>
                  <w:r>
                    <w:rPr>
                      <w:rFonts w:hint="eastAsia"/>
                      <w:b/>
                      <w:color w:val="auto"/>
                      <w:sz w:val="21"/>
                      <w:szCs w:val="21"/>
                      <w:highlight w:val="none"/>
                    </w:rPr>
                    <w:t>空间相对位置</w:t>
                  </w:r>
                </w:p>
              </w:tc>
              <w:tc>
                <w:tcPr>
                  <w:tcW w:w="740" w:type="pct"/>
                  <w:vMerge w:val="restart"/>
                  <w:vAlign w:val="center"/>
                </w:tcPr>
                <w:p w14:paraId="0A8088FA">
                  <w:pPr>
                    <w:adjustRightInd w:val="0"/>
                    <w:snapToGrid w:val="0"/>
                    <w:jc w:val="center"/>
                    <w:rPr>
                      <w:b/>
                      <w:color w:val="auto"/>
                      <w:sz w:val="21"/>
                      <w:szCs w:val="21"/>
                      <w:highlight w:val="none"/>
                    </w:rPr>
                  </w:pPr>
                  <w:r>
                    <w:rPr>
                      <w:rFonts w:hint="eastAsia"/>
                      <w:b/>
                      <w:color w:val="auto"/>
                      <w:sz w:val="21"/>
                      <w:szCs w:val="21"/>
                      <w:highlight w:val="none"/>
                    </w:rPr>
                    <w:t>声功率级/dB（A）</w:t>
                  </w:r>
                </w:p>
              </w:tc>
              <w:tc>
                <w:tcPr>
                  <w:tcW w:w="600" w:type="pct"/>
                  <w:vMerge w:val="restart"/>
                  <w:vAlign w:val="center"/>
                </w:tcPr>
                <w:p w14:paraId="6DE36FDE">
                  <w:pPr>
                    <w:adjustRightInd w:val="0"/>
                    <w:snapToGrid w:val="0"/>
                    <w:jc w:val="center"/>
                    <w:rPr>
                      <w:b/>
                      <w:color w:val="auto"/>
                      <w:sz w:val="21"/>
                      <w:szCs w:val="21"/>
                      <w:highlight w:val="none"/>
                    </w:rPr>
                  </w:pPr>
                  <w:r>
                    <w:rPr>
                      <w:rFonts w:hint="eastAsia"/>
                      <w:b/>
                      <w:color w:val="auto"/>
                      <w:sz w:val="21"/>
                      <w:szCs w:val="21"/>
                      <w:highlight w:val="none"/>
                    </w:rPr>
                    <w:t>声源控制措施</w:t>
                  </w:r>
                </w:p>
              </w:tc>
              <w:tc>
                <w:tcPr>
                  <w:tcW w:w="786" w:type="pct"/>
                  <w:vMerge w:val="restart"/>
                  <w:vAlign w:val="center"/>
                </w:tcPr>
                <w:p w14:paraId="3E8EC8BE">
                  <w:pPr>
                    <w:adjustRightInd w:val="0"/>
                    <w:snapToGrid w:val="0"/>
                    <w:jc w:val="center"/>
                    <w:rPr>
                      <w:b/>
                      <w:color w:val="auto"/>
                      <w:sz w:val="21"/>
                      <w:szCs w:val="21"/>
                      <w:highlight w:val="none"/>
                    </w:rPr>
                  </w:pPr>
                  <w:r>
                    <w:rPr>
                      <w:rFonts w:hint="eastAsia"/>
                      <w:b/>
                      <w:color w:val="auto"/>
                      <w:sz w:val="21"/>
                      <w:szCs w:val="21"/>
                      <w:highlight w:val="none"/>
                    </w:rPr>
                    <w:t>运行时段（h/a）</w:t>
                  </w:r>
                </w:p>
              </w:tc>
            </w:tr>
            <w:tr w14:paraId="31CD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3" w:type="pct"/>
                  <w:vMerge w:val="continue"/>
                  <w:tcMar>
                    <w:top w:w="12" w:type="dxa"/>
                    <w:left w:w="12" w:type="dxa"/>
                    <w:bottom w:w="0" w:type="dxa"/>
                    <w:right w:w="12" w:type="dxa"/>
                  </w:tcMar>
                  <w:vAlign w:val="center"/>
                </w:tcPr>
                <w:p w14:paraId="2C87E98E">
                  <w:pPr>
                    <w:jc w:val="center"/>
                    <w:rPr>
                      <w:bCs/>
                      <w:color w:val="auto"/>
                      <w:sz w:val="21"/>
                      <w:szCs w:val="21"/>
                      <w:highlight w:val="none"/>
                    </w:rPr>
                  </w:pPr>
                </w:p>
              </w:tc>
              <w:tc>
                <w:tcPr>
                  <w:tcW w:w="460" w:type="pct"/>
                  <w:vMerge w:val="continue"/>
                  <w:vAlign w:val="center"/>
                </w:tcPr>
                <w:p w14:paraId="6C7D6EC9">
                  <w:pPr>
                    <w:jc w:val="center"/>
                    <w:rPr>
                      <w:bCs/>
                      <w:color w:val="auto"/>
                      <w:sz w:val="21"/>
                      <w:szCs w:val="21"/>
                      <w:highlight w:val="none"/>
                    </w:rPr>
                  </w:pPr>
                </w:p>
              </w:tc>
              <w:tc>
                <w:tcPr>
                  <w:tcW w:w="465" w:type="pct"/>
                  <w:vAlign w:val="center"/>
                </w:tcPr>
                <w:p w14:paraId="19D15FEC">
                  <w:pPr>
                    <w:jc w:val="center"/>
                    <w:rPr>
                      <w:bCs/>
                      <w:color w:val="auto"/>
                      <w:sz w:val="21"/>
                      <w:szCs w:val="21"/>
                      <w:highlight w:val="none"/>
                    </w:rPr>
                  </w:pPr>
                  <w:r>
                    <w:rPr>
                      <w:rFonts w:hint="eastAsia"/>
                      <w:bCs/>
                      <w:color w:val="auto"/>
                      <w:sz w:val="21"/>
                      <w:szCs w:val="21"/>
                      <w:highlight w:val="none"/>
                    </w:rPr>
                    <w:t>X</w:t>
                  </w:r>
                </w:p>
              </w:tc>
              <w:tc>
                <w:tcPr>
                  <w:tcW w:w="560" w:type="pct"/>
                  <w:vAlign w:val="center"/>
                </w:tcPr>
                <w:p w14:paraId="732A2F36">
                  <w:pPr>
                    <w:jc w:val="center"/>
                    <w:rPr>
                      <w:bCs/>
                      <w:color w:val="auto"/>
                      <w:sz w:val="21"/>
                      <w:szCs w:val="21"/>
                      <w:highlight w:val="none"/>
                    </w:rPr>
                  </w:pPr>
                  <w:r>
                    <w:rPr>
                      <w:rFonts w:hint="eastAsia"/>
                      <w:bCs/>
                      <w:color w:val="auto"/>
                      <w:sz w:val="21"/>
                      <w:szCs w:val="21"/>
                      <w:highlight w:val="none"/>
                    </w:rPr>
                    <w:t>Y</w:t>
                  </w:r>
                </w:p>
              </w:tc>
              <w:tc>
                <w:tcPr>
                  <w:tcW w:w="442" w:type="pct"/>
                  <w:vAlign w:val="center"/>
                </w:tcPr>
                <w:p w14:paraId="752E495D">
                  <w:pPr>
                    <w:jc w:val="center"/>
                    <w:rPr>
                      <w:bCs/>
                      <w:color w:val="auto"/>
                      <w:sz w:val="21"/>
                      <w:szCs w:val="21"/>
                      <w:highlight w:val="none"/>
                    </w:rPr>
                  </w:pPr>
                  <w:r>
                    <w:rPr>
                      <w:rFonts w:hint="eastAsia"/>
                      <w:bCs/>
                      <w:color w:val="auto"/>
                      <w:sz w:val="21"/>
                      <w:szCs w:val="21"/>
                      <w:highlight w:val="none"/>
                    </w:rPr>
                    <w:t>Z</w:t>
                  </w:r>
                </w:p>
              </w:tc>
              <w:tc>
                <w:tcPr>
                  <w:tcW w:w="740" w:type="pct"/>
                  <w:vMerge w:val="continue"/>
                  <w:vAlign w:val="center"/>
                </w:tcPr>
                <w:p w14:paraId="7C57CFB5">
                  <w:pPr>
                    <w:jc w:val="center"/>
                    <w:rPr>
                      <w:bCs/>
                      <w:color w:val="auto"/>
                      <w:sz w:val="21"/>
                      <w:szCs w:val="21"/>
                      <w:highlight w:val="none"/>
                    </w:rPr>
                  </w:pPr>
                </w:p>
              </w:tc>
              <w:tc>
                <w:tcPr>
                  <w:tcW w:w="600" w:type="pct"/>
                  <w:vMerge w:val="continue"/>
                  <w:vAlign w:val="center"/>
                </w:tcPr>
                <w:p w14:paraId="460621BD">
                  <w:pPr>
                    <w:jc w:val="center"/>
                    <w:rPr>
                      <w:bCs/>
                      <w:color w:val="auto"/>
                      <w:sz w:val="21"/>
                      <w:szCs w:val="21"/>
                      <w:highlight w:val="none"/>
                    </w:rPr>
                  </w:pPr>
                </w:p>
              </w:tc>
              <w:tc>
                <w:tcPr>
                  <w:tcW w:w="786" w:type="pct"/>
                  <w:vMerge w:val="continue"/>
                  <w:vAlign w:val="center"/>
                </w:tcPr>
                <w:p w14:paraId="735027EA">
                  <w:pPr>
                    <w:jc w:val="center"/>
                    <w:rPr>
                      <w:bCs/>
                      <w:color w:val="auto"/>
                      <w:sz w:val="21"/>
                      <w:szCs w:val="21"/>
                      <w:highlight w:val="none"/>
                    </w:rPr>
                  </w:pPr>
                </w:p>
              </w:tc>
            </w:tr>
            <w:tr w14:paraId="0D68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3" w:type="pct"/>
                  <w:tcMar>
                    <w:top w:w="12" w:type="dxa"/>
                    <w:left w:w="12" w:type="dxa"/>
                    <w:bottom w:w="0" w:type="dxa"/>
                    <w:right w:w="12" w:type="dxa"/>
                  </w:tcMar>
                  <w:vAlign w:val="center"/>
                </w:tcPr>
                <w:p w14:paraId="54716217">
                  <w:pPr>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DA001（注塑）</w:t>
                  </w:r>
                  <w:r>
                    <w:rPr>
                      <w:rFonts w:hint="eastAsia" w:eastAsia="宋体"/>
                      <w:color w:val="auto"/>
                      <w:kern w:val="0"/>
                      <w:sz w:val="21"/>
                      <w:szCs w:val="21"/>
                      <w:highlight w:val="none"/>
                      <w:lang w:val="en-US" w:eastAsia="zh-CN"/>
                    </w:rPr>
                    <w:t>风机</w:t>
                  </w:r>
                </w:p>
              </w:tc>
              <w:tc>
                <w:tcPr>
                  <w:tcW w:w="460" w:type="pct"/>
                  <w:vAlign w:val="center"/>
                </w:tcPr>
                <w:p w14:paraId="21C715CF">
                  <w:pPr>
                    <w:jc w:val="center"/>
                    <w:rPr>
                      <w:bCs/>
                      <w:color w:val="auto"/>
                      <w:sz w:val="21"/>
                      <w:szCs w:val="21"/>
                      <w:highlight w:val="none"/>
                    </w:rPr>
                  </w:pPr>
                  <w:r>
                    <w:rPr>
                      <w:rFonts w:hint="eastAsia"/>
                      <w:bCs/>
                      <w:color w:val="auto"/>
                      <w:sz w:val="21"/>
                      <w:szCs w:val="21"/>
                      <w:highlight w:val="none"/>
                    </w:rPr>
                    <w:t>定制</w:t>
                  </w:r>
                </w:p>
              </w:tc>
              <w:tc>
                <w:tcPr>
                  <w:tcW w:w="465" w:type="pct"/>
                  <w:vAlign w:val="center"/>
                </w:tcPr>
                <w:p w14:paraId="63869C5F">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9</w:t>
                  </w:r>
                </w:p>
              </w:tc>
              <w:tc>
                <w:tcPr>
                  <w:tcW w:w="560" w:type="pct"/>
                  <w:vAlign w:val="center"/>
                </w:tcPr>
                <w:p w14:paraId="6B560144">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-24</w:t>
                  </w:r>
                </w:p>
              </w:tc>
              <w:tc>
                <w:tcPr>
                  <w:tcW w:w="442" w:type="pct"/>
                  <w:vAlign w:val="center"/>
                </w:tcPr>
                <w:p w14:paraId="4967C218">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w:t>
                  </w:r>
                </w:p>
              </w:tc>
              <w:tc>
                <w:tcPr>
                  <w:tcW w:w="740" w:type="pct"/>
                  <w:vAlign w:val="center"/>
                </w:tcPr>
                <w:p w14:paraId="4650B339">
                  <w:pPr>
                    <w:widowControl/>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90</w:t>
                  </w:r>
                </w:p>
              </w:tc>
              <w:tc>
                <w:tcPr>
                  <w:tcW w:w="600" w:type="pct"/>
                  <w:vAlign w:val="center"/>
                </w:tcPr>
                <w:p w14:paraId="184ED4B9">
                  <w:pPr>
                    <w:jc w:val="center"/>
                    <w:rPr>
                      <w:rFonts w:hint="default" w:eastAsia="宋体"/>
                      <w:bCs/>
                      <w:color w:val="auto"/>
                      <w:sz w:val="21"/>
                      <w:szCs w:val="21"/>
                      <w:highlight w:val="none"/>
                      <w:lang w:val="en-US" w:eastAsia="zh-CN"/>
                    </w:rPr>
                  </w:pPr>
                  <w:r>
                    <w:rPr>
                      <w:color w:val="auto"/>
                      <w:sz w:val="21"/>
                      <w:szCs w:val="21"/>
                      <w:highlight w:val="none"/>
                    </w:rPr>
                    <w:t>安装减振基座</w:t>
                  </w:r>
                  <w:r>
                    <w:rPr>
                      <w:rFonts w:hint="eastAsia"/>
                      <w:color w:val="auto"/>
                      <w:sz w:val="21"/>
                      <w:szCs w:val="21"/>
                      <w:highlight w:val="none"/>
                      <w:lang w:eastAsia="zh-CN"/>
                    </w:rPr>
                    <w:t>、</w:t>
                  </w:r>
                  <w:r>
                    <w:rPr>
                      <w:rFonts w:hint="eastAsia"/>
                      <w:color w:val="auto"/>
                      <w:sz w:val="21"/>
                      <w:szCs w:val="21"/>
                      <w:highlight w:val="none"/>
                      <w:lang w:val="en-US" w:eastAsia="zh-CN"/>
                    </w:rPr>
                    <w:t>隔声</w:t>
                  </w:r>
                </w:p>
              </w:tc>
              <w:tc>
                <w:tcPr>
                  <w:tcW w:w="786" w:type="pct"/>
                  <w:vAlign w:val="center"/>
                </w:tcPr>
                <w:p w14:paraId="2755E25D">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7200</w:t>
                  </w:r>
                </w:p>
              </w:tc>
            </w:tr>
            <w:tr w14:paraId="5FE9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3" w:type="pct"/>
                  <w:tcMar>
                    <w:top w:w="12" w:type="dxa"/>
                    <w:left w:w="12" w:type="dxa"/>
                    <w:bottom w:w="0" w:type="dxa"/>
                    <w:right w:w="12" w:type="dxa"/>
                  </w:tcMar>
                  <w:vAlign w:val="center"/>
                </w:tcPr>
                <w:p w14:paraId="772D483E">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DA002（喷漆）风机</w:t>
                  </w:r>
                </w:p>
              </w:tc>
              <w:tc>
                <w:tcPr>
                  <w:tcW w:w="460" w:type="pct"/>
                  <w:vAlign w:val="center"/>
                </w:tcPr>
                <w:p w14:paraId="59EA2710">
                  <w:pPr>
                    <w:jc w:val="center"/>
                    <w:rPr>
                      <w:rFonts w:hint="eastAsia"/>
                      <w:bCs/>
                      <w:color w:val="auto"/>
                      <w:sz w:val="21"/>
                      <w:szCs w:val="21"/>
                      <w:highlight w:val="none"/>
                    </w:rPr>
                  </w:pPr>
                  <w:r>
                    <w:rPr>
                      <w:rFonts w:hint="eastAsia"/>
                      <w:bCs/>
                      <w:color w:val="auto"/>
                      <w:sz w:val="21"/>
                      <w:szCs w:val="21"/>
                      <w:highlight w:val="none"/>
                    </w:rPr>
                    <w:t>定制</w:t>
                  </w:r>
                </w:p>
              </w:tc>
              <w:tc>
                <w:tcPr>
                  <w:tcW w:w="465" w:type="pct"/>
                  <w:vAlign w:val="center"/>
                </w:tcPr>
                <w:p w14:paraId="3EE71566">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37</w:t>
                  </w:r>
                </w:p>
              </w:tc>
              <w:tc>
                <w:tcPr>
                  <w:tcW w:w="560" w:type="pct"/>
                  <w:vAlign w:val="center"/>
                </w:tcPr>
                <w:p w14:paraId="6C753A05">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20</w:t>
                  </w:r>
                </w:p>
              </w:tc>
              <w:tc>
                <w:tcPr>
                  <w:tcW w:w="442" w:type="pct"/>
                  <w:vAlign w:val="center"/>
                </w:tcPr>
                <w:p w14:paraId="0C969AAC">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740" w:type="pct"/>
                  <w:vAlign w:val="center"/>
                </w:tcPr>
                <w:p w14:paraId="458CAE9A">
                  <w:pPr>
                    <w:widowControl/>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90</w:t>
                  </w:r>
                </w:p>
              </w:tc>
              <w:tc>
                <w:tcPr>
                  <w:tcW w:w="979" w:type="dxa"/>
                  <w:vAlign w:val="center"/>
                </w:tcPr>
                <w:p w14:paraId="39D0BE4B">
                  <w:pPr>
                    <w:jc w:val="center"/>
                    <w:rPr>
                      <w:color w:val="auto"/>
                      <w:sz w:val="21"/>
                      <w:szCs w:val="21"/>
                      <w:highlight w:val="none"/>
                    </w:rPr>
                  </w:pPr>
                  <w:r>
                    <w:rPr>
                      <w:color w:val="auto"/>
                      <w:sz w:val="21"/>
                      <w:szCs w:val="21"/>
                      <w:highlight w:val="none"/>
                    </w:rPr>
                    <w:t>安装减振基座</w:t>
                  </w:r>
                  <w:r>
                    <w:rPr>
                      <w:rFonts w:hint="eastAsia"/>
                      <w:color w:val="auto"/>
                      <w:sz w:val="21"/>
                      <w:szCs w:val="21"/>
                      <w:highlight w:val="none"/>
                      <w:lang w:eastAsia="zh-CN"/>
                    </w:rPr>
                    <w:t>、</w:t>
                  </w:r>
                  <w:r>
                    <w:rPr>
                      <w:rFonts w:hint="eastAsia"/>
                      <w:color w:val="auto"/>
                      <w:sz w:val="21"/>
                      <w:szCs w:val="21"/>
                      <w:highlight w:val="none"/>
                      <w:lang w:val="en-US" w:eastAsia="zh-CN"/>
                    </w:rPr>
                    <w:t>隔声</w:t>
                  </w:r>
                </w:p>
              </w:tc>
              <w:tc>
                <w:tcPr>
                  <w:tcW w:w="1282" w:type="dxa"/>
                  <w:vAlign w:val="center"/>
                </w:tcPr>
                <w:p w14:paraId="53D694B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2400</w:t>
                  </w:r>
                </w:p>
              </w:tc>
            </w:tr>
          </w:tbl>
          <w:p w14:paraId="746C011C">
            <w:pPr>
              <w:keepNext/>
              <w:keepLines/>
              <w:adjustRightInd w:val="0"/>
              <w:snapToGrid w:val="0"/>
              <w:spacing w:line="360" w:lineRule="auto"/>
              <w:outlineLvl w:val="3"/>
              <w:rPr>
                <w:bCs/>
                <w:color w:val="auto"/>
                <w:sz w:val="21"/>
                <w:szCs w:val="21"/>
                <w:highlight w:val="none"/>
              </w:rPr>
            </w:pPr>
            <w:r>
              <w:rPr>
                <w:rFonts w:hint="eastAsia" w:ascii="宋体" w:hAnsi="宋体" w:cs="宋体"/>
                <w:bCs/>
                <w:color w:val="auto"/>
                <w:sz w:val="21"/>
                <w:szCs w:val="21"/>
                <w:highlight w:val="none"/>
              </w:rPr>
              <w:t>注</w:t>
            </w:r>
            <w:r>
              <w:rPr>
                <w:bCs/>
                <w:color w:val="auto"/>
                <w:sz w:val="21"/>
                <w:szCs w:val="21"/>
                <w:highlight w:val="none"/>
              </w:rPr>
              <w:t>：项目以</w:t>
            </w:r>
            <w:r>
              <w:rPr>
                <w:rFonts w:hint="eastAsia"/>
                <w:bCs/>
                <w:color w:val="auto"/>
                <w:sz w:val="21"/>
                <w:szCs w:val="21"/>
                <w:highlight w:val="none"/>
                <w:lang w:val="en-US" w:eastAsia="zh-CN"/>
              </w:rPr>
              <w:t>生产车间西南角</w:t>
            </w:r>
            <w:r>
              <w:rPr>
                <w:bCs/>
                <w:color w:val="auto"/>
                <w:sz w:val="21"/>
                <w:szCs w:val="21"/>
                <w:highlight w:val="none"/>
              </w:rPr>
              <w:t>为坐标原点，正东为X轴，正北为Y轴</w:t>
            </w:r>
            <w:r>
              <w:rPr>
                <w:rFonts w:hint="eastAsia"/>
                <w:bCs/>
                <w:color w:val="auto"/>
                <w:sz w:val="21"/>
                <w:szCs w:val="21"/>
                <w:highlight w:val="none"/>
              </w:rPr>
              <w:t>，高度</w:t>
            </w:r>
            <w:r>
              <w:rPr>
                <w:bCs/>
                <w:color w:val="auto"/>
                <w:sz w:val="21"/>
                <w:szCs w:val="21"/>
                <w:highlight w:val="none"/>
              </w:rPr>
              <w:t>为</w:t>
            </w:r>
            <w:r>
              <w:rPr>
                <w:rFonts w:hint="eastAsia"/>
                <w:bCs/>
                <w:color w:val="auto"/>
                <w:sz w:val="21"/>
                <w:szCs w:val="21"/>
                <w:highlight w:val="none"/>
              </w:rPr>
              <w:t>Z</w:t>
            </w:r>
            <w:r>
              <w:rPr>
                <w:bCs/>
                <w:color w:val="auto"/>
                <w:sz w:val="21"/>
                <w:szCs w:val="21"/>
                <w:highlight w:val="none"/>
              </w:rPr>
              <w:t>轴</w:t>
            </w:r>
          </w:p>
          <w:p w14:paraId="1F8A239B">
            <w:pPr>
              <w:pStyle w:val="15"/>
              <w:adjustRightInd w:val="0"/>
              <w:snapToGrid w:val="0"/>
              <w:spacing w:after="0"/>
              <w:ind w:left="0" w:leftChars="0" w:firstLine="0"/>
              <w:jc w:val="center"/>
              <w:rPr>
                <w:b/>
                <w:bCs/>
                <w:color w:val="auto"/>
                <w:sz w:val="24"/>
                <w:szCs w:val="24"/>
                <w:highlight w:val="none"/>
              </w:rPr>
            </w:pPr>
            <w:r>
              <w:rPr>
                <w:b/>
                <w:bCs/>
                <w:color w:val="auto"/>
                <w:sz w:val="24"/>
                <w:szCs w:val="24"/>
                <w:highlight w:val="none"/>
              </w:rPr>
              <w:t>表4</w:t>
            </w:r>
            <w:r>
              <w:rPr>
                <w:rFonts w:hint="eastAsia"/>
                <w:b/>
                <w:bCs/>
                <w:color w:val="auto"/>
                <w:sz w:val="24"/>
                <w:szCs w:val="24"/>
                <w:highlight w:val="none"/>
                <w:lang w:val="en-US" w:eastAsia="zh-CN"/>
              </w:rPr>
              <w:t>-13</w:t>
            </w:r>
            <w:r>
              <w:rPr>
                <w:rFonts w:hint="eastAsia"/>
                <w:b/>
                <w:bCs/>
                <w:color w:val="auto"/>
                <w:sz w:val="24"/>
                <w:szCs w:val="24"/>
                <w:highlight w:val="none"/>
              </w:rPr>
              <w:t xml:space="preserve"> </w:t>
            </w:r>
            <w:r>
              <w:rPr>
                <w:b/>
                <w:bCs/>
                <w:color w:val="auto"/>
                <w:sz w:val="24"/>
                <w:szCs w:val="24"/>
                <w:highlight w:val="none"/>
              </w:rPr>
              <w:t xml:space="preserve"> 噪声污染源及源强表</w:t>
            </w:r>
            <w:r>
              <w:rPr>
                <w:rFonts w:hint="eastAsia"/>
                <w:b/>
                <w:bCs/>
                <w:color w:val="auto"/>
                <w:sz w:val="24"/>
                <w:szCs w:val="24"/>
                <w:highlight w:val="none"/>
                <w:lang w:eastAsia="zh-CN"/>
              </w:rPr>
              <w:t>（</w:t>
            </w:r>
            <w:r>
              <w:rPr>
                <w:rFonts w:hint="eastAsia"/>
                <w:b/>
                <w:bCs/>
                <w:color w:val="auto"/>
                <w:sz w:val="24"/>
                <w:szCs w:val="24"/>
                <w:highlight w:val="none"/>
                <w:lang w:val="en-US" w:eastAsia="zh-CN"/>
              </w:rPr>
              <w:t>室内声源</w:t>
            </w:r>
            <w:r>
              <w:rPr>
                <w:rFonts w:hint="eastAsia"/>
                <w:b/>
                <w:bCs/>
                <w:color w:val="auto"/>
                <w:sz w:val="24"/>
                <w:szCs w:val="24"/>
                <w:highlight w:val="none"/>
                <w:lang w:eastAsia="zh-CN"/>
              </w:rPr>
              <w:t>）</w:t>
            </w:r>
          </w:p>
          <w:tbl>
            <w:tblPr>
              <w:tblStyle w:val="21"/>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9"/>
              <w:gridCol w:w="676"/>
              <w:gridCol w:w="577"/>
              <w:gridCol w:w="599"/>
              <w:gridCol w:w="577"/>
              <w:gridCol w:w="577"/>
              <w:gridCol w:w="576"/>
              <w:gridCol w:w="577"/>
              <w:gridCol w:w="576"/>
              <w:gridCol w:w="595"/>
              <w:gridCol w:w="576"/>
              <w:gridCol w:w="595"/>
              <w:gridCol w:w="595"/>
              <w:gridCol w:w="577"/>
            </w:tblGrid>
            <w:tr w14:paraId="7278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restart"/>
                  <w:tcMar>
                    <w:top w:w="12" w:type="dxa"/>
                    <w:left w:w="12" w:type="dxa"/>
                    <w:bottom w:w="0" w:type="dxa"/>
                    <w:right w:w="12" w:type="dxa"/>
                  </w:tcMar>
                  <w:vAlign w:val="center"/>
                </w:tcPr>
                <w:p w14:paraId="66924970">
                  <w:pPr>
                    <w:adjustRightInd w:val="0"/>
                    <w:snapToGrid w:val="0"/>
                    <w:jc w:val="center"/>
                    <w:rPr>
                      <w:b/>
                      <w:color w:val="auto"/>
                      <w:sz w:val="21"/>
                      <w:szCs w:val="21"/>
                      <w:highlight w:val="none"/>
                    </w:rPr>
                  </w:pPr>
                  <w:r>
                    <w:rPr>
                      <w:rFonts w:hint="eastAsia"/>
                      <w:b/>
                      <w:color w:val="auto"/>
                      <w:sz w:val="21"/>
                      <w:szCs w:val="21"/>
                      <w:highlight w:val="none"/>
                    </w:rPr>
                    <w:t>建筑物名称</w:t>
                  </w:r>
                </w:p>
              </w:tc>
              <w:tc>
                <w:tcPr>
                  <w:tcW w:w="414" w:type="pct"/>
                  <w:vMerge w:val="restart"/>
                  <w:vAlign w:val="center"/>
                </w:tcPr>
                <w:p w14:paraId="5F7E947B">
                  <w:pPr>
                    <w:adjustRightInd w:val="0"/>
                    <w:snapToGrid w:val="0"/>
                    <w:jc w:val="center"/>
                    <w:rPr>
                      <w:b/>
                      <w:color w:val="auto"/>
                      <w:sz w:val="21"/>
                      <w:szCs w:val="21"/>
                      <w:highlight w:val="none"/>
                    </w:rPr>
                  </w:pPr>
                  <w:r>
                    <w:rPr>
                      <w:rFonts w:hint="eastAsia"/>
                      <w:b/>
                      <w:color w:val="auto"/>
                      <w:sz w:val="21"/>
                      <w:szCs w:val="21"/>
                      <w:highlight w:val="none"/>
                    </w:rPr>
                    <w:t>声源名称</w:t>
                  </w:r>
                </w:p>
              </w:tc>
              <w:tc>
                <w:tcPr>
                  <w:tcW w:w="353" w:type="pct"/>
                  <w:vMerge w:val="restart"/>
                  <w:vAlign w:val="center"/>
                </w:tcPr>
                <w:p w14:paraId="5D7B483F">
                  <w:pPr>
                    <w:adjustRightInd w:val="0"/>
                    <w:snapToGrid w:val="0"/>
                    <w:jc w:val="center"/>
                    <w:rPr>
                      <w:b/>
                      <w:color w:val="auto"/>
                      <w:sz w:val="21"/>
                      <w:szCs w:val="21"/>
                      <w:highlight w:val="none"/>
                    </w:rPr>
                  </w:pPr>
                  <w:r>
                    <w:rPr>
                      <w:rFonts w:hint="eastAsia"/>
                      <w:b/>
                      <w:color w:val="auto"/>
                      <w:sz w:val="21"/>
                      <w:szCs w:val="21"/>
                      <w:highlight w:val="none"/>
                    </w:rPr>
                    <w:t>数量（台）</w:t>
                  </w:r>
                </w:p>
              </w:tc>
              <w:tc>
                <w:tcPr>
                  <w:tcW w:w="367" w:type="pct"/>
                  <w:vMerge w:val="restart"/>
                  <w:vAlign w:val="center"/>
                </w:tcPr>
                <w:p w14:paraId="573773B2">
                  <w:pPr>
                    <w:adjustRightInd w:val="0"/>
                    <w:snapToGrid w:val="0"/>
                    <w:jc w:val="center"/>
                    <w:rPr>
                      <w:b/>
                      <w:color w:val="auto"/>
                      <w:sz w:val="21"/>
                      <w:szCs w:val="21"/>
                      <w:highlight w:val="none"/>
                    </w:rPr>
                  </w:pPr>
                  <w:r>
                    <w:rPr>
                      <w:rFonts w:hint="eastAsia"/>
                      <w:b/>
                      <w:color w:val="auto"/>
                      <w:sz w:val="21"/>
                      <w:szCs w:val="21"/>
                      <w:highlight w:val="none"/>
                    </w:rPr>
                    <w:t>声功率级/dB（A）</w:t>
                  </w:r>
                </w:p>
              </w:tc>
              <w:tc>
                <w:tcPr>
                  <w:tcW w:w="353" w:type="pct"/>
                  <w:vMerge w:val="restart"/>
                  <w:vAlign w:val="center"/>
                </w:tcPr>
                <w:p w14:paraId="2143AB3E">
                  <w:pPr>
                    <w:adjustRightInd w:val="0"/>
                    <w:snapToGrid w:val="0"/>
                    <w:jc w:val="center"/>
                    <w:rPr>
                      <w:b/>
                      <w:color w:val="auto"/>
                      <w:sz w:val="21"/>
                      <w:szCs w:val="21"/>
                      <w:highlight w:val="none"/>
                    </w:rPr>
                  </w:pPr>
                  <w:r>
                    <w:rPr>
                      <w:rFonts w:hint="eastAsia"/>
                      <w:b/>
                      <w:color w:val="auto"/>
                      <w:sz w:val="21"/>
                      <w:szCs w:val="21"/>
                      <w:highlight w:val="none"/>
                    </w:rPr>
                    <w:t>声源控制措施</w:t>
                  </w:r>
                </w:p>
              </w:tc>
              <w:tc>
                <w:tcPr>
                  <w:tcW w:w="1061" w:type="pct"/>
                  <w:gridSpan w:val="3"/>
                  <w:vAlign w:val="center"/>
                </w:tcPr>
                <w:p w14:paraId="4473B6C4">
                  <w:pPr>
                    <w:adjustRightInd w:val="0"/>
                    <w:snapToGrid w:val="0"/>
                    <w:jc w:val="center"/>
                    <w:rPr>
                      <w:b/>
                      <w:color w:val="auto"/>
                      <w:sz w:val="21"/>
                      <w:szCs w:val="21"/>
                      <w:highlight w:val="none"/>
                    </w:rPr>
                  </w:pPr>
                  <w:r>
                    <w:rPr>
                      <w:rFonts w:hint="eastAsia"/>
                      <w:b/>
                      <w:color w:val="auto"/>
                      <w:sz w:val="21"/>
                      <w:szCs w:val="21"/>
                      <w:highlight w:val="none"/>
                    </w:rPr>
                    <w:t>空间相对位置</w:t>
                  </w:r>
                </w:p>
              </w:tc>
              <w:tc>
                <w:tcPr>
                  <w:tcW w:w="353" w:type="pct"/>
                  <w:vMerge w:val="restart"/>
                  <w:vAlign w:val="center"/>
                </w:tcPr>
                <w:p w14:paraId="3224CCF5">
                  <w:pPr>
                    <w:adjustRightInd w:val="0"/>
                    <w:snapToGrid w:val="0"/>
                    <w:jc w:val="center"/>
                    <w:rPr>
                      <w:b/>
                      <w:color w:val="auto"/>
                      <w:sz w:val="21"/>
                      <w:szCs w:val="21"/>
                      <w:highlight w:val="none"/>
                    </w:rPr>
                  </w:pPr>
                  <w:r>
                    <w:rPr>
                      <w:rFonts w:hint="eastAsia"/>
                      <w:b/>
                      <w:color w:val="auto"/>
                      <w:sz w:val="21"/>
                      <w:szCs w:val="21"/>
                      <w:highlight w:val="none"/>
                    </w:rPr>
                    <w:t>距离室内边界距离/m</w:t>
                  </w:r>
                </w:p>
              </w:tc>
              <w:tc>
                <w:tcPr>
                  <w:tcW w:w="364" w:type="pct"/>
                  <w:vMerge w:val="restart"/>
                  <w:vAlign w:val="center"/>
                </w:tcPr>
                <w:p w14:paraId="14D3065F">
                  <w:pPr>
                    <w:adjustRightInd w:val="0"/>
                    <w:snapToGrid w:val="0"/>
                    <w:jc w:val="center"/>
                    <w:rPr>
                      <w:b/>
                      <w:color w:val="auto"/>
                      <w:sz w:val="21"/>
                      <w:szCs w:val="21"/>
                      <w:highlight w:val="none"/>
                    </w:rPr>
                  </w:pPr>
                  <w:r>
                    <w:rPr>
                      <w:rFonts w:hint="eastAsia"/>
                      <w:b/>
                      <w:color w:val="auto"/>
                      <w:sz w:val="21"/>
                      <w:szCs w:val="21"/>
                      <w:highlight w:val="none"/>
                    </w:rPr>
                    <w:t>室内边界声级/dB（A）</w:t>
                  </w:r>
                </w:p>
              </w:tc>
              <w:tc>
                <w:tcPr>
                  <w:tcW w:w="353" w:type="pct"/>
                  <w:vMerge w:val="restart"/>
                  <w:vAlign w:val="center"/>
                </w:tcPr>
                <w:p w14:paraId="20F3BBA9">
                  <w:pPr>
                    <w:adjustRightInd w:val="0"/>
                    <w:snapToGrid w:val="0"/>
                    <w:jc w:val="center"/>
                    <w:rPr>
                      <w:b/>
                      <w:color w:val="auto"/>
                      <w:sz w:val="21"/>
                      <w:szCs w:val="21"/>
                      <w:highlight w:val="none"/>
                    </w:rPr>
                  </w:pPr>
                  <w:r>
                    <w:rPr>
                      <w:rFonts w:hint="eastAsia"/>
                      <w:b/>
                      <w:color w:val="auto"/>
                      <w:sz w:val="21"/>
                      <w:szCs w:val="21"/>
                      <w:highlight w:val="none"/>
                    </w:rPr>
                    <w:t>运行时段（年运行时间）</w:t>
                  </w:r>
                </w:p>
              </w:tc>
              <w:tc>
                <w:tcPr>
                  <w:tcW w:w="364" w:type="pct"/>
                  <w:vMerge w:val="restart"/>
                  <w:vAlign w:val="center"/>
                </w:tcPr>
                <w:p w14:paraId="13A47C13">
                  <w:pPr>
                    <w:adjustRightInd w:val="0"/>
                    <w:snapToGrid w:val="0"/>
                    <w:jc w:val="center"/>
                    <w:rPr>
                      <w:b/>
                      <w:color w:val="auto"/>
                      <w:sz w:val="21"/>
                      <w:szCs w:val="21"/>
                      <w:highlight w:val="none"/>
                    </w:rPr>
                  </w:pPr>
                  <w:r>
                    <w:rPr>
                      <w:rFonts w:hint="eastAsia"/>
                      <w:b/>
                      <w:color w:val="auto"/>
                      <w:sz w:val="21"/>
                      <w:szCs w:val="21"/>
                      <w:highlight w:val="none"/>
                    </w:rPr>
                    <w:t>建筑物插入损失/dB（A）</w:t>
                  </w:r>
                </w:p>
              </w:tc>
              <w:tc>
                <w:tcPr>
                  <w:tcW w:w="718" w:type="pct"/>
                  <w:gridSpan w:val="2"/>
                  <w:vAlign w:val="center"/>
                </w:tcPr>
                <w:p w14:paraId="20DCAA98">
                  <w:pPr>
                    <w:adjustRightInd w:val="0"/>
                    <w:snapToGrid w:val="0"/>
                    <w:jc w:val="center"/>
                    <w:rPr>
                      <w:b/>
                      <w:color w:val="auto"/>
                      <w:sz w:val="21"/>
                      <w:szCs w:val="21"/>
                      <w:highlight w:val="none"/>
                    </w:rPr>
                  </w:pPr>
                  <w:r>
                    <w:rPr>
                      <w:rFonts w:hint="eastAsia"/>
                      <w:b/>
                      <w:color w:val="auto"/>
                      <w:sz w:val="21"/>
                      <w:szCs w:val="21"/>
                      <w:highlight w:val="none"/>
                    </w:rPr>
                    <w:t>建筑物外噪声</w:t>
                  </w:r>
                </w:p>
              </w:tc>
            </w:tr>
            <w:tr w14:paraId="7FA3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continue"/>
                  <w:tcMar>
                    <w:top w:w="12" w:type="dxa"/>
                    <w:left w:w="12" w:type="dxa"/>
                    <w:bottom w:w="0" w:type="dxa"/>
                    <w:right w:w="12" w:type="dxa"/>
                  </w:tcMar>
                  <w:vAlign w:val="center"/>
                </w:tcPr>
                <w:p w14:paraId="44BFFDBB">
                  <w:pPr>
                    <w:jc w:val="center"/>
                    <w:rPr>
                      <w:bCs/>
                      <w:color w:val="auto"/>
                      <w:sz w:val="21"/>
                      <w:szCs w:val="21"/>
                      <w:highlight w:val="none"/>
                    </w:rPr>
                  </w:pPr>
                </w:p>
              </w:tc>
              <w:tc>
                <w:tcPr>
                  <w:tcW w:w="414" w:type="pct"/>
                  <w:vMerge w:val="continue"/>
                  <w:vAlign w:val="center"/>
                </w:tcPr>
                <w:p w14:paraId="098D7F88">
                  <w:pPr>
                    <w:jc w:val="center"/>
                    <w:rPr>
                      <w:bCs/>
                      <w:color w:val="auto"/>
                      <w:sz w:val="21"/>
                      <w:szCs w:val="21"/>
                      <w:highlight w:val="none"/>
                    </w:rPr>
                  </w:pPr>
                </w:p>
              </w:tc>
              <w:tc>
                <w:tcPr>
                  <w:tcW w:w="353" w:type="pct"/>
                  <w:vMerge w:val="continue"/>
                  <w:vAlign w:val="center"/>
                </w:tcPr>
                <w:p w14:paraId="03BE1945">
                  <w:pPr>
                    <w:jc w:val="center"/>
                    <w:rPr>
                      <w:bCs/>
                      <w:color w:val="auto"/>
                      <w:sz w:val="21"/>
                      <w:szCs w:val="21"/>
                      <w:highlight w:val="none"/>
                    </w:rPr>
                  </w:pPr>
                </w:p>
              </w:tc>
              <w:tc>
                <w:tcPr>
                  <w:tcW w:w="367" w:type="pct"/>
                  <w:vMerge w:val="continue"/>
                  <w:vAlign w:val="center"/>
                </w:tcPr>
                <w:p w14:paraId="6C45E3D1">
                  <w:pPr>
                    <w:jc w:val="center"/>
                    <w:rPr>
                      <w:bCs/>
                      <w:color w:val="auto"/>
                      <w:sz w:val="21"/>
                      <w:szCs w:val="21"/>
                      <w:highlight w:val="none"/>
                    </w:rPr>
                  </w:pPr>
                </w:p>
              </w:tc>
              <w:tc>
                <w:tcPr>
                  <w:tcW w:w="353" w:type="pct"/>
                  <w:vMerge w:val="continue"/>
                  <w:vAlign w:val="center"/>
                </w:tcPr>
                <w:p w14:paraId="524E2F06">
                  <w:pPr>
                    <w:jc w:val="center"/>
                    <w:rPr>
                      <w:bCs/>
                      <w:color w:val="auto"/>
                      <w:sz w:val="21"/>
                      <w:szCs w:val="21"/>
                      <w:highlight w:val="none"/>
                    </w:rPr>
                  </w:pPr>
                </w:p>
              </w:tc>
              <w:tc>
                <w:tcPr>
                  <w:tcW w:w="353" w:type="pct"/>
                  <w:vAlign w:val="center"/>
                </w:tcPr>
                <w:p w14:paraId="63D0825B">
                  <w:pPr>
                    <w:jc w:val="center"/>
                    <w:rPr>
                      <w:bCs/>
                      <w:color w:val="auto"/>
                      <w:sz w:val="21"/>
                      <w:szCs w:val="21"/>
                      <w:highlight w:val="none"/>
                    </w:rPr>
                  </w:pPr>
                  <w:r>
                    <w:rPr>
                      <w:rFonts w:hint="eastAsia"/>
                      <w:bCs/>
                      <w:color w:val="auto"/>
                      <w:sz w:val="21"/>
                      <w:szCs w:val="21"/>
                      <w:highlight w:val="none"/>
                    </w:rPr>
                    <w:t>X</w:t>
                  </w:r>
                </w:p>
              </w:tc>
              <w:tc>
                <w:tcPr>
                  <w:tcW w:w="353" w:type="pct"/>
                  <w:vAlign w:val="center"/>
                </w:tcPr>
                <w:p w14:paraId="30BE9CAE">
                  <w:pPr>
                    <w:jc w:val="center"/>
                    <w:rPr>
                      <w:bCs/>
                      <w:color w:val="auto"/>
                      <w:sz w:val="21"/>
                      <w:szCs w:val="21"/>
                      <w:highlight w:val="none"/>
                    </w:rPr>
                  </w:pPr>
                  <w:r>
                    <w:rPr>
                      <w:rFonts w:hint="eastAsia"/>
                      <w:bCs/>
                      <w:color w:val="auto"/>
                      <w:sz w:val="21"/>
                      <w:szCs w:val="21"/>
                      <w:highlight w:val="none"/>
                    </w:rPr>
                    <w:t>Y</w:t>
                  </w:r>
                </w:p>
              </w:tc>
              <w:tc>
                <w:tcPr>
                  <w:tcW w:w="353" w:type="pct"/>
                  <w:vAlign w:val="center"/>
                </w:tcPr>
                <w:p w14:paraId="266173B8">
                  <w:pPr>
                    <w:jc w:val="center"/>
                    <w:rPr>
                      <w:bCs/>
                      <w:color w:val="auto"/>
                      <w:sz w:val="21"/>
                      <w:szCs w:val="21"/>
                      <w:highlight w:val="none"/>
                    </w:rPr>
                  </w:pPr>
                  <w:r>
                    <w:rPr>
                      <w:rFonts w:hint="eastAsia"/>
                      <w:bCs/>
                      <w:color w:val="auto"/>
                      <w:sz w:val="21"/>
                      <w:szCs w:val="21"/>
                      <w:highlight w:val="none"/>
                    </w:rPr>
                    <w:t>Z</w:t>
                  </w:r>
                </w:p>
              </w:tc>
              <w:tc>
                <w:tcPr>
                  <w:tcW w:w="353" w:type="pct"/>
                  <w:vMerge w:val="continue"/>
                  <w:vAlign w:val="center"/>
                </w:tcPr>
                <w:p w14:paraId="36DA2868">
                  <w:pPr>
                    <w:jc w:val="center"/>
                    <w:rPr>
                      <w:bCs/>
                      <w:color w:val="auto"/>
                      <w:sz w:val="21"/>
                      <w:szCs w:val="21"/>
                      <w:highlight w:val="none"/>
                    </w:rPr>
                  </w:pPr>
                </w:p>
              </w:tc>
              <w:tc>
                <w:tcPr>
                  <w:tcW w:w="364" w:type="pct"/>
                  <w:vMerge w:val="continue"/>
                  <w:vAlign w:val="center"/>
                </w:tcPr>
                <w:p w14:paraId="6F5DF2B9">
                  <w:pPr>
                    <w:jc w:val="center"/>
                    <w:rPr>
                      <w:bCs/>
                      <w:color w:val="auto"/>
                      <w:sz w:val="21"/>
                      <w:szCs w:val="21"/>
                      <w:highlight w:val="none"/>
                    </w:rPr>
                  </w:pPr>
                </w:p>
              </w:tc>
              <w:tc>
                <w:tcPr>
                  <w:tcW w:w="353" w:type="pct"/>
                  <w:vMerge w:val="continue"/>
                  <w:vAlign w:val="center"/>
                </w:tcPr>
                <w:p w14:paraId="01F18778">
                  <w:pPr>
                    <w:jc w:val="center"/>
                    <w:rPr>
                      <w:bCs/>
                      <w:color w:val="auto"/>
                      <w:sz w:val="21"/>
                      <w:szCs w:val="21"/>
                      <w:highlight w:val="none"/>
                    </w:rPr>
                  </w:pPr>
                </w:p>
              </w:tc>
              <w:tc>
                <w:tcPr>
                  <w:tcW w:w="364" w:type="pct"/>
                  <w:vMerge w:val="continue"/>
                  <w:vAlign w:val="center"/>
                </w:tcPr>
                <w:p w14:paraId="27D65E09">
                  <w:pPr>
                    <w:jc w:val="center"/>
                    <w:rPr>
                      <w:b/>
                      <w:color w:val="auto"/>
                      <w:sz w:val="21"/>
                      <w:szCs w:val="21"/>
                      <w:highlight w:val="none"/>
                    </w:rPr>
                  </w:pPr>
                </w:p>
              </w:tc>
              <w:tc>
                <w:tcPr>
                  <w:tcW w:w="364" w:type="pct"/>
                  <w:vAlign w:val="center"/>
                </w:tcPr>
                <w:p w14:paraId="03412AE1">
                  <w:pPr>
                    <w:jc w:val="center"/>
                    <w:rPr>
                      <w:b/>
                      <w:color w:val="auto"/>
                      <w:sz w:val="21"/>
                      <w:szCs w:val="21"/>
                      <w:highlight w:val="none"/>
                    </w:rPr>
                  </w:pPr>
                  <w:r>
                    <w:rPr>
                      <w:rFonts w:hint="eastAsia"/>
                      <w:b/>
                      <w:color w:val="auto"/>
                      <w:sz w:val="21"/>
                      <w:szCs w:val="21"/>
                      <w:highlight w:val="none"/>
                    </w:rPr>
                    <w:t>声压级/dB（A）</w:t>
                  </w:r>
                </w:p>
              </w:tc>
              <w:tc>
                <w:tcPr>
                  <w:tcW w:w="353" w:type="pct"/>
                  <w:vAlign w:val="center"/>
                </w:tcPr>
                <w:p w14:paraId="504188DD">
                  <w:pPr>
                    <w:jc w:val="center"/>
                    <w:rPr>
                      <w:b/>
                      <w:color w:val="auto"/>
                      <w:sz w:val="21"/>
                      <w:szCs w:val="21"/>
                      <w:highlight w:val="none"/>
                    </w:rPr>
                  </w:pPr>
                  <w:r>
                    <w:rPr>
                      <w:rFonts w:hint="eastAsia"/>
                      <w:b/>
                      <w:color w:val="auto"/>
                      <w:sz w:val="21"/>
                      <w:szCs w:val="21"/>
                      <w:highlight w:val="none"/>
                    </w:rPr>
                    <w:t>建筑物外距离（m）</w:t>
                  </w:r>
                </w:p>
              </w:tc>
            </w:tr>
            <w:tr w14:paraId="7E0E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restart"/>
                  <w:tcMar>
                    <w:top w:w="12" w:type="dxa"/>
                    <w:left w:w="12" w:type="dxa"/>
                    <w:bottom w:w="0" w:type="dxa"/>
                    <w:right w:w="12" w:type="dxa"/>
                  </w:tcMar>
                  <w:vAlign w:val="center"/>
                </w:tcPr>
                <w:p w14:paraId="324675A9">
                  <w:pPr>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生产车间</w:t>
                  </w:r>
                </w:p>
              </w:tc>
              <w:tc>
                <w:tcPr>
                  <w:tcW w:w="414" w:type="pct"/>
                  <w:vAlign w:val="center"/>
                </w:tcPr>
                <w:p w14:paraId="6BA03E71">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转印线</w:t>
                  </w:r>
                </w:p>
              </w:tc>
              <w:tc>
                <w:tcPr>
                  <w:tcW w:w="353" w:type="pct"/>
                  <w:vAlign w:val="center"/>
                </w:tcPr>
                <w:p w14:paraId="62C1A4F9">
                  <w:pPr>
                    <w:widowControl/>
                    <w:autoSpaceDE w:val="0"/>
                    <w:autoSpaceDN w:val="0"/>
                    <w:adjustRightInd w:val="0"/>
                    <w:snapToGrid w:val="0"/>
                    <w:jc w:val="center"/>
                    <w:textAlignment w:val="bottom"/>
                    <w:rPr>
                      <w:rFonts w:hint="default"/>
                      <w:bCs/>
                      <w:color w:val="auto"/>
                      <w:sz w:val="21"/>
                      <w:szCs w:val="21"/>
                      <w:highlight w:val="none"/>
                      <w:lang w:val="en-US" w:eastAsia="zh-CN"/>
                    </w:rPr>
                  </w:pPr>
                  <w:r>
                    <w:rPr>
                      <w:rFonts w:hint="eastAsia"/>
                      <w:bCs/>
                      <w:color w:val="auto"/>
                      <w:sz w:val="21"/>
                      <w:szCs w:val="21"/>
                      <w:highlight w:val="none"/>
                      <w:lang w:val="en-US" w:eastAsia="zh-CN"/>
                    </w:rPr>
                    <w:t>1</w:t>
                  </w:r>
                </w:p>
              </w:tc>
              <w:tc>
                <w:tcPr>
                  <w:tcW w:w="367" w:type="pct"/>
                  <w:vAlign w:val="center"/>
                </w:tcPr>
                <w:p w14:paraId="1E0BC2F5">
                  <w:pPr>
                    <w:widowControl/>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60</w:t>
                  </w:r>
                </w:p>
              </w:tc>
              <w:tc>
                <w:tcPr>
                  <w:tcW w:w="353" w:type="pct"/>
                  <w:vMerge w:val="restart"/>
                  <w:vAlign w:val="center"/>
                </w:tcPr>
                <w:p w14:paraId="27B8A1B7">
                  <w:pPr>
                    <w:jc w:val="center"/>
                    <w:rPr>
                      <w:bCs/>
                      <w:color w:val="auto"/>
                      <w:sz w:val="21"/>
                      <w:szCs w:val="21"/>
                      <w:highlight w:val="none"/>
                    </w:rPr>
                  </w:pPr>
                  <w:r>
                    <w:rPr>
                      <w:color w:val="auto"/>
                      <w:sz w:val="21"/>
                      <w:szCs w:val="21"/>
                      <w:highlight w:val="none"/>
                    </w:rPr>
                    <w:t>安装减振基座、厂房隔声</w:t>
                  </w:r>
                </w:p>
              </w:tc>
              <w:tc>
                <w:tcPr>
                  <w:tcW w:w="353" w:type="pct"/>
                  <w:vAlign w:val="center"/>
                </w:tcPr>
                <w:p w14:paraId="27E1AAB1">
                  <w:pPr>
                    <w:jc w:val="center"/>
                    <w:rPr>
                      <w:rFonts w:hint="eastAsia"/>
                      <w:bCs/>
                      <w:color w:val="auto"/>
                      <w:sz w:val="21"/>
                      <w:szCs w:val="21"/>
                      <w:highlight w:val="none"/>
                      <w:lang w:val="en-US" w:eastAsia="zh-CN"/>
                    </w:rPr>
                  </w:pPr>
                  <w:r>
                    <w:rPr>
                      <w:rFonts w:hint="eastAsia"/>
                      <w:bCs/>
                      <w:color w:val="auto"/>
                      <w:sz w:val="21"/>
                      <w:szCs w:val="21"/>
                      <w:highlight w:val="none"/>
                      <w:lang w:val="en-US" w:eastAsia="zh-CN"/>
                    </w:rPr>
                    <w:t>-38</w:t>
                  </w:r>
                </w:p>
              </w:tc>
              <w:tc>
                <w:tcPr>
                  <w:tcW w:w="353" w:type="pct"/>
                  <w:vAlign w:val="center"/>
                </w:tcPr>
                <w:p w14:paraId="588B9836">
                  <w:pPr>
                    <w:jc w:val="center"/>
                    <w:rPr>
                      <w:rFonts w:hint="eastAsia"/>
                      <w:bCs/>
                      <w:color w:val="auto"/>
                      <w:sz w:val="21"/>
                      <w:szCs w:val="21"/>
                      <w:highlight w:val="none"/>
                      <w:lang w:val="en-US" w:eastAsia="zh-CN"/>
                    </w:rPr>
                  </w:pPr>
                  <w:r>
                    <w:rPr>
                      <w:rFonts w:hint="eastAsia"/>
                      <w:bCs/>
                      <w:color w:val="auto"/>
                      <w:sz w:val="21"/>
                      <w:szCs w:val="21"/>
                      <w:highlight w:val="none"/>
                      <w:lang w:val="en-US" w:eastAsia="zh-CN"/>
                    </w:rPr>
                    <w:t>30</w:t>
                  </w:r>
                </w:p>
              </w:tc>
              <w:tc>
                <w:tcPr>
                  <w:tcW w:w="353" w:type="pct"/>
                  <w:vAlign w:val="center"/>
                </w:tcPr>
                <w:p w14:paraId="0ED6B102">
                  <w:pPr>
                    <w:jc w:val="center"/>
                    <w:rPr>
                      <w:rFonts w:hint="eastAsia"/>
                      <w:bCs/>
                      <w:color w:val="auto"/>
                      <w:sz w:val="21"/>
                      <w:szCs w:val="21"/>
                      <w:highlight w:val="none"/>
                      <w:lang w:val="en-US" w:eastAsia="zh-CN"/>
                    </w:rPr>
                  </w:pPr>
                  <w:r>
                    <w:rPr>
                      <w:rFonts w:hint="eastAsia"/>
                      <w:bCs/>
                      <w:color w:val="auto"/>
                      <w:sz w:val="21"/>
                      <w:szCs w:val="21"/>
                      <w:highlight w:val="none"/>
                      <w:lang w:val="en-US" w:eastAsia="zh-CN"/>
                    </w:rPr>
                    <w:t>0.5</w:t>
                  </w:r>
                </w:p>
              </w:tc>
              <w:tc>
                <w:tcPr>
                  <w:tcW w:w="353" w:type="pct"/>
                  <w:vAlign w:val="center"/>
                </w:tcPr>
                <w:p w14:paraId="14E386CE">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364" w:type="pct"/>
                  <w:vAlign w:val="center"/>
                </w:tcPr>
                <w:p w14:paraId="028D5A07">
                  <w:pPr>
                    <w:widowControl/>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51</w:t>
                  </w:r>
                </w:p>
              </w:tc>
              <w:tc>
                <w:tcPr>
                  <w:tcW w:w="353" w:type="pct"/>
                  <w:vAlign w:val="center"/>
                </w:tcPr>
                <w:p w14:paraId="0AC7698B">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1200</w:t>
                  </w:r>
                </w:p>
              </w:tc>
              <w:tc>
                <w:tcPr>
                  <w:tcW w:w="364" w:type="pct"/>
                  <w:vAlign w:val="center"/>
                </w:tcPr>
                <w:p w14:paraId="0A9F8519">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15</w:t>
                  </w:r>
                </w:p>
              </w:tc>
              <w:tc>
                <w:tcPr>
                  <w:tcW w:w="364" w:type="pct"/>
                  <w:vAlign w:val="center"/>
                </w:tcPr>
                <w:p w14:paraId="4725E688">
                  <w:pPr>
                    <w:widowControl/>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36</w:t>
                  </w:r>
                </w:p>
              </w:tc>
              <w:tc>
                <w:tcPr>
                  <w:tcW w:w="353" w:type="pct"/>
                  <w:vAlign w:val="center"/>
                </w:tcPr>
                <w:p w14:paraId="69DBEB8A">
                  <w:pPr>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1</w:t>
                  </w:r>
                </w:p>
              </w:tc>
            </w:tr>
            <w:tr w14:paraId="74EE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continue"/>
                  <w:tcMar>
                    <w:top w:w="12" w:type="dxa"/>
                    <w:left w:w="12" w:type="dxa"/>
                    <w:bottom w:w="0" w:type="dxa"/>
                    <w:right w:w="12" w:type="dxa"/>
                  </w:tcMar>
                  <w:vAlign w:val="center"/>
                </w:tcPr>
                <w:p w14:paraId="5211A7AB">
                  <w:pPr>
                    <w:jc w:val="center"/>
                    <w:rPr>
                      <w:rFonts w:hint="default" w:eastAsia="宋体"/>
                      <w:color w:val="auto"/>
                      <w:kern w:val="0"/>
                      <w:sz w:val="21"/>
                      <w:szCs w:val="21"/>
                      <w:highlight w:val="none"/>
                      <w:lang w:val="en-US" w:eastAsia="zh-CN"/>
                    </w:rPr>
                  </w:pPr>
                </w:p>
              </w:tc>
              <w:tc>
                <w:tcPr>
                  <w:tcW w:w="414" w:type="pct"/>
                  <w:vAlign w:val="center"/>
                </w:tcPr>
                <w:p w14:paraId="5A7FA71D">
                  <w:pPr>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气泵</w:t>
                  </w:r>
                </w:p>
              </w:tc>
              <w:tc>
                <w:tcPr>
                  <w:tcW w:w="353" w:type="pct"/>
                  <w:vAlign w:val="center"/>
                </w:tcPr>
                <w:p w14:paraId="363AC231">
                  <w:pPr>
                    <w:widowControl/>
                    <w:autoSpaceDE w:val="0"/>
                    <w:autoSpaceDN w:val="0"/>
                    <w:adjustRightInd w:val="0"/>
                    <w:snapToGrid w:val="0"/>
                    <w:jc w:val="center"/>
                    <w:textAlignment w:val="bottom"/>
                    <w:rPr>
                      <w:rFonts w:hint="default" w:eastAsia="宋体"/>
                      <w:bCs/>
                      <w:color w:val="auto"/>
                      <w:sz w:val="21"/>
                      <w:szCs w:val="21"/>
                      <w:highlight w:val="none"/>
                      <w:lang w:val="en-US" w:eastAsia="zh-CN"/>
                    </w:rPr>
                  </w:pPr>
                  <w:r>
                    <w:rPr>
                      <w:rFonts w:hint="eastAsia"/>
                      <w:bCs/>
                      <w:color w:val="auto"/>
                      <w:sz w:val="21"/>
                      <w:szCs w:val="21"/>
                      <w:highlight w:val="none"/>
                      <w:lang w:val="en-US" w:eastAsia="zh-CN"/>
                    </w:rPr>
                    <w:t>2</w:t>
                  </w:r>
                </w:p>
              </w:tc>
              <w:tc>
                <w:tcPr>
                  <w:tcW w:w="367" w:type="pct"/>
                  <w:vAlign w:val="center"/>
                </w:tcPr>
                <w:p w14:paraId="38E2753D">
                  <w:pPr>
                    <w:widowControl/>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80</w:t>
                  </w:r>
                </w:p>
              </w:tc>
              <w:tc>
                <w:tcPr>
                  <w:tcW w:w="353" w:type="pct"/>
                  <w:vMerge w:val="continue"/>
                  <w:vAlign w:val="center"/>
                </w:tcPr>
                <w:p w14:paraId="0AF80050">
                  <w:pPr>
                    <w:jc w:val="center"/>
                    <w:rPr>
                      <w:bCs/>
                      <w:color w:val="auto"/>
                      <w:sz w:val="21"/>
                      <w:szCs w:val="21"/>
                      <w:highlight w:val="none"/>
                    </w:rPr>
                  </w:pPr>
                </w:p>
              </w:tc>
              <w:tc>
                <w:tcPr>
                  <w:tcW w:w="353" w:type="pct"/>
                  <w:vAlign w:val="center"/>
                </w:tcPr>
                <w:p w14:paraId="61F2FA98">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-58</w:t>
                  </w:r>
                </w:p>
              </w:tc>
              <w:tc>
                <w:tcPr>
                  <w:tcW w:w="353" w:type="pct"/>
                  <w:vAlign w:val="center"/>
                </w:tcPr>
                <w:p w14:paraId="0175B0A3">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30</w:t>
                  </w:r>
                </w:p>
              </w:tc>
              <w:tc>
                <w:tcPr>
                  <w:tcW w:w="353" w:type="pct"/>
                  <w:vAlign w:val="center"/>
                </w:tcPr>
                <w:p w14:paraId="2CE7B0C4">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1.5</w:t>
                  </w:r>
                </w:p>
              </w:tc>
              <w:tc>
                <w:tcPr>
                  <w:tcW w:w="353" w:type="pct"/>
                  <w:vAlign w:val="center"/>
                </w:tcPr>
                <w:p w14:paraId="30269A39">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w:t>
                  </w:r>
                </w:p>
              </w:tc>
              <w:tc>
                <w:tcPr>
                  <w:tcW w:w="364" w:type="pct"/>
                  <w:vAlign w:val="center"/>
                </w:tcPr>
                <w:p w14:paraId="7E3588A4">
                  <w:pPr>
                    <w:widowControl/>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74</w:t>
                  </w:r>
                </w:p>
              </w:tc>
              <w:tc>
                <w:tcPr>
                  <w:tcW w:w="353" w:type="pct"/>
                  <w:vAlign w:val="center"/>
                </w:tcPr>
                <w:p w14:paraId="33C9BF83">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2400</w:t>
                  </w:r>
                </w:p>
              </w:tc>
              <w:tc>
                <w:tcPr>
                  <w:tcW w:w="364" w:type="pct"/>
                  <w:vAlign w:val="center"/>
                </w:tcPr>
                <w:p w14:paraId="5D1ECDDF">
                  <w:pPr>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15</w:t>
                  </w:r>
                </w:p>
              </w:tc>
              <w:tc>
                <w:tcPr>
                  <w:tcW w:w="364" w:type="pct"/>
                  <w:vAlign w:val="center"/>
                </w:tcPr>
                <w:p w14:paraId="62829CFB">
                  <w:pPr>
                    <w:widowControl/>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59</w:t>
                  </w:r>
                </w:p>
              </w:tc>
              <w:tc>
                <w:tcPr>
                  <w:tcW w:w="353" w:type="pct"/>
                  <w:vAlign w:val="center"/>
                </w:tcPr>
                <w:p w14:paraId="7F76CA81">
                  <w:pPr>
                    <w:jc w:val="center"/>
                    <w:rPr>
                      <w:bCs/>
                      <w:color w:val="auto"/>
                      <w:sz w:val="21"/>
                      <w:szCs w:val="21"/>
                      <w:highlight w:val="none"/>
                    </w:rPr>
                  </w:pPr>
                  <w:r>
                    <w:rPr>
                      <w:rFonts w:hint="eastAsia"/>
                      <w:bCs/>
                      <w:color w:val="auto"/>
                      <w:sz w:val="21"/>
                      <w:szCs w:val="21"/>
                      <w:highlight w:val="none"/>
                    </w:rPr>
                    <w:t>1</w:t>
                  </w:r>
                </w:p>
              </w:tc>
            </w:tr>
            <w:tr w14:paraId="1E2B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continue"/>
                  <w:tcMar>
                    <w:top w:w="12" w:type="dxa"/>
                    <w:left w:w="12" w:type="dxa"/>
                    <w:bottom w:w="0" w:type="dxa"/>
                    <w:right w:w="12" w:type="dxa"/>
                  </w:tcMar>
                  <w:vAlign w:val="center"/>
                </w:tcPr>
                <w:p w14:paraId="3FC62F21">
                  <w:pPr>
                    <w:jc w:val="center"/>
                    <w:rPr>
                      <w:color w:val="auto"/>
                      <w:kern w:val="0"/>
                      <w:sz w:val="21"/>
                      <w:szCs w:val="21"/>
                      <w:highlight w:val="none"/>
                    </w:rPr>
                  </w:pPr>
                </w:p>
              </w:tc>
              <w:tc>
                <w:tcPr>
                  <w:tcW w:w="414" w:type="pct"/>
                  <w:vAlign w:val="center"/>
                </w:tcPr>
                <w:p w14:paraId="1A13CF20">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注塑机</w:t>
                  </w:r>
                </w:p>
              </w:tc>
              <w:tc>
                <w:tcPr>
                  <w:tcW w:w="353" w:type="pct"/>
                  <w:vAlign w:val="center"/>
                </w:tcPr>
                <w:p w14:paraId="656FAA7A">
                  <w:pPr>
                    <w:widowControl/>
                    <w:autoSpaceDE w:val="0"/>
                    <w:autoSpaceDN w:val="0"/>
                    <w:adjustRightInd w:val="0"/>
                    <w:snapToGrid w:val="0"/>
                    <w:jc w:val="center"/>
                    <w:textAlignment w:val="bottom"/>
                    <w:rPr>
                      <w:rFonts w:hint="default"/>
                      <w:bCs/>
                      <w:color w:val="auto"/>
                      <w:sz w:val="21"/>
                      <w:szCs w:val="21"/>
                      <w:highlight w:val="none"/>
                      <w:lang w:val="en-US" w:eastAsia="zh-CN"/>
                    </w:rPr>
                  </w:pPr>
                  <w:r>
                    <w:rPr>
                      <w:rFonts w:hint="eastAsia"/>
                      <w:bCs/>
                      <w:color w:val="auto"/>
                      <w:sz w:val="21"/>
                      <w:szCs w:val="21"/>
                      <w:highlight w:val="none"/>
                      <w:lang w:val="en-US" w:eastAsia="zh-CN"/>
                    </w:rPr>
                    <w:t>9</w:t>
                  </w:r>
                </w:p>
              </w:tc>
              <w:tc>
                <w:tcPr>
                  <w:tcW w:w="367" w:type="pct"/>
                  <w:vAlign w:val="center"/>
                </w:tcPr>
                <w:p w14:paraId="458105C7">
                  <w:pPr>
                    <w:widowControl/>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70</w:t>
                  </w:r>
                </w:p>
              </w:tc>
              <w:tc>
                <w:tcPr>
                  <w:tcW w:w="353" w:type="pct"/>
                  <w:vMerge w:val="continue"/>
                  <w:vAlign w:val="center"/>
                </w:tcPr>
                <w:p w14:paraId="4BD64C76">
                  <w:pPr>
                    <w:jc w:val="center"/>
                    <w:rPr>
                      <w:bCs/>
                      <w:color w:val="auto"/>
                      <w:sz w:val="21"/>
                      <w:szCs w:val="21"/>
                      <w:highlight w:val="none"/>
                    </w:rPr>
                  </w:pPr>
                </w:p>
              </w:tc>
              <w:tc>
                <w:tcPr>
                  <w:tcW w:w="353" w:type="pct"/>
                  <w:vAlign w:val="center"/>
                </w:tcPr>
                <w:p w14:paraId="4727DD0A">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-30</w:t>
                  </w:r>
                </w:p>
              </w:tc>
              <w:tc>
                <w:tcPr>
                  <w:tcW w:w="353" w:type="pct"/>
                  <w:vAlign w:val="center"/>
                </w:tcPr>
                <w:p w14:paraId="054449FE">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18</w:t>
                  </w:r>
                </w:p>
              </w:tc>
              <w:tc>
                <w:tcPr>
                  <w:tcW w:w="353" w:type="pct"/>
                  <w:vAlign w:val="center"/>
                </w:tcPr>
                <w:p w14:paraId="2955912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1.5</w:t>
                  </w:r>
                </w:p>
              </w:tc>
              <w:tc>
                <w:tcPr>
                  <w:tcW w:w="353" w:type="pct"/>
                  <w:vAlign w:val="center"/>
                </w:tcPr>
                <w:p w14:paraId="491AEF8F">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3</w:t>
                  </w:r>
                </w:p>
              </w:tc>
              <w:tc>
                <w:tcPr>
                  <w:tcW w:w="364" w:type="pct"/>
                  <w:vAlign w:val="center"/>
                </w:tcPr>
                <w:p w14:paraId="6F4023C1">
                  <w:pPr>
                    <w:widowControl/>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61</w:t>
                  </w:r>
                </w:p>
              </w:tc>
              <w:tc>
                <w:tcPr>
                  <w:tcW w:w="353" w:type="pct"/>
                  <w:vAlign w:val="center"/>
                </w:tcPr>
                <w:p w14:paraId="0AB71F10">
                  <w:pPr>
                    <w:jc w:val="center"/>
                    <w:rPr>
                      <w:rFonts w:hint="default"/>
                      <w:bCs/>
                      <w:color w:val="auto"/>
                      <w:sz w:val="21"/>
                      <w:szCs w:val="21"/>
                      <w:highlight w:val="none"/>
                      <w:lang w:val="en-US"/>
                    </w:rPr>
                  </w:pPr>
                  <w:r>
                    <w:rPr>
                      <w:rFonts w:hint="eastAsia"/>
                      <w:bCs/>
                      <w:color w:val="auto"/>
                      <w:sz w:val="21"/>
                      <w:szCs w:val="21"/>
                      <w:highlight w:val="none"/>
                      <w:lang w:val="en-US" w:eastAsia="zh-CN"/>
                    </w:rPr>
                    <w:t>7200</w:t>
                  </w:r>
                </w:p>
              </w:tc>
              <w:tc>
                <w:tcPr>
                  <w:tcW w:w="364" w:type="pct"/>
                  <w:vAlign w:val="center"/>
                </w:tcPr>
                <w:p w14:paraId="402AF65F">
                  <w:pPr>
                    <w:jc w:val="center"/>
                    <w:rPr>
                      <w:rFonts w:hint="eastAsia"/>
                      <w:bCs/>
                      <w:color w:val="auto"/>
                      <w:sz w:val="21"/>
                      <w:szCs w:val="21"/>
                      <w:highlight w:val="none"/>
                    </w:rPr>
                  </w:pPr>
                  <w:r>
                    <w:rPr>
                      <w:rFonts w:hint="eastAsia"/>
                      <w:bCs/>
                      <w:color w:val="auto"/>
                      <w:sz w:val="21"/>
                      <w:szCs w:val="21"/>
                      <w:highlight w:val="none"/>
                      <w:lang w:val="en-US" w:eastAsia="zh-CN"/>
                    </w:rPr>
                    <w:t>15</w:t>
                  </w:r>
                </w:p>
              </w:tc>
              <w:tc>
                <w:tcPr>
                  <w:tcW w:w="364" w:type="pct"/>
                  <w:vAlign w:val="center"/>
                </w:tcPr>
                <w:p w14:paraId="233D160F">
                  <w:pPr>
                    <w:widowControl/>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46</w:t>
                  </w:r>
                </w:p>
              </w:tc>
              <w:tc>
                <w:tcPr>
                  <w:tcW w:w="353" w:type="pct"/>
                  <w:vAlign w:val="center"/>
                </w:tcPr>
                <w:p w14:paraId="121E42AB">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w:t>
                  </w:r>
                </w:p>
              </w:tc>
            </w:tr>
            <w:tr w14:paraId="1846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continue"/>
                  <w:tcMar>
                    <w:top w:w="12" w:type="dxa"/>
                    <w:left w:w="12" w:type="dxa"/>
                    <w:bottom w:w="0" w:type="dxa"/>
                    <w:right w:w="12" w:type="dxa"/>
                  </w:tcMar>
                  <w:vAlign w:val="center"/>
                </w:tcPr>
                <w:p w14:paraId="0E0B70D3">
                  <w:pPr>
                    <w:jc w:val="center"/>
                    <w:rPr>
                      <w:color w:val="auto"/>
                      <w:kern w:val="0"/>
                      <w:sz w:val="21"/>
                      <w:szCs w:val="21"/>
                      <w:highlight w:val="none"/>
                    </w:rPr>
                  </w:pPr>
                </w:p>
              </w:tc>
              <w:tc>
                <w:tcPr>
                  <w:tcW w:w="414" w:type="pct"/>
                  <w:vAlign w:val="center"/>
                </w:tcPr>
                <w:p w14:paraId="6D82DFE4">
                  <w:pPr>
                    <w:jc w:val="center"/>
                    <w:rPr>
                      <w:rFonts w:hint="default"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破碎机</w:t>
                  </w:r>
                </w:p>
              </w:tc>
              <w:tc>
                <w:tcPr>
                  <w:tcW w:w="353" w:type="pct"/>
                  <w:vAlign w:val="center"/>
                </w:tcPr>
                <w:p w14:paraId="1EEC6A56">
                  <w:pPr>
                    <w:widowControl/>
                    <w:autoSpaceDE w:val="0"/>
                    <w:autoSpaceDN w:val="0"/>
                    <w:adjustRightInd w:val="0"/>
                    <w:snapToGrid w:val="0"/>
                    <w:jc w:val="center"/>
                    <w:textAlignment w:val="bottom"/>
                    <w:rPr>
                      <w:rFonts w:hint="default"/>
                      <w:bCs/>
                      <w:color w:val="auto"/>
                      <w:sz w:val="21"/>
                      <w:szCs w:val="21"/>
                      <w:highlight w:val="none"/>
                      <w:lang w:val="en-US" w:eastAsia="zh-CN"/>
                    </w:rPr>
                  </w:pPr>
                  <w:r>
                    <w:rPr>
                      <w:rFonts w:hint="eastAsia"/>
                      <w:bCs/>
                      <w:color w:val="auto"/>
                      <w:sz w:val="21"/>
                      <w:szCs w:val="21"/>
                      <w:highlight w:val="none"/>
                      <w:lang w:val="en-US" w:eastAsia="zh-CN"/>
                    </w:rPr>
                    <w:t>1</w:t>
                  </w:r>
                </w:p>
              </w:tc>
              <w:tc>
                <w:tcPr>
                  <w:tcW w:w="367" w:type="pct"/>
                  <w:vAlign w:val="center"/>
                </w:tcPr>
                <w:p w14:paraId="0A35097F">
                  <w:pPr>
                    <w:widowControl/>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90</w:t>
                  </w:r>
                </w:p>
              </w:tc>
              <w:tc>
                <w:tcPr>
                  <w:tcW w:w="353" w:type="pct"/>
                  <w:vMerge w:val="continue"/>
                  <w:vAlign w:val="center"/>
                </w:tcPr>
                <w:p w14:paraId="7F6366C4">
                  <w:pPr>
                    <w:jc w:val="center"/>
                    <w:rPr>
                      <w:bCs/>
                      <w:color w:val="auto"/>
                      <w:sz w:val="21"/>
                      <w:szCs w:val="21"/>
                      <w:highlight w:val="none"/>
                    </w:rPr>
                  </w:pPr>
                </w:p>
              </w:tc>
              <w:tc>
                <w:tcPr>
                  <w:tcW w:w="353" w:type="pct"/>
                  <w:vAlign w:val="center"/>
                </w:tcPr>
                <w:p w14:paraId="1AEAA430">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10</w:t>
                  </w:r>
                </w:p>
              </w:tc>
              <w:tc>
                <w:tcPr>
                  <w:tcW w:w="353" w:type="pct"/>
                  <w:vAlign w:val="center"/>
                </w:tcPr>
                <w:p w14:paraId="5027B2FF">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16</w:t>
                  </w:r>
                </w:p>
              </w:tc>
              <w:tc>
                <w:tcPr>
                  <w:tcW w:w="353" w:type="pct"/>
                  <w:vAlign w:val="center"/>
                </w:tcPr>
                <w:p w14:paraId="1719F75B">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353" w:type="pct"/>
                  <w:vAlign w:val="center"/>
                </w:tcPr>
                <w:p w14:paraId="655FCB0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3</w:t>
                  </w:r>
                </w:p>
              </w:tc>
              <w:tc>
                <w:tcPr>
                  <w:tcW w:w="364" w:type="pct"/>
                  <w:shd w:val="clear" w:color="auto" w:fill="auto"/>
                  <w:vAlign w:val="center"/>
                </w:tcPr>
                <w:p w14:paraId="3710E10F">
                  <w:pPr>
                    <w:widowControl/>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81</w:t>
                  </w:r>
                </w:p>
              </w:tc>
              <w:tc>
                <w:tcPr>
                  <w:tcW w:w="353" w:type="pct"/>
                  <w:shd w:val="clear" w:color="auto" w:fill="auto"/>
                  <w:vAlign w:val="center"/>
                </w:tcPr>
                <w:p w14:paraId="5102EEBB">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1200</w:t>
                  </w:r>
                </w:p>
              </w:tc>
              <w:tc>
                <w:tcPr>
                  <w:tcW w:w="364" w:type="pct"/>
                  <w:shd w:val="clear" w:color="auto" w:fill="auto"/>
                  <w:vAlign w:val="center"/>
                </w:tcPr>
                <w:p w14:paraId="7E768EE7">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20</w:t>
                  </w:r>
                </w:p>
              </w:tc>
              <w:tc>
                <w:tcPr>
                  <w:tcW w:w="364" w:type="pct"/>
                  <w:shd w:val="clear" w:color="auto" w:fill="auto"/>
                  <w:vAlign w:val="center"/>
                </w:tcPr>
                <w:p w14:paraId="69942E40">
                  <w:pPr>
                    <w:widowControl/>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61</w:t>
                  </w:r>
                </w:p>
              </w:tc>
              <w:tc>
                <w:tcPr>
                  <w:tcW w:w="353" w:type="pct"/>
                  <w:shd w:val="clear" w:color="auto" w:fill="auto"/>
                  <w:vAlign w:val="center"/>
                </w:tcPr>
                <w:p w14:paraId="5F538674">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1</w:t>
                  </w:r>
                </w:p>
              </w:tc>
            </w:tr>
            <w:tr w14:paraId="2E62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3" w:type="pct"/>
                  <w:vMerge w:val="continue"/>
                  <w:tcMar>
                    <w:top w:w="12" w:type="dxa"/>
                    <w:left w:w="12" w:type="dxa"/>
                    <w:bottom w:w="0" w:type="dxa"/>
                    <w:right w:w="12" w:type="dxa"/>
                  </w:tcMar>
                  <w:vAlign w:val="center"/>
                </w:tcPr>
                <w:p w14:paraId="6AD04069">
                  <w:pPr>
                    <w:jc w:val="center"/>
                    <w:rPr>
                      <w:color w:val="auto"/>
                      <w:kern w:val="0"/>
                      <w:sz w:val="21"/>
                      <w:szCs w:val="21"/>
                      <w:highlight w:val="none"/>
                    </w:rPr>
                  </w:pPr>
                </w:p>
              </w:tc>
              <w:tc>
                <w:tcPr>
                  <w:tcW w:w="414" w:type="pct"/>
                  <w:vAlign w:val="center"/>
                </w:tcPr>
                <w:p w14:paraId="561FB845">
                  <w:pPr>
                    <w:adjustRightInd w:val="0"/>
                    <w:snapToGrid w:val="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喷漆房</w:t>
                  </w:r>
                </w:p>
              </w:tc>
              <w:tc>
                <w:tcPr>
                  <w:tcW w:w="353" w:type="pct"/>
                  <w:vAlign w:val="center"/>
                </w:tcPr>
                <w:p w14:paraId="649C92DD">
                  <w:pPr>
                    <w:widowControl/>
                    <w:autoSpaceDE w:val="0"/>
                    <w:autoSpaceDN w:val="0"/>
                    <w:adjustRightInd w:val="0"/>
                    <w:snapToGrid w:val="0"/>
                    <w:jc w:val="center"/>
                    <w:textAlignment w:val="bottom"/>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367" w:type="pct"/>
                  <w:vAlign w:val="center"/>
                </w:tcPr>
                <w:p w14:paraId="0BE26E17">
                  <w:pPr>
                    <w:widowControl/>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85</w:t>
                  </w:r>
                </w:p>
              </w:tc>
              <w:tc>
                <w:tcPr>
                  <w:tcW w:w="353" w:type="pct"/>
                  <w:vMerge w:val="continue"/>
                  <w:vAlign w:val="center"/>
                </w:tcPr>
                <w:p w14:paraId="29B9ED55">
                  <w:pPr>
                    <w:jc w:val="center"/>
                    <w:rPr>
                      <w:bCs/>
                      <w:color w:val="auto"/>
                      <w:sz w:val="21"/>
                      <w:szCs w:val="21"/>
                      <w:highlight w:val="none"/>
                    </w:rPr>
                  </w:pPr>
                </w:p>
              </w:tc>
              <w:tc>
                <w:tcPr>
                  <w:tcW w:w="353" w:type="pct"/>
                  <w:vAlign w:val="center"/>
                </w:tcPr>
                <w:p w14:paraId="34D1C154">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60</w:t>
                  </w:r>
                </w:p>
              </w:tc>
              <w:tc>
                <w:tcPr>
                  <w:tcW w:w="353" w:type="pct"/>
                  <w:vAlign w:val="center"/>
                </w:tcPr>
                <w:p w14:paraId="01D03D2A">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10</w:t>
                  </w:r>
                </w:p>
              </w:tc>
              <w:tc>
                <w:tcPr>
                  <w:tcW w:w="353" w:type="pct"/>
                  <w:vAlign w:val="center"/>
                </w:tcPr>
                <w:p w14:paraId="0B1BCB5C">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4.5</w:t>
                  </w:r>
                </w:p>
              </w:tc>
              <w:tc>
                <w:tcPr>
                  <w:tcW w:w="353" w:type="pct"/>
                  <w:vAlign w:val="center"/>
                </w:tcPr>
                <w:p w14:paraId="0E524369">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364" w:type="pct"/>
                  <w:vAlign w:val="center"/>
                </w:tcPr>
                <w:p w14:paraId="5B5BA7B1">
                  <w:pPr>
                    <w:widowControl/>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79</w:t>
                  </w:r>
                </w:p>
              </w:tc>
              <w:tc>
                <w:tcPr>
                  <w:tcW w:w="353" w:type="pct"/>
                  <w:vAlign w:val="center"/>
                </w:tcPr>
                <w:p w14:paraId="77A5CFA1">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2400</w:t>
                  </w:r>
                </w:p>
              </w:tc>
              <w:tc>
                <w:tcPr>
                  <w:tcW w:w="364" w:type="pct"/>
                  <w:vAlign w:val="center"/>
                </w:tcPr>
                <w:p w14:paraId="0BA59AF9">
                  <w:pPr>
                    <w:jc w:val="center"/>
                    <w:rPr>
                      <w:rFonts w:hint="default"/>
                      <w:bCs/>
                      <w:color w:val="auto"/>
                      <w:sz w:val="21"/>
                      <w:szCs w:val="21"/>
                      <w:highlight w:val="none"/>
                      <w:lang w:val="en-US"/>
                    </w:rPr>
                  </w:pPr>
                  <w:r>
                    <w:rPr>
                      <w:rFonts w:hint="eastAsia"/>
                      <w:bCs/>
                      <w:color w:val="auto"/>
                      <w:sz w:val="21"/>
                      <w:szCs w:val="21"/>
                      <w:highlight w:val="none"/>
                      <w:lang w:val="en-US" w:eastAsia="zh-CN"/>
                    </w:rPr>
                    <w:t>20</w:t>
                  </w:r>
                </w:p>
              </w:tc>
              <w:tc>
                <w:tcPr>
                  <w:tcW w:w="364" w:type="pct"/>
                  <w:vAlign w:val="center"/>
                </w:tcPr>
                <w:p w14:paraId="4D1C9592">
                  <w:pPr>
                    <w:widowControl/>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59</w:t>
                  </w:r>
                </w:p>
              </w:tc>
              <w:tc>
                <w:tcPr>
                  <w:tcW w:w="353" w:type="pct"/>
                  <w:vAlign w:val="center"/>
                </w:tcPr>
                <w:p w14:paraId="45A63AA6">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1</w:t>
                  </w:r>
                </w:p>
              </w:tc>
            </w:tr>
          </w:tbl>
          <w:p w14:paraId="378AF177">
            <w:pPr>
              <w:keepNext/>
              <w:keepLines/>
              <w:adjustRightInd w:val="0"/>
              <w:snapToGrid w:val="0"/>
              <w:spacing w:line="360" w:lineRule="auto"/>
              <w:outlineLvl w:val="3"/>
              <w:rPr>
                <w:rFonts w:hint="default" w:eastAsia="宋体"/>
                <w:b/>
                <w:bCs/>
                <w:color w:val="auto"/>
                <w:kern w:val="0"/>
                <w:highlight w:val="none"/>
                <w:lang w:val="en-US" w:eastAsia="zh-CN" w:bidi="ar"/>
              </w:rPr>
            </w:pPr>
            <w:r>
              <w:rPr>
                <w:rFonts w:hint="eastAsia" w:ascii="宋体" w:hAnsi="宋体" w:cs="宋体"/>
                <w:bCs/>
                <w:color w:val="auto"/>
                <w:sz w:val="21"/>
                <w:szCs w:val="21"/>
                <w:highlight w:val="none"/>
              </w:rPr>
              <w:t>注</w:t>
            </w:r>
            <w:r>
              <w:rPr>
                <w:bCs/>
                <w:color w:val="auto"/>
                <w:sz w:val="21"/>
                <w:szCs w:val="21"/>
                <w:highlight w:val="none"/>
              </w:rPr>
              <w:t>：项目以</w:t>
            </w:r>
            <w:r>
              <w:rPr>
                <w:rFonts w:hint="eastAsia"/>
                <w:bCs/>
                <w:color w:val="auto"/>
                <w:sz w:val="21"/>
                <w:szCs w:val="21"/>
                <w:highlight w:val="none"/>
                <w:lang w:val="en-US" w:eastAsia="zh-CN"/>
              </w:rPr>
              <w:t>厂区中心</w:t>
            </w:r>
            <w:r>
              <w:rPr>
                <w:bCs/>
                <w:color w:val="auto"/>
                <w:sz w:val="21"/>
                <w:szCs w:val="21"/>
                <w:highlight w:val="none"/>
              </w:rPr>
              <w:t>为坐标原点，正东为X轴，正北为Y轴</w:t>
            </w:r>
            <w:r>
              <w:rPr>
                <w:rFonts w:hint="eastAsia"/>
                <w:bCs/>
                <w:color w:val="auto"/>
                <w:sz w:val="21"/>
                <w:szCs w:val="21"/>
                <w:highlight w:val="none"/>
              </w:rPr>
              <w:t>，高度</w:t>
            </w:r>
            <w:r>
              <w:rPr>
                <w:bCs/>
                <w:color w:val="auto"/>
                <w:sz w:val="21"/>
                <w:szCs w:val="21"/>
                <w:highlight w:val="none"/>
              </w:rPr>
              <w:t>为</w:t>
            </w:r>
            <w:r>
              <w:rPr>
                <w:rFonts w:hint="eastAsia"/>
                <w:bCs/>
                <w:color w:val="auto"/>
                <w:sz w:val="21"/>
                <w:szCs w:val="21"/>
                <w:highlight w:val="none"/>
              </w:rPr>
              <w:t>Z</w:t>
            </w:r>
            <w:r>
              <w:rPr>
                <w:bCs/>
                <w:color w:val="auto"/>
                <w:sz w:val="21"/>
                <w:szCs w:val="21"/>
                <w:highlight w:val="none"/>
              </w:rPr>
              <w:t>轴</w:t>
            </w:r>
          </w:p>
          <w:p w14:paraId="418401C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0"/>
                <w:highlight w:val="none"/>
                <w:lang w:bidi="ar"/>
              </w:rPr>
            </w:pPr>
            <w:r>
              <w:rPr>
                <w:b/>
                <w:bCs/>
                <w:color w:val="auto"/>
                <w:kern w:val="0"/>
                <w:highlight w:val="none"/>
                <w:lang w:bidi="ar"/>
              </w:rPr>
              <w:t>2、厂界和环境保护目标达标情况分析</w:t>
            </w:r>
          </w:p>
          <w:p w14:paraId="3AAACB39">
            <w:pPr>
              <w:adjustRightInd w:val="0"/>
              <w:snapToGrid w:val="0"/>
              <w:spacing w:line="360" w:lineRule="auto"/>
              <w:ind w:firstLine="480" w:firstLineChars="200"/>
              <w:rPr>
                <w:bCs/>
                <w:color w:val="auto"/>
                <w:highlight w:val="none"/>
              </w:rPr>
            </w:pPr>
            <w:r>
              <w:rPr>
                <w:bCs/>
                <w:color w:val="auto"/>
                <w:highlight w:val="none"/>
              </w:rPr>
              <w:t>根据项目的噪声排放特点，结合《环境影响评价技术导则声环境》（HJ2.4-20</w:t>
            </w:r>
            <w:r>
              <w:rPr>
                <w:rFonts w:hint="eastAsia"/>
                <w:bCs/>
                <w:color w:val="auto"/>
                <w:highlight w:val="none"/>
              </w:rPr>
              <w:t>21</w:t>
            </w:r>
            <w:r>
              <w:rPr>
                <w:bCs/>
                <w:color w:val="auto"/>
                <w:highlight w:val="none"/>
              </w:rPr>
              <w:t>）的要求，预测模式采用</w:t>
            </w:r>
            <w:r>
              <w:rPr>
                <w:rFonts w:hint="eastAsia"/>
                <w:bCs/>
                <w:color w:val="auto"/>
                <w:highlight w:val="none"/>
              </w:rPr>
              <w:t>“</w:t>
            </w:r>
            <w:r>
              <w:rPr>
                <w:bCs/>
                <w:color w:val="auto"/>
                <w:highlight w:val="none"/>
              </w:rPr>
              <w:t>8</w:t>
            </w:r>
            <w:r>
              <w:rPr>
                <w:rFonts w:hint="eastAsia"/>
                <w:bCs/>
                <w:color w:val="auto"/>
                <w:highlight w:val="none"/>
              </w:rPr>
              <w:t>.</w:t>
            </w:r>
            <w:r>
              <w:rPr>
                <w:bCs/>
                <w:color w:val="auto"/>
                <w:highlight w:val="none"/>
              </w:rPr>
              <w:t>4预测</w:t>
            </w:r>
            <w:r>
              <w:rPr>
                <w:rFonts w:hint="eastAsia"/>
                <w:bCs/>
                <w:color w:val="auto"/>
                <w:highlight w:val="none"/>
              </w:rPr>
              <w:t>方法”</w:t>
            </w:r>
            <w:r>
              <w:rPr>
                <w:bCs/>
                <w:color w:val="auto"/>
                <w:highlight w:val="none"/>
              </w:rPr>
              <w:t>计算模式。</w:t>
            </w:r>
          </w:p>
          <w:p w14:paraId="598916A9">
            <w:pPr>
              <w:spacing w:line="360" w:lineRule="auto"/>
              <w:ind w:firstLine="480" w:firstLineChars="200"/>
              <w:rPr>
                <w:color w:val="auto"/>
                <w:kern w:val="0"/>
                <w:highlight w:val="none"/>
                <w:lang w:bidi="ar"/>
              </w:rPr>
            </w:pPr>
            <w:r>
              <w:rPr>
                <w:color w:val="auto"/>
                <w:kern w:val="0"/>
                <w:highlight w:val="none"/>
                <w:lang w:bidi="ar"/>
              </w:rPr>
              <w:t>（1）室外声源</w:t>
            </w:r>
          </w:p>
          <w:p w14:paraId="06C39FF6">
            <w:pPr>
              <w:spacing w:line="360" w:lineRule="auto"/>
              <w:ind w:firstLine="480" w:firstLineChars="200"/>
              <w:rPr>
                <w:color w:val="auto"/>
                <w:kern w:val="0"/>
                <w:highlight w:val="none"/>
                <w:lang w:bidi="ar"/>
              </w:rPr>
            </w:pPr>
            <w:r>
              <w:rPr>
                <w:color w:val="auto"/>
                <w:kern w:val="0"/>
                <w:highlight w:val="none"/>
                <w:lang w:bidi="ar"/>
              </w:rPr>
              <w:t>计算基本公式为：</w:t>
            </w:r>
          </w:p>
          <w:p w14:paraId="748B5D39">
            <w:pPr>
              <w:spacing w:line="360" w:lineRule="auto"/>
              <w:ind w:firstLine="480" w:firstLineChars="200"/>
              <w:jc w:val="center"/>
              <w:rPr>
                <w:color w:val="auto"/>
                <w:kern w:val="0"/>
                <w:highlight w:val="none"/>
                <w:lang w:bidi="ar"/>
              </w:rPr>
            </w:pPr>
            <w:r>
              <w:rPr>
                <w:rFonts w:hint="eastAsia"/>
                <w:color w:val="auto"/>
                <w:kern w:val="0"/>
                <w:position w:val="-14"/>
                <w:highlight w:val="none"/>
                <w:lang w:bidi="ar"/>
              </w:rPr>
              <w:object>
                <v:shape id="_x0000_i1025" o:spt="75" type="#_x0000_t75" style="height:18.8pt;width:252.95pt;" o:ole="t" filled="f" o:preferrelative="t" stroked="f" coordsize="21600,21600">
                  <v:path/>
                  <v:fill on="f" focussize="0,0"/>
                  <v:stroke on="f" joinstyle="miter"/>
                  <v:imagedata r:id="rId20" o:title=""/>
                  <o:lock v:ext="edit" aspectratio="t"/>
                  <w10:wrap type="none"/>
                  <w10:anchorlock/>
                </v:shape>
                <o:OLEObject Type="Embed" ProgID="Equation.KSEE3" ShapeID="_x0000_i1025" DrawAspect="Content" ObjectID="_1468075725" r:id="rId19">
                  <o:LockedField>false</o:LockedField>
                </o:OLEObject>
              </w:object>
            </w:r>
          </w:p>
          <w:p w14:paraId="06649FAA">
            <w:pPr>
              <w:adjustRightInd w:val="0"/>
              <w:snapToGrid w:val="0"/>
              <w:spacing w:line="360" w:lineRule="auto"/>
              <w:ind w:firstLine="480" w:firstLineChars="200"/>
              <w:rPr>
                <w:bCs/>
                <w:color w:val="auto"/>
                <w:highlight w:val="none"/>
              </w:rPr>
            </w:pPr>
            <w:r>
              <w:rPr>
                <w:bCs/>
                <w:color w:val="auto"/>
                <w:highlight w:val="none"/>
              </w:rPr>
              <w:t>式中：</w:t>
            </w:r>
            <w:r>
              <w:rPr>
                <w:bCs/>
                <w:color w:val="auto"/>
                <w:position w:val="-14"/>
                <w:highlight w:val="none"/>
              </w:rPr>
              <w:object>
                <v:shape id="_x0000_i1026" o:spt="75" type="#_x0000_t75" style="height:18.8pt;width:31.3pt;" o:ole="t" filled="f" o:preferrelative="t" stroked="f" coordsize="21600,21600">
                  <v:path/>
                  <v:fill on="f" focussize="0,0"/>
                  <v:stroke on="f" joinstyle="miter"/>
                  <v:imagedata r:id="rId22" o:title=""/>
                  <o:lock v:ext="edit" aspectratio="t"/>
                  <w10:wrap type="none"/>
                  <w10:anchorlock/>
                </v:shape>
                <o:OLEObject Type="Embed" ProgID="Equation.KSEE3" ShapeID="_x0000_i1026" DrawAspect="Content" ObjectID="_1468075726" r:id="rId21">
                  <o:LockedField>false</o:LockedField>
                </o:OLEObject>
              </w:object>
            </w:r>
            <w:r>
              <w:rPr>
                <w:bCs/>
                <w:color w:val="auto"/>
                <w:highlight w:val="none"/>
              </w:rPr>
              <w:t>——预测点处的声压级，dB；</w:t>
            </w:r>
          </w:p>
          <w:p w14:paraId="453A09F6">
            <w:pPr>
              <w:adjustRightInd w:val="0"/>
              <w:snapToGrid w:val="0"/>
              <w:spacing w:line="360" w:lineRule="auto"/>
              <w:ind w:firstLine="1200" w:firstLineChars="500"/>
              <w:rPr>
                <w:bCs/>
                <w:color w:val="auto"/>
                <w:highlight w:val="none"/>
              </w:rPr>
            </w:pPr>
            <w:r>
              <w:rPr>
                <w:bCs/>
                <w:color w:val="auto"/>
                <w:position w:val="-14"/>
                <w:highlight w:val="none"/>
              </w:rPr>
              <w:object>
                <v:shape id="_x0000_i1027" o:spt="75" type="#_x0000_t75" style="height:18.8pt;width:33.8pt;" o:ole="t" filled="f" o:preferrelative="t" stroked="f" coordsize="21600,21600">
                  <v:path/>
                  <v:fill on="f" focussize="0,0"/>
                  <v:stroke on="f" joinstyle="miter"/>
                  <v:imagedata r:id="rId24" o:title=""/>
                  <o:lock v:ext="edit" aspectratio="t"/>
                  <w10:wrap type="none"/>
                  <w10:anchorlock/>
                </v:shape>
                <o:OLEObject Type="Embed" ProgID="Equation.KSEE3" ShapeID="_x0000_i1027" DrawAspect="Content" ObjectID="_1468075727" r:id="rId23">
                  <o:LockedField>false</o:LockedField>
                </o:OLEObject>
              </w:object>
            </w:r>
            <w:r>
              <w:rPr>
                <w:bCs/>
                <w:color w:val="auto"/>
                <w:highlight w:val="none"/>
              </w:rPr>
              <w:t>——</w:t>
            </w:r>
            <w:r>
              <w:rPr>
                <w:rFonts w:hint="eastAsia"/>
                <w:bCs/>
                <w:color w:val="auto"/>
                <w:highlight w:val="none"/>
              </w:rPr>
              <w:t>参考位置</w:t>
            </w:r>
            <w:r>
              <w:rPr>
                <w:rFonts w:hint="eastAsia"/>
                <w:bCs/>
                <w:color w:val="auto"/>
                <w:position w:val="-12"/>
                <w:highlight w:val="none"/>
              </w:rPr>
              <w:object>
                <v:shape id="_x0000_i1028" o:spt="75" type="#_x0000_t75" style="height:18.15pt;width:11.25pt;" o:ole="t" filled="f" o:preferrelative="t" stroked="f" coordsize="21600,21600">
                  <v:path/>
                  <v:fill on="f" focussize="0,0"/>
                  <v:stroke on="f" joinstyle="miter"/>
                  <v:imagedata r:id="rId26" o:title=""/>
                  <o:lock v:ext="edit" aspectratio="t"/>
                  <w10:wrap type="none"/>
                  <w10:anchorlock/>
                </v:shape>
                <o:OLEObject Type="Embed" ProgID="Equation.KSEE3" ShapeID="_x0000_i1028" DrawAspect="Content" ObjectID="_1468075728" r:id="rId25">
                  <o:LockedField>false</o:LockedField>
                </o:OLEObject>
              </w:object>
            </w:r>
            <w:r>
              <w:rPr>
                <w:rFonts w:hint="eastAsia"/>
                <w:bCs/>
                <w:color w:val="auto"/>
                <w:highlight w:val="none"/>
              </w:rPr>
              <w:t>处</w:t>
            </w:r>
            <w:r>
              <w:rPr>
                <w:bCs/>
                <w:color w:val="auto"/>
                <w:highlight w:val="none"/>
              </w:rPr>
              <w:t>的声压</w:t>
            </w:r>
            <w:r>
              <w:rPr>
                <w:rFonts w:hint="eastAsia"/>
                <w:bCs/>
                <w:color w:val="auto"/>
                <w:highlight w:val="none"/>
              </w:rPr>
              <w:t>级</w:t>
            </w:r>
            <w:r>
              <w:rPr>
                <w:bCs/>
                <w:color w:val="auto"/>
                <w:highlight w:val="none"/>
              </w:rPr>
              <w:t>，dB；</w:t>
            </w:r>
          </w:p>
          <w:p w14:paraId="243C3749">
            <w:pPr>
              <w:adjustRightInd w:val="0"/>
              <w:snapToGrid w:val="0"/>
              <w:spacing w:line="360" w:lineRule="auto"/>
              <w:ind w:firstLine="1200" w:firstLineChars="500"/>
              <w:rPr>
                <w:bCs/>
                <w:color w:val="auto"/>
                <w:highlight w:val="none"/>
              </w:rPr>
            </w:pPr>
            <w:r>
              <w:rPr>
                <w:rFonts w:hint="eastAsia"/>
                <w:bCs/>
                <w:color w:val="auto"/>
                <w:position w:val="-12"/>
                <w:highlight w:val="none"/>
              </w:rPr>
              <w:object>
                <v:shape id="_x0000_i1029" o:spt="75" type="#_x0000_t75" style="height:18.15pt;width:18.15pt;" o:ole="t" filled="f" o:preferrelative="t" stroked="f" coordsize="21600,21600">
                  <v:path/>
                  <v:fill on="f" focussize="0,0"/>
                  <v:stroke on="f" joinstyle="miter"/>
                  <v:imagedata r:id="rId28" o:title=""/>
                  <o:lock v:ext="edit" aspectratio="t"/>
                  <w10:wrap type="none"/>
                  <w10:anchorlock/>
                </v:shape>
                <o:OLEObject Type="Embed" ProgID="Equation.KSEE3" ShapeID="_x0000_i1029" DrawAspect="Content" ObjectID="_1468075729" r:id="rId27">
                  <o:LockedField>false</o:LockedField>
                </o:OLEObject>
              </w:object>
            </w:r>
            <w:r>
              <w:rPr>
                <w:rFonts w:hint="eastAsia"/>
                <w:bCs/>
                <w:color w:val="auto"/>
                <w:highlight w:val="none"/>
              </w:rPr>
              <w:t>——指向性校正，它描述点声源的等效连续声压级与产生声功率级</w:t>
            </w:r>
            <w:r>
              <w:rPr>
                <w:rFonts w:hint="eastAsia"/>
                <w:bCs/>
                <w:color w:val="auto"/>
                <w:position w:val="-12"/>
                <w:highlight w:val="none"/>
              </w:rPr>
              <w:object>
                <v:shape id="_x0000_i1030" o:spt="75" type="#_x0000_t75" style="height:18.15pt;width:15.05pt;" o:ole="t" filled="f" o:preferrelative="t" stroked="f" coordsize="21600,21600">
                  <v:path/>
                  <v:fill on="f" focussize="0,0"/>
                  <v:stroke on="f" joinstyle="miter"/>
                  <v:imagedata r:id="rId30" o:title=""/>
                  <o:lock v:ext="edit" aspectratio="t"/>
                  <w10:wrap type="none"/>
                  <w10:anchorlock/>
                </v:shape>
                <o:OLEObject Type="Embed" ProgID="Equation.KSEE3" ShapeID="_x0000_i1030" DrawAspect="Content" ObjectID="_1468075730" r:id="rId29">
                  <o:LockedField>false</o:LockedField>
                </o:OLEObject>
              </w:object>
            </w:r>
            <w:r>
              <w:rPr>
                <w:rFonts w:hint="eastAsia"/>
                <w:bCs/>
                <w:color w:val="auto"/>
                <w:highlight w:val="none"/>
              </w:rPr>
              <w:t>的全向点声源在规定方向的声级的偏差程度，dB；</w:t>
            </w:r>
          </w:p>
          <w:p w14:paraId="0E08326C">
            <w:pPr>
              <w:adjustRightInd w:val="0"/>
              <w:snapToGrid w:val="0"/>
              <w:spacing w:line="360" w:lineRule="auto"/>
              <w:ind w:firstLine="1200" w:firstLineChars="500"/>
              <w:rPr>
                <w:bCs/>
                <w:color w:val="auto"/>
                <w:highlight w:val="none"/>
              </w:rPr>
            </w:pPr>
            <w:r>
              <w:rPr>
                <w:bCs/>
                <w:color w:val="auto"/>
                <w:position w:val="-12"/>
                <w:highlight w:val="none"/>
              </w:rPr>
              <w:object>
                <v:shape id="_x0000_i1031" o:spt="75" type="#_x0000_t75" style="height:18.15pt;width:20.05pt;" o:ole="t" filled="f" o:preferrelative="t" stroked="f" coordsize="21600,21600">
                  <v:path/>
                  <v:fill on="f" focussize="0,0"/>
                  <v:stroke on="f" joinstyle="miter"/>
                  <v:imagedata r:id="rId32" o:title=""/>
                  <o:lock v:ext="edit" aspectratio="t"/>
                  <w10:wrap type="none"/>
                  <w10:anchorlock/>
                </v:shape>
                <o:OLEObject Type="Embed" ProgID="Equation.KSEE3" ShapeID="_x0000_i1031" DrawAspect="Content" ObjectID="_1468075731" r:id="rId31">
                  <o:LockedField>false</o:LockedField>
                </o:OLEObject>
              </w:object>
            </w:r>
            <w:r>
              <w:rPr>
                <w:bCs/>
                <w:color w:val="auto"/>
                <w:highlight w:val="none"/>
              </w:rPr>
              <w:t>——几何发散引起的衰减，dB；</w:t>
            </w:r>
          </w:p>
          <w:p w14:paraId="7FA8B169">
            <w:pPr>
              <w:adjustRightInd w:val="0"/>
              <w:snapToGrid w:val="0"/>
              <w:spacing w:line="360" w:lineRule="auto"/>
              <w:ind w:firstLine="1200" w:firstLineChars="500"/>
              <w:rPr>
                <w:bCs/>
                <w:color w:val="auto"/>
                <w:highlight w:val="none"/>
              </w:rPr>
            </w:pPr>
            <w:r>
              <w:rPr>
                <w:bCs/>
                <w:color w:val="auto"/>
                <w:position w:val="-12"/>
                <w:highlight w:val="none"/>
              </w:rPr>
              <w:object>
                <v:shape id="_x0000_i1032" o:spt="75" type="#_x0000_t75" style="height:18.15pt;width:21.9pt;" o:ole="t" filled="f" o:preferrelative="t" stroked="f" coordsize="21600,21600">
                  <v:path/>
                  <v:fill on="f" focussize="0,0"/>
                  <v:stroke on="f" joinstyle="miter"/>
                  <v:imagedata r:id="rId34" o:title=""/>
                  <o:lock v:ext="edit" aspectratio="t"/>
                  <w10:wrap type="none"/>
                  <w10:anchorlock/>
                </v:shape>
                <o:OLEObject Type="Embed" ProgID="Equation.KSEE3" ShapeID="_x0000_i1032" DrawAspect="Content" ObjectID="_1468075732" r:id="rId33">
                  <o:LockedField>false</o:LockedField>
                </o:OLEObject>
              </w:object>
            </w:r>
            <w:r>
              <w:rPr>
                <w:bCs/>
                <w:color w:val="auto"/>
                <w:highlight w:val="none"/>
              </w:rPr>
              <w:t>——大气吸收引起的衰减，dB；</w:t>
            </w:r>
          </w:p>
          <w:p w14:paraId="6908D35F">
            <w:pPr>
              <w:adjustRightInd w:val="0"/>
              <w:snapToGrid w:val="0"/>
              <w:spacing w:line="360" w:lineRule="auto"/>
              <w:ind w:firstLine="1200" w:firstLineChars="500"/>
              <w:rPr>
                <w:bCs/>
                <w:color w:val="auto"/>
                <w:highlight w:val="none"/>
              </w:rPr>
            </w:pPr>
            <w:r>
              <w:rPr>
                <w:bCs/>
                <w:color w:val="auto"/>
                <w:position w:val="-14"/>
                <w:highlight w:val="none"/>
              </w:rPr>
              <w:object>
                <v:shape id="_x0000_i1033" o:spt="75" type="#_x0000_t75" style="height:18.8pt;width:18.15pt;" o:ole="t" filled="f" o:preferrelative="t" stroked="f" coordsize="21600,21600">
                  <v:path/>
                  <v:fill on="f" focussize="0,0"/>
                  <v:stroke on="f" joinstyle="miter"/>
                  <v:imagedata r:id="rId36" o:title=""/>
                  <o:lock v:ext="edit" aspectratio="t"/>
                  <w10:wrap type="none"/>
                  <w10:anchorlock/>
                </v:shape>
                <o:OLEObject Type="Embed" ProgID="Equation.KSEE3" ShapeID="_x0000_i1033" DrawAspect="Content" ObjectID="_1468075733" r:id="rId35">
                  <o:LockedField>false</o:LockedField>
                </o:OLEObject>
              </w:object>
            </w:r>
            <w:r>
              <w:rPr>
                <w:bCs/>
                <w:color w:val="auto"/>
                <w:highlight w:val="none"/>
              </w:rPr>
              <w:t>——地面效应引起的衰减，dB；</w:t>
            </w:r>
          </w:p>
          <w:p w14:paraId="0C6AE7F2">
            <w:pPr>
              <w:adjustRightInd w:val="0"/>
              <w:snapToGrid w:val="0"/>
              <w:spacing w:line="360" w:lineRule="auto"/>
              <w:ind w:firstLine="1200" w:firstLineChars="500"/>
              <w:rPr>
                <w:bCs/>
                <w:color w:val="auto"/>
                <w:highlight w:val="none"/>
              </w:rPr>
            </w:pPr>
            <w:r>
              <w:rPr>
                <w:bCs/>
                <w:color w:val="auto"/>
                <w:position w:val="-12"/>
                <w:highlight w:val="none"/>
              </w:rPr>
              <w:object>
                <v:shape id="_x0000_i1034" o:spt="75" type="#_x0000_t75" style="height:18.15pt;width:21.3pt;" o:ole="t" filled="f" o:preferrelative="t" stroked="f" coordsize="21600,21600">
                  <v:path/>
                  <v:fill on="f" focussize="0,0"/>
                  <v:stroke on="f" joinstyle="miter"/>
                  <v:imagedata r:id="rId38" o:title=""/>
                  <o:lock v:ext="edit" aspectratio="t"/>
                  <w10:wrap type="none"/>
                  <w10:anchorlock/>
                </v:shape>
                <o:OLEObject Type="Embed" ProgID="Equation.KSEE3" ShapeID="_x0000_i1034" DrawAspect="Content" ObjectID="_1468075734" r:id="rId37">
                  <o:LockedField>false</o:LockedField>
                </o:OLEObject>
              </w:object>
            </w:r>
            <w:r>
              <w:rPr>
                <w:bCs/>
                <w:color w:val="auto"/>
                <w:highlight w:val="none"/>
              </w:rPr>
              <w:t>——</w:t>
            </w:r>
            <w:r>
              <w:rPr>
                <w:rFonts w:hint="eastAsia"/>
                <w:bCs/>
                <w:color w:val="auto"/>
                <w:highlight w:val="none"/>
              </w:rPr>
              <w:t>障碍物</w:t>
            </w:r>
            <w:r>
              <w:rPr>
                <w:bCs/>
                <w:color w:val="auto"/>
                <w:highlight w:val="none"/>
              </w:rPr>
              <w:t>屏障引起的衰减，dB；</w:t>
            </w:r>
          </w:p>
          <w:p w14:paraId="79AC687A">
            <w:pPr>
              <w:adjustRightInd w:val="0"/>
              <w:snapToGrid w:val="0"/>
              <w:spacing w:line="360" w:lineRule="auto"/>
              <w:ind w:firstLine="1200" w:firstLineChars="500"/>
              <w:rPr>
                <w:bCs/>
                <w:color w:val="auto"/>
                <w:highlight w:val="none"/>
              </w:rPr>
            </w:pPr>
            <w:r>
              <w:rPr>
                <w:bCs/>
                <w:color w:val="auto"/>
                <w:position w:val="-12"/>
                <w:highlight w:val="none"/>
              </w:rPr>
              <w:object>
                <v:shape id="_x0000_i1035" o:spt="75" type="#_x0000_t75" style="height:18.15pt;width:23.8pt;" o:ole="t" filled="f" o:preferrelative="t" stroked="f" coordsize="21600,21600">
                  <v:path/>
                  <v:fill on="f" focussize="0,0"/>
                  <v:stroke on="f" joinstyle="miter"/>
                  <v:imagedata r:id="rId40" o:title=""/>
                  <o:lock v:ext="edit" aspectratio="t"/>
                  <w10:wrap type="none"/>
                  <w10:anchorlock/>
                </v:shape>
                <o:OLEObject Type="Embed" ProgID="Equation.KSEE3" ShapeID="_x0000_i1035" DrawAspect="Content" ObjectID="_1468075735" r:id="rId39">
                  <o:LockedField>false</o:LockedField>
                </o:OLEObject>
              </w:object>
            </w:r>
            <w:r>
              <w:rPr>
                <w:bCs/>
                <w:color w:val="auto"/>
                <w:highlight w:val="none"/>
              </w:rPr>
              <w:t>——其他多方面效应引起的衰减，dB。</w:t>
            </w:r>
          </w:p>
          <w:p w14:paraId="5DFE7378">
            <w:pPr>
              <w:adjustRightInd w:val="0"/>
              <w:snapToGrid w:val="0"/>
              <w:spacing w:line="360" w:lineRule="auto"/>
              <w:ind w:firstLine="480" w:firstLineChars="200"/>
              <w:rPr>
                <w:bCs/>
                <w:color w:val="auto"/>
                <w:highlight w:val="none"/>
              </w:rPr>
            </w:pPr>
            <w:r>
              <w:rPr>
                <w:bCs/>
                <w:color w:val="auto"/>
                <w:highlight w:val="none"/>
              </w:rPr>
              <w:t>为保守起见，本次预测仅考虑</w:t>
            </w:r>
            <w:r>
              <w:rPr>
                <w:rFonts w:hint="eastAsia"/>
                <w:bCs/>
                <w:color w:val="auto"/>
                <w:highlight w:val="none"/>
              </w:rPr>
              <w:t>点声源</w:t>
            </w:r>
            <w:r>
              <w:rPr>
                <w:bCs/>
                <w:color w:val="auto"/>
                <w:highlight w:val="none"/>
              </w:rPr>
              <w:t>几何发散衰减，</w:t>
            </w:r>
            <w:r>
              <w:rPr>
                <w:rFonts w:hint="eastAsia"/>
                <w:bCs/>
                <w:color w:val="auto"/>
                <w:highlight w:val="none"/>
              </w:rPr>
              <w:t>无指向性点声源几何发散衰减的基本公式</w:t>
            </w:r>
            <w:r>
              <w:rPr>
                <w:bCs/>
                <w:color w:val="auto"/>
                <w:highlight w:val="none"/>
              </w:rPr>
              <w:t>如下：</w:t>
            </w:r>
          </w:p>
          <w:p w14:paraId="61858B25">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1961515" cy="539750"/>
                  <wp:effectExtent l="0" t="0" r="635" b="1270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41"/>
                          <a:stretch>
                            <a:fillRect/>
                          </a:stretch>
                        </pic:blipFill>
                        <pic:spPr>
                          <a:xfrm>
                            <a:off x="0" y="0"/>
                            <a:ext cx="1961515" cy="539750"/>
                          </a:xfrm>
                          <a:prstGeom prst="rect">
                            <a:avLst/>
                          </a:prstGeom>
                          <a:noFill/>
                          <a:ln>
                            <a:noFill/>
                          </a:ln>
                        </pic:spPr>
                      </pic:pic>
                    </a:graphicData>
                  </a:graphic>
                </wp:inline>
              </w:drawing>
            </w:r>
          </w:p>
          <w:p w14:paraId="7D7A266E">
            <w:pPr>
              <w:adjustRightInd w:val="0"/>
              <w:snapToGrid w:val="0"/>
              <w:spacing w:line="360" w:lineRule="auto"/>
              <w:ind w:firstLine="480" w:firstLineChars="200"/>
              <w:rPr>
                <w:bCs/>
                <w:color w:val="auto"/>
                <w:highlight w:val="none"/>
              </w:rPr>
            </w:pPr>
            <w:r>
              <w:rPr>
                <w:bCs/>
                <w:color w:val="auto"/>
                <w:highlight w:val="none"/>
              </w:rPr>
              <w:t>（2）室内声源</w:t>
            </w:r>
          </w:p>
          <w:p w14:paraId="2B209295">
            <w:pPr>
              <w:adjustRightInd w:val="0"/>
              <w:snapToGrid w:val="0"/>
              <w:spacing w:line="360" w:lineRule="auto"/>
              <w:ind w:firstLine="480" w:firstLineChars="200"/>
              <w:rPr>
                <w:bCs/>
                <w:color w:val="auto"/>
                <w:highlight w:val="none"/>
              </w:rPr>
            </w:pPr>
            <w:r>
              <w:rPr>
                <w:bCs/>
                <w:color w:val="auto"/>
                <w:highlight w:val="none"/>
              </w:rPr>
              <w:t>对室内噪声源采用等效室外声源声功率级法进行计算。设靠近开口处（或窗户）室内、室外某倍频带的声压级分别为Lp1和Lp2。若声源所在室内声场为近似扩散声场，则室外的倍频带声压级可按下式近似求出：</w:t>
            </w:r>
          </w:p>
          <w:p w14:paraId="07B21F48">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1653540" cy="328930"/>
                  <wp:effectExtent l="0" t="0" r="3810" b="1397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42"/>
                          <a:stretch>
                            <a:fillRect/>
                          </a:stretch>
                        </pic:blipFill>
                        <pic:spPr>
                          <a:xfrm>
                            <a:off x="0" y="0"/>
                            <a:ext cx="1653540" cy="328930"/>
                          </a:xfrm>
                          <a:prstGeom prst="rect">
                            <a:avLst/>
                          </a:prstGeom>
                          <a:noFill/>
                          <a:ln>
                            <a:noFill/>
                          </a:ln>
                        </pic:spPr>
                      </pic:pic>
                    </a:graphicData>
                  </a:graphic>
                </wp:inline>
              </w:drawing>
            </w:r>
          </w:p>
          <w:p w14:paraId="6B9B51F4">
            <w:pPr>
              <w:adjustRightInd w:val="0"/>
              <w:snapToGrid w:val="0"/>
              <w:spacing w:line="360" w:lineRule="auto"/>
              <w:ind w:firstLine="480" w:firstLineChars="200"/>
              <w:rPr>
                <w:bCs/>
                <w:color w:val="auto"/>
                <w:highlight w:val="none"/>
              </w:rPr>
            </w:pPr>
            <w:r>
              <w:rPr>
                <w:bCs/>
                <w:color w:val="auto"/>
                <w:highlight w:val="none"/>
              </w:rPr>
              <w:t>式中：TL—隔墙（或窗户）倍频带的隔声量，dB(A)。</w:t>
            </w:r>
          </w:p>
          <w:p w14:paraId="192D0D3D">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3131820" cy="1565910"/>
                  <wp:effectExtent l="0" t="0" r="11430" b="1524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43"/>
                          <a:stretch>
                            <a:fillRect/>
                          </a:stretch>
                        </pic:blipFill>
                        <pic:spPr>
                          <a:xfrm>
                            <a:off x="0" y="0"/>
                            <a:ext cx="3131820" cy="1565910"/>
                          </a:xfrm>
                          <a:prstGeom prst="rect">
                            <a:avLst/>
                          </a:prstGeom>
                          <a:noFill/>
                          <a:ln>
                            <a:noFill/>
                          </a:ln>
                        </pic:spPr>
                      </pic:pic>
                    </a:graphicData>
                  </a:graphic>
                </wp:inline>
              </w:drawing>
            </w:r>
          </w:p>
          <w:p w14:paraId="53CBCD2B">
            <w:pPr>
              <w:adjustRightInd w:val="0"/>
              <w:snapToGrid w:val="0"/>
              <w:spacing w:line="360" w:lineRule="auto"/>
              <w:ind w:firstLine="480" w:firstLineChars="200"/>
              <w:rPr>
                <w:bCs/>
                <w:color w:val="auto"/>
                <w:highlight w:val="none"/>
              </w:rPr>
            </w:pPr>
            <w:r>
              <w:rPr>
                <w:bCs/>
                <w:color w:val="auto"/>
                <w:highlight w:val="none"/>
              </w:rPr>
              <w:t>也可按照下式计算某一室内声源靠近围护结构处产生的倍频带声压级：</w:t>
            </w:r>
          </w:p>
          <w:p w14:paraId="058EAAFD">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1934845" cy="495300"/>
                  <wp:effectExtent l="0" t="0" r="8255"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44"/>
                          <a:stretch>
                            <a:fillRect/>
                          </a:stretch>
                        </pic:blipFill>
                        <pic:spPr>
                          <a:xfrm>
                            <a:off x="0" y="0"/>
                            <a:ext cx="1934845" cy="495300"/>
                          </a:xfrm>
                          <a:prstGeom prst="rect">
                            <a:avLst/>
                          </a:prstGeom>
                          <a:noFill/>
                          <a:ln>
                            <a:noFill/>
                          </a:ln>
                        </pic:spPr>
                      </pic:pic>
                    </a:graphicData>
                  </a:graphic>
                </wp:inline>
              </w:drawing>
            </w:r>
          </w:p>
          <w:p w14:paraId="5756F6F4">
            <w:pPr>
              <w:adjustRightInd w:val="0"/>
              <w:snapToGrid w:val="0"/>
              <w:spacing w:line="360" w:lineRule="auto"/>
              <w:ind w:firstLine="480" w:firstLineChars="200"/>
              <w:rPr>
                <w:bCs/>
                <w:color w:val="auto"/>
                <w:highlight w:val="none"/>
              </w:rPr>
            </w:pPr>
            <w:r>
              <w:rPr>
                <w:bCs/>
                <w:color w:val="auto"/>
                <w:highlight w:val="none"/>
              </w:rPr>
              <w:t>式中：Q——指向性因数；通常对无指向性声源，当声源放在房间中心时，Q=1；当入在一面墙的中心时，Q=2；当放在两面墙夹角处时，Q=4；当放在三面墙夹角处时，Q=8；</w:t>
            </w:r>
          </w:p>
          <w:p w14:paraId="0B13A740">
            <w:pPr>
              <w:adjustRightInd w:val="0"/>
              <w:snapToGrid w:val="0"/>
              <w:spacing w:line="360" w:lineRule="auto"/>
              <w:ind w:firstLine="1200" w:firstLineChars="500"/>
              <w:rPr>
                <w:bCs/>
                <w:color w:val="auto"/>
                <w:highlight w:val="none"/>
              </w:rPr>
            </w:pPr>
            <w:r>
              <w:rPr>
                <w:bCs/>
                <w:color w:val="auto"/>
                <w:highlight w:val="none"/>
              </w:rPr>
              <w:t>R——房间常数；R=Sα/(1−α)，S为房间内表面面积，m</w:t>
            </w:r>
            <w:r>
              <w:rPr>
                <w:bCs/>
                <w:color w:val="auto"/>
                <w:highlight w:val="none"/>
                <w:vertAlign w:val="superscript"/>
              </w:rPr>
              <w:t>2</w:t>
            </w:r>
            <w:r>
              <w:rPr>
                <w:bCs/>
                <w:color w:val="auto"/>
                <w:highlight w:val="none"/>
              </w:rPr>
              <w:t>；α为平均吸声系数；</w:t>
            </w:r>
          </w:p>
          <w:p w14:paraId="61594196">
            <w:pPr>
              <w:adjustRightInd w:val="0"/>
              <w:snapToGrid w:val="0"/>
              <w:spacing w:line="360" w:lineRule="auto"/>
              <w:ind w:firstLine="1200" w:firstLineChars="500"/>
              <w:rPr>
                <w:bCs/>
                <w:color w:val="auto"/>
                <w:highlight w:val="none"/>
              </w:rPr>
            </w:pPr>
            <w:r>
              <w:rPr>
                <w:bCs/>
                <w:color w:val="auto"/>
                <w:highlight w:val="none"/>
              </w:rPr>
              <w:t>r——声源到靠近围护结构某点处的距离，m。</w:t>
            </w:r>
          </w:p>
          <w:p w14:paraId="3A05BDC8">
            <w:pPr>
              <w:adjustRightInd w:val="0"/>
              <w:snapToGrid w:val="0"/>
              <w:spacing w:line="360" w:lineRule="auto"/>
              <w:ind w:firstLine="480" w:firstLineChars="200"/>
              <w:rPr>
                <w:bCs/>
                <w:color w:val="auto"/>
                <w:highlight w:val="none"/>
              </w:rPr>
            </w:pPr>
            <w:r>
              <w:rPr>
                <w:bCs/>
                <w:color w:val="auto"/>
                <w:highlight w:val="none"/>
              </w:rPr>
              <w:t>所有室内声源在围护结构处产生的i倍频带叠加声压级的计算：</w:t>
            </w:r>
          </w:p>
          <w:p w14:paraId="580E9387">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1835785" cy="518160"/>
                  <wp:effectExtent l="0" t="0" r="12065" b="1524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45"/>
                          <a:stretch>
                            <a:fillRect/>
                          </a:stretch>
                        </pic:blipFill>
                        <pic:spPr>
                          <a:xfrm>
                            <a:off x="0" y="0"/>
                            <a:ext cx="1835785" cy="518160"/>
                          </a:xfrm>
                          <a:prstGeom prst="rect">
                            <a:avLst/>
                          </a:prstGeom>
                          <a:noFill/>
                          <a:ln>
                            <a:noFill/>
                          </a:ln>
                        </pic:spPr>
                      </pic:pic>
                    </a:graphicData>
                  </a:graphic>
                </wp:inline>
              </w:drawing>
            </w:r>
          </w:p>
          <w:p w14:paraId="0DFE7CC8">
            <w:pPr>
              <w:adjustRightInd w:val="0"/>
              <w:snapToGrid w:val="0"/>
              <w:spacing w:line="360" w:lineRule="auto"/>
              <w:ind w:firstLine="480" w:firstLineChars="200"/>
              <w:rPr>
                <w:bCs/>
                <w:color w:val="auto"/>
                <w:highlight w:val="none"/>
              </w:rPr>
            </w:pPr>
            <w:r>
              <w:rPr>
                <w:bCs/>
                <w:color w:val="auto"/>
                <w:highlight w:val="none"/>
              </w:rPr>
              <w:t>式中：LP1,i（T）——靠近围护结构处室内N个声源i倍频带的叠加声压级，dB；</w:t>
            </w:r>
          </w:p>
          <w:p w14:paraId="4BB5A5E2">
            <w:pPr>
              <w:adjustRightInd w:val="0"/>
              <w:snapToGrid w:val="0"/>
              <w:spacing w:line="360" w:lineRule="auto"/>
              <w:ind w:firstLine="1200" w:firstLineChars="500"/>
              <w:rPr>
                <w:bCs/>
                <w:color w:val="auto"/>
                <w:highlight w:val="none"/>
              </w:rPr>
            </w:pPr>
            <w:r>
              <w:rPr>
                <w:bCs/>
                <w:color w:val="auto"/>
                <w:highlight w:val="none"/>
              </w:rPr>
              <w:t>LP1,j——室内j声源i倍频带的声压级，dB；</w:t>
            </w:r>
          </w:p>
          <w:p w14:paraId="5DAB5C05">
            <w:pPr>
              <w:adjustRightInd w:val="0"/>
              <w:snapToGrid w:val="0"/>
              <w:spacing w:line="360" w:lineRule="auto"/>
              <w:ind w:firstLine="1200" w:firstLineChars="500"/>
              <w:rPr>
                <w:bCs/>
                <w:color w:val="auto"/>
                <w:highlight w:val="none"/>
              </w:rPr>
            </w:pPr>
            <w:r>
              <w:rPr>
                <w:bCs/>
                <w:color w:val="auto"/>
                <w:highlight w:val="none"/>
              </w:rPr>
              <w:t>N——室内声源总数；</w:t>
            </w:r>
          </w:p>
          <w:p w14:paraId="1202F708">
            <w:pPr>
              <w:adjustRightInd w:val="0"/>
              <w:snapToGrid w:val="0"/>
              <w:spacing w:line="360" w:lineRule="auto"/>
              <w:ind w:firstLine="480" w:firstLineChars="200"/>
              <w:rPr>
                <w:bCs/>
                <w:color w:val="auto"/>
                <w:highlight w:val="none"/>
              </w:rPr>
            </w:pPr>
            <w:r>
              <w:rPr>
                <w:bCs/>
                <w:color w:val="auto"/>
                <w:highlight w:val="none"/>
              </w:rPr>
              <w:t>在室内近似为扩散声场时，按下式计算出靠近室外围护结构处的声压级：</w:t>
            </w:r>
          </w:p>
          <w:p w14:paraId="0266C29E">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2029460" cy="321310"/>
                  <wp:effectExtent l="0" t="0" r="8890" b="25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46"/>
                          <a:stretch>
                            <a:fillRect/>
                          </a:stretch>
                        </pic:blipFill>
                        <pic:spPr>
                          <a:xfrm>
                            <a:off x="0" y="0"/>
                            <a:ext cx="2029460" cy="321310"/>
                          </a:xfrm>
                          <a:prstGeom prst="rect">
                            <a:avLst/>
                          </a:prstGeom>
                          <a:noFill/>
                          <a:ln>
                            <a:noFill/>
                          </a:ln>
                        </pic:spPr>
                      </pic:pic>
                    </a:graphicData>
                  </a:graphic>
                </wp:inline>
              </w:drawing>
            </w:r>
          </w:p>
          <w:p w14:paraId="45BB0E2A">
            <w:pPr>
              <w:adjustRightInd w:val="0"/>
              <w:snapToGrid w:val="0"/>
              <w:spacing w:line="360" w:lineRule="auto"/>
              <w:ind w:firstLine="480" w:firstLineChars="200"/>
              <w:rPr>
                <w:bCs/>
                <w:color w:val="auto"/>
                <w:highlight w:val="none"/>
              </w:rPr>
            </w:pPr>
            <w:r>
              <w:rPr>
                <w:bCs/>
                <w:color w:val="auto"/>
                <w:highlight w:val="none"/>
              </w:rPr>
              <w:t>式中：LP2,i（T）——靠近围护结构处室外N个声源i倍频带的叠加声压级，dB；</w:t>
            </w:r>
          </w:p>
          <w:p w14:paraId="480CEE0B">
            <w:pPr>
              <w:adjustRightInd w:val="0"/>
              <w:snapToGrid w:val="0"/>
              <w:spacing w:line="360" w:lineRule="auto"/>
              <w:ind w:firstLine="1200" w:firstLineChars="500"/>
              <w:rPr>
                <w:bCs/>
                <w:color w:val="auto"/>
                <w:highlight w:val="none"/>
              </w:rPr>
            </w:pPr>
            <w:r>
              <w:rPr>
                <w:bCs/>
                <w:color w:val="auto"/>
                <w:highlight w:val="none"/>
              </w:rPr>
              <w:t>TLi——围护结构i倍频带的隔声量，dB；</w:t>
            </w:r>
          </w:p>
          <w:p w14:paraId="6D385646">
            <w:pPr>
              <w:adjustRightInd w:val="0"/>
              <w:snapToGrid w:val="0"/>
              <w:spacing w:line="360" w:lineRule="auto"/>
              <w:ind w:firstLine="480" w:firstLineChars="200"/>
              <w:rPr>
                <w:bCs/>
                <w:color w:val="auto"/>
                <w:highlight w:val="none"/>
              </w:rPr>
            </w:pPr>
            <w:r>
              <w:rPr>
                <w:bCs/>
                <w:color w:val="auto"/>
                <w:highlight w:val="none"/>
              </w:rPr>
              <w:t>将室外声源的声压级和透过面积换算成等效的室外声源，计算出中心位置于透声面积（S）处的等效声源的倍频带声功率级，见下式：</w:t>
            </w:r>
          </w:p>
          <w:p w14:paraId="641A7098">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1623695" cy="257175"/>
                  <wp:effectExtent l="0" t="0" r="14605"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47"/>
                          <a:stretch>
                            <a:fillRect/>
                          </a:stretch>
                        </pic:blipFill>
                        <pic:spPr>
                          <a:xfrm>
                            <a:off x="0" y="0"/>
                            <a:ext cx="1623695" cy="257175"/>
                          </a:xfrm>
                          <a:prstGeom prst="rect">
                            <a:avLst/>
                          </a:prstGeom>
                          <a:noFill/>
                          <a:ln>
                            <a:noFill/>
                          </a:ln>
                        </pic:spPr>
                      </pic:pic>
                    </a:graphicData>
                  </a:graphic>
                </wp:inline>
              </w:drawing>
            </w:r>
          </w:p>
          <w:p w14:paraId="54363667">
            <w:pPr>
              <w:adjustRightInd w:val="0"/>
              <w:snapToGrid w:val="0"/>
              <w:spacing w:line="360" w:lineRule="auto"/>
              <w:ind w:firstLine="480" w:firstLineChars="200"/>
              <w:rPr>
                <w:bCs/>
                <w:color w:val="auto"/>
                <w:highlight w:val="none"/>
              </w:rPr>
            </w:pPr>
            <w:r>
              <w:rPr>
                <w:bCs/>
                <w:color w:val="auto"/>
                <w:highlight w:val="none"/>
              </w:rPr>
              <w:t>然后按室外声源预测方法计算预测点处的A声级。</w:t>
            </w:r>
          </w:p>
          <w:p w14:paraId="089974C7">
            <w:pPr>
              <w:adjustRightInd w:val="0"/>
              <w:snapToGrid w:val="0"/>
              <w:spacing w:line="360" w:lineRule="auto"/>
              <w:ind w:firstLine="480" w:firstLineChars="200"/>
              <w:rPr>
                <w:bCs/>
                <w:color w:val="auto"/>
                <w:highlight w:val="none"/>
              </w:rPr>
            </w:pPr>
            <w:r>
              <w:rPr>
                <w:bCs/>
                <w:color w:val="auto"/>
                <w:highlight w:val="none"/>
              </w:rPr>
              <w:t>（3）计算总声压级</w:t>
            </w:r>
          </w:p>
          <w:p w14:paraId="6B975BE0">
            <w:pPr>
              <w:adjustRightInd w:val="0"/>
              <w:snapToGrid w:val="0"/>
              <w:spacing w:line="360" w:lineRule="auto"/>
              <w:ind w:firstLine="480" w:firstLineChars="200"/>
              <w:rPr>
                <w:bCs/>
                <w:color w:val="auto"/>
                <w:highlight w:val="none"/>
              </w:rPr>
            </w:pPr>
            <w:r>
              <w:rPr>
                <w:bCs/>
                <w:color w:val="auto"/>
                <w:highlight w:val="none"/>
              </w:rPr>
              <w:t>①多声源声压级的叠加</w:t>
            </w:r>
          </w:p>
          <w:p w14:paraId="241041BC">
            <w:pPr>
              <w:adjustRightInd w:val="0"/>
              <w:snapToGrid w:val="0"/>
              <w:spacing w:line="360" w:lineRule="auto"/>
              <w:ind w:firstLine="480" w:firstLineChars="200"/>
              <w:rPr>
                <w:bCs/>
                <w:color w:val="auto"/>
                <w:highlight w:val="none"/>
              </w:rPr>
            </w:pPr>
            <w:r>
              <w:rPr>
                <w:bCs/>
                <w:color w:val="auto"/>
                <w:highlight w:val="none"/>
              </w:rPr>
              <w:t>对两个以上多个声源同时存在时，多点源叠加计算总源强，采用如下公式：</w:t>
            </w:r>
          </w:p>
          <w:p w14:paraId="29815606">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2465705" cy="454660"/>
                  <wp:effectExtent l="0" t="0" r="10795" b="254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48"/>
                          <a:stretch>
                            <a:fillRect/>
                          </a:stretch>
                        </pic:blipFill>
                        <pic:spPr>
                          <a:xfrm>
                            <a:off x="0" y="0"/>
                            <a:ext cx="2465705" cy="454660"/>
                          </a:xfrm>
                          <a:prstGeom prst="rect">
                            <a:avLst/>
                          </a:prstGeom>
                          <a:noFill/>
                          <a:ln>
                            <a:noFill/>
                          </a:ln>
                        </pic:spPr>
                      </pic:pic>
                    </a:graphicData>
                  </a:graphic>
                </wp:inline>
              </w:drawing>
            </w:r>
          </w:p>
          <w:p w14:paraId="555DA41F">
            <w:pPr>
              <w:adjustRightInd w:val="0"/>
              <w:snapToGrid w:val="0"/>
              <w:spacing w:line="360" w:lineRule="auto"/>
              <w:ind w:firstLine="480" w:firstLineChars="200"/>
              <w:rPr>
                <w:bCs/>
                <w:color w:val="auto"/>
                <w:highlight w:val="none"/>
              </w:rPr>
            </w:pPr>
            <w:r>
              <w:rPr>
                <w:bCs/>
                <w:color w:val="auto"/>
                <w:highlight w:val="none"/>
              </w:rPr>
              <w:t>式中：Leqg——建设项目声源在预测点的等效声级贡献值，dB(A)；</w:t>
            </w:r>
          </w:p>
          <w:p w14:paraId="7A362F70">
            <w:pPr>
              <w:adjustRightInd w:val="0"/>
              <w:snapToGrid w:val="0"/>
              <w:spacing w:line="360" w:lineRule="auto"/>
              <w:ind w:firstLine="1200" w:firstLineChars="500"/>
              <w:rPr>
                <w:bCs/>
                <w:color w:val="auto"/>
                <w:highlight w:val="none"/>
              </w:rPr>
            </w:pPr>
            <w:r>
              <w:rPr>
                <w:bCs/>
                <w:color w:val="auto"/>
                <w:highlight w:val="none"/>
              </w:rPr>
              <w:t>LAi——第i个室外声源在预测点产生的A声级，dB(A)；</w:t>
            </w:r>
          </w:p>
          <w:p w14:paraId="0246B71A">
            <w:pPr>
              <w:adjustRightInd w:val="0"/>
              <w:snapToGrid w:val="0"/>
              <w:spacing w:line="360" w:lineRule="auto"/>
              <w:ind w:firstLine="1200" w:firstLineChars="500"/>
              <w:rPr>
                <w:bCs/>
                <w:color w:val="auto"/>
                <w:highlight w:val="none"/>
              </w:rPr>
            </w:pPr>
            <w:r>
              <w:rPr>
                <w:bCs/>
                <w:color w:val="auto"/>
                <w:highlight w:val="none"/>
              </w:rPr>
              <w:t>LAj——第j个等效室外声源在预测点产生的A声级，dB(A)；</w:t>
            </w:r>
          </w:p>
          <w:p w14:paraId="039DDE69">
            <w:pPr>
              <w:adjustRightInd w:val="0"/>
              <w:snapToGrid w:val="0"/>
              <w:spacing w:line="360" w:lineRule="auto"/>
              <w:ind w:firstLine="1200" w:firstLineChars="500"/>
              <w:rPr>
                <w:bCs/>
                <w:color w:val="auto"/>
                <w:highlight w:val="none"/>
              </w:rPr>
            </w:pPr>
            <w:r>
              <w:rPr>
                <w:bCs/>
                <w:color w:val="auto"/>
                <w:highlight w:val="none"/>
              </w:rPr>
              <w:t>tj——在T时间内j声源工作时间，S；</w:t>
            </w:r>
          </w:p>
          <w:p w14:paraId="57864290">
            <w:pPr>
              <w:adjustRightInd w:val="0"/>
              <w:snapToGrid w:val="0"/>
              <w:spacing w:line="360" w:lineRule="auto"/>
              <w:ind w:firstLine="1200" w:firstLineChars="500"/>
              <w:rPr>
                <w:bCs/>
                <w:color w:val="auto"/>
                <w:highlight w:val="none"/>
              </w:rPr>
            </w:pPr>
            <w:r>
              <w:rPr>
                <w:bCs/>
                <w:color w:val="auto"/>
                <w:highlight w:val="none"/>
              </w:rPr>
              <w:t>ti——在T时间内i声源工作时间，S；</w:t>
            </w:r>
          </w:p>
          <w:p w14:paraId="0B8F7888">
            <w:pPr>
              <w:adjustRightInd w:val="0"/>
              <w:snapToGrid w:val="0"/>
              <w:spacing w:line="360" w:lineRule="auto"/>
              <w:ind w:firstLine="1200" w:firstLineChars="500"/>
              <w:rPr>
                <w:bCs/>
                <w:color w:val="auto"/>
                <w:highlight w:val="none"/>
              </w:rPr>
            </w:pPr>
            <w:r>
              <w:rPr>
                <w:bCs/>
                <w:color w:val="auto"/>
                <w:highlight w:val="none"/>
              </w:rPr>
              <w:t>T——用于计算等效声级的时间，S；</w:t>
            </w:r>
          </w:p>
          <w:p w14:paraId="13ACDB05">
            <w:pPr>
              <w:adjustRightInd w:val="0"/>
              <w:snapToGrid w:val="0"/>
              <w:spacing w:line="360" w:lineRule="auto"/>
              <w:ind w:firstLine="1200" w:firstLineChars="500"/>
              <w:rPr>
                <w:bCs/>
                <w:color w:val="auto"/>
                <w:highlight w:val="none"/>
              </w:rPr>
            </w:pPr>
            <w:r>
              <w:rPr>
                <w:bCs/>
                <w:color w:val="auto"/>
                <w:highlight w:val="none"/>
              </w:rPr>
              <w:t>N——室外声源个数；</w:t>
            </w:r>
          </w:p>
          <w:p w14:paraId="2397662E">
            <w:pPr>
              <w:adjustRightInd w:val="0"/>
              <w:snapToGrid w:val="0"/>
              <w:spacing w:line="360" w:lineRule="auto"/>
              <w:ind w:firstLine="1200" w:firstLineChars="500"/>
              <w:rPr>
                <w:bCs/>
                <w:color w:val="auto"/>
                <w:highlight w:val="none"/>
              </w:rPr>
            </w:pPr>
            <w:r>
              <w:rPr>
                <w:bCs/>
                <w:color w:val="auto"/>
                <w:highlight w:val="none"/>
              </w:rPr>
              <w:t>M——等效室外声源个数。</w:t>
            </w:r>
          </w:p>
          <w:p w14:paraId="2F3DFD21">
            <w:pPr>
              <w:adjustRightInd w:val="0"/>
              <w:snapToGrid w:val="0"/>
              <w:spacing w:line="360" w:lineRule="auto"/>
              <w:ind w:firstLine="480" w:firstLineChars="200"/>
              <w:rPr>
                <w:bCs/>
                <w:color w:val="auto"/>
                <w:highlight w:val="none"/>
              </w:rPr>
            </w:pPr>
            <w:r>
              <w:rPr>
                <w:bCs/>
                <w:color w:val="auto"/>
                <w:highlight w:val="none"/>
              </w:rPr>
              <w:t>②预测点的噪声预测值</w:t>
            </w:r>
          </w:p>
          <w:p w14:paraId="066C97A4">
            <w:pPr>
              <w:adjustRightInd w:val="0"/>
              <w:snapToGrid w:val="0"/>
              <w:spacing w:line="360" w:lineRule="auto"/>
              <w:ind w:firstLine="480" w:firstLineChars="200"/>
              <w:rPr>
                <w:bCs/>
                <w:color w:val="auto"/>
                <w:highlight w:val="none"/>
              </w:rPr>
            </w:pPr>
            <w:r>
              <w:rPr>
                <w:bCs/>
                <w:color w:val="auto"/>
                <w:highlight w:val="none"/>
              </w:rPr>
              <w:t>为预测项目噪声源对周围声环境的影响情况，首先预测噪声源随距离的衰减，然后将噪声源产生的噪声值与区域噪声背景值叠加，即可以预测不同距离的噪声值。叠加公式为：</w:t>
            </w:r>
          </w:p>
          <w:p w14:paraId="2EDF55C8">
            <w:pPr>
              <w:adjustRightInd w:val="0"/>
              <w:snapToGrid w:val="0"/>
              <w:spacing w:line="360" w:lineRule="auto"/>
              <w:ind w:firstLine="480" w:firstLineChars="200"/>
              <w:jc w:val="center"/>
              <w:rPr>
                <w:bCs/>
                <w:color w:val="auto"/>
                <w:highlight w:val="none"/>
              </w:rPr>
            </w:pPr>
            <w:r>
              <w:rPr>
                <w:color w:val="auto"/>
                <w:highlight w:val="none"/>
              </w:rPr>
              <w:drawing>
                <wp:inline distT="0" distB="0" distL="114300" distR="114300">
                  <wp:extent cx="2040890" cy="364490"/>
                  <wp:effectExtent l="0" t="0" r="16510" b="1651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9"/>
                          <a:stretch>
                            <a:fillRect/>
                          </a:stretch>
                        </pic:blipFill>
                        <pic:spPr>
                          <a:xfrm>
                            <a:off x="0" y="0"/>
                            <a:ext cx="2040890" cy="364490"/>
                          </a:xfrm>
                          <a:prstGeom prst="rect">
                            <a:avLst/>
                          </a:prstGeom>
                          <a:noFill/>
                          <a:ln>
                            <a:noFill/>
                          </a:ln>
                        </pic:spPr>
                      </pic:pic>
                    </a:graphicData>
                  </a:graphic>
                </wp:inline>
              </w:drawing>
            </w:r>
          </w:p>
          <w:p w14:paraId="3BB865D9">
            <w:pPr>
              <w:adjustRightInd w:val="0"/>
              <w:snapToGrid w:val="0"/>
              <w:spacing w:line="360" w:lineRule="auto"/>
              <w:ind w:firstLine="480" w:firstLineChars="200"/>
              <w:rPr>
                <w:bCs/>
                <w:color w:val="auto"/>
                <w:highlight w:val="none"/>
              </w:rPr>
            </w:pPr>
            <w:r>
              <w:rPr>
                <w:bCs/>
                <w:color w:val="auto"/>
                <w:highlight w:val="none"/>
              </w:rPr>
              <w:t>式中：Leq——预测等效声级，dB(A)；</w:t>
            </w:r>
          </w:p>
          <w:p w14:paraId="6C6D07AA">
            <w:pPr>
              <w:adjustRightInd w:val="0"/>
              <w:snapToGrid w:val="0"/>
              <w:spacing w:line="360" w:lineRule="auto"/>
              <w:ind w:firstLine="1200" w:firstLineChars="500"/>
              <w:rPr>
                <w:bCs/>
                <w:color w:val="auto"/>
                <w:highlight w:val="none"/>
              </w:rPr>
            </w:pPr>
            <w:r>
              <w:rPr>
                <w:bCs/>
                <w:color w:val="auto"/>
                <w:highlight w:val="none"/>
              </w:rPr>
              <w:t>Leqg——建设项目声源在预测点的等效声级贡献值，dB(A)；</w:t>
            </w:r>
          </w:p>
          <w:p w14:paraId="4855C6AB">
            <w:pPr>
              <w:adjustRightInd w:val="0"/>
              <w:snapToGrid w:val="0"/>
              <w:spacing w:line="360" w:lineRule="auto"/>
              <w:ind w:firstLine="1200" w:firstLineChars="500"/>
              <w:rPr>
                <w:bCs/>
                <w:color w:val="auto"/>
                <w:highlight w:val="none"/>
              </w:rPr>
            </w:pPr>
            <w:r>
              <w:rPr>
                <w:bCs/>
                <w:color w:val="auto"/>
                <w:highlight w:val="none"/>
              </w:rPr>
              <w:t>Leqb——预测点的背景值，dB(A)。</w:t>
            </w:r>
          </w:p>
          <w:p w14:paraId="388C9C2F">
            <w:pPr>
              <w:adjustRightInd w:val="0"/>
              <w:snapToGrid w:val="0"/>
              <w:spacing w:line="360" w:lineRule="auto"/>
              <w:ind w:firstLine="480" w:firstLineChars="200"/>
              <w:rPr>
                <w:bCs/>
                <w:color w:val="auto"/>
                <w:highlight w:val="none"/>
              </w:rPr>
            </w:pPr>
            <w:r>
              <w:rPr>
                <w:bCs/>
                <w:color w:val="auto"/>
                <w:highlight w:val="none"/>
              </w:rPr>
              <w:t>（4）预测结果</w:t>
            </w:r>
          </w:p>
          <w:p w14:paraId="0B8A89BC">
            <w:pPr>
              <w:adjustRightInd w:val="0"/>
              <w:snapToGrid w:val="0"/>
              <w:spacing w:line="360" w:lineRule="auto"/>
              <w:ind w:firstLine="480" w:firstLineChars="200"/>
              <w:rPr>
                <w:bCs/>
                <w:color w:val="auto"/>
                <w:highlight w:val="none"/>
              </w:rPr>
            </w:pPr>
            <w:r>
              <w:rPr>
                <w:bCs/>
                <w:color w:val="auto"/>
                <w:highlight w:val="none"/>
              </w:rPr>
              <w:t>项目噪声预测结果见</w:t>
            </w:r>
            <w:r>
              <w:rPr>
                <w:rFonts w:hint="eastAsia"/>
                <w:bCs/>
                <w:color w:val="auto"/>
                <w:highlight w:val="none"/>
              </w:rPr>
              <w:t>下</w:t>
            </w:r>
            <w:r>
              <w:rPr>
                <w:bCs/>
                <w:color w:val="auto"/>
                <w:highlight w:val="none"/>
              </w:rPr>
              <w:t>表。</w:t>
            </w:r>
          </w:p>
          <w:p w14:paraId="2731A6A3">
            <w:pPr>
              <w:adjustRightInd w:val="0"/>
              <w:snapToGrid w:val="0"/>
              <w:ind w:firstLine="482" w:firstLineChars="200"/>
              <w:jc w:val="center"/>
              <w:rPr>
                <w:b/>
                <w:color w:val="auto"/>
                <w:highlight w:val="none"/>
              </w:rPr>
            </w:pPr>
            <w:r>
              <w:rPr>
                <w:b/>
                <w:color w:val="auto"/>
                <w:highlight w:val="none"/>
              </w:rPr>
              <w:t>表4</w:t>
            </w:r>
            <w:r>
              <w:rPr>
                <w:rFonts w:hint="eastAsia"/>
                <w:b/>
                <w:color w:val="auto"/>
                <w:highlight w:val="none"/>
                <w:lang w:val="en-US" w:eastAsia="zh-CN"/>
              </w:rPr>
              <w:t>-14</w:t>
            </w:r>
            <w:r>
              <w:rPr>
                <w:b/>
                <w:color w:val="auto"/>
                <w:highlight w:val="none"/>
              </w:rPr>
              <w:t xml:space="preserve">  噪声预测结果  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1166"/>
              <w:gridCol w:w="1268"/>
              <w:gridCol w:w="1213"/>
              <w:gridCol w:w="1294"/>
              <w:gridCol w:w="1148"/>
            </w:tblGrid>
            <w:tr w14:paraId="4BBB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pct"/>
                  <w:vMerge w:val="restart"/>
                  <w:vAlign w:val="center"/>
                </w:tcPr>
                <w:p w14:paraId="215C4AC9">
                  <w:pPr>
                    <w:adjustRightInd w:val="0"/>
                    <w:snapToGrid w:val="0"/>
                    <w:jc w:val="center"/>
                    <w:rPr>
                      <w:b/>
                      <w:bCs/>
                      <w:color w:val="auto"/>
                      <w:sz w:val="21"/>
                      <w:szCs w:val="21"/>
                      <w:highlight w:val="none"/>
                    </w:rPr>
                  </w:pPr>
                  <w:r>
                    <w:rPr>
                      <w:rFonts w:hint="eastAsia"/>
                      <w:b/>
                      <w:bCs/>
                      <w:color w:val="auto"/>
                      <w:sz w:val="21"/>
                      <w:szCs w:val="21"/>
                      <w:highlight w:val="none"/>
                    </w:rPr>
                    <w:t>位置</w:t>
                  </w:r>
                </w:p>
              </w:tc>
              <w:tc>
                <w:tcPr>
                  <w:tcW w:w="1493" w:type="pct"/>
                  <w:gridSpan w:val="2"/>
                  <w:vAlign w:val="center"/>
                </w:tcPr>
                <w:p w14:paraId="7205F045">
                  <w:pPr>
                    <w:adjustRightInd w:val="0"/>
                    <w:snapToGrid w:val="0"/>
                    <w:jc w:val="center"/>
                    <w:rPr>
                      <w:rFonts w:hint="eastAsia" w:eastAsia="宋体"/>
                      <w:b/>
                      <w:bCs/>
                      <w:color w:val="auto"/>
                      <w:sz w:val="21"/>
                      <w:szCs w:val="21"/>
                      <w:highlight w:val="none"/>
                      <w:lang w:eastAsia="zh-CN"/>
                    </w:rPr>
                  </w:pPr>
                  <w:r>
                    <w:rPr>
                      <w:rFonts w:hint="eastAsia"/>
                      <w:b/>
                      <w:bCs/>
                      <w:color w:val="auto"/>
                      <w:sz w:val="21"/>
                      <w:szCs w:val="21"/>
                      <w:highlight w:val="none"/>
                      <w:lang w:val="en-US" w:eastAsia="zh-CN"/>
                    </w:rPr>
                    <w:t>贡献值</w:t>
                  </w:r>
                </w:p>
              </w:tc>
              <w:tc>
                <w:tcPr>
                  <w:tcW w:w="1538" w:type="pct"/>
                  <w:gridSpan w:val="2"/>
                  <w:vAlign w:val="center"/>
                </w:tcPr>
                <w:p w14:paraId="19826669">
                  <w:pPr>
                    <w:adjustRightInd w:val="0"/>
                    <w:snapToGrid w:val="0"/>
                    <w:jc w:val="center"/>
                    <w:rPr>
                      <w:b/>
                      <w:bCs/>
                      <w:color w:val="auto"/>
                      <w:sz w:val="21"/>
                      <w:szCs w:val="21"/>
                      <w:highlight w:val="none"/>
                    </w:rPr>
                  </w:pPr>
                  <w:r>
                    <w:rPr>
                      <w:b/>
                      <w:bCs/>
                      <w:color w:val="auto"/>
                      <w:sz w:val="21"/>
                      <w:szCs w:val="21"/>
                      <w:highlight w:val="none"/>
                    </w:rPr>
                    <w:t>评价标准</w:t>
                  </w:r>
                </w:p>
              </w:tc>
              <w:tc>
                <w:tcPr>
                  <w:tcW w:w="704" w:type="pct"/>
                  <w:vMerge w:val="restart"/>
                  <w:vAlign w:val="center"/>
                </w:tcPr>
                <w:p w14:paraId="2AFB3BCA">
                  <w:pPr>
                    <w:adjustRightInd w:val="0"/>
                    <w:snapToGrid w:val="0"/>
                    <w:jc w:val="center"/>
                    <w:rPr>
                      <w:b/>
                      <w:bCs/>
                      <w:color w:val="auto"/>
                      <w:sz w:val="21"/>
                      <w:szCs w:val="21"/>
                      <w:highlight w:val="none"/>
                    </w:rPr>
                  </w:pPr>
                  <w:r>
                    <w:rPr>
                      <w:b/>
                      <w:bCs/>
                      <w:color w:val="auto"/>
                      <w:sz w:val="21"/>
                      <w:szCs w:val="21"/>
                      <w:highlight w:val="none"/>
                    </w:rPr>
                    <w:t>达标情况</w:t>
                  </w:r>
                </w:p>
              </w:tc>
            </w:tr>
            <w:tr w14:paraId="0FA0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pct"/>
                  <w:vMerge w:val="continue"/>
                  <w:vAlign w:val="center"/>
                </w:tcPr>
                <w:p w14:paraId="5C7858B6">
                  <w:pPr>
                    <w:adjustRightInd w:val="0"/>
                    <w:snapToGrid w:val="0"/>
                    <w:jc w:val="center"/>
                    <w:rPr>
                      <w:color w:val="auto"/>
                      <w:sz w:val="21"/>
                      <w:szCs w:val="21"/>
                      <w:highlight w:val="none"/>
                    </w:rPr>
                  </w:pPr>
                </w:p>
              </w:tc>
              <w:tc>
                <w:tcPr>
                  <w:tcW w:w="715" w:type="pct"/>
                  <w:vAlign w:val="center"/>
                </w:tcPr>
                <w:p w14:paraId="2DDFC5C1">
                  <w:pPr>
                    <w:adjustRightInd w:val="0"/>
                    <w:snapToGrid w:val="0"/>
                    <w:jc w:val="center"/>
                    <w:rPr>
                      <w:b/>
                      <w:bCs/>
                      <w:color w:val="auto"/>
                      <w:sz w:val="21"/>
                      <w:szCs w:val="21"/>
                      <w:highlight w:val="none"/>
                    </w:rPr>
                  </w:pPr>
                  <w:r>
                    <w:rPr>
                      <w:b/>
                      <w:bCs/>
                      <w:color w:val="auto"/>
                      <w:sz w:val="21"/>
                      <w:szCs w:val="21"/>
                      <w:highlight w:val="none"/>
                    </w:rPr>
                    <w:t>昼间</w:t>
                  </w:r>
                </w:p>
              </w:tc>
              <w:tc>
                <w:tcPr>
                  <w:tcW w:w="778" w:type="pct"/>
                  <w:vAlign w:val="center"/>
                </w:tcPr>
                <w:p w14:paraId="329AD407">
                  <w:pPr>
                    <w:adjustRightInd w:val="0"/>
                    <w:snapToGrid w:val="0"/>
                    <w:jc w:val="center"/>
                    <w:rPr>
                      <w:b/>
                      <w:bCs/>
                      <w:color w:val="auto"/>
                      <w:sz w:val="21"/>
                      <w:szCs w:val="21"/>
                      <w:highlight w:val="none"/>
                    </w:rPr>
                  </w:pPr>
                  <w:r>
                    <w:rPr>
                      <w:b/>
                      <w:bCs/>
                      <w:color w:val="auto"/>
                      <w:sz w:val="21"/>
                      <w:szCs w:val="21"/>
                      <w:highlight w:val="none"/>
                    </w:rPr>
                    <w:t>夜间</w:t>
                  </w:r>
                </w:p>
              </w:tc>
              <w:tc>
                <w:tcPr>
                  <w:tcW w:w="744" w:type="pct"/>
                  <w:vAlign w:val="center"/>
                </w:tcPr>
                <w:p w14:paraId="126728F5">
                  <w:pPr>
                    <w:adjustRightInd w:val="0"/>
                    <w:snapToGrid w:val="0"/>
                    <w:jc w:val="center"/>
                    <w:rPr>
                      <w:b/>
                      <w:bCs/>
                      <w:color w:val="auto"/>
                      <w:sz w:val="21"/>
                      <w:szCs w:val="21"/>
                      <w:highlight w:val="none"/>
                    </w:rPr>
                  </w:pPr>
                  <w:r>
                    <w:rPr>
                      <w:b/>
                      <w:bCs/>
                      <w:color w:val="auto"/>
                      <w:sz w:val="21"/>
                      <w:szCs w:val="21"/>
                      <w:highlight w:val="none"/>
                    </w:rPr>
                    <w:t>昼间</w:t>
                  </w:r>
                </w:p>
              </w:tc>
              <w:tc>
                <w:tcPr>
                  <w:tcW w:w="793" w:type="pct"/>
                  <w:vAlign w:val="center"/>
                </w:tcPr>
                <w:p w14:paraId="32E75F61">
                  <w:pPr>
                    <w:adjustRightInd w:val="0"/>
                    <w:snapToGrid w:val="0"/>
                    <w:jc w:val="center"/>
                    <w:rPr>
                      <w:b/>
                      <w:bCs/>
                      <w:color w:val="auto"/>
                      <w:sz w:val="21"/>
                      <w:szCs w:val="21"/>
                      <w:highlight w:val="none"/>
                    </w:rPr>
                  </w:pPr>
                  <w:r>
                    <w:rPr>
                      <w:b/>
                      <w:bCs/>
                      <w:color w:val="auto"/>
                      <w:sz w:val="21"/>
                      <w:szCs w:val="21"/>
                      <w:highlight w:val="none"/>
                    </w:rPr>
                    <w:t>夜间</w:t>
                  </w:r>
                </w:p>
              </w:tc>
              <w:tc>
                <w:tcPr>
                  <w:tcW w:w="704" w:type="pct"/>
                  <w:vMerge w:val="continue"/>
                  <w:vAlign w:val="center"/>
                </w:tcPr>
                <w:p w14:paraId="7A4EAD58">
                  <w:pPr>
                    <w:adjustRightInd w:val="0"/>
                    <w:snapToGrid w:val="0"/>
                    <w:jc w:val="center"/>
                    <w:rPr>
                      <w:color w:val="auto"/>
                      <w:sz w:val="21"/>
                      <w:szCs w:val="21"/>
                      <w:highlight w:val="none"/>
                    </w:rPr>
                  </w:pPr>
                </w:p>
              </w:tc>
            </w:tr>
            <w:tr w14:paraId="6343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pct"/>
                  <w:vAlign w:val="center"/>
                </w:tcPr>
                <w:p w14:paraId="140C870A">
                  <w:pPr>
                    <w:adjustRightInd w:val="0"/>
                    <w:snapToGrid w:val="0"/>
                    <w:jc w:val="center"/>
                    <w:rPr>
                      <w:color w:val="auto"/>
                      <w:sz w:val="21"/>
                      <w:szCs w:val="21"/>
                      <w:highlight w:val="none"/>
                    </w:rPr>
                  </w:pPr>
                  <w:r>
                    <w:rPr>
                      <w:color w:val="auto"/>
                      <w:sz w:val="21"/>
                      <w:szCs w:val="21"/>
                      <w:highlight w:val="none"/>
                    </w:rPr>
                    <w:t>厂界东侧</w:t>
                  </w:r>
                </w:p>
              </w:tc>
              <w:tc>
                <w:tcPr>
                  <w:tcW w:w="715" w:type="pct"/>
                  <w:vAlign w:val="center"/>
                </w:tcPr>
                <w:p w14:paraId="53B3689C">
                  <w:pPr>
                    <w:spacing w:line="320" w:lineRule="atLeast"/>
                    <w:jc w:val="center"/>
                    <w:rPr>
                      <w:rFonts w:hint="default" w:eastAsia="黑体"/>
                      <w:bCs/>
                      <w:color w:val="auto"/>
                      <w:sz w:val="21"/>
                      <w:szCs w:val="21"/>
                      <w:highlight w:val="none"/>
                      <w:lang w:val="en-US" w:eastAsia="zh-CN"/>
                    </w:rPr>
                  </w:pPr>
                  <w:r>
                    <w:rPr>
                      <w:rFonts w:hint="eastAsia" w:eastAsia="黑体"/>
                      <w:bCs/>
                      <w:color w:val="auto"/>
                      <w:sz w:val="21"/>
                      <w:szCs w:val="21"/>
                      <w:highlight w:val="none"/>
                      <w:lang w:val="en-US" w:eastAsia="zh-CN"/>
                    </w:rPr>
                    <w:t>53.5</w:t>
                  </w:r>
                </w:p>
              </w:tc>
              <w:tc>
                <w:tcPr>
                  <w:tcW w:w="778" w:type="pct"/>
                  <w:vAlign w:val="center"/>
                </w:tcPr>
                <w:p w14:paraId="4ECC004B">
                  <w:pPr>
                    <w:adjustRightInd w:val="0"/>
                    <w:snapToGrid w:val="0"/>
                    <w:spacing w:before="72" w:beforeLines="30"/>
                    <w:jc w:val="center"/>
                    <w:rPr>
                      <w:rFonts w:hint="default" w:eastAsia="宋体"/>
                      <w:color w:val="auto"/>
                      <w:sz w:val="21"/>
                      <w:szCs w:val="21"/>
                      <w:highlight w:val="none"/>
                      <w:lang w:val="en-US" w:eastAsia="zh-CN"/>
                    </w:rPr>
                  </w:pPr>
                  <w:r>
                    <w:rPr>
                      <w:rFonts w:hint="eastAsia" w:eastAsia="黑体"/>
                      <w:color w:val="auto"/>
                      <w:sz w:val="21"/>
                      <w:szCs w:val="21"/>
                      <w:highlight w:val="none"/>
                      <w:lang w:val="en-US" w:eastAsia="zh-CN"/>
                    </w:rPr>
                    <w:t>53.1</w:t>
                  </w:r>
                </w:p>
              </w:tc>
              <w:tc>
                <w:tcPr>
                  <w:tcW w:w="744" w:type="pct"/>
                  <w:vAlign w:val="center"/>
                </w:tcPr>
                <w:p w14:paraId="052E14AE">
                  <w:pPr>
                    <w:adjustRightInd w:val="0"/>
                    <w:snapToGrid w:val="0"/>
                    <w:spacing w:before="72" w:beforeLines="30"/>
                    <w:jc w:val="center"/>
                    <w:rPr>
                      <w:rFonts w:hint="eastAsia" w:eastAsia="黑体"/>
                      <w:color w:val="auto"/>
                      <w:sz w:val="21"/>
                      <w:szCs w:val="21"/>
                      <w:highlight w:val="none"/>
                      <w:lang w:val="en-US" w:eastAsia="zh-CN"/>
                    </w:rPr>
                  </w:pPr>
                  <w:r>
                    <w:rPr>
                      <w:rFonts w:eastAsia="黑体"/>
                      <w:color w:val="auto"/>
                      <w:sz w:val="21"/>
                      <w:szCs w:val="21"/>
                      <w:highlight w:val="none"/>
                    </w:rPr>
                    <w:t>6</w:t>
                  </w:r>
                  <w:r>
                    <w:rPr>
                      <w:rFonts w:hint="eastAsia" w:eastAsia="黑体"/>
                      <w:color w:val="auto"/>
                      <w:sz w:val="21"/>
                      <w:szCs w:val="21"/>
                      <w:highlight w:val="none"/>
                      <w:lang w:val="en-US" w:eastAsia="zh-CN"/>
                    </w:rPr>
                    <w:t>5</w:t>
                  </w:r>
                </w:p>
              </w:tc>
              <w:tc>
                <w:tcPr>
                  <w:tcW w:w="793" w:type="pct"/>
                  <w:vAlign w:val="center"/>
                </w:tcPr>
                <w:p w14:paraId="08B99C09">
                  <w:pPr>
                    <w:adjustRightInd w:val="0"/>
                    <w:snapToGrid w:val="0"/>
                    <w:spacing w:before="72" w:beforeLines="3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704" w:type="pct"/>
                  <w:vAlign w:val="center"/>
                </w:tcPr>
                <w:p w14:paraId="67E20E79">
                  <w:pPr>
                    <w:adjustRightInd w:val="0"/>
                    <w:snapToGrid w:val="0"/>
                    <w:jc w:val="center"/>
                    <w:rPr>
                      <w:color w:val="auto"/>
                      <w:sz w:val="21"/>
                      <w:szCs w:val="21"/>
                      <w:highlight w:val="none"/>
                    </w:rPr>
                  </w:pPr>
                  <w:r>
                    <w:rPr>
                      <w:color w:val="auto"/>
                      <w:sz w:val="21"/>
                      <w:szCs w:val="21"/>
                      <w:highlight w:val="none"/>
                    </w:rPr>
                    <w:t>达标</w:t>
                  </w:r>
                </w:p>
              </w:tc>
            </w:tr>
            <w:tr w14:paraId="740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pct"/>
                  <w:vAlign w:val="center"/>
                </w:tcPr>
                <w:p w14:paraId="52878ABF">
                  <w:pPr>
                    <w:adjustRightInd w:val="0"/>
                    <w:snapToGrid w:val="0"/>
                    <w:jc w:val="center"/>
                    <w:rPr>
                      <w:rFonts w:hint="eastAsia" w:eastAsia="宋体"/>
                      <w:color w:val="auto"/>
                      <w:sz w:val="21"/>
                      <w:szCs w:val="21"/>
                      <w:highlight w:val="none"/>
                      <w:lang w:val="en-US" w:eastAsia="zh-CN"/>
                    </w:rPr>
                  </w:pPr>
                  <w:r>
                    <w:rPr>
                      <w:color w:val="auto"/>
                      <w:sz w:val="21"/>
                      <w:szCs w:val="21"/>
                      <w:highlight w:val="none"/>
                    </w:rPr>
                    <w:t>厂界南侧</w:t>
                  </w:r>
                </w:p>
              </w:tc>
              <w:tc>
                <w:tcPr>
                  <w:tcW w:w="715" w:type="pct"/>
                  <w:vAlign w:val="center"/>
                </w:tcPr>
                <w:p w14:paraId="1BBDF467">
                  <w:pPr>
                    <w:spacing w:line="320" w:lineRule="atLeast"/>
                    <w:jc w:val="center"/>
                    <w:rPr>
                      <w:rFonts w:hint="default" w:eastAsia="黑体"/>
                      <w:bCs/>
                      <w:color w:val="auto"/>
                      <w:sz w:val="21"/>
                      <w:szCs w:val="21"/>
                      <w:highlight w:val="none"/>
                      <w:lang w:val="en-US" w:eastAsia="zh-CN"/>
                    </w:rPr>
                  </w:pPr>
                  <w:r>
                    <w:rPr>
                      <w:rFonts w:hint="eastAsia" w:eastAsia="黑体"/>
                      <w:bCs/>
                      <w:color w:val="auto"/>
                      <w:sz w:val="21"/>
                      <w:szCs w:val="21"/>
                      <w:highlight w:val="none"/>
                      <w:lang w:val="en-US" w:eastAsia="zh-CN"/>
                    </w:rPr>
                    <w:t>51.7</w:t>
                  </w:r>
                </w:p>
              </w:tc>
              <w:tc>
                <w:tcPr>
                  <w:tcW w:w="778" w:type="pct"/>
                  <w:vAlign w:val="center"/>
                </w:tcPr>
                <w:p w14:paraId="77BFAA22">
                  <w:pPr>
                    <w:adjustRightInd w:val="0"/>
                    <w:snapToGrid w:val="0"/>
                    <w:spacing w:before="72" w:beforeLines="30"/>
                    <w:jc w:val="center"/>
                    <w:rPr>
                      <w:rFonts w:hint="default" w:eastAsia="宋体"/>
                      <w:color w:val="auto"/>
                      <w:sz w:val="21"/>
                      <w:szCs w:val="21"/>
                      <w:highlight w:val="none"/>
                      <w:lang w:val="en-US" w:eastAsia="zh-CN"/>
                    </w:rPr>
                  </w:pPr>
                  <w:r>
                    <w:rPr>
                      <w:rFonts w:hint="eastAsia" w:eastAsia="黑体"/>
                      <w:color w:val="auto"/>
                      <w:sz w:val="21"/>
                      <w:szCs w:val="21"/>
                      <w:highlight w:val="none"/>
                      <w:lang w:val="en-US" w:eastAsia="zh-CN"/>
                    </w:rPr>
                    <w:t>50.5</w:t>
                  </w:r>
                </w:p>
              </w:tc>
              <w:tc>
                <w:tcPr>
                  <w:tcW w:w="744" w:type="pct"/>
                  <w:vAlign w:val="center"/>
                </w:tcPr>
                <w:p w14:paraId="6C0A7B8F">
                  <w:pPr>
                    <w:adjustRightInd w:val="0"/>
                    <w:snapToGrid w:val="0"/>
                    <w:spacing w:before="72" w:beforeLines="30"/>
                    <w:jc w:val="center"/>
                    <w:rPr>
                      <w:color w:val="auto"/>
                      <w:sz w:val="21"/>
                      <w:szCs w:val="21"/>
                      <w:highlight w:val="none"/>
                    </w:rPr>
                  </w:pPr>
                  <w:r>
                    <w:rPr>
                      <w:rFonts w:eastAsia="黑体"/>
                      <w:color w:val="auto"/>
                      <w:sz w:val="21"/>
                      <w:szCs w:val="21"/>
                      <w:highlight w:val="none"/>
                    </w:rPr>
                    <w:t>6</w:t>
                  </w:r>
                  <w:r>
                    <w:rPr>
                      <w:rFonts w:hint="eastAsia" w:eastAsia="黑体"/>
                      <w:color w:val="auto"/>
                      <w:sz w:val="21"/>
                      <w:szCs w:val="21"/>
                      <w:highlight w:val="none"/>
                      <w:lang w:val="en-US" w:eastAsia="zh-CN"/>
                    </w:rPr>
                    <w:t>5</w:t>
                  </w:r>
                </w:p>
              </w:tc>
              <w:tc>
                <w:tcPr>
                  <w:tcW w:w="793" w:type="pct"/>
                  <w:vAlign w:val="center"/>
                </w:tcPr>
                <w:p w14:paraId="083713D1">
                  <w:pPr>
                    <w:adjustRightInd w:val="0"/>
                    <w:snapToGrid w:val="0"/>
                    <w:spacing w:before="72" w:beforeLines="30"/>
                    <w:jc w:val="center"/>
                    <w:rPr>
                      <w:color w:val="auto"/>
                      <w:sz w:val="21"/>
                      <w:szCs w:val="21"/>
                      <w:highlight w:val="none"/>
                    </w:rPr>
                  </w:pPr>
                  <w:r>
                    <w:rPr>
                      <w:rFonts w:hint="eastAsia"/>
                      <w:color w:val="auto"/>
                      <w:sz w:val="21"/>
                      <w:szCs w:val="21"/>
                      <w:highlight w:val="none"/>
                      <w:lang w:val="en-US" w:eastAsia="zh-CN"/>
                    </w:rPr>
                    <w:t>55</w:t>
                  </w:r>
                </w:p>
              </w:tc>
              <w:tc>
                <w:tcPr>
                  <w:tcW w:w="704" w:type="pct"/>
                  <w:vAlign w:val="center"/>
                </w:tcPr>
                <w:p w14:paraId="3DFE353D">
                  <w:pPr>
                    <w:adjustRightInd w:val="0"/>
                    <w:snapToGrid w:val="0"/>
                    <w:jc w:val="center"/>
                    <w:rPr>
                      <w:color w:val="auto"/>
                      <w:sz w:val="21"/>
                      <w:szCs w:val="21"/>
                      <w:highlight w:val="none"/>
                    </w:rPr>
                  </w:pPr>
                  <w:r>
                    <w:rPr>
                      <w:color w:val="auto"/>
                      <w:sz w:val="21"/>
                      <w:szCs w:val="21"/>
                      <w:highlight w:val="none"/>
                    </w:rPr>
                    <w:t>达标</w:t>
                  </w:r>
                </w:p>
              </w:tc>
            </w:tr>
            <w:tr w14:paraId="3463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pct"/>
                  <w:vAlign w:val="center"/>
                </w:tcPr>
                <w:p w14:paraId="51AB332F">
                  <w:pPr>
                    <w:adjustRightInd w:val="0"/>
                    <w:snapToGrid w:val="0"/>
                    <w:jc w:val="center"/>
                    <w:rPr>
                      <w:color w:val="auto"/>
                      <w:sz w:val="21"/>
                      <w:szCs w:val="21"/>
                      <w:highlight w:val="none"/>
                    </w:rPr>
                  </w:pPr>
                  <w:r>
                    <w:rPr>
                      <w:color w:val="auto"/>
                      <w:sz w:val="21"/>
                      <w:szCs w:val="21"/>
                      <w:highlight w:val="none"/>
                    </w:rPr>
                    <w:t>厂界西侧</w:t>
                  </w:r>
                </w:p>
              </w:tc>
              <w:tc>
                <w:tcPr>
                  <w:tcW w:w="715" w:type="pct"/>
                  <w:vAlign w:val="center"/>
                </w:tcPr>
                <w:p w14:paraId="2FE52BA1">
                  <w:pPr>
                    <w:spacing w:line="320" w:lineRule="atLeast"/>
                    <w:jc w:val="center"/>
                    <w:rPr>
                      <w:rFonts w:hint="default" w:eastAsia="黑体"/>
                      <w:bCs/>
                      <w:color w:val="auto"/>
                      <w:sz w:val="21"/>
                      <w:szCs w:val="21"/>
                      <w:highlight w:val="none"/>
                      <w:lang w:val="en-US" w:eastAsia="zh-CN"/>
                    </w:rPr>
                  </w:pPr>
                  <w:r>
                    <w:rPr>
                      <w:rFonts w:hint="eastAsia" w:eastAsia="黑体"/>
                      <w:bCs/>
                      <w:color w:val="auto"/>
                      <w:sz w:val="21"/>
                      <w:szCs w:val="21"/>
                      <w:highlight w:val="none"/>
                      <w:lang w:val="en-US" w:eastAsia="zh-CN"/>
                    </w:rPr>
                    <w:t>52.3</w:t>
                  </w:r>
                </w:p>
              </w:tc>
              <w:tc>
                <w:tcPr>
                  <w:tcW w:w="778" w:type="pct"/>
                  <w:vAlign w:val="center"/>
                </w:tcPr>
                <w:p w14:paraId="29634FA4">
                  <w:pPr>
                    <w:adjustRightInd w:val="0"/>
                    <w:snapToGrid w:val="0"/>
                    <w:spacing w:before="72" w:beforeLines="30"/>
                    <w:jc w:val="center"/>
                    <w:rPr>
                      <w:rFonts w:hint="default" w:eastAsia="宋体"/>
                      <w:color w:val="auto"/>
                      <w:sz w:val="21"/>
                      <w:szCs w:val="21"/>
                      <w:highlight w:val="none"/>
                      <w:lang w:val="en-US" w:eastAsia="zh-CN"/>
                    </w:rPr>
                  </w:pPr>
                  <w:r>
                    <w:rPr>
                      <w:rFonts w:hint="eastAsia" w:eastAsia="黑体"/>
                      <w:color w:val="auto"/>
                      <w:sz w:val="21"/>
                      <w:szCs w:val="21"/>
                      <w:highlight w:val="none"/>
                      <w:lang w:val="en-US" w:eastAsia="zh-CN"/>
                    </w:rPr>
                    <w:t>52.1</w:t>
                  </w:r>
                </w:p>
              </w:tc>
              <w:tc>
                <w:tcPr>
                  <w:tcW w:w="744" w:type="pct"/>
                  <w:vAlign w:val="center"/>
                </w:tcPr>
                <w:p w14:paraId="05F459E5">
                  <w:pPr>
                    <w:adjustRightInd w:val="0"/>
                    <w:snapToGrid w:val="0"/>
                    <w:spacing w:before="72" w:beforeLines="30"/>
                    <w:jc w:val="center"/>
                    <w:rPr>
                      <w:color w:val="auto"/>
                      <w:sz w:val="21"/>
                      <w:szCs w:val="21"/>
                      <w:highlight w:val="none"/>
                    </w:rPr>
                  </w:pPr>
                  <w:r>
                    <w:rPr>
                      <w:rFonts w:eastAsia="黑体"/>
                      <w:color w:val="auto"/>
                      <w:sz w:val="21"/>
                      <w:szCs w:val="21"/>
                      <w:highlight w:val="none"/>
                    </w:rPr>
                    <w:t>6</w:t>
                  </w:r>
                  <w:r>
                    <w:rPr>
                      <w:rFonts w:hint="eastAsia" w:eastAsia="黑体"/>
                      <w:color w:val="auto"/>
                      <w:sz w:val="21"/>
                      <w:szCs w:val="21"/>
                      <w:highlight w:val="none"/>
                      <w:lang w:val="en-US" w:eastAsia="zh-CN"/>
                    </w:rPr>
                    <w:t>5</w:t>
                  </w:r>
                </w:p>
              </w:tc>
              <w:tc>
                <w:tcPr>
                  <w:tcW w:w="793" w:type="pct"/>
                  <w:vAlign w:val="center"/>
                </w:tcPr>
                <w:p w14:paraId="0B125EBF">
                  <w:pPr>
                    <w:adjustRightInd w:val="0"/>
                    <w:snapToGrid w:val="0"/>
                    <w:spacing w:before="72" w:beforeLines="30"/>
                    <w:jc w:val="center"/>
                    <w:rPr>
                      <w:color w:val="auto"/>
                      <w:sz w:val="21"/>
                      <w:szCs w:val="21"/>
                      <w:highlight w:val="none"/>
                    </w:rPr>
                  </w:pPr>
                  <w:r>
                    <w:rPr>
                      <w:rFonts w:hint="eastAsia"/>
                      <w:color w:val="auto"/>
                      <w:sz w:val="21"/>
                      <w:szCs w:val="21"/>
                      <w:highlight w:val="none"/>
                      <w:lang w:val="en-US" w:eastAsia="zh-CN"/>
                    </w:rPr>
                    <w:t>55</w:t>
                  </w:r>
                </w:p>
              </w:tc>
              <w:tc>
                <w:tcPr>
                  <w:tcW w:w="704" w:type="pct"/>
                  <w:vAlign w:val="center"/>
                </w:tcPr>
                <w:p w14:paraId="67B1DA4A">
                  <w:pPr>
                    <w:adjustRightInd w:val="0"/>
                    <w:snapToGrid w:val="0"/>
                    <w:jc w:val="center"/>
                    <w:rPr>
                      <w:color w:val="auto"/>
                      <w:sz w:val="21"/>
                      <w:szCs w:val="21"/>
                      <w:highlight w:val="none"/>
                    </w:rPr>
                  </w:pPr>
                  <w:r>
                    <w:rPr>
                      <w:color w:val="auto"/>
                      <w:sz w:val="21"/>
                      <w:szCs w:val="21"/>
                      <w:highlight w:val="none"/>
                    </w:rPr>
                    <w:t>达标</w:t>
                  </w:r>
                </w:p>
              </w:tc>
            </w:tr>
            <w:tr w14:paraId="3D49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pct"/>
                  <w:vAlign w:val="center"/>
                </w:tcPr>
                <w:p w14:paraId="31BF5FE1">
                  <w:pPr>
                    <w:adjustRightInd w:val="0"/>
                    <w:snapToGrid w:val="0"/>
                    <w:jc w:val="center"/>
                    <w:rPr>
                      <w:color w:val="auto"/>
                      <w:sz w:val="21"/>
                      <w:szCs w:val="21"/>
                      <w:highlight w:val="none"/>
                    </w:rPr>
                  </w:pPr>
                  <w:r>
                    <w:rPr>
                      <w:color w:val="auto"/>
                      <w:sz w:val="21"/>
                      <w:szCs w:val="21"/>
                      <w:highlight w:val="none"/>
                    </w:rPr>
                    <w:t>厂界北侧</w:t>
                  </w:r>
                </w:p>
              </w:tc>
              <w:tc>
                <w:tcPr>
                  <w:tcW w:w="715" w:type="pct"/>
                  <w:vAlign w:val="center"/>
                </w:tcPr>
                <w:p w14:paraId="31B00769">
                  <w:pPr>
                    <w:spacing w:line="320" w:lineRule="atLeast"/>
                    <w:jc w:val="center"/>
                    <w:rPr>
                      <w:rFonts w:hint="default" w:eastAsia="黑体"/>
                      <w:bCs/>
                      <w:color w:val="auto"/>
                      <w:sz w:val="21"/>
                      <w:szCs w:val="21"/>
                      <w:highlight w:val="none"/>
                      <w:lang w:val="en-US" w:eastAsia="zh-CN"/>
                    </w:rPr>
                  </w:pPr>
                  <w:r>
                    <w:rPr>
                      <w:rFonts w:hint="eastAsia" w:eastAsia="黑体"/>
                      <w:bCs/>
                      <w:color w:val="auto"/>
                      <w:sz w:val="21"/>
                      <w:szCs w:val="21"/>
                      <w:highlight w:val="none"/>
                      <w:lang w:val="en-US" w:eastAsia="zh-CN"/>
                    </w:rPr>
                    <w:t>50.4</w:t>
                  </w:r>
                </w:p>
              </w:tc>
              <w:tc>
                <w:tcPr>
                  <w:tcW w:w="778" w:type="pct"/>
                  <w:vAlign w:val="center"/>
                </w:tcPr>
                <w:p w14:paraId="2F24A536">
                  <w:pPr>
                    <w:adjustRightInd w:val="0"/>
                    <w:snapToGrid w:val="0"/>
                    <w:spacing w:before="72" w:beforeLines="30"/>
                    <w:jc w:val="center"/>
                    <w:rPr>
                      <w:rFonts w:hint="default" w:eastAsia="宋体"/>
                      <w:color w:val="auto"/>
                      <w:sz w:val="21"/>
                      <w:szCs w:val="21"/>
                      <w:highlight w:val="none"/>
                      <w:lang w:val="en-US" w:eastAsia="zh-CN"/>
                    </w:rPr>
                  </w:pPr>
                  <w:r>
                    <w:rPr>
                      <w:rFonts w:hint="eastAsia" w:eastAsia="黑体"/>
                      <w:color w:val="auto"/>
                      <w:sz w:val="21"/>
                      <w:szCs w:val="21"/>
                      <w:highlight w:val="none"/>
                      <w:lang w:val="en-US" w:eastAsia="zh-CN"/>
                    </w:rPr>
                    <w:t>50.1</w:t>
                  </w:r>
                </w:p>
              </w:tc>
              <w:tc>
                <w:tcPr>
                  <w:tcW w:w="744" w:type="pct"/>
                  <w:vAlign w:val="center"/>
                </w:tcPr>
                <w:p w14:paraId="41CC1456">
                  <w:pPr>
                    <w:adjustRightInd w:val="0"/>
                    <w:snapToGrid w:val="0"/>
                    <w:spacing w:before="72" w:beforeLines="30"/>
                    <w:jc w:val="center"/>
                    <w:rPr>
                      <w:color w:val="auto"/>
                      <w:sz w:val="21"/>
                      <w:szCs w:val="21"/>
                      <w:highlight w:val="none"/>
                    </w:rPr>
                  </w:pPr>
                  <w:r>
                    <w:rPr>
                      <w:rFonts w:eastAsia="黑体"/>
                      <w:color w:val="auto"/>
                      <w:sz w:val="21"/>
                      <w:szCs w:val="21"/>
                      <w:highlight w:val="none"/>
                    </w:rPr>
                    <w:t>6</w:t>
                  </w:r>
                  <w:r>
                    <w:rPr>
                      <w:rFonts w:hint="eastAsia" w:eastAsia="黑体"/>
                      <w:color w:val="auto"/>
                      <w:sz w:val="21"/>
                      <w:szCs w:val="21"/>
                      <w:highlight w:val="none"/>
                      <w:lang w:val="en-US" w:eastAsia="zh-CN"/>
                    </w:rPr>
                    <w:t>5</w:t>
                  </w:r>
                </w:p>
              </w:tc>
              <w:tc>
                <w:tcPr>
                  <w:tcW w:w="793" w:type="pct"/>
                  <w:vAlign w:val="center"/>
                </w:tcPr>
                <w:p w14:paraId="32D1D8BA">
                  <w:pPr>
                    <w:adjustRightInd w:val="0"/>
                    <w:snapToGrid w:val="0"/>
                    <w:spacing w:before="72" w:beforeLines="30"/>
                    <w:jc w:val="center"/>
                    <w:rPr>
                      <w:color w:val="auto"/>
                      <w:sz w:val="21"/>
                      <w:szCs w:val="21"/>
                      <w:highlight w:val="none"/>
                    </w:rPr>
                  </w:pPr>
                  <w:r>
                    <w:rPr>
                      <w:rFonts w:hint="eastAsia"/>
                      <w:color w:val="auto"/>
                      <w:sz w:val="21"/>
                      <w:szCs w:val="21"/>
                      <w:highlight w:val="none"/>
                      <w:lang w:val="en-US" w:eastAsia="zh-CN"/>
                    </w:rPr>
                    <w:t>55</w:t>
                  </w:r>
                </w:p>
              </w:tc>
              <w:tc>
                <w:tcPr>
                  <w:tcW w:w="704" w:type="pct"/>
                  <w:vAlign w:val="center"/>
                </w:tcPr>
                <w:p w14:paraId="2406F003">
                  <w:pPr>
                    <w:adjustRightInd w:val="0"/>
                    <w:snapToGrid w:val="0"/>
                    <w:jc w:val="center"/>
                    <w:rPr>
                      <w:color w:val="auto"/>
                      <w:sz w:val="21"/>
                      <w:szCs w:val="21"/>
                      <w:highlight w:val="none"/>
                    </w:rPr>
                  </w:pPr>
                  <w:r>
                    <w:rPr>
                      <w:color w:val="auto"/>
                      <w:sz w:val="21"/>
                      <w:szCs w:val="21"/>
                      <w:highlight w:val="none"/>
                    </w:rPr>
                    <w:t>达标</w:t>
                  </w:r>
                </w:p>
              </w:tc>
            </w:tr>
          </w:tbl>
          <w:p w14:paraId="423865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bCs/>
                <w:color w:val="auto"/>
                <w:highlight w:val="none"/>
              </w:rPr>
              <w:t>根据预测结果可知，经</w:t>
            </w:r>
            <w:r>
              <w:rPr>
                <w:rFonts w:hint="eastAsia"/>
                <w:bCs/>
                <w:color w:val="auto"/>
                <w:highlight w:val="none"/>
                <w:lang w:val="en-US" w:eastAsia="zh-CN"/>
              </w:rPr>
              <w:t>隔声，减振、消声</w:t>
            </w:r>
            <w:r>
              <w:rPr>
                <w:bCs/>
                <w:color w:val="auto"/>
                <w:highlight w:val="none"/>
              </w:rPr>
              <w:t>等措施后，</w:t>
            </w:r>
            <w:r>
              <w:rPr>
                <w:rFonts w:hint="eastAsia"/>
                <w:bCs/>
                <w:color w:val="auto"/>
                <w:highlight w:val="none"/>
                <w:lang w:val="en-US" w:eastAsia="zh-CN"/>
              </w:rPr>
              <w:t>经自然衰减后，</w:t>
            </w:r>
            <w:r>
              <w:rPr>
                <w:bCs/>
                <w:color w:val="auto"/>
                <w:highlight w:val="none"/>
              </w:rPr>
              <w:t>项目四周厂界</w:t>
            </w:r>
            <w:r>
              <w:rPr>
                <w:rFonts w:hint="eastAsia"/>
                <w:bCs/>
                <w:color w:val="auto"/>
                <w:highlight w:val="none"/>
                <w:lang w:val="en-US" w:eastAsia="zh-CN"/>
              </w:rPr>
              <w:t>噪声值</w:t>
            </w:r>
            <w:r>
              <w:rPr>
                <w:bCs/>
                <w:color w:val="auto"/>
                <w:highlight w:val="none"/>
              </w:rPr>
              <w:t>均满足《工业企业厂界环境噪声排放标准》（GB12348-2008）中</w:t>
            </w:r>
            <w:r>
              <w:rPr>
                <w:rFonts w:hint="eastAsia"/>
                <w:bCs/>
                <w:color w:val="auto"/>
                <w:highlight w:val="none"/>
                <w:lang w:val="en-US" w:eastAsia="zh-CN"/>
              </w:rPr>
              <w:t>3</w:t>
            </w:r>
            <w:r>
              <w:rPr>
                <w:bCs/>
                <w:color w:val="auto"/>
                <w:highlight w:val="none"/>
              </w:rPr>
              <w:t>类标准要求</w:t>
            </w:r>
            <w:r>
              <w:rPr>
                <w:rFonts w:hint="eastAsia"/>
                <w:bCs/>
                <w:color w:val="auto"/>
                <w:highlight w:val="none"/>
              </w:rPr>
              <w:t>，</w:t>
            </w:r>
            <w:r>
              <w:rPr>
                <w:bCs/>
                <w:color w:val="auto"/>
                <w:highlight w:val="none"/>
              </w:rPr>
              <w:t>不会对周围声环境造成明显影响。</w:t>
            </w:r>
          </w:p>
          <w:p w14:paraId="54EE689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highlight w:val="none"/>
              </w:rPr>
            </w:pPr>
            <w:r>
              <w:rPr>
                <w:b/>
                <w:color w:val="auto"/>
                <w:highlight w:val="none"/>
              </w:rPr>
              <w:t>3、噪声降噪具体措施</w:t>
            </w:r>
          </w:p>
          <w:p w14:paraId="487CF5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bCs/>
                <w:color w:val="auto"/>
                <w:highlight w:val="none"/>
              </w:rPr>
              <w:t>本项目生产设备在运行期间均会产生噪声，建设单位采取以下措施来减轻生产设备运行噪声的环境影响。</w:t>
            </w:r>
          </w:p>
          <w:p w14:paraId="46EB46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bCs/>
                <w:color w:val="auto"/>
                <w:highlight w:val="none"/>
              </w:rPr>
              <w:t>（1）选用低噪声设备或带隔声、消声的设备，从源头减少噪声的产生。</w:t>
            </w:r>
          </w:p>
          <w:p w14:paraId="3714B2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bCs/>
                <w:color w:val="auto"/>
                <w:highlight w:val="none"/>
              </w:rPr>
              <w:t>（2）合理布局设备位置，使高强度的噪声设备远离项目边界及环境敏感点。</w:t>
            </w:r>
          </w:p>
          <w:p w14:paraId="511402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bCs/>
                <w:color w:val="auto"/>
                <w:highlight w:val="none"/>
              </w:rPr>
              <w:t>（</w:t>
            </w:r>
            <w:r>
              <w:rPr>
                <w:rFonts w:hint="eastAsia"/>
                <w:bCs/>
                <w:color w:val="auto"/>
                <w:highlight w:val="none"/>
                <w:lang w:val="en-US" w:eastAsia="zh-CN"/>
              </w:rPr>
              <w:t>3</w:t>
            </w:r>
            <w:r>
              <w:rPr>
                <w:bCs/>
                <w:color w:val="auto"/>
                <w:highlight w:val="none"/>
              </w:rPr>
              <w:t>）对噪声值高的设备采取减振、消声、隔声等措施降低噪声值。</w:t>
            </w:r>
          </w:p>
          <w:p w14:paraId="673727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highlight w:val="none"/>
              </w:rPr>
            </w:pPr>
            <w:r>
              <w:rPr>
                <w:bCs/>
                <w:color w:val="auto"/>
                <w:highlight w:val="none"/>
              </w:rPr>
              <w:t>（</w:t>
            </w:r>
            <w:r>
              <w:rPr>
                <w:rFonts w:hint="eastAsia"/>
                <w:bCs/>
                <w:color w:val="auto"/>
                <w:highlight w:val="none"/>
                <w:lang w:val="en-US" w:eastAsia="zh-CN"/>
              </w:rPr>
              <w:t>4</w:t>
            </w:r>
            <w:r>
              <w:rPr>
                <w:bCs/>
                <w:color w:val="auto"/>
                <w:highlight w:val="none"/>
              </w:rPr>
              <w:t>）定期对</w:t>
            </w:r>
            <w:r>
              <w:rPr>
                <w:rFonts w:hint="eastAsia"/>
                <w:bCs/>
                <w:color w:val="auto"/>
                <w:highlight w:val="none"/>
                <w:lang w:val="en-US" w:eastAsia="zh-CN"/>
              </w:rPr>
              <w:t>实验</w:t>
            </w:r>
            <w:r>
              <w:rPr>
                <w:bCs/>
                <w:color w:val="auto"/>
                <w:highlight w:val="none"/>
              </w:rPr>
              <w:t>设备进行保养，保证生产设备维持的良好使用状态，并严格遵守生产设备的操作规范。</w:t>
            </w:r>
          </w:p>
          <w:p w14:paraId="26D10C9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highlight w:val="none"/>
              </w:rPr>
            </w:pPr>
            <w:r>
              <w:rPr>
                <w:b/>
                <w:color w:val="auto"/>
                <w:highlight w:val="none"/>
              </w:rPr>
              <w:t>4、噪声监测计划</w:t>
            </w:r>
          </w:p>
          <w:p w14:paraId="6B6D235D">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highlight w:val="none"/>
              </w:rPr>
            </w:pPr>
            <w:r>
              <w:rPr>
                <w:bCs/>
                <w:color w:val="auto"/>
                <w:highlight w:val="none"/>
              </w:rPr>
              <w:t xml:space="preserve">根据《排污单位自行监测技术指南 </w:t>
            </w:r>
            <w:r>
              <w:rPr>
                <w:rFonts w:hint="eastAsia"/>
                <w:bCs/>
                <w:color w:val="auto"/>
                <w:highlight w:val="none"/>
                <w:lang w:val="en-US" w:eastAsia="zh-CN"/>
              </w:rPr>
              <w:t>工业噪声</w:t>
            </w:r>
            <w:r>
              <w:rPr>
                <w:bCs/>
                <w:color w:val="auto"/>
                <w:highlight w:val="none"/>
              </w:rPr>
              <w:t>》（HJ</w:t>
            </w:r>
            <w:r>
              <w:rPr>
                <w:rFonts w:hint="eastAsia"/>
                <w:bCs/>
                <w:color w:val="auto"/>
                <w:highlight w:val="none"/>
                <w:lang w:val="en-US" w:eastAsia="zh-CN"/>
              </w:rPr>
              <w:t>1301</w:t>
            </w:r>
            <w:r>
              <w:rPr>
                <w:bCs/>
                <w:color w:val="auto"/>
                <w:highlight w:val="none"/>
              </w:rPr>
              <w:t>-</w:t>
            </w:r>
            <w:r>
              <w:rPr>
                <w:rFonts w:hint="eastAsia"/>
                <w:bCs/>
                <w:color w:val="auto"/>
                <w:highlight w:val="none"/>
                <w:lang w:val="en-US" w:eastAsia="zh-CN"/>
              </w:rPr>
              <w:t>2023</w:t>
            </w:r>
            <w:r>
              <w:rPr>
                <w:bCs/>
                <w:color w:val="auto"/>
                <w:highlight w:val="none"/>
              </w:rPr>
              <w:t>），项目噪声监测计划如下所示。</w:t>
            </w:r>
          </w:p>
          <w:p w14:paraId="07DA0567">
            <w:pPr>
              <w:autoSpaceDE w:val="0"/>
              <w:autoSpaceDN w:val="0"/>
              <w:adjustRightInd w:val="0"/>
              <w:jc w:val="center"/>
              <w:rPr>
                <w:b/>
                <w:bCs/>
                <w:color w:val="auto"/>
                <w:kern w:val="0"/>
                <w:highlight w:val="none"/>
              </w:rPr>
            </w:pPr>
            <w:r>
              <w:rPr>
                <w:b/>
                <w:bCs/>
                <w:color w:val="auto"/>
                <w:kern w:val="0"/>
                <w:highlight w:val="none"/>
                <w:lang w:bidi="ar"/>
              </w:rPr>
              <w:t>表4</w:t>
            </w:r>
            <w:r>
              <w:rPr>
                <w:rFonts w:hint="eastAsia"/>
                <w:b/>
                <w:bCs/>
                <w:color w:val="auto"/>
                <w:kern w:val="0"/>
                <w:highlight w:val="none"/>
                <w:lang w:val="en-US" w:eastAsia="zh-CN" w:bidi="ar"/>
              </w:rPr>
              <w:t>-15</w:t>
            </w:r>
            <w:r>
              <w:rPr>
                <w:b/>
                <w:bCs/>
                <w:color w:val="auto"/>
                <w:kern w:val="0"/>
                <w:highlight w:val="none"/>
                <w:lang w:bidi="ar"/>
              </w:rPr>
              <w:t xml:space="preserve">  噪声监测计划表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1"/>
              <w:gridCol w:w="2887"/>
              <w:gridCol w:w="1880"/>
            </w:tblGrid>
            <w:tr w14:paraId="1C2D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381" w:type="dxa"/>
                  <w:vAlign w:val="center"/>
                </w:tcPr>
                <w:p w14:paraId="240181CF">
                  <w:pPr>
                    <w:spacing w:line="240" w:lineRule="auto"/>
                    <w:jc w:val="center"/>
                    <w:rPr>
                      <w:b/>
                      <w:bCs/>
                      <w:color w:val="auto"/>
                      <w:sz w:val="21"/>
                      <w:highlight w:val="none"/>
                    </w:rPr>
                  </w:pPr>
                  <w:r>
                    <w:rPr>
                      <w:b/>
                      <w:bCs/>
                      <w:color w:val="auto"/>
                      <w:sz w:val="21"/>
                      <w:highlight w:val="none"/>
                    </w:rPr>
                    <w:t>监测点位置</w:t>
                  </w:r>
                </w:p>
              </w:tc>
              <w:tc>
                <w:tcPr>
                  <w:tcW w:w="2887" w:type="dxa"/>
                  <w:vAlign w:val="center"/>
                </w:tcPr>
                <w:p w14:paraId="554AE663">
                  <w:pPr>
                    <w:spacing w:line="240" w:lineRule="auto"/>
                    <w:jc w:val="center"/>
                    <w:rPr>
                      <w:b/>
                      <w:bCs/>
                      <w:color w:val="auto"/>
                      <w:sz w:val="21"/>
                      <w:highlight w:val="none"/>
                    </w:rPr>
                  </w:pPr>
                  <w:r>
                    <w:rPr>
                      <w:b/>
                      <w:bCs/>
                      <w:color w:val="auto"/>
                      <w:sz w:val="21"/>
                      <w:highlight w:val="none"/>
                    </w:rPr>
                    <w:t>监测指标</w:t>
                  </w:r>
                </w:p>
              </w:tc>
              <w:tc>
                <w:tcPr>
                  <w:tcW w:w="1880" w:type="dxa"/>
                  <w:vAlign w:val="center"/>
                </w:tcPr>
                <w:p w14:paraId="530318FC">
                  <w:pPr>
                    <w:spacing w:line="240" w:lineRule="auto"/>
                    <w:jc w:val="center"/>
                    <w:rPr>
                      <w:b/>
                      <w:bCs/>
                      <w:color w:val="auto"/>
                      <w:sz w:val="21"/>
                      <w:highlight w:val="none"/>
                    </w:rPr>
                  </w:pPr>
                  <w:r>
                    <w:rPr>
                      <w:b/>
                      <w:bCs/>
                      <w:color w:val="auto"/>
                      <w:sz w:val="21"/>
                      <w:highlight w:val="none"/>
                    </w:rPr>
                    <w:t>监测频次</w:t>
                  </w:r>
                </w:p>
              </w:tc>
            </w:tr>
            <w:tr w14:paraId="3A11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1" w:type="dxa"/>
                  <w:vAlign w:val="center"/>
                </w:tcPr>
                <w:p w14:paraId="3F5BFA4F">
                  <w:pPr>
                    <w:spacing w:line="240" w:lineRule="auto"/>
                    <w:jc w:val="center"/>
                    <w:rPr>
                      <w:color w:val="auto"/>
                      <w:sz w:val="21"/>
                      <w:highlight w:val="none"/>
                    </w:rPr>
                  </w:pPr>
                  <w:r>
                    <w:rPr>
                      <w:color w:val="auto"/>
                      <w:sz w:val="21"/>
                      <w:highlight w:val="none"/>
                    </w:rPr>
                    <w:t>厂界四周各布设一个噪声监测点</w:t>
                  </w:r>
                </w:p>
              </w:tc>
              <w:tc>
                <w:tcPr>
                  <w:tcW w:w="2887" w:type="dxa"/>
                  <w:vAlign w:val="center"/>
                </w:tcPr>
                <w:p w14:paraId="0FA6A495">
                  <w:pPr>
                    <w:spacing w:line="240" w:lineRule="auto"/>
                    <w:jc w:val="center"/>
                    <w:rPr>
                      <w:rFonts w:hint="default" w:eastAsia="宋体"/>
                      <w:color w:val="auto"/>
                      <w:sz w:val="21"/>
                      <w:highlight w:val="none"/>
                      <w:lang w:val="en-US" w:eastAsia="zh-CN"/>
                    </w:rPr>
                  </w:pPr>
                  <w:r>
                    <w:rPr>
                      <w:color w:val="auto"/>
                      <w:sz w:val="21"/>
                      <w:highlight w:val="none"/>
                    </w:rPr>
                    <w:t>连续等效A声级</w:t>
                  </w:r>
                  <w:r>
                    <w:rPr>
                      <w:rFonts w:hint="eastAsia"/>
                      <w:color w:val="auto"/>
                      <w:sz w:val="21"/>
                      <w:highlight w:val="none"/>
                      <w:lang w:eastAsia="zh-CN"/>
                    </w:rPr>
                    <w:t>、</w:t>
                  </w:r>
                  <w:r>
                    <w:rPr>
                      <w:rFonts w:hint="eastAsia"/>
                      <w:color w:val="auto"/>
                      <w:sz w:val="21"/>
                      <w:highlight w:val="none"/>
                      <w:lang w:val="en-US" w:eastAsia="zh-CN"/>
                    </w:rPr>
                    <w:t>最大声级</w:t>
                  </w:r>
                </w:p>
              </w:tc>
              <w:tc>
                <w:tcPr>
                  <w:tcW w:w="1880" w:type="dxa"/>
                  <w:vAlign w:val="center"/>
                </w:tcPr>
                <w:p w14:paraId="3BBA953D">
                  <w:pPr>
                    <w:spacing w:line="240" w:lineRule="auto"/>
                    <w:jc w:val="center"/>
                    <w:rPr>
                      <w:color w:val="auto"/>
                      <w:sz w:val="21"/>
                      <w:highlight w:val="none"/>
                    </w:rPr>
                  </w:pPr>
                  <w:r>
                    <w:rPr>
                      <w:color w:val="auto"/>
                      <w:sz w:val="21"/>
                      <w:highlight w:val="none"/>
                    </w:rPr>
                    <w:t>每季一次</w:t>
                  </w:r>
                </w:p>
              </w:tc>
            </w:tr>
          </w:tbl>
          <w:p w14:paraId="08141703">
            <w:pPr>
              <w:adjustRightInd w:val="0"/>
              <w:snapToGrid w:val="0"/>
              <w:spacing w:before="120" w:beforeLines="50" w:line="360" w:lineRule="auto"/>
              <w:rPr>
                <w:color w:val="auto"/>
                <w:highlight w:val="none"/>
              </w:rPr>
            </w:pPr>
            <w:r>
              <w:rPr>
                <w:rFonts w:hint="eastAsia"/>
                <w:b/>
                <w:bCs/>
                <w:color w:val="auto"/>
                <w:highlight w:val="none"/>
                <w:lang w:val="en-US" w:eastAsia="zh-CN"/>
              </w:rPr>
              <w:t>四</w:t>
            </w:r>
            <w:r>
              <w:rPr>
                <w:rFonts w:hint="eastAsia"/>
                <w:b/>
                <w:bCs/>
                <w:color w:val="auto"/>
                <w:highlight w:val="none"/>
              </w:rPr>
              <w:t>、</w:t>
            </w:r>
            <w:r>
              <w:rPr>
                <w:b/>
                <w:bCs/>
                <w:color w:val="auto"/>
                <w:highlight w:val="none"/>
              </w:rPr>
              <w:t>固体废物</w:t>
            </w:r>
          </w:p>
          <w:p w14:paraId="5CABD098">
            <w:pPr>
              <w:adjustRightInd w:val="0"/>
              <w:snapToGrid w:val="0"/>
              <w:spacing w:line="360" w:lineRule="auto"/>
              <w:ind w:firstLine="480" w:firstLineChars="200"/>
              <w:rPr>
                <w:color w:val="auto"/>
                <w:highlight w:val="none"/>
              </w:rPr>
            </w:pPr>
            <w:r>
              <w:rPr>
                <w:color w:val="auto"/>
                <w:highlight w:val="none"/>
              </w:rPr>
              <w:t>项目运营期间的固体废物主要包括一般</w:t>
            </w:r>
            <w:r>
              <w:rPr>
                <w:rFonts w:hint="eastAsia"/>
                <w:color w:val="auto"/>
                <w:highlight w:val="none"/>
              </w:rPr>
              <w:t>工业</w:t>
            </w:r>
            <w:r>
              <w:rPr>
                <w:color w:val="auto"/>
                <w:highlight w:val="none"/>
              </w:rPr>
              <w:t>固废</w:t>
            </w:r>
            <w:r>
              <w:rPr>
                <w:rFonts w:hint="eastAsia"/>
                <w:color w:val="auto"/>
                <w:highlight w:val="none"/>
                <w:lang w:eastAsia="zh-CN"/>
              </w:rPr>
              <w:t>、</w:t>
            </w:r>
            <w:r>
              <w:rPr>
                <w:color w:val="auto"/>
                <w:highlight w:val="none"/>
              </w:rPr>
              <w:t>危险废物</w:t>
            </w:r>
            <w:r>
              <w:rPr>
                <w:rFonts w:hint="eastAsia"/>
                <w:color w:val="auto"/>
                <w:highlight w:val="none"/>
                <w:lang w:val="en-US" w:eastAsia="zh-CN"/>
              </w:rPr>
              <w:t>和</w:t>
            </w:r>
            <w:r>
              <w:rPr>
                <w:color w:val="auto"/>
                <w:highlight w:val="none"/>
              </w:rPr>
              <w:t>生活垃圾。</w:t>
            </w:r>
          </w:p>
          <w:p w14:paraId="4DAE92BD">
            <w:pPr>
              <w:pStyle w:val="48"/>
              <w:autoSpaceDE w:val="0"/>
              <w:spacing w:line="360" w:lineRule="auto"/>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不合格品及边角料：本项目使用塑料粒子原料共600t，不合格品及边角料已1%计，则产生量为6t。</w:t>
            </w:r>
            <w:r>
              <w:rPr>
                <w:rFonts w:hint="eastAsia" w:ascii="Times New Roman" w:hAnsi="Times New Roman" w:cs="Times New Roman"/>
                <w:color w:val="auto"/>
                <w:highlight w:val="none"/>
                <w:lang w:val="en-US" w:eastAsia="zh-CN"/>
              </w:rPr>
              <w:t>根据《固体废物分类与代码目录》，属于一般工业固废，废物代码为SW17可再生类废物900-00</w:t>
            </w: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-S17。厂家收集</w:t>
            </w:r>
            <w:r>
              <w:rPr>
                <w:rFonts w:hint="default" w:ascii="Times New Roman" w:hAnsi="Times New Roman" w:eastAsia="宋体" w:cs="Times New Roman"/>
                <w:color w:val="auto"/>
                <w:highlight w:val="none"/>
                <w:lang w:val="en-US" w:eastAsia="zh-CN"/>
              </w:rPr>
              <w:t>后暂存于一般固废暂存处，</w:t>
            </w:r>
            <w:r>
              <w:rPr>
                <w:rFonts w:hint="eastAsia" w:cs="Times New Roman"/>
                <w:color w:val="auto"/>
                <w:highlight w:val="none"/>
                <w:lang w:val="en-US" w:eastAsia="zh-CN"/>
              </w:rPr>
              <w:t>回用于生产</w:t>
            </w:r>
            <w:r>
              <w:rPr>
                <w:rFonts w:hint="default" w:ascii="Times New Roman" w:hAnsi="Times New Roman" w:eastAsia="宋体" w:cs="Times New Roman"/>
                <w:color w:val="auto"/>
                <w:highlight w:val="none"/>
                <w:lang w:val="en-US" w:eastAsia="zh-CN"/>
              </w:rPr>
              <w:t>。</w:t>
            </w:r>
          </w:p>
          <w:p w14:paraId="3F95245F">
            <w:pPr>
              <w:pStyle w:val="48"/>
              <w:autoSpaceDE w:val="0"/>
              <w:spacing w:line="360" w:lineRule="auto"/>
              <w:ind w:firstLine="480"/>
              <w:rPr>
                <w:rFonts w:ascii="Times New Roman" w:hAnsi="Times New Roman"/>
                <w:color w:val="auto"/>
                <w:kern w:val="0"/>
                <w:szCs w:val="24"/>
                <w:highlight w:val="none"/>
                <w:lang w:bidi="ar"/>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r>
              <w:rPr>
                <w:rFonts w:hint="eastAsia" w:ascii="Times New Roman" w:hAnsi="Times New Roman"/>
                <w:color w:val="auto"/>
                <w:kern w:val="0"/>
                <w:szCs w:val="24"/>
                <w:highlight w:val="none"/>
                <w:lang w:bidi="ar"/>
              </w:rPr>
              <w:t>危险废物</w:t>
            </w:r>
          </w:p>
          <w:p w14:paraId="77472369">
            <w:pPr>
              <w:pStyle w:val="48"/>
              <w:autoSpaceDE w:val="0"/>
              <w:adjustRightInd w:val="0"/>
              <w:snapToGrid w:val="0"/>
              <w:spacing w:line="360" w:lineRule="auto"/>
              <w:ind w:firstLine="480"/>
              <w:rPr>
                <w:color w:val="auto"/>
                <w:highlight w:val="none"/>
              </w:rPr>
            </w:pP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color w:val="auto"/>
                <w:highlight w:val="none"/>
              </w:rPr>
              <w:t>①</w:t>
            </w:r>
            <w:r>
              <w:rPr>
                <w:color w:val="auto"/>
                <w:highlight w:val="none"/>
              </w:rPr>
              <w:fldChar w:fldCharType="end"/>
            </w:r>
            <w:r>
              <w:rPr>
                <w:rFonts w:hint="eastAsia"/>
                <w:color w:val="auto"/>
                <w:highlight w:val="none"/>
                <w:lang w:val="en-US" w:eastAsia="zh-CN" w:bidi="ar"/>
              </w:rPr>
              <w:t>废漆渣：</w:t>
            </w:r>
            <w:r>
              <w:rPr>
                <w:rFonts w:hint="eastAsia" w:cs="Times New Roman"/>
                <w:bCs/>
                <w:color w:val="auto"/>
                <w:sz w:val="24"/>
                <w:highlight w:val="none"/>
                <w:lang w:val="en-US" w:eastAsia="zh-CN"/>
              </w:rPr>
              <w:t>根据前文计算，漆渣产生量为0.07t/a</w:t>
            </w:r>
            <w:r>
              <w:rPr>
                <w:rFonts w:hint="eastAsia" w:ascii="Times New Roman" w:hAnsi="Times New Roman" w:eastAsia="宋体" w:cs="Times New Roman"/>
                <w:bCs/>
                <w:color w:val="auto"/>
                <w:sz w:val="24"/>
                <w:szCs w:val="24"/>
                <w:highlight w:val="none"/>
                <w:lang w:eastAsia="zh-CN"/>
              </w:rPr>
              <w:t>，</w:t>
            </w:r>
            <w:r>
              <w:rPr>
                <w:rFonts w:hint="eastAsia"/>
                <w:color w:val="auto"/>
                <w:highlight w:val="none"/>
              </w:rPr>
              <w:t>收集后</w:t>
            </w:r>
            <w:r>
              <w:rPr>
                <w:rFonts w:hint="eastAsia"/>
                <w:color w:val="auto"/>
                <w:highlight w:val="none"/>
                <w:lang w:val="en-US" w:eastAsia="zh-CN"/>
              </w:rPr>
              <w:t>暂存在厂区危险废物暂存间，</w:t>
            </w:r>
            <w:r>
              <w:rPr>
                <w:rFonts w:hint="eastAsia"/>
                <w:color w:val="auto"/>
                <w:highlight w:val="none"/>
              </w:rPr>
              <w:t>委托有危废处置资质的单位处置</w:t>
            </w:r>
            <w:r>
              <w:rPr>
                <w:rFonts w:ascii="Times New Roman" w:hAnsi="Times New Roman"/>
                <w:bCs/>
                <w:color w:val="auto"/>
                <w:szCs w:val="24"/>
                <w:highlight w:val="none"/>
              </w:rPr>
              <w:t>。</w:t>
            </w:r>
            <w:r>
              <w:rPr>
                <w:rFonts w:hint="eastAsia"/>
                <w:color w:val="auto"/>
                <w:highlight w:val="none"/>
              </w:rPr>
              <w:t>根据《国家危险废物名录》（20</w:t>
            </w:r>
            <w:r>
              <w:rPr>
                <w:rFonts w:hint="eastAsia"/>
                <w:color w:val="auto"/>
                <w:highlight w:val="none"/>
                <w:lang w:val="en-US" w:eastAsia="zh-CN"/>
              </w:rPr>
              <w:t>25</w:t>
            </w:r>
            <w:r>
              <w:rPr>
                <w:rFonts w:hint="eastAsia"/>
                <w:color w:val="auto"/>
                <w:highlight w:val="none"/>
              </w:rPr>
              <w:t>年版）</w:t>
            </w:r>
            <w:r>
              <w:rPr>
                <w:rFonts w:hint="eastAsia"/>
                <w:color w:val="auto"/>
                <w:highlight w:val="none"/>
                <w:lang w:eastAsia="zh-CN"/>
              </w:rPr>
              <w:t>，</w:t>
            </w:r>
            <w:r>
              <w:rPr>
                <w:rFonts w:hint="eastAsia"/>
                <w:color w:val="auto"/>
                <w:highlight w:val="none"/>
              </w:rPr>
              <w:t>废物类别HW</w:t>
            </w:r>
            <w:r>
              <w:rPr>
                <w:rFonts w:hint="eastAsia"/>
                <w:color w:val="auto"/>
                <w:highlight w:val="none"/>
                <w:lang w:val="en-US" w:eastAsia="zh-CN"/>
              </w:rPr>
              <w:t>12</w:t>
            </w:r>
            <w:r>
              <w:rPr>
                <w:rFonts w:hint="eastAsia"/>
                <w:color w:val="auto"/>
                <w:highlight w:val="none"/>
                <w:lang w:eastAsia="zh-CN"/>
              </w:rPr>
              <w:t>，废物代码</w:t>
            </w:r>
            <w:r>
              <w:rPr>
                <w:rFonts w:hint="eastAsia"/>
                <w:color w:val="auto"/>
                <w:highlight w:val="none"/>
              </w:rPr>
              <w:t>900-</w:t>
            </w:r>
            <w:r>
              <w:rPr>
                <w:rFonts w:hint="eastAsia"/>
                <w:color w:val="auto"/>
                <w:highlight w:val="none"/>
                <w:lang w:val="en-US" w:eastAsia="zh-CN"/>
              </w:rPr>
              <w:t>252</w:t>
            </w:r>
            <w:r>
              <w:rPr>
                <w:rFonts w:hint="eastAsia"/>
                <w:color w:val="auto"/>
                <w:highlight w:val="none"/>
              </w:rPr>
              <w:t>-</w:t>
            </w:r>
            <w:r>
              <w:rPr>
                <w:rFonts w:hint="eastAsia"/>
                <w:color w:val="auto"/>
                <w:highlight w:val="none"/>
                <w:lang w:val="en-US" w:eastAsia="zh-CN"/>
              </w:rPr>
              <w:t>12</w:t>
            </w:r>
            <w:r>
              <w:rPr>
                <w:rFonts w:hint="eastAsia"/>
                <w:color w:val="auto"/>
                <w:highlight w:val="none"/>
                <w:lang w:eastAsia="zh-CN"/>
              </w:rPr>
              <w:t>。</w:t>
            </w:r>
          </w:p>
          <w:p w14:paraId="46326BC2">
            <w:pPr>
              <w:spacing w:line="360" w:lineRule="auto"/>
              <w:ind w:firstLine="480"/>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highlight w:val="none"/>
                <w:lang w:val="en-US" w:eastAsia="zh-CN"/>
              </w:rPr>
              <w:t>②</w:t>
            </w:r>
            <w:r>
              <w:rPr>
                <w:rFonts w:hint="eastAsia" w:ascii="Times New Roman" w:hAnsi="Times New Roman" w:eastAsia="宋体" w:cs="Times New Roman"/>
                <w:color w:val="auto"/>
                <w:highlight w:val="none"/>
                <w:lang w:val="en-US" w:eastAsia="zh-CN"/>
              </w:rPr>
              <w:t>废活</w:t>
            </w:r>
            <w:r>
              <w:rPr>
                <w:rFonts w:hint="eastAsia" w:ascii="Times New Roman" w:hAnsi="Times New Roman" w:eastAsia="宋体" w:cs="Times New Roman"/>
                <w:color w:val="auto"/>
                <w:kern w:val="2"/>
                <w:sz w:val="24"/>
                <w:szCs w:val="20"/>
                <w:highlight w:val="none"/>
                <w:lang w:val="en-US" w:eastAsia="zh-CN" w:bidi="ar-SA"/>
              </w:rPr>
              <w:t>性炭：根据前文物料衡算，则经由活性炭处理的废气量约</w:t>
            </w:r>
            <w:r>
              <w:rPr>
                <w:rFonts w:hint="eastAsia" w:cs="Times New Roman"/>
                <w:color w:val="auto"/>
                <w:kern w:val="2"/>
                <w:sz w:val="24"/>
                <w:szCs w:val="20"/>
                <w:highlight w:val="none"/>
                <w:lang w:val="en-US" w:eastAsia="zh-CN" w:bidi="ar-SA"/>
              </w:rPr>
              <w:t>1.62</w:t>
            </w:r>
            <w:r>
              <w:rPr>
                <w:rFonts w:hint="eastAsia" w:ascii="Times New Roman" w:hAnsi="Times New Roman" w:eastAsia="宋体" w:cs="Times New Roman"/>
                <w:color w:val="auto"/>
                <w:kern w:val="2"/>
                <w:sz w:val="24"/>
                <w:szCs w:val="20"/>
                <w:highlight w:val="none"/>
                <w:lang w:val="en-US" w:eastAsia="zh-CN" w:bidi="ar-SA"/>
              </w:rPr>
              <w:t>t/a，本项目使用“二级活性炭吸附装置”对有机废气进行处理，其中的活性炭需定期更换，根据《吸附法工业有机废气治理工程技术规范》(HJ2026-2013)，</w:t>
            </w:r>
            <w:r>
              <w:rPr>
                <w:rFonts w:hint="eastAsia" w:cs="Times New Roman"/>
                <w:color w:val="auto"/>
                <w:kern w:val="2"/>
                <w:sz w:val="24"/>
                <w:szCs w:val="20"/>
                <w:highlight w:val="none"/>
                <w:lang w:val="en-US" w:eastAsia="zh-CN" w:bidi="ar-SA"/>
              </w:rPr>
              <w:t>购置符合标准的活性炭</w:t>
            </w:r>
            <w:r>
              <w:rPr>
                <w:rFonts w:hint="eastAsia" w:ascii="Times New Roman" w:hAnsi="Times New Roman" w:eastAsia="宋体" w:cs="Times New Roman"/>
                <w:color w:val="auto"/>
                <w:kern w:val="2"/>
                <w:sz w:val="24"/>
                <w:szCs w:val="20"/>
                <w:highlight w:val="none"/>
                <w:lang w:val="en-US" w:eastAsia="zh-CN" w:bidi="ar-SA"/>
              </w:rPr>
              <w:t>。</w:t>
            </w:r>
          </w:p>
          <w:p w14:paraId="615D4262">
            <w:pPr>
              <w:pStyle w:val="48"/>
              <w:autoSpaceDE w:val="0"/>
              <w:adjustRightInd w:val="0"/>
              <w:snapToGrid w:val="0"/>
              <w:spacing w:line="360" w:lineRule="auto"/>
              <w:ind w:firstLine="480"/>
              <w:rPr>
                <w:rFonts w:hint="eastAsia" w:ascii="Times New Roman" w:hAnsi="Times New Roman" w:eastAsia="宋体" w:cs="Times New Roman"/>
                <w:b/>
                <w:bCs/>
                <w:color w:val="auto"/>
                <w:highlight w:val="none"/>
                <w:lang w:val="en-US" w:eastAsia="zh-CN"/>
              </w:rPr>
            </w:pPr>
            <w:r>
              <w:rPr>
                <w:rFonts w:hint="eastAsia"/>
                <w:color w:val="auto"/>
                <w:highlight w:val="none"/>
                <w:lang w:val="en-US" w:eastAsia="zh-CN"/>
              </w:rPr>
              <w:t>根据前文，废活性炭更换量为5.4t/a，吸附量为1.54t/a，则废活性炭产生量合计为6.94t/a。</w:t>
            </w:r>
            <w:r>
              <w:rPr>
                <w:bCs/>
                <w:color w:val="auto"/>
                <w:highlight w:val="none"/>
              </w:rPr>
              <w:t>。</w:t>
            </w:r>
            <w:r>
              <w:rPr>
                <w:color w:val="auto"/>
                <w:highlight w:val="none"/>
              </w:rPr>
              <w:t>根据</w:t>
            </w:r>
            <w:r>
              <w:rPr>
                <w:rFonts w:hint="eastAsia"/>
                <w:color w:val="auto"/>
                <w:highlight w:val="none"/>
              </w:rPr>
              <w:t>《国家危险废物名录》（20</w:t>
            </w:r>
            <w:r>
              <w:rPr>
                <w:rFonts w:hint="eastAsia"/>
                <w:color w:val="auto"/>
                <w:highlight w:val="none"/>
                <w:lang w:val="en-US" w:eastAsia="zh-CN"/>
              </w:rPr>
              <w:t>25</w:t>
            </w:r>
            <w:r>
              <w:rPr>
                <w:rFonts w:hint="eastAsia"/>
                <w:color w:val="auto"/>
                <w:highlight w:val="none"/>
              </w:rPr>
              <w:t>年版）</w:t>
            </w:r>
            <w:r>
              <w:rPr>
                <w:color w:val="auto"/>
                <w:highlight w:val="none"/>
              </w:rPr>
              <w:t>，废活性炭属于危险废物</w:t>
            </w:r>
            <w:r>
              <w:rPr>
                <w:b w:val="0"/>
                <w:bCs w:val="0"/>
                <w:color w:val="auto"/>
                <w:highlight w:val="none"/>
              </w:rPr>
              <w:t>，废物类别HW49，废物代码900-0</w:t>
            </w:r>
            <w:r>
              <w:rPr>
                <w:rFonts w:hint="eastAsia"/>
                <w:b w:val="0"/>
                <w:bCs w:val="0"/>
                <w:color w:val="auto"/>
                <w:highlight w:val="none"/>
              </w:rPr>
              <w:t>39</w:t>
            </w:r>
            <w:r>
              <w:rPr>
                <w:b w:val="0"/>
                <w:bCs w:val="0"/>
                <w:color w:val="auto"/>
                <w:highlight w:val="none"/>
              </w:rPr>
              <w:t>-49</w:t>
            </w:r>
            <w:r>
              <w:rPr>
                <w:rFonts w:hint="eastAsia"/>
                <w:b w:val="0"/>
                <w:bCs w:val="0"/>
                <w:color w:val="auto"/>
                <w:highlight w:val="none"/>
                <w:lang w:eastAsia="zh-CN"/>
              </w:rPr>
              <w:t>。</w:t>
            </w:r>
          </w:p>
          <w:p w14:paraId="6C10BA46">
            <w:pPr>
              <w:pStyle w:val="33"/>
              <w:spacing w:line="360" w:lineRule="auto"/>
              <w:ind w:firstLine="480" w:firstLineChars="200"/>
              <w:rPr>
                <w:rFonts w:hint="default" w:eastAsia="宋体"/>
                <w:color w:val="auto"/>
                <w:highlight w:val="none"/>
                <w:lang w:val="en-US" w:eastAsia="zh-CN" w:bidi="ar"/>
              </w:rPr>
            </w:pPr>
            <w:r>
              <w:rPr>
                <w:rFonts w:hint="eastAsia"/>
                <w:color w:val="auto"/>
                <w:highlight w:val="none"/>
                <w:lang w:val="en-US" w:eastAsia="zh-CN" w:bidi="ar"/>
              </w:rPr>
              <w:t>③废紫外线灯：</w:t>
            </w:r>
            <w:r>
              <w:rPr>
                <w:szCs w:val="32"/>
              </w:rPr>
              <w:t>紫外灯管寿命约1000h，项目</w:t>
            </w:r>
            <w:r>
              <w:rPr>
                <w:rFonts w:hint="eastAsia"/>
                <w:szCs w:val="32"/>
                <w:lang w:val="en-US" w:eastAsia="zh-CN"/>
              </w:rPr>
              <w:t>烘干</w:t>
            </w:r>
            <w:r>
              <w:rPr>
                <w:szCs w:val="32"/>
              </w:rPr>
              <w:t>时间按</w:t>
            </w:r>
            <w:r>
              <w:rPr>
                <w:rFonts w:hint="eastAsia"/>
                <w:szCs w:val="32"/>
                <w:lang w:val="en-US" w:eastAsia="zh-CN"/>
              </w:rPr>
              <w:t>7200</w:t>
            </w:r>
            <w:r>
              <w:rPr>
                <w:szCs w:val="32"/>
              </w:rPr>
              <w:t>h计算，因此每年废紫外灯管产生量约为</w:t>
            </w:r>
            <w:r>
              <w:rPr>
                <w:rFonts w:hint="eastAsia"/>
                <w:szCs w:val="32"/>
                <w:lang w:val="en-US" w:eastAsia="zh-CN"/>
              </w:rPr>
              <w:t>60</w:t>
            </w:r>
            <w:r>
              <w:rPr>
                <w:szCs w:val="32"/>
              </w:rPr>
              <w:t>根，每根灯管的重量约为20g，则项目废紫外灯管的产生量约为0.00</w:t>
            </w:r>
            <w:r>
              <w:rPr>
                <w:rFonts w:hint="eastAsia"/>
                <w:szCs w:val="32"/>
                <w:lang w:val="en-US" w:eastAsia="zh-CN"/>
              </w:rPr>
              <w:t>12</w:t>
            </w:r>
            <w:r>
              <w:rPr>
                <w:szCs w:val="32"/>
              </w:rPr>
              <w:t>吨。</w:t>
            </w:r>
            <w:r>
              <w:rPr>
                <w:szCs w:val="32"/>
                <w:highlight w:val="none"/>
              </w:rPr>
              <w:t>废紫外灯管属于《国家危险废物名录》（202</w:t>
            </w:r>
            <w:r>
              <w:rPr>
                <w:rFonts w:hint="eastAsia"/>
                <w:szCs w:val="32"/>
                <w:highlight w:val="none"/>
                <w:lang w:val="en-US" w:eastAsia="zh-CN"/>
              </w:rPr>
              <w:t>5</w:t>
            </w:r>
            <w:r>
              <w:rPr>
                <w:szCs w:val="32"/>
                <w:highlight w:val="none"/>
              </w:rPr>
              <w:t>年版）中HW29含汞废物，废物代码为900-023-29。</w:t>
            </w:r>
            <w:r>
              <w:rPr>
                <w:lang w:bidi="ar"/>
              </w:rPr>
              <w:t>经收集后暂存于危险废物暂存库内，由有资质单位进行处理</w:t>
            </w:r>
            <w:r>
              <w:rPr>
                <w:rFonts w:hint="eastAsia"/>
                <w:lang w:bidi="ar"/>
              </w:rPr>
              <w:t>。</w:t>
            </w:r>
          </w:p>
          <w:p w14:paraId="7A067DAC">
            <w:pPr>
              <w:pStyle w:val="48"/>
              <w:numPr>
                <w:ilvl w:val="0"/>
                <w:numId w:val="0"/>
              </w:numPr>
              <w:autoSpaceDE w:val="0"/>
              <w:spacing w:line="360" w:lineRule="auto"/>
              <w:ind w:firstLine="480" w:firstLineChars="200"/>
              <w:rPr>
                <w:rFonts w:hint="eastAsia" w:ascii="Times New Roman" w:hAnsi="Times New Roman" w:cs="Times New Roman"/>
                <w:color w:val="auto"/>
                <w:highlight w:val="none"/>
                <w:lang w:val="en-US" w:eastAsia="zh-CN"/>
              </w:rPr>
            </w:pPr>
            <w:r>
              <w:rPr>
                <w:rFonts w:hint="eastAsia"/>
                <w:color w:val="auto"/>
                <w:highlight w:val="none"/>
                <w:lang w:val="en-US" w:eastAsia="zh-CN" w:bidi="ar"/>
              </w:rPr>
              <w:t>④</w:t>
            </w:r>
            <w:r>
              <w:rPr>
                <w:rFonts w:hint="eastAsia"/>
                <w:color w:val="auto"/>
                <w:highlight w:val="none"/>
                <w:lang w:val="en-US" w:eastAsia="zh-CN"/>
              </w:rPr>
              <w:t>废桶：</w:t>
            </w:r>
            <w:r>
              <w:rPr>
                <w:rFonts w:hint="eastAsia"/>
                <w:color w:val="auto"/>
                <w:szCs w:val="24"/>
                <w:highlight w:val="none"/>
                <w:lang w:val="en-US" w:eastAsia="zh-CN" w:bidi="ar"/>
              </w:rPr>
              <w:t>使用油漆、调漆过程中会产生废桶（废漆桶、废稀释剂桶、废固化剂桶），日常使用机油会产生废机油桶，废桶产生量一共约为200个，单桶重0.25kg，则废桶产生量为0.05t</w:t>
            </w:r>
            <w:r>
              <w:rPr>
                <w:rFonts w:ascii="Times New Roman" w:hAnsi="Times New Roman"/>
                <w:color w:val="auto"/>
                <w:szCs w:val="24"/>
                <w:highlight w:val="none"/>
                <w:lang w:bidi="ar"/>
              </w:rPr>
              <w:t>。</w:t>
            </w:r>
            <w:r>
              <w:rPr>
                <w:rFonts w:ascii="Times New Roman" w:hAnsi="Times New Roman"/>
                <w:bCs/>
                <w:color w:val="auto"/>
                <w:szCs w:val="24"/>
                <w:highlight w:val="none"/>
              </w:rPr>
              <w:t>收集后暂存于</w:t>
            </w:r>
            <w:r>
              <w:rPr>
                <w:rFonts w:hint="eastAsia"/>
                <w:bCs/>
                <w:color w:val="auto"/>
                <w:szCs w:val="24"/>
                <w:highlight w:val="none"/>
                <w:lang w:val="en-US" w:eastAsia="zh-CN"/>
              </w:rPr>
              <w:t>危险</w:t>
            </w:r>
            <w:r>
              <w:rPr>
                <w:rFonts w:hint="eastAsia" w:ascii="Times New Roman" w:hAnsi="Times New Roman"/>
                <w:bCs/>
                <w:color w:val="auto"/>
                <w:szCs w:val="24"/>
                <w:highlight w:val="none"/>
                <w:lang w:eastAsia="zh-CN"/>
              </w:rPr>
              <w:t>固废暂存间</w:t>
            </w:r>
            <w:r>
              <w:rPr>
                <w:rFonts w:ascii="Times New Roman" w:hAnsi="Times New Roman"/>
                <w:bCs/>
                <w:color w:val="auto"/>
                <w:szCs w:val="24"/>
                <w:highlight w:val="none"/>
              </w:rPr>
              <w:t>，</w:t>
            </w:r>
            <w:r>
              <w:rPr>
                <w:rFonts w:hint="eastAsia"/>
                <w:bCs/>
                <w:color w:val="auto"/>
                <w:szCs w:val="24"/>
                <w:highlight w:val="none"/>
                <w:lang w:val="en-US" w:eastAsia="zh-CN"/>
              </w:rPr>
              <w:t>交由有资质处理企业处置</w:t>
            </w:r>
            <w:r>
              <w:rPr>
                <w:rFonts w:ascii="Times New Roman" w:hAnsi="Times New Roman"/>
                <w:bCs/>
                <w:color w:val="auto"/>
                <w:szCs w:val="24"/>
                <w:highlight w:val="none"/>
              </w:rPr>
              <w:t>。</w:t>
            </w:r>
            <w:r>
              <w:rPr>
                <w:rFonts w:hint="eastAsia" w:ascii="Times New Roman" w:hAnsi="Times New Roman" w:cs="Times New Roman"/>
                <w:color w:val="auto"/>
                <w:highlight w:val="none"/>
                <w:lang w:val="en-US" w:eastAsia="zh-CN"/>
              </w:rPr>
              <w:t>根据</w:t>
            </w:r>
            <w:r>
              <w:rPr>
                <w:rFonts w:hint="eastAsia"/>
                <w:color w:val="auto"/>
                <w:highlight w:val="none"/>
              </w:rPr>
              <w:t>《国家危险废物名录》（20</w:t>
            </w:r>
            <w:r>
              <w:rPr>
                <w:rFonts w:hint="eastAsia"/>
                <w:color w:val="auto"/>
                <w:highlight w:val="none"/>
                <w:lang w:val="en-US" w:eastAsia="zh-CN"/>
              </w:rPr>
              <w:t>25</w:t>
            </w:r>
            <w:r>
              <w:rPr>
                <w:rFonts w:hint="eastAsia"/>
                <w:color w:val="auto"/>
                <w:highlight w:val="none"/>
              </w:rPr>
              <w:t>年版）</w:t>
            </w:r>
            <w:r>
              <w:rPr>
                <w:rFonts w:hint="eastAsia" w:ascii="Times New Roman" w:hAnsi="Times New Roman" w:cs="Times New Roman"/>
                <w:color w:val="auto"/>
                <w:highlight w:val="none"/>
                <w:lang w:val="en-US" w:eastAsia="zh-CN"/>
              </w:rPr>
              <w:t>，</w:t>
            </w:r>
            <w:r>
              <w:rPr>
                <w:rFonts w:hint="eastAsia"/>
                <w:color w:val="auto"/>
                <w:highlight w:val="none"/>
              </w:rPr>
              <w:t>废物类别</w:t>
            </w:r>
            <w:r>
              <w:rPr>
                <w:rFonts w:hint="eastAsia" w:ascii="Times New Roman" w:hAnsi="Times New Roman" w:cs="Times New Roman"/>
                <w:color w:val="auto"/>
                <w:highlight w:val="none"/>
                <w:lang w:val="en-US" w:eastAsia="zh-CN"/>
              </w:rPr>
              <w:t>HW49，</w:t>
            </w:r>
            <w:r>
              <w:rPr>
                <w:rFonts w:hint="eastAsia"/>
                <w:color w:val="auto"/>
                <w:highlight w:val="none"/>
                <w:lang w:eastAsia="zh-CN"/>
              </w:rPr>
              <w:t>废物代码</w:t>
            </w:r>
            <w:r>
              <w:rPr>
                <w:rFonts w:hint="eastAsia" w:ascii="Times New Roman" w:hAnsi="Times New Roman" w:cs="Times New Roman"/>
                <w:color w:val="auto"/>
                <w:highlight w:val="none"/>
                <w:lang w:val="en-US" w:eastAsia="zh-CN"/>
              </w:rPr>
              <w:t>900-041-49。</w:t>
            </w:r>
          </w:p>
          <w:p w14:paraId="41B9554D">
            <w:pPr>
              <w:pStyle w:val="48"/>
              <w:numPr>
                <w:ilvl w:val="0"/>
                <w:numId w:val="0"/>
              </w:numPr>
              <w:autoSpaceDE w:val="0"/>
              <w:spacing w:line="360" w:lineRule="auto"/>
              <w:ind w:firstLine="480" w:firstLineChars="200"/>
              <w:rPr>
                <w:rFonts w:hint="eastAsia" w:cs="Times New Roman"/>
                <w:color w:val="auto"/>
                <w:highlight w:val="none"/>
                <w:lang w:val="en-US" w:eastAsia="zh-CN"/>
              </w:rPr>
            </w:pPr>
            <w:r>
              <w:rPr>
                <w:rFonts w:hint="eastAsia"/>
                <w:color w:val="auto"/>
                <w:kern w:val="0"/>
                <w:szCs w:val="24"/>
                <w:highlight w:val="none"/>
                <w:lang w:val="en-US" w:eastAsia="zh-CN"/>
              </w:rPr>
              <w:t>⑤废机油：项目生产过程中会产生废机油，</w:t>
            </w:r>
            <w:r>
              <w:rPr>
                <w:rFonts w:hint="eastAsia"/>
                <w:highlight w:val="none"/>
                <w:lang w:val="en-US" w:eastAsia="zh-CN"/>
              </w:rPr>
              <w:t>产生量约为0.5t/a，</w:t>
            </w:r>
            <w:r>
              <w:rPr>
                <w:rFonts w:ascii="Times New Roman" w:hAnsi="Times New Roman"/>
                <w:bCs/>
                <w:color w:val="auto"/>
                <w:szCs w:val="24"/>
                <w:highlight w:val="none"/>
              </w:rPr>
              <w:t>收集后暂存于</w:t>
            </w:r>
            <w:r>
              <w:rPr>
                <w:rFonts w:hint="eastAsia"/>
                <w:bCs/>
                <w:color w:val="auto"/>
                <w:szCs w:val="24"/>
                <w:highlight w:val="none"/>
                <w:lang w:val="en-US" w:eastAsia="zh-CN"/>
              </w:rPr>
              <w:t>危险</w:t>
            </w:r>
            <w:r>
              <w:rPr>
                <w:rFonts w:hint="eastAsia" w:ascii="Times New Roman" w:hAnsi="Times New Roman"/>
                <w:bCs/>
                <w:color w:val="auto"/>
                <w:szCs w:val="24"/>
                <w:highlight w:val="none"/>
                <w:lang w:eastAsia="zh-CN"/>
              </w:rPr>
              <w:t>固废暂存间</w:t>
            </w:r>
            <w:r>
              <w:rPr>
                <w:rFonts w:ascii="Times New Roman" w:hAnsi="Times New Roman"/>
                <w:bCs/>
                <w:color w:val="auto"/>
                <w:szCs w:val="24"/>
                <w:highlight w:val="none"/>
              </w:rPr>
              <w:t>，</w:t>
            </w:r>
            <w:r>
              <w:rPr>
                <w:rFonts w:hint="eastAsia"/>
                <w:bCs/>
                <w:color w:val="auto"/>
                <w:szCs w:val="24"/>
                <w:highlight w:val="none"/>
                <w:lang w:val="en-US" w:eastAsia="zh-CN"/>
              </w:rPr>
              <w:t>交由有资质处理企业处置</w:t>
            </w:r>
            <w:r>
              <w:rPr>
                <w:rFonts w:ascii="Times New Roman" w:hAnsi="Times New Roman"/>
                <w:bCs/>
                <w:color w:val="auto"/>
                <w:szCs w:val="24"/>
                <w:highlight w:val="none"/>
              </w:rPr>
              <w:t>。</w:t>
            </w:r>
            <w:r>
              <w:rPr>
                <w:rFonts w:hint="eastAsia" w:ascii="Times New Roman" w:hAnsi="Times New Roman" w:cs="Times New Roman"/>
                <w:color w:val="auto"/>
                <w:highlight w:val="none"/>
                <w:lang w:val="en-US" w:eastAsia="zh-CN"/>
              </w:rPr>
              <w:t>根据</w:t>
            </w:r>
            <w:r>
              <w:rPr>
                <w:rFonts w:hint="eastAsia"/>
                <w:color w:val="auto"/>
                <w:highlight w:val="none"/>
              </w:rPr>
              <w:t>《国家危险废物名录》（20</w:t>
            </w:r>
            <w:r>
              <w:rPr>
                <w:rFonts w:hint="eastAsia"/>
                <w:color w:val="auto"/>
                <w:highlight w:val="none"/>
                <w:lang w:val="en-US" w:eastAsia="zh-CN"/>
              </w:rPr>
              <w:t>25</w:t>
            </w:r>
            <w:r>
              <w:rPr>
                <w:rFonts w:hint="eastAsia"/>
                <w:color w:val="auto"/>
                <w:highlight w:val="none"/>
              </w:rPr>
              <w:t>年版）</w:t>
            </w:r>
            <w:r>
              <w:rPr>
                <w:rFonts w:hint="eastAsia" w:ascii="Times New Roman" w:hAnsi="Times New Roman" w:cs="Times New Roman"/>
                <w:color w:val="auto"/>
                <w:highlight w:val="none"/>
                <w:lang w:val="en-US" w:eastAsia="zh-CN"/>
              </w:rPr>
              <w:t>，</w:t>
            </w:r>
            <w:r>
              <w:rPr>
                <w:rFonts w:hint="eastAsia"/>
                <w:color w:val="auto"/>
                <w:highlight w:val="none"/>
              </w:rPr>
              <w:t>废物类别</w:t>
            </w:r>
            <w:r>
              <w:rPr>
                <w:rFonts w:hint="eastAsia" w:ascii="Times New Roman" w:hAnsi="Times New Roman" w:cs="Times New Roman"/>
                <w:color w:val="auto"/>
                <w:highlight w:val="none"/>
                <w:lang w:val="en-US" w:eastAsia="zh-CN"/>
              </w:rPr>
              <w:t>HW</w:t>
            </w:r>
            <w:r>
              <w:rPr>
                <w:rFonts w:hint="eastAsia" w:cs="Times New Roman"/>
                <w:color w:val="auto"/>
                <w:highlight w:val="none"/>
                <w:lang w:val="en-US" w:eastAsia="zh-CN"/>
              </w:rPr>
              <w:t>08</w:t>
            </w:r>
            <w:r>
              <w:rPr>
                <w:rFonts w:hint="eastAsia" w:ascii="Times New Roman" w:hAnsi="Times New Roman" w:cs="Times New Roman"/>
                <w:color w:val="auto"/>
                <w:highlight w:val="none"/>
                <w:lang w:val="en-US" w:eastAsia="zh-CN"/>
              </w:rPr>
              <w:t>，</w:t>
            </w:r>
            <w:r>
              <w:rPr>
                <w:rFonts w:hint="eastAsia"/>
                <w:color w:val="auto"/>
                <w:highlight w:val="none"/>
                <w:lang w:eastAsia="zh-CN"/>
              </w:rPr>
              <w:t>废物代码</w:t>
            </w:r>
            <w:r>
              <w:rPr>
                <w:rFonts w:hint="eastAsia" w:ascii="Times New Roman" w:hAnsi="Times New Roman" w:cs="Times New Roman"/>
                <w:color w:val="auto"/>
                <w:highlight w:val="none"/>
                <w:lang w:val="en-US" w:eastAsia="zh-CN"/>
              </w:rPr>
              <w:t>900-</w:t>
            </w:r>
            <w:r>
              <w:rPr>
                <w:rFonts w:hint="eastAsia" w:cs="Times New Roman"/>
                <w:color w:val="auto"/>
                <w:highlight w:val="none"/>
                <w:lang w:val="en-US" w:eastAsia="zh-CN"/>
              </w:rPr>
              <w:t>214</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08。</w:t>
            </w:r>
          </w:p>
          <w:p w14:paraId="1777D45C">
            <w:pPr>
              <w:pStyle w:val="48"/>
              <w:numPr>
                <w:ilvl w:val="0"/>
                <w:numId w:val="0"/>
              </w:numPr>
              <w:autoSpaceDE w:val="0"/>
              <w:spacing w:line="360" w:lineRule="auto"/>
              <w:ind w:firstLine="480" w:firstLineChars="200"/>
              <w:rPr>
                <w:rFonts w:hint="default" w:cs="Times New Roman"/>
                <w:color w:val="auto"/>
                <w:highlight w:val="none"/>
                <w:lang w:val="en-US" w:eastAsia="zh-CN"/>
              </w:rPr>
            </w:pPr>
            <w:r>
              <w:rPr>
                <w:rFonts w:hint="eastAsia"/>
                <w:color w:val="auto"/>
                <w:kern w:val="0"/>
                <w:szCs w:val="24"/>
                <w:highlight w:val="none"/>
                <w:lang w:val="en-US" w:eastAsia="zh-CN"/>
              </w:rPr>
              <w:t>⑥</w:t>
            </w:r>
            <w:r>
              <w:rPr>
                <w:rFonts w:hint="eastAsia"/>
                <w:color w:val="auto"/>
                <w:highlight w:val="none"/>
                <w:lang w:val="en-US" w:eastAsia="zh-CN" w:bidi="ar"/>
              </w:rPr>
              <w:t>废机油桶：</w:t>
            </w:r>
            <w:r>
              <w:rPr>
                <w:rFonts w:hint="eastAsia"/>
                <w:color w:val="auto"/>
                <w:highlight w:val="none"/>
              </w:rPr>
              <w:t>本项目使用</w:t>
            </w:r>
            <w:r>
              <w:rPr>
                <w:rFonts w:hint="eastAsia"/>
                <w:color w:val="auto"/>
                <w:highlight w:val="none"/>
                <w:lang w:val="en-US" w:eastAsia="zh-CN"/>
              </w:rPr>
              <w:t>机油的过程中</w:t>
            </w:r>
            <w:r>
              <w:rPr>
                <w:rFonts w:hint="eastAsia"/>
                <w:color w:val="auto"/>
                <w:highlight w:val="none"/>
              </w:rPr>
              <w:t>会产生废油桶，单桶为25kg，机油</w:t>
            </w:r>
            <w:r>
              <w:rPr>
                <w:rFonts w:hint="eastAsia"/>
                <w:color w:val="auto"/>
                <w:highlight w:val="none"/>
                <w:lang w:val="en-US" w:eastAsia="zh-CN"/>
              </w:rPr>
              <w:t>0.5</w:t>
            </w:r>
            <w:r>
              <w:rPr>
                <w:color w:val="auto"/>
                <w:highlight w:val="none"/>
              </w:rPr>
              <w:t>t/a</w:t>
            </w:r>
            <w:r>
              <w:rPr>
                <w:rFonts w:hint="eastAsia"/>
                <w:color w:val="auto"/>
                <w:highlight w:val="none"/>
              </w:rPr>
              <w:t>，即每年产生约</w:t>
            </w:r>
            <w:r>
              <w:rPr>
                <w:rFonts w:hint="eastAsia"/>
                <w:color w:val="auto"/>
                <w:highlight w:val="none"/>
                <w:lang w:val="en-US" w:eastAsia="zh-CN"/>
              </w:rPr>
              <w:t>20</w:t>
            </w:r>
            <w:r>
              <w:rPr>
                <w:rFonts w:hint="eastAsia"/>
                <w:color w:val="auto"/>
                <w:highlight w:val="none"/>
              </w:rPr>
              <w:t>只废油桶，单只废油桶重量为0.5kg，故产生废油桶约0.</w:t>
            </w:r>
            <w:r>
              <w:rPr>
                <w:rFonts w:hint="eastAsia"/>
                <w:color w:val="auto"/>
                <w:highlight w:val="none"/>
                <w:lang w:val="en-US" w:eastAsia="zh-CN"/>
              </w:rPr>
              <w:t>01</w:t>
            </w:r>
            <w:r>
              <w:rPr>
                <w:rFonts w:hint="eastAsia"/>
                <w:color w:val="auto"/>
                <w:highlight w:val="none"/>
              </w:rPr>
              <w:t>t/a，收集后</w:t>
            </w:r>
            <w:r>
              <w:rPr>
                <w:rFonts w:hint="eastAsia"/>
                <w:color w:val="auto"/>
                <w:highlight w:val="none"/>
                <w:lang w:val="en-US" w:eastAsia="zh-CN"/>
              </w:rPr>
              <w:t>暂存在厂区危险废物暂存间，</w:t>
            </w:r>
            <w:r>
              <w:rPr>
                <w:rFonts w:hint="eastAsia"/>
                <w:color w:val="auto"/>
                <w:highlight w:val="none"/>
              </w:rPr>
              <w:t>委托有危废处置资质的单位处置。根据《国家危险废物名录》（20</w:t>
            </w:r>
            <w:r>
              <w:rPr>
                <w:rFonts w:hint="eastAsia"/>
                <w:color w:val="auto"/>
                <w:highlight w:val="none"/>
                <w:lang w:val="en-US" w:eastAsia="zh-CN"/>
              </w:rPr>
              <w:t>25</w:t>
            </w:r>
            <w:r>
              <w:rPr>
                <w:rFonts w:hint="eastAsia"/>
                <w:color w:val="auto"/>
                <w:highlight w:val="none"/>
              </w:rPr>
              <w:t>年版）</w:t>
            </w:r>
            <w:r>
              <w:rPr>
                <w:rFonts w:hint="eastAsia"/>
                <w:color w:val="auto"/>
                <w:highlight w:val="none"/>
                <w:lang w:eastAsia="zh-CN"/>
              </w:rPr>
              <w:t>，</w:t>
            </w:r>
            <w:r>
              <w:rPr>
                <w:rFonts w:hint="eastAsia"/>
                <w:color w:val="auto"/>
                <w:highlight w:val="none"/>
              </w:rPr>
              <w:t>废物类别HW</w:t>
            </w:r>
            <w:r>
              <w:rPr>
                <w:rFonts w:hint="eastAsia"/>
                <w:color w:val="auto"/>
                <w:highlight w:val="none"/>
                <w:lang w:val="en-US" w:eastAsia="zh-CN"/>
              </w:rPr>
              <w:t>0</w:t>
            </w:r>
            <w:r>
              <w:rPr>
                <w:rFonts w:hint="eastAsia"/>
                <w:color w:val="auto"/>
                <w:highlight w:val="none"/>
              </w:rPr>
              <w:t>8</w:t>
            </w:r>
            <w:r>
              <w:rPr>
                <w:rFonts w:hint="eastAsia"/>
                <w:color w:val="auto"/>
                <w:highlight w:val="none"/>
                <w:lang w:eastAsia="zh-CN"/>
              </w:rPr>
              <w:t>，废物代码</w:t>
            </w:r>
            <w:r>
              <w:rPr>
                <w:rFonts w:hint="eastAsia"/>
                <w:color w:val="auto"/>
                <w:highlight w:val="none"/>
              </w:rPr>
              <w:t>900-</w:t>
            </w:r>
            <w:r>
              <w:rPr>
                <w:rFonts w:hint="eastAsia"/>
                <w:color w:val="auto"/>
                <w:highlight w:val="none"/>
                <w:lang w:val="en-US" w:eastAsia="zh-CN"/>
              </w:rPr>
              <w:t>249</w:t>
            </w:r>
            <w:r>
              <w:rPr>
                <w:rFonts w:hint="eastAsia"/>
                <w:color w:val="auto"/>
                <w:highlight w:val="none"/>
              </w:rPr>
              <w:t>-08</w:t>
            </w:r>
            <w:r>
              <w:rPr>
                <w:rFonts w:hint="eastAsia"/>
                <w:color w:val="auto"/>
                <w:highlight w:val="none"/>
                <w:lang w:eastAsia="zh-CN"/>
              </w:rPr>
              <w:t>。</w:t>
            </w:r>
          </w:p>
          <w:p w14:paraId="69D71DD4">
            <w:pPr>
              <w:pStyle w:val="48"/>
              <w:numPr>
                <w:ilvl w:val="0"/>
                <w:numId w:val="0"/>
              </w:numPr>
              <w:autoSpaceDE w:val="0"/>
              <w:spacing w:line="360" w:lineRule="auto"/>
              <w:ind w:firstLine="480" w:firstLineChars="200"/>
              <w:rPr>
                <w:rFonts w:hint="default"/>
                <w:color w:val="auto"/>
                <w:kern w:val="0"/>
                <w:szCs w:val="24"/>
                <w:highlight w:val="none"/>
                <w:lang w:val="en-US" w:eastAsia="zh-CN"/>
              </w:rPr>
            </w:pPr>
            <w:r>
              <w:rPr>
                <w:rFonts w:hint="eastAsia"/>
                <w:color w:val="auto"/>
                <w:kern w:val="0"/>
                <w:szCs w:val="24"/>
                <w:highlight w:val="none"/>
                <w:lang w:val="en-US" w:eastAsia="zh-CN"/>
              </w:rPr>
              <w:t>⑦</w:t>
            </w:r>
            <w:r>
              <w:rPr>
                <w:rFonts w:hint="eastAsia"/>
                <w:lang w:val="en-US" w:eastAsia="zh-CN"/>
              </w:rPr>
              <w:t>废催化剂：</w:t>
            </w:r>
            <w:r>
              <w:rPr>
                <w:rFonts w:ascii="Times New Roman" w:hAnsi="Times New Roman" w:eastAsia="宋体" w:cs="Times New Roman"/>
                <w:color w:val="000000" w:themeColor="text1"/>
                <w:sz w:val="24"/>
                <w:szCs w:val="24"/>
                <w:lang w:bidi="ar"/>
                <w14:textFill>
                  <w14:solidFill>
                    <w14:schemeClr w14:val="tx1"/>
                  </w14:solidFill>
                </w14:textFill>
              </w:rPr>
              <w:t>催化燃烧装置中使用贵金属催化剂铂钯，根据建设单位提供的资料，贵金属铂钯一次填装量0.</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2</w:t>
            </w:r>
            <w:r>
              <w:rPr>
                <w:rFonts w:ascii="Times New Roman" w:hAnsi="Times New Roman" w:eastAsia="宋体" w:cs="Times New Roman"/>
                <w:color w:val="000000" w:themeColor="text1"/>
                <w:sz w:val="24"/>
                <w:szCs w:val="24"/>
                <w:lang w:bidi="ar"/>
                <w14:textFill>
                  <w14:solidFill>
                    <w14:schemeClr w14:val="tx1"/>
                  </w14:solidFill>
                </w14:textFill>
              </w:rPr>
              <w:t>m</w:t>
            </w:r>
            <w:r>
              <w:rPr>
                <w:rFonts w:ascii="Times New Roman" w:hAnsi="Times New Roman" w:eastAsia="宋体" w:cs="Times New Roman"/>
                <w:color w:val="000000" w:themeColor="text1"/>
                <w:sz w:val="24"/>
                <w:szCs w:val="24"/>
                <w:vertAlign w:val="superscript"/>
                <w:lang w:bidi="ar"/>
                <w14:textFill>
                  <w14:solidFill>
                    <w14:schemeClr w14:val="tx1"/>
                  </w14:solidFill>
                </w14:textFill>
              </w:rPr>
              <w:t>3</w:t>
            </w:r>
            <w:r>
              <w:rPr>
                <w:rFonts w:ascii="Times New Roman" w:hAnsi="Times New Roman" w:eastAsia="宋体" w:cs="Times New Roman"/>
                <w:color w:val="000000" w:themeColor="text1"/>
                <w:sz w:val="24"/>
                <w:szCs w:val="24"/>
                <w:lang w:bidi="ar"/>
                <w14:textFill>
                  <w14:solidFill>
                    <w14:schemeClr w14:val="tx1"/>
                  </w14:solidFill>
                </w14:textFill>
              </w:rPr>
              <w:t>，折合约0.</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18</w:t>
            </w:r>
            <w:r>
              <w:rPr>
                <w:rFonts w:ascii="Times New Roman" w:hAnsi="Times New Roman" w:eastAsia="宋体" w:cs="Times New Roman"/>
                <w:color w:val="000000" w:themeColor="text1"/>
                <w:sz w:val="24"/>
                <w:szCs w:val="24"/>
                <w:lang w:bidi="ar"/>
                <w14:textFill>
                  <w14:solidFill>
                    <w14:schemeClr w14:val="tx1"/>
                  </w14:solidFill>
                </w14:textFill>
              </w:rPr>
              <w:t>t，2年更换一次，则折合年产生量为0.</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09</w:t>
            </w:r>
            <w:r>
              <w:rPr>
                <w:rFonts w:ascii="Times New Roman" w:hAnsi="Times New Roman" w:eastAsia="宋体" w:cs="Times New Roman"/>
                <w:color w:val="000000" w:themeColor="text1"/>
                <w:sz w:val="24"/>
                <w:szCs w:val="24"/>
                <w:lang w:bidi="ar"/>
                <w14:textFill>
                  <w14:solidFill>
                    <w14:schemeClr w14:val="tx1"/>
                  </w14:solidFill>
                </w14:textFill>
              </w:rPr>
              <w:t>t/a。根据《国家危险废物名录》</w:t>
            </w:r>
            <w:r>
              <w:rPr>
                <w:rFonts w:hint="eastAsia" w:ascii="Times New Roman" w:hAnsi="Times New Roman" w:eastAsia="宋体" w:cs="Times New Roman"/>
                <w:b w:val="0"/>
                <w:bCs w:val="0"/>
                <w:caps w:val="0"/>
                <w:color w:val="auto"/>
                <w:sz w:val="24"/>
              </w:rPr>
              <w:t>（</w:t>
            </w:r>
            <w:r>
              <w:rPr>
                <w:rFonts w:hint="eastAsia" w:ascii="Times New Roman" w:hAnsi="Times New Roman" w:eastAsia="宋体" w:cs="Times New Roman"/>
                <w:b w:val="0"/>
                <w:bCs w:val="0"/>
                <w:caps w:val="0"/>
                <w:color w:val="auto"/>
                <w:sz w:val="24"/>
                <w:lang w:val="en-US" w:eastAsia="zh-CN"/>
              </w:rPr>
              <w:t>2025</w:t>
            </w:r>
            <w:r>
              <w:rPr>
                <w:rFonts w:hint="eastAsia" w:ascii="Times New Roman" w:hAnsi="Times New Roman" w:eastAsia="宋体" w:cs="Times New Roman"/>
                <w:b w:val="0"/>
                <w:bCs w:val="0"/>
                <w:caps w:val="0"/>
                <w:color w:val="auto"/>
                <w:sz w:val="24"/>
              </w:rPr>
              <w:t>版）</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属于</w:t>
            </w:r>
            <w:r>
              <w:rPr>
                <w:rFonts w:ascii="Times New Roman" w:hAnsi="Times New Roman" w:eastAsia="宋体" w:cs="Times New Roman"/>
                <w:color w:val="000000" w:themeColor="text1"/>
                <w:sz w:val="24"/>
                <w:szCs w:val="24"/>
                <w:lang w:bidi="ar"/>
                <w14:textFill>
                  <w14:solidFill>
                    <w14:schemeClr w14:val="tx1"/>
                  </w14:solidFill>
                </w14:textFill>
              </w:rPr>
              <w:t>HW50废催化剂，危废代码为900-049-50，项目产生的废催化剂储存在危废贮存间内，定期交由有资质的单位进行处理。</w:t>
            </w:r>
          </w:p>
          <w:p w14:paraId="3CD2DD18">
            <w:pPr>
              <w:pStyle w:val="48"/>
              <w:numPr>
                <w:ilvl w:val="0"/>
                <w:numId w:val="0"/>
              </w:numPr>
              <w:autoSpaceDE w:val="0"/>
              <w:spacing w:line="360" w:lineRule="auto"/>
              <w:ind w:firstLine="480" w:firstLineChars="200"/>
              <w:rPr>
                <w:rFonts w:hint="eastAsia"/>
                <w:color w:val="auto"/>
                <w:highlight w:val="none"/>
                <w:lang w:eastAsia="zh-CN"/>
              </w:rPr>
            </w:pPr>
            <w:r>
              <w:rPr>
                <w:rFonts w:hint="eastAsia"/>
                <w:color w:val="auto"/>
                <w:kern w:val="0"/>
                <w:szCs w:val="24"/>
                <w:highlight w:val="none"/>
                <w:lang w:val="en-US" w:eastAsia="zh-CN"/>
              </w:rPr>
              <w:t>⑧废活化水：根据前文，活化水使用量为10t/a，转印线蓄水池为1.5m</w:t>
            </w:r>
            <w:r>
              <w:rPr>
                <w:rFonts w:hint="eastAsia"/>
                <w:color w:val="auto"/>
                <w:kern w:val="0"/>
                <w:szCs w:val="24"/>
                <w:highlight w:val="none"/>
                <w:vertAlign w:val="superscript"/>
                <w:lang w:val="en-US" w:eastAsia="zh-CN"/>
              </w:rPr>
              <w:t>3</w:t>
            </w:r>
            <w:r>
              <w:rPr>
                <w:rFonts w:hint="eastAsia"/>
                <w:color w:val="auto"/>
                <w:kern w:val="0"/>
                <w:szCs w:val="24"/>
                <w:highlight w:val="none"/>
                <w:vertAlign w:val="baseline"/>
                <w:lang w:val="en-US" w:eastAsia="zh-CN"/>
              </w:rPr>
              <w:t>，日常使用定期添加新鲜活化水，一年一换，本次计算以蓄水池量为废水，故废活化水量为1.5t，</w:t>
            </w:r>
            <w:r>
              <w:rPr>
                <w:rFonts w:ascii="Times New Roman" w:hAnsi="Times New Roman" w:eastAsia="宋体" w:cs="Times New Roman"/>
                <w:color w:val="000000" w:themeColor="text1"/>
                <w:sz w:val="24"/>
                <w:szCs w:val="24"/>
                <w:lang w:bidi="ar"/>
                <w14:textFill>
                  <w14:solidFill>
                    <w14:schemeClr w14:val="tx1"/>
                  </w14:solidFill>
                </w14:textFill>
              </w:rPr>
              <w:t>根据《国家危险废物名录》</w:t>
            </w:r>
            <w:r>
              <w:rPr>
                <w:rFonts w:hint="eastAsia" w:ascii="Times New Roman" w:hAnsi="Times New Roman" w:eastAsia="宋体" w:cs="Times New Roman"/>
                <w:b w:val="0"/>
                <w:bCs w:val="0"/>
                <w:caps w:val="0"/>
                <w:color w:val="auto"/>
                <w:sz w:val="24"/>
              </w:rPr>
              <w:t>（</w:t>
            </w:r>
            <w:r>
              <w:rPr>
                <w:rFonts w:hint="eastAsia" w:ascii="Times New Roman" w:hAnsi="Times New Roman" w:eastAsia="宋体" w:cs="Times New Roman"/>
                <w:b w:val="0"/>
                <w:bCs w:val="0"/>
                <w:caps w:val="0"/>
                <w:color w:val="auto"/>
                <w:sz w:val="24"/>
                <w:lang w:val="en-US" w:eastAsia="zh-CN"/>
              </w:rPr>
              <w:t>2025</w:t>
            </w:r>
            <w:r>
              <w:rPr>
                <w:rFonts w:hint="eastAsia" w:ascii="Times New Roman" w:hAnsi="Times New Roman" w:eastAsia="宋体" w:cs="Times New Roman"/>
                <w:b w:val="0"/>
                <w:bCs w:val="0"/>
                <w:caps w:val="0"/>
                <w:color w:val="auto"/>
                <w:sz w:val="24"/>
              </w:rPr>
              <w:t>版）</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属于</w:t>
            </w:r>
            <w:r>
              <w:rPr>
                <w:rFonts w:ascii="Times New Roman" w:hAnsi="Times New Roman" w:eastAsia="宋体" w:cs="Times New Roman"/>
                <w:color w:val="000000" w:themeColor="text1"/>
                <w:sz w:val="24"/>
                <w:szCs w:val="24"/>
                <w:lang w:bidi="ar"/>
                <w14:textFill>
                  <w14:solidFill>
                    <w14:schemeClr w14:val="tx1"/>
                  </w14:solidFill>
                </w14:textFill>
              </w:rPr>
              <w:t>HW</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49其他废物</w:t>
            </w:r>
            <w:r>
              <w:rPr>
                <w:rFonts w:ascii="Times New Roman" w:hAnsi="Times New Roman" w:eastAsia="宋体" w:cs="Times New Roman"/>
                <w:color w:val="000000" w:themeColor="text1"/>
                <w:sz w:val="24"/>
                <w:szCs w:val="24"/>
                <w:lang w:bidi="ar"/>
                <w14:textFill>
                  <w14:solidFill>
                    <w14:schemeClr w14:val="tx1"/>
                  </w14:solidFill>
                </w14:textFill>
              </w:rPr>
              <w:t>，危废代码为900-0</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42</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49</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color w:val="auto"/>
                <w:kern w:val="0"/>
                <w:szCs w:val="24"/>
                <w:highlight w:val="none"/>
                <w:vertAlign w:val="baseline"/>
                <w:lang w:val="en-US" w:eastAsia="zh-CN"/>
              </w:rPr>
              <w:t>作为危险废物处理，暂存</w:t>
            </w:r>
            <w:r>
              <w:rPr>
                <w:rFonts w:hint="eastAsia"/>
                <w:color w:val="auto"/>
                <w:highlight w:val="none"/>
                <w:lang w:val="en-US" w:eastAsia="zh-CN"/>
              </w:rPr>
              <w:t>在厂区危险废物暂存间，</w:t>
            </w:r>
            <w:r>
              <w:rPr>
                <w:rFonts w:hint="eastAsia"/>
                <w:color w:val="auto"/>
                <w:highlight w:val="none"/>
              </w:rPr>
              <w:t>委托有危废处置资质的单位处置</w:t>
            </w:r>
            <w:r>
              <w:rPr>
                <w:rFonts w:hint="eastAsia"/>
                <w:color w:val="auto"/>
                <w:highlight w:val="none"/>
                <w:lang w:eastAsia="zh-CN"/>
              </w:rPr>
              <w:t>。</w:t>
            </w:r>
          </w:p>
          <w:p w14:paraId="1ECE91DE">
            <w:pPr>
              <w:pStyle w:val="48"/>
              <w:numPr>
                <w:ilvl w:val="0"/>
                <w:numId w:val="0"/>
              </w:numPr>
              <w:autoSpaceDE w:val="0"/>
              <w:spacing w:line="360" w:lineRule="auto"/>
              <w:ind w:firstLine="480" w:firstLineChars="200"/>
              <w:rPr>
                <w:rFonts w:hint="default"/>
                <w:color w:val="auto"/>
                <w:kern w:val="0"/>
                <w:szCs w:val="24"/>
                <w:highlight w:val="none"/>
                <w:lang w:val="en-US" w:eastAsia="zh-CN"/>
              </w:rPr>
            </w:pPr>
            <w:r>
              <w:rPr>
                <w:rFonts w:hint="eastAsia"/>
                <w:color w:val="auto"/>
                <w:kern w:val="0"/>
                <w:szCs w:val="24"/>
                <w:highlight w:val="none"/>
                <w:lang w:val="en-US" w:eastAsia="zh-CN"/>
              </w:rPr>
              <w:t>⑨喷淋塔废水：项目废气处理装置为水喷淋设施，根据前文，</w:t>
            </w:r>
            <w:r>
              <w:rPr>
                <w:rFonts w:hint="eastAsia"/>
                <w:color w:val="auto"/>
                <w:highlight w:val="none"/>
                <w:vertAlign w:val="baseline"/>
                <w:lang w:val="en-US" w:eastAsia="zh-CN"/>
              </w:rPr>
              <w:t>喷淋水箱1m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内部水一年一换</w:t>
            </w:r>
            <w:r>
              <w:rPr>
                <w:rFonts w:hint="eastAsia"/>
                <w:color w:val="auto"/>
                <w:highlight w:val="none"/>
                <w:vertAlign w:val="baseline"/>
                <w:lang w:val="en-US" w:eastAsia="zh-CN"/>
              </w:rPr>
              <w:t>，故喷淋废水1t/a</w:t>
            </w:r>
            <w:r>
              <w:rPr>
                <w:rFonts w:hint="eastAsia"/>
                <w:color w:val="auto"/>
                <w:kern w:val="0"/>
                <w:szCs w:val="24"/>
                <w:highlight w:val="none"/>
                <w:lang w:val="en-US" w:eastAsia="zh-CN"/>
              </w:rPr>
              <w:t>，根据前文计算，底泥（漆渣）的量为1.167t，合计2.167t/a。</w:t>
            </w:r>
            <w:r>
              <w:rPr>
                <w:rFonts w:ascii="Times New Roman" w:hAnsi="Times New Roman" w:eastAsia="宋体" w:cs="Times New Roman"/>
                <w:color w:val="000000" w:themeColor="text1"/>
                <w:sz w:val="24"/>
                <w:szCs w:val="24"/>
                <w:lang w:bidi="ar"/>
                <w14:textFill>
                  <w14:solidFill>
                    <w14:schemeClr w14:val="tx1"/>
                  </w14:solidFill>
                </w14:textFill>
              </w:rPr>
              <w:t>根据《国家危险废物名录》</w:t>
            </w:r>
            <w:r>
              <w:rPr>
                <w:rFonts w:hint="eastAsia" w:ascii="Times New Roman" w:hAnsi="Times New Roman" w:eastAsia="宋体" w:cs="Times New Roman"/>
                <w:b w:val="0"/>
                <w:bCs w:val="0"/>
                <w:caps w:val="0"/>
                <w:color w:val="auto"/>
                <w:sz w:val="24"/>
              </w:rPr>
              <w:t>（</w:t>
            </w:r>
            <w:r>
              <w:rPr>
                <w:rFonts w:hint="eastAsia" w:ascii="Times New Roman" w:hAnsi="Times New Roman" w:eastAsia="宋体" w:cs="Times New Roman"/>
                <w:b w:val="0"/>
                <w:bCs w:val="0"/>
                <w:caps w:val="0"/>
                <w:color w:val="auto"/>
                <w:sz w:val="24"/>
                <w:lang w:val="en-US" w:eastAsia="zh-CN"/>
              </w:rPr>
              <w:t>2025</w:t>
            </w:r>
            <w:r>
              <w:rPr>
                <w:rFonts w:hint="eastAsia" w:ascii="Times New Roman" w:hAnsi="Times New Roman" w:eastAsia="宋体" w:cs="Times New Roman"/>
                <w:b w:val="0"/>
                <w:bCs w:val="0"/>
                <w:caps w:val="0"/>
                <w:color w:val="auto"/>
                <w:sz w:val="24"/>
              </w:rPr>
              <w:t>版）</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属于</w:t>
            </w:r>
            <w:r>
              <w:rPr>
                <w:rFonts w:ascii="Times New Roman" w:hAnsi="Times New Roman" w:eastAsia="宋体" w:cs="Times New Roman"/>
                <w:color w:val="000000" w:themeColor="text1"/>
                <w:sz w:val="24"/>
                <w:szCs w:val="24"/>
                <w:lang w:bidi="ar"/>
                <w14:textFill>
                  <w14:solidFill>
                    <w14:schemeClr w14:val="tx1"/>
                  </w14:solidFill>
                </w14:textFill>
              </w:rPr>
              <w:t>HW</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49其他废物</w:t>
            </w:r>
            <w:r>
              <w:rPr>
                <w:rFonts w:ascii="Times New Roman" w:hAnsi="Times New Roman" w:eastAsia="宋体" w:cs="Times New Roman"/>
                <w:color w:val="000000" w:themeColor="text1"/>
                <w:sz w:val="24"/>
                <w:szCs w:val="24"/>
                <w:lang w:bidi="ar"/>
                <w14:textFill>
                  <w14:solidFill>
                    <w14:schemeClr w14:val="tx1"/>
                  </w14:solidFill>
                </w14:textFill>
              </w:rPr>
              <w:t>，危废代码为900-0</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42</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49</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color w:val="auto"/>
                <w:kern w:val="0"/>
                <w:szCs w:val="24"/>
                <w:highlight w:val="none"/>
                <w:vertAlign w:val="baseline"/>
                <w:lang w:val="en-US" w:eastAsia="zh-CN"/>
              </w:rPr>
              <w:t>作为危险废物处理，暂存</w:t>
            </w:r>
            <w:r>
              <w:rPr>
                <w:rFonts w:hint="eastAsia"/>
                <w:color w:val="auto"/>
                <w:highlight w:val="none"/>
                <w:lang w:val="en-US" w:eastAsia="zh-CN"/>
              </w:rPr>
              <w:t>在厂区危险废物暂存间，</w:t>
            </w:r>
            <w:r>
              <w:rPr>
                <w:rFonts w:hint="eastAsia"/>
                <w:color w:val="auto"/>
                <w:highlight w:val="none"/>
              </w:rPr>
              <w:t>委托有危废处置资质的单位处置</w:t>
            </w:r>
            <w:r>
              <w:rPr>
                <w:rFonts w:hint="eastAsia"/>
                <w:color w:val="auto"/>
                <w:highlight w:val="none"/>
                <w:lang w:eastAsia="zh-CN"/>
              </w:rPr>
              <w:t>。</w:t>
            </w:r>
          </w:p>
          <w:p w14:paraId="29079916">
            <w:pPr>
              <w:pStyle w:val="48"/>
              <w:numPr>
                <w:ilvl w:val="0"/>
                <w:numId w:val="0"/>
              </w:numPr>
              <w:autoSpaceDE w:val="0"/>
              <w:spacing w:line="360" w:lineRule="auto"/>
              <w:ind w:firstLine="480" w:firstLineChars="200"/>
              <w:rPr>
                <w:rFonts w:hint="eastAsia"/>
                <w:color w:val="auto"/>
                <w:kern w:val="0"/>
                <w:szCs w:val="24"/>
                <w:highlight w:val="none"/>
                <w:lang w:val="en-US" w:eastAsia="zh-CN"/>
              </w:rPr>
            </w:pPr>
            <w:r>
              <w:rPr>
                <w:rFonts w:hint="eastAsia"/>
                <w:color w:val="auto"/>
                <w:kern w:val="0"/>
                <w:szCs w:val="24"/>
                <w:highlight w:val="none"/>
                <w:lang w:val="en-US" w:eastAsia="zh-CN"/>
              </w:rPr>
              <w:t>（3）生活垃圾</w:t>
            </w:r>
          </w:p>
          <w:p w14:paraId="3C1D664F">
            <w:pPr>
              <w:pStyle w:val="48"/>
              <w:numPr>
                <w:ilvl w:val="0"/>
                <w:numId w:val="0"/>
              </w:numPr>
              <w:autoSpaceDE w:val="0"/>
              <w:spacing w:line="360" w:lineRule="auto"/>
              <w:ind w:firstLine="480" w:firstLineChars="200"/>
              <w:rPr>
                <w:color w:val="auto"/>
                <w:kern w:val="0"/>
                <w:szCs w:val="24"/>
                <w:highlight w:val="none"/>
              </w:rPr>
            </w:pPr>
            <w:r>
              <w:rPr>
                <w:rFonts w:hint="eastAsia"/>
                <w:color w:val="auto"/>
                <w:kern w:val="0"/>
                <w:szCs w:val="24"/>
                <w:highlight w:val="none"/>
                <w:lang w:val="en-US" w:eastAsia="zh-CN"/>
              </w:rPr>
              <w:t>项目办公人员40人，每人每天0.5kg计算，年工作300天，则生活垃圾产生量为6t/a。经垃圾箱集中收集后由环卫部门统一清运处理。</w:t>
            </w:r>
          </w:p>
          <w:p w14:paraId="572088CA">
            <w:pPr>
              <w:adjustRightInd w:val="0"/>
              <w:snapToGrid w:val="0"/>
              <w:jc w:val="center"/>
              <w:rPr>
                <w:color w:val="auto"/>
                <w:highlight w:val="none"/>
              </w:rPr>
            </w:pPr>
            <w:r>
              <w:rPr>
                <w:b/>
                <w:bCs/>
                <w:color w:val="auto"/>
                <w:highlight w:val="none"/>
              </w:rPr>
              <w:t>表4</w:t>
            </w:r>
            <w:r>
              <w:rPr>
                <w:rFonts w:hint="eastAsia"/>
                <w:b/>
                <w:bCs/>
                <w:color w:val="auto"/>
                <w:highlight w:val="none"/>
                <w:lang w:val="en-US" w:eastAsia="zh-CN"/>
              </w:rPr>
              <w:t>-16</w:t>
            </w:r>
            <w:r>
              <w:rPr>
                <w:rFonts w:hint="eastAsia"/>
                <w:b/>
                <w:bCs/>
                <w:color w:val="auto"/>
                <w:highlight w:val="none"/>
              </w:rPr>
              <w:t xml:space="preserve"> </w:t>
            </w:r>
            <w:r>
              <w:rPr>
                <w:b/>
                <w:bCs/>
                <w:color w:val="auto"/>
                <w:highlight w:val="none"/>
              </w:rPr>
              <w:t xml:space="preserve"> 项目固体废物产</w:t>
            </w:r>
            <w:r>
              <w:rPr>
                <w:rFonts w:hint="eastAsia"/>
                <w:b/>
                <w:bCs/>
                <w:color w:val="auto"/>
                <w:highlight w:val="none"/>
              </w:rPr>
              <w:t>排污</w:t>
            </w:r>
            <w:r>
              <w:rPr>
                <w:b/>
                <w:bCs/>
                <w:color w:val="auto"/>
                <w:highlight w:val="none"/>
              </w:rPr>
              <w:t>情况</w:t>
            </w:r>
            <w:r>
              <w:rPr>
                <w:rFonts w:hint="eastAsia"/>
                <w:b/>
                <w:bCs/>
                <w:color w:val="auto"/>
                <w:highlight w:val="none"/>
              </w:rPr>
              <w:t>一览</w:t>
            </w:r>
            <w:r>
              <w:rPr>
                <w:b/>
                <w:bCs/>
                <w:color w:val="auto"/>
                <w:highlight w:val="none"/>
              </w:rPr>
              <w:t>表</w:t>
            </w:r>
          </w:p>
          <w:tbl>
            <w:tblPr>
              <w:tblStyle w:val="21"/>
              <w:tblW w:w="8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736"/>
              <w:gridCol w:w="1455"/>
              <w:gridCol w:w="841"/>
              <w:gridCol w:w="745"/>
              <w:gridCol w:w="1041"/>
              <w:gridCol w:w="1143"/>
              <w:gridCol w:w="845"/>
            </w:tblGrid>
            <w:tr w14:paraId="27C7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vAlign w:val="center"/>
                </w:tcPr>
                <w:p w14:paraId="1AF969FF">
                  <w:pPr>
                    <w:jc w:val="center"/>
                    <w:rPr>
                      <w:b/>
                      <w:color w:val="auto"/>
                      <w:sz w:val="21"/>
                      <w:szCs w:val="21"/>
                      <w:highlight w:val="none"/>
                    </w:rPr>
                  </w:pPr>
                  <w:r>
                    <w:rPr>
                      <w:b/>
                      <w:color w:val="auto"/>
                      <w:sz w:val="21"/>
                      <w:szCs w:val="21"/>
                      <w:highlight w:val="none"/>
                      <w:lang w:bidi="ar"/>
                    </w:rPr>
                    <w:t>名称</w:t>
                  </w:r>
                </w:p>
              </w:tc>
              <w:tc>
                <w:tcPr>
                  <w:tcW w:w="736" w:type="dxa"/>
                  <w:vAlign w:val="center"/>
                </w:tcPr>
                <w:p w14:paraId="4A1F10F3">
                  <w:pPr>
                    <w:jc w:val="center"/>
                    <w:rPr>
                      <w:b/>
                      <w:color w:val="auto"/>
                      <w:sz w:val="21"/>
                      <w:szCs w:val="21"/>
                      <w:highlight w:val="none"/>
                    </w:rPr>
                  </w:pPr>
                  <w:r>
                    <w:rPr>
                      <w:b/>
                      <w:color w:val="auto"/>
                      <w:sz w:val="21"/>
                      <w:szCs w:val="21"/>
                      <w:highlight w:val="none"/>
                      <w:lang w:bidi="ar"/>
                    </w:rPr>
                    <w:t>类别</w:t>
                  </w:r>
                </w:p>
              </w:tc>
              <w:tc>
                <w:tcPr>
                  <w:tcW w:w="1455" w:type="dxa"/>
                  <w:vAlign w:val="center"/>
                </w:tcPr>
                <w:p w14:paraId="537AF89A">
                  <w:pPr>
                    <w:jc w:val="center"/>
                    <w:rPr>
                      <w:b/>
                      <w:color w:val="auto"/>
                      <w:sz w:val="21"/>
                      <w:szCs w:val="21"/>
                      <w:highlight w:val="none"/>
                      <w:lang w:bidi="ar"/>
                    </w:rPr>
                  </w:pPr>
                  <w:r>
                    <w:rPr>
                      <w:b/>
                      <w:color w:val="auto"/>
                      <w:sz w:val="21"/>
                      <w:szCs w:val="21"/>
                      <w:highlight w:val="none"/>
                      <w:lang w:bidi="ar"/>
                    </w:rPr>
                    <w:t>固体废物代码</w:t>
                  </w:r>
                </w:p>
              </w:tc>
              <w:tc>
                <w:tcPr>
                  <w:tcW w:w="841" w:type="dxa"/>
                  <w:vAlign w:val="center"/>
                </w:tcPr>
                <w:p w14:paraId="6169FDD0">
                  <w:pPr>
                    <w:jc w:val="center"/>
                    <w:rPr>
                      <w:b/>
                      <w:color w:val="auto"/>
                      <w:sz w:val="21"/>
                      <w:szCs w:val="21"/>
                      <w:highlight w:val="none"/>
                      <w:lang w:bidi="ar"/>
                    </w:rPr>
                  </w:pPr>
                  <w:r>
                    <w:rPr>
                      <w:b/>
                      <w:color w:val="auto"/>
                      <w:sz w:val="21"/>
                      <w:szCs w:val="21"/>
                      <w:highlight w:val="none"/>
                      <w:lang w:bidi="ar"/>
                    </w:rPr>
                    <w:t>产生环节</w:t>
                  </w:r>
                </w:p>
              </w:tc>
              <w:tc>
                <w:tcPr>
                  <w:tcW w:w="745" w:type="dxa"/>
                  <w:vAlign w:val="center"/>
                </w:tcPr>
                <w:p w14:paraId="3E115352">
                  <w:pPr>
                    <w:jc w:val="center"/>
                    <w:rPr>
                      <w:b/>
                      <w:color w:val="auto"/>
                      <w:sz w:val="21"/>
                      <w:szCs w:val="21"/>
                      <w:highlight w:val="none"/>
                      <w:lang w:bidi="ar"/>
                    </w:rPr>
                  </w:pPr>
                  <w:r>
                    <w:rPr>
                      <w:b/>
                      <w:color w:val="auto"/>
                      <w:sz w:val="21"/>
                      <w:szCs w:val="21"/>
                      <w:highlight w:val="none"/>
                      <w:lang w:bidi="ar"/>
                    </w:rPr>
                    <w:t>状态</w:t>
                  </w:r>
                </w:p>
              </w:tc>
              <w:tc>
                <w:tcPr>
                  <w:tcW w:w="1041" w:type="dxa"/>
                  <w:vAlign w:val="center"/>
                </w:tcPr>
                <w:p w14:paraId="25C8E8C0">
                  <w:pPr>
                    <w:jc w:val="center"/>
                    <w:rPr>
                      <w:rFonts w:hint="eastAsia" w:eastAsia="宋体"/>
                      <w:b/>
                      <w:color w:val="auto"/>
                      <w:sz w:val="21"/>
                      <w:szCs w:val="21"/>
                      <w:highlight w:val="none"/>
                      <w:lang w:eastAsia="zh-CN"/>
                    </w:rPr>
                  </w:pPr>
                  <w:r>
                    <w:rPr>
                      <w:b/>
                      <w:color w:val="auto"/>
                      <w:sz w:val="21"/>
                      <w:szCs w:val="21"/>
                      <w:highlight w:val="none"/>
                      <w:lang w:bidi="ar"/>
                    </w:rPr>
                    <w:t>产生量</w:t>
                  </w:r>
                  <w:r>
                    <w:rPr>
                      <w:rFonts w:hint="eastAsia"/>
                      <w:b/>
                      <w:color w:val="auto"/>
                      <w:sz w:val="21"/>
                      <w:szCs w:val="21"/>
                      <w:highlight w:val="none"/>
                      <w:lang w:eastAsia="zh-CN" w:bidi="ar"/>
                    </w:rPr>
                    <w:t>（</w:t>
                  </w:r>
                  <w:r>
                    <w:rPr>
                      <w:b/>
                      <w:color w:val="auto"/>
                      <w:sz w:val="21"/>
                      <w:szCs w:val="21"/>
                      <w:highlight w:val="none"/>
                      <w:lang w:bidi="ar"/>
                    </w:rPr>
                    <w:t>t/a</w:t>
                  </w:r>
                  <w:r>
                    <w:rPr>
                      <w:rFonts w:hint="eastAsia"/>
                      <w:b/>
                      <w:color w:val="auto"/>
                      <w:sz w:val="21"/>
                      <w:szCs w:val="21"/>
                      <w:highlight w:val="none"/>
                      <w:lang w:eastAsia="zh-CN" w:bidi="ar"/>
                    </w:rPr>
                    <w:t>）</w:t>
                  </w:r>
                </w:p>
              </w:tc>
              <w:tc>
                <w:tcPr>
                  <w:tcW w:w="1143" w:type="dxa"/>
                  <w:vAlign w:val="center"/>
                </w:tcPr>
                <w:p w14:paraId="3EB7BAE9">
                  <w:pPr>
                    <w:jc w:val="center"/>
                    <w:rPr>
                      <w:b/>
                      <w:color w:val="auto"/>
                      <w:sz w:val="21"/>
                      <w:szCs w:val="21"/>
                      <w:highlight w:val="none"/>
                    </w:rPr>
                  </w:pPr>
                  <w:r>
                    <w:rPr>
                      <w:b/>
                      <w:color w:val="auto"/>
                      <w:sz w:val="21"/>
                      <w:szCs w:val="21"/>
                      <w:highlight w:val="none"/>
                      <w:lang w:bidi="ar"/>
                    </w:rPr>
                    <w:t>最终去向</w:t>
                  </w:r>
                </w:p>
              </w:tc>
              <w:tc>
                <w:tcPr>
                  <w:tcW w:w="845" w:type="dxa"/>
                  <w:vAlign w:val="center"/>
                </w:tcPr>
                <w:p w14:paraId="53E9ADFE">
                  <w:pPr>
                    <w:jc w:val="center"/>
                    <w:rPr>
                      <w:b/>
                      <w:color w:val="auto"/>
                      <w:sz w:val="21"/>
                      <w:szCs w:val="21"/>
                      <w:highlight w:val="none"/>
                      <w:lang w:bidi="ar"/>
                    </w:rPr>
                  </w:pPr>
                  <w:r>
                    <w:rPr>
                      <w:b/>
                      <w:color w:val="auto"/>
                      <w:sz w:val="21"/>
                      <w:szCs w:val="21"/>
                      <w:highlight w:val="none"/>
                      <w:lang w:bidi="ar"/>
                    </w:rPr>
                    <w:t>排放量（t/a）</w:t>
                  </w:r>
                </w:p>
              </w:tc>
            </w:tr>
            <w:tr w14:paraId="5746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408AF46F">
                  <w:pPr>
                    <w:jc w:val="center"/>
                    <w:outlineLvl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lang w:bidi="ar"/>
                    </w:rPr>
                    <w:t>生活垃圾</w:t>
                  </w:r>
                </w:p>
              </w:tc>
              <w:tc>
                <w:tcPr>
                  <w:tcW w:w="736" w:type="dxa"/>
                  <w:shd w:val="clear" w:color="auto" w:fill="auto"/>
                  <w:vAlign w:val="center"/>
                </w:tcPr>
                <w:p w14:paraId="0D3B685F">
                  <w:pPr>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1455" w:type="dxa"/>
                  <w:shd w:val="clear" w:color="auto" w:fill="auto"/>
                  <w:vAlign w:val="center"/>
                </w:tcPr>
                <w:p w14:paraId="6F061F1E">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bidi="ar"/>
                    </w:rPr>
                    <w:t>/</w:t>
                  </w:r>
                </w:p>
              </w:tc>
              <w:tc>
                <w:tcPr>
                  <w:tcW w:w="841" w:type="dxa"/>
                  <w:shd w:val="clear" w:color="auto" w:fill="auto"/>
                  <w:vAlign w:val="center"/>
                </w:tcPr>
                <w:p w14:paraId="54ED2CCE">
                  <w:pPr>
                    <w:jc w:val="center"/>
                    <w:rPr>
                      <w:rFonts w:hint="eastAsia" w:ascii="Times New Roman" w:hAnsi="Times New Roman" w:eastAsia="宋体" w:cs="Times New Roman"/>
                      <w:color w:val="auto"/>
                      <w:kern w:val="2"/>
                      <w:sz w:val="21"/>
                      <w:szCs w:val="21"/>
                      <w:highlight w:val="none"/>
                      <w:lang w:val="en-US" w:eastAsia="zh-CN" w:bidi="ar"/>
                    </w:rPr>
                  </w:pPr>
                  <w:r>
                    <w:rPr>
                      <w:color w:val="auto"/>
                      <w:sz w:val="21"/>
                      <w:szCs w:val="21"/>
                      <w:highlight w:val="none"/>
                      <w:lang w:bidi="ar"/>
                    </w:rPr>
                    <w:t>生活</w:t>
                  </w:r>
                </w:p>
              </w:tc>
              <w:tc>
                <w:tcPr>
                  <w:tcW w:w="745" w:type="dxa"/>
                  <w:shd w:val="clear" w:color="auto" w:fill="auto"/>
                  <w:vAlign w:val="center"/>
                </w:tcPr>
                <w:p w14:paraId="3944419E">
                  <w:pPr>
                    <w:jc w:val="center"/>
                    <w:rPr>
                      <w:rFonts w:hint="eastAsia" w:ascii="Times New Roman" w:hAnsi="Times New Roman" w:eastAsia="宋体" w:cs="Times New Roman"/>
                      <w:color w:val="auto"/>
                      <w:kern w:val="2"/>
                      <w:sz w:val="21"/>
                      <w:szCs w:val="21"/>
                      <w:highlight w:val="none"/>
                      <w:lang w:val="en-US" w:eastAsia="zh-CN" w:bidi="ar"/>
                    </w:rPr>
                  </w:pPr>
                  <w:r>
                    <w:rPr>
                      <w:color w:val="auto"/>
                      <w:sz w:val="21"/>
                      <w:szCs w:val="21"/>
                      <w:highlight w:val="none"/>
                      <w:lang w:bidi="ar"/>
                    </w:rPr>
                    <w:t>固态</w:t>
                  </w:r>
                </w:p>
              </w:tc>
              <w:tc>
                <w:tcPr>
                  <w:tcW w:w="1041" w:type="dxa"/>
                  <w:shd w:val="clear" w:color="auto" w:fill="auto"/>
                  <w:vAlign w:val="center"/>
                </w:tcPr>
                <w:p w14:paraId="3F343C0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1143" w:type="dxa"/>
                  <w:shd w:val="clear" w:color="auto" w:fill="auto"/>
                  <w:vAlign w:val="center"/>
                </w:tcPr>
                <w:p w14:paraId="5EFAA429">
                  <w:pPr>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lang w:bidi="ar"/>
                    </w:rPr>
                    <w:t>环卫部门清运</w:t>
                  </w:r>
                </w:p>
              </w:tc>
              <w:tc>
                <w:tcPr>
                  <w:tcW w:w="845" w:type="dxa"/>
                  <w:shd w:val="clear" w:color="auto" w:fill="auto"/>
                  <w:vAlign w:val="center"/>
                </w:tcPr>
                <w:p w14:paraId="7CEBF6D4">
                  <w:pPr>
                    <w:jc w:val="center"/>
                    <w:rPr>
                      <w:rFonts w:hint="eastAsia" w:ascii="Times New Roman" w:hAnsi="Times New Roman" w:eastAsia="宋体" w:cs="Times New Roman"/>
                      <w:color w:val="auto"/>
                      <w:kern w:val="2"/>
                      <w:sz w:val="21"/>
                      <w:szCs w:val="21"/>
                      <w:highlight w:val="none"/>
                      <w:lang w:val="en-US" w:eastAsia="zh-CN" w:bidi="ar"/>
                    </w:rPr>
                  </w:pPr>
                  <w:r>
                    <w:rPr>
                      <w:color w:val="auto"/>
                      <w:sz w:val="21"/>
                      <w:szCs w:val="21"/>
                      <w:highlight w:val="none"/>
                      <w:lang w:bidi="ar"/>
                    </w:rPr>
                    <w:t>0</w:t>
                  </w:r>
                </w:p>
              </w:tc>
            </w:tr>
            <w:tr w14:paraId="4D50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2A87BA2C">
                  <w:pPr>
                    <w:jc w:val="center"/>
                    <w:outlineLvl w:val="0"/>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不合格品及边角料</w:t>
                  </w:r>
                </w:p>
              </w:tc>
              <w:tc>
                <w:tcPr>
                  <w:tcW w:w="736" w:type="dxa"/>
                  <w:shd w:val="clear" w:color="auto" w:fill="auto"/>
                  <w:vAlign w:val="center"/>
                </w:tcPr>
                <w:p w14:paraId="020E79B8">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一般固废</w:t>
                  </w:r>
                </w:p>
              </w:tc>
              <w:tc>
                <w:tcPr>
                  <w:tcW w:w="1455" w:type="dxa"/>
                  <w:shd w:val="clear" w:color="auto" w:fill="auto"/>
                  <w:vAlign w:val="center"/>
                </w:tcPr>
                <w:p w14:paraId="342A3A1C">
                  <w:pPr>
                    <w:jc w:val="center"/>
                    <w:rPr>
                      <w:rFonts w:hint="eastAsia"/>
                      <w:color w:val="auto"/>
                      <w:sz w:val="21"/>
                      <w:szCs w:val="21"/>
                      <w:highlight w:val="none"/>
                      <w:lang w:bidi="ar"/>
                    </w:rPr>
                  </w:pPr>
                  <w:r>
                    <w:rPr>
                      <w:rFonts w:hint="eastAsia"/>
                      <w:color w:val="auto"/>
                      <w:sz w:val="21"/>
                      <w:szCs w:val="21"/>
                      <w:highlight w:val="none"/>
                      <w:lang w:val="en-US" w:eastAsia="zh-CN" w:bidi="ar"/>
                    </w:rPr>
                    <w:t>900-003-S17</w:t>
                  </w:r>
                </w:p>
              </w:tc>
              <w:tc>
                <w:tcPr>
                  <w:tcW w:w="841" w:type="dxa"/>
                  <w:shd w:val="clear" w:color="auto" w:fill="auto"/>
                  <w:vAlign w:val="center"/>
                </w:tcPr>
                <w:p w14:paraId="7F040332">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生产过程</w:t>
                  </w:r>
                </w:p>
              </w:tc>
              <w:tc>
                <w:tcPr>
                  <w:tcW w:w="745" w:type="dxa"/>
                  <w:shd w:val="clear" w:color="auto" w:fill="auto"/>
                  <w:vAlign w:val="center"/>
                </w:tcPr>
                <w:p w14:paraId="3F3E36DC">
                  <w:pPr>
                    <w:jc w:val="center"/>
                    <w:rPr>
                      <w:color w:val="auto"/>
                      <w:sz w:val="21"/>
                      <w:szCs w:val="21"/>
                      <w:highlight w:val="none"/>
                      <w:lang w:bidi="ar"/>
                    </w:rPr>
                  </w:pPr>
                  <w:r>
                    <w:rPr>
                      <w:rFonts w:hint="eastAsia"/>
                      <w:color w:val="auto"/>
                      <w:sz w:val="21"/>
                      <w:szCs w:val="21"/>
                      <w:highlight w:val="none"/>
                      <w:lang w:val="en-US" w:eastAsia="zh-CN" w:bidi="ar"/>
                    </w:rPr>
                    <w:t>固态</w:t>
                  </w:r>
                </w:p>
              </w:tc>
              <w:tc>
                <w:tcPr>
                  <w:tcW w:w="1041" w:type="dxa"/>
                  <w:shd w:val="clear" w:color="auto" w:fill="auto"/>
                  <w:vAlign w:val="center"/>
                </w:tcPr>
                <w:p w14:paraId="2A7F749C">
                  <w:pPr>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143" w:type="dxa"/>
                  <w:shd w:val="clear" w:color="auto" w:fill="auto"/>
                  <w:vAlign w:val="center"/>
                </w:tcPr>
                <w:p w14:paraId="139D2B1F">
                  <w:pPr>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暂存破碎后回用</w:t>
                  </w:r>
                </w:p>
              </w:tc>
              <w:tc>
                <w:tcPr>
                  <w:tcW w:w="845" w:type="dxa"/>
                  <w:shd w:val="clear" w:color="auto" w:fill="auto"/>
                  <w:vAlign w:val="center"/>
                </w:tcPr>
                <w:p w14:paraId="5625099E">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w:t>
                  </w:r>
                </w:p>
              </w:tc>
            </w:tr>
            <w:tr w14:paraId="6A82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0CD89F02">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bidi="ar"/>
                    </w:rPr>
                    <w:t>漆渣</w:t>
                  </w:r>
                </w:p>
              </w:tc>
              <w:tc>
                <w:tcPr>
                  <w:tcW w:w="736" w:type="dxa"/>
                  <w:shd w:val="clear" w:color="auto" w:fill="auto"/>
                  <w:vAlign w:val="center"/>
                </w:tcPr>
                <w:p w14:paraId="2DA92070">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shd w:val="clear" w:color="auto" w:fill="auto"/>
                  <w:vAlign w:val="center"/>
                </w:tcPr>
                <w:p w14:paraId="529898C6">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900-252-12</w:t>
                  </w:r>
                </w:p>
              </w:tc>
              <w:tc>
                <w:tcPr>
                  <w:tcW w:w="841" w:type="dxa"/>
                  <w:shd w:val="clear" w:color="auto" w:fill="auto"/>
                  <w:vAlign w:val="center"/>
                </w:tcPr>
                <w:p w14:paraId="36DFB56F">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物料使用</w:t>
                  </w:r>
                </w:p>
              </w:tc>
              <w:tc>
                <w:tcPr>
                  <w:tcW w:w="745" w:type="dxa"/>
                  <w:shd w:val="clear" w:color="auto" w:fill="auto"/>
                  <w:vAlign w:val="center"/>
                </w:tcPr>
                <w:p w14:paraId="2C424E5A">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1041" w:type="dxa"/>
                  <w:shd w:val="clear" w:color="auto" w:fill="auto"/>
                  <w:vAlign w:val="center"/>
                </w:tcPr>
                <w:p w14:paraId="5DE0F67B">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0.07</w:t>
                  </w:r>
                </w:p>
              </w:tc>
              <w:tc>
                <w:tcPr>
                  <w:tcW w:w="1143" w:type="dxa"/>
                  <w:shd w:val="clear" w:color="auto" w:fill="auto"/>
                  <w:vAlign w:val="center"/>
                </w:tcPr>
                <w:p w14:paraId="7CF703E7">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rPr>
                    <w:t>有资质企业处理</w:t>
                  </w:r>
                </w:p>
              </w:tc>
              <w:tc>
                <w:tcPr>
                  <w:tcW w:w="845" w:type="dxa"/>
                  <w:shd w:val="clear" w:color="auto" w:fill="auto"/>
                  <w:vAlign w:val="center"/>
                </w:tcPr>
                <w:p w14:paraId="5A894E63">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w:t>
                  </w:r>
                </w:p>
              </w:tc>
            </w:tr>
            <w:tr w14:paraId="6401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544A0889">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废活性炭</w:t>
                  </w:r>
                </w:p>
              </w:tc>
              <w:tc>
                <w:tcPr>
                  <w:tcW w:w="736" w:type="dxa"/>
                  <w:shd w:val="clear" w:color="auto" w:fill="auto"/>
                  <w:vAlign w:val="center"/>
                </w:tcPr>
                <w:p w14:paraId="48BB5E81">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shd w:val="clear" w:color="auto" w:fill="auto"/>
                  <w:vAlign w:val="center"/>
                </w:tcPr>
                <w:p w14:paraId="2F3E5258">
                  <w:pPr>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900-039-49</w:t>
                  </w:r>
                </w:p>
              </w:tc>
              <w:tc>
                <w:tcPr>
                  <w:tcW w:w="841" w:type="dxa"/>
                  <w:shd w:val="clear" w:color="auto" w:fill="auto"/>
                  <w:vAlign w:val="center"/>
                </w:tcPr>
                <w:p w14:paraId="48B50299">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废气处理</w:t>
                  </w:r>
                </w:p>
              </w:tc>
              <w:tc>
                <w:tcPr>
                  <w:tcW w:w="745" w:type="dxa"/>
                  <w:shd w:val="clear" w:color="auto" w:fill="auto"/>
                  <w:vAlign w:val="center"/>
                </w:tcPr>
                <w:p w14:paraId="2182C4D0">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1041" w:type="dxa"/>
                  <w:shd w:val="clear" w:color="auto" w:fill="auto"/>
                  <w:vAlign w:val="center"/>
                </w:tcPr>
                <w:p w14:paraId="6F05454D">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6.94</w:t>
                  </w:r>
                </w:p>
              </w:tc>
              <w:tc>
                <w:tcPr>
                  <w:tcW w:w="1143" w:type="dxa"/>
                  <w:shd w:val="clear" w:color="auto" w:fill="auto"/>
                  <w:vAlign w:val="center"/>
                </w:tcPr>
                <w:p w14:paraId="012DE7FC">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rPr>
                    <w:t>有资质企业处理</w:t>
                  </w:r>
                </w:p>
              </w:tc>
              <w:tc>
                <w:tcPr>
                  <w:tcW w:w="845" w:type="dxa"/>
                  <w:shd w:val="clear" w:color="auto" w:fill="auto"/>
                  <w:vAlign w:val="center"/>
                </w:tcPr>
                <w:p w14:paraId="497D60F6">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w:t>
                  </w:r>
                </w:p>
              </w:tc>
            </w:tr>
            <w:tr w14:paraId="09F0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114A4095">
                  <w:pPr>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废紫外线灯</w:t>
                  </w:r>
                </w:p>
              </w:tc>
              <w:tc>
                <w:tcPr>
                  <w:tcW w:w="736" w:type="dxa"/>
                  <w:shd w:val="clear" w:color="auto" w:fill="auto"/>
                  <w:vAlign w:val="center"/>
                </w:tcPr>
                <w:p w14:paraId="4279517C">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shd w:val="clear" w:color="auto" w:fill="auto"/>
                  <w:vAlign w:val="center"/>
                </w:tcPr>
                <w:p w14:paraId="642A059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900-023-29</w:t>
                  </w:r>
                </w:p>
              </w:tc>
              <w:tc>
                <w:tcPr>
                  <w:tcW w:w="841" w:type="dxa"/>
                  <w:shd w:val="clear" w:color="auto" w:fill="auto"/>
                  <w:vAlign w:val="center"/>
                </w:tcPr>
                <w:p w14:paraId="644A4AAF">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废气处理</w:t>
                  </w:r>
                </w:p>
              </w:tc>
              <w:tc>
                <w:tcPr>
                  <w:tcW w:w="745" w:type="dxa"/>
                  <w:shd w:val="clear" w:color="auto" w:fill="auto"/>
                  <w:vAlign w:val="center"/>
                </w:tcPr>
                <w:p w14:paraId="6C02D927">
                  <w:pPr>
                    <w:jc w:val="center"/>
                    <w:rPr>
                      <w:rFonts w:hint="eastAsia"/>
                      <w:color w:val="auto"/>
                      <w:sz w:val="21"/>
                      <w:szCs w:val="21"/>
                      <w:highlight w:val="none"/>
                      <w:lang w:val="en-US" w:eastAsia="zh-CN" w:bidi="ar"/>
                    </w:rPr>
                  </w:pPr>
                  <w:r>
                    <w:rPr>
                      <w:color w:val="auto"/>
                      <w:sz w:val="21"/>
                      <w:szCs w:val="21"/>
                      <w:highlight w:val="none"/>
                      <w:lang w:bidi="ar"/>
                    </w:rPr>
                    <w:t>固态</w:t>
                  </w:r>
                </w:p>
              </w:tc>
              <w:tc>
                <w:tcPr>
                  <w:tcW w:w="1041" w:type="dxa"/>
                  <w:shd w:val="clear" w:color="auto" w:fill="auto"/>
                  <w:vAlign w:val="center"/>
                </w:tcPr>
                <w:p w14:paraId="0599A9C3">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0.0012</w:t>
                  </w:r>
                </w:p>
              </w:tc>
              <w:tc>
                <w:tcPr>
                  <w:tcW w:w="1143" w:type="dxa"/>
                  <w:shd w:val="clear" w:color="auto" w:fill="auto"/>
                  <w:vAlign w:val="center"/>
                </w:tcPr>
                <w:p w14:paraId="38127891">
                  <w:pPr>
                    <w:jc w:val="center"/>
                    <w:rPr>
                      <w:rFonts w:hint="eastAsia"/>
                      <w:color w:val="auto"/>
                      <w:sz w:val="21"/>
                      <w:szCs w:val="21"/>
                      <w:highlight w:val="none"/>
                      <w:lang w:val="en-US" w:eastAsia="zh-CN"/>
                    </w:rPr>
                  </w:pPr>
                  <w:r>
                    <w:rPr>
                      <w:rFonts w:hint="eastAsia"/>
                      <w:color w:val="auto"/>
                      <w:sz w:val="21"/>
                      <w:szCs w:val="21"/>
                      <w:highlight w:val="none"/>
                      <w:lang w:val="en-US" w:eastAsia="zh-CN"/>
                    </w:rPr>
                    <w:t>有资质企业处理</w:t>
                  </w:r>
                </w:p>
              </w:tc>
              <w:tc>
                <w:tcPr>
                  <w:tcW w:w="845" w:type="dxa"/>
                  <w:shd w:val="clear" w:color="auto" w:fill="auto"/>
                  <w:vAlign w:val="center"/>
                </w:tcPr>
                <w:p w14:paraId="1D290A02">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w:t>
                  </w:r>
                </w:p>
              </w:tc>
            </w:tr>
            <w:tr w14:paraId="6BCC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3F7236B0">
                  <w:pPr>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废桶（废漆桶、废稀释剂桶、废固化剂桶）</w:t>
                  </w:r>
                </w:p>
              </w:tc>
              <w:tc>
                <w:tcPr>
                  <w:tcW w:w="736" w:type="dxa"/>
                  <w:shd w:val="clear" w:color="auto" w:fill="auto"/>
                  <w:vAlign w:val="center"/>
                </w:tcPr>
                <w:p w14:paraId="4CA42197">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shd w:val="clear" w:color="auto" w:fill="auto"/>
                  <w:vAlign w:val="center"/>
                </w:tcPr>
                <w:p w14:paraId="56EA8CB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900-041-49</w:t>
                  </w:r>
                </w:p>
              </w:tc>
              <w:tc>
                <w:tcPr>
                  <w:tcW w:w="841" w:type="dxa"/>
                  <w:shd w:val="clear" w:color="auto" w:fill="auto"/>
                  <w:vAlign w:val="center"/>
                </w:tcPr>
                <w:p w14:paraId="61B33A87">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物料使用</w:t>
                  </w:r>
                </w:p>
              </w:tc>
              <w:tc>
                <w:tcPr>
                  <w:tcW w:w="745" w:type="dxa"/>
                  <w:shd w:val="clear" w:color="auto" w:fill="auto"/>
                  <w:vAlign w:val="center"/>
                </w:tcPr>
                <w:p w14:paraId="33B23C47">
                  <w:pPr>
                    <w:jc w:val="center"/>
                    <w:rPr>
                      <w:rFonts w:hint="eastAsia"/>
                      <w:color w:val="auto"/>
                      <w:sz w:val="21"/>
                      <w:szCs w:val="21"/>
                      <w:highlight w:val="none"/>
                      <w:lang w:val="en-US" w:eastAsia="zh-CN" w:bidi="ar"/>
                    </w:rPr>
                  </w:pPr>
                  <w:r>
                    <w:rPr>
                      <w:color w:val="auto"/>
                      <w:sz w:val="21"/>
                      <w:szCs w:val="21"/>
                      <w:highlight w:val="none"/>
                      <w:lang w:bidi="ar"/>
                    </w:rPr>
                    <w:t>固态</w:t>
                  </w:r>
                </w:p>
              </w:tc>
              <w:tc>
                <w:tcPr>
                  <w:tcW w:w="1041" w:type="dxa"/>
                  <w:shd w:val="clear" w:color="auto" w:fill="auto"/>
                  <w:vAlign w:val="center"/>
                </w:tcPr>
                <w:p w14:paraId="4C2E8590">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0.05</w:t>
                  </w:r>
                </w:p>
              </w:tc>
              <w:tc>
                <w:tcPr>
                  <w:tcW w:w="1143" w:type="dxa"/>
                  <w:shd w:val="clear" w:color="auto" w:fill="auto"/>
                  <w:vAlign w:val="center"/>
                </w:tcPr>
                <w:p w14:paraId="55B5F829">
                  <w:pPr>
                    <w:jc w:val="center"/>
                    <w:rPr>
                      <w:rFonts w:hint="eastAsia"/>
                      <w:color w:val="auto"/>
                      <w:sz w:val="21"/>
                      <w:szCs w:val="21"/>
                      <w:highlight w:val="none"/>
                      <w:lang w:val="en-US" w:eastAsia="zh-CN"/>
                    </w:rPr>
                  </w:pPr>
                  <w:r>
                    <w:rPr>
                      <w:rFonts w:hint="eastAsia"/>
                      <w:color w:val="auto"/>
                      <w:sz w:val="21"/>
                      <w:szCs w:val="21"/>
                      <w:highlight w:val="none"/>
                      <w:lang w:val="en-US" w:eastAsia="zh-CN"/>
                    </w:rPr>
                    <w:t>有资质企业处理</w:t>
                  </w:r>
                </w:p>
              </w:tc>
              <w:tc>
                <w:tcPr>
                  <w:tcW w:w="845" w:type="dxa"/>
                  <w:shd w:val="clear" w:color="auto" w:fill="auto"/>
                  <w:vAlign w:val="center"/>
                </w:tcPr>
                <w:p w14:paraId="11BE1EDA">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w:t>
                  </w:r>
                </w:p>
              </w:tc>
            </w:tr>
            <w:tr w14:paraId="6E22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3E234BB1">
                  <w:pPr>
                    <w:jc w:val="center"/>
                    <w:outlineLvl w:val="0"/>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废机油</w:t>
                  </w:r>
                </w:p>
              </w:tc>
              <w:tc>
                <w:tcPr>
                  <w:tcW w:w="736" w:type="dxa"/>
                  <w:shd w:val="clear" w:color="auto" w:fill="auto"/>
                  <w:vAlign w:val="center"/>
                </w:tcPr>
                <w:p w14:paraId="5B6C9C28">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shd w:val="clear" w:color="auto" w:fill="auto"/>
                  <w:vAlign w:val="center"/>
                </w:tcPr>
                <w:p w14:paraId="01B6163A">
                  <w:pPr>
                    <w:jc w:val="center"/>
                    <w:rPr>
                      <w:rFonts w:hint="eastAsia"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900-214-08</w:t>
                  </w:r>
                </w:p>
              </w:tc>
              <w:tc>
                <w:tcPr>
                  <w:tcW w:w="841" w:type="dxa"/>
                  <w:shd w:val="clear" w:color="auto" w:fill="auto"/>
                  <w:vAlign w:val="center"/>
                </w:tcPr>
                <w:p w14:paraId="7CC43DBB">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物料使用</w:t>
                  </w:r>
                </w:p>
              </w:tc>
              <w:tc>
                <w:tcPr>
                  <w:tcW w:w="745" w:type="dxa"/>
                  <w:shd w:val="clear" w:color="auto" w:fill="auto"/>
                  <w:vAlign w:val="center"/>
                </w:tcPr>
                <w:p w14:paraId="5D977D3C">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液态</w:t>
                  </w:r>
                </w:p>
              </w:tc>
              <w:tc>
                <w:tcPr>
                  <w:tcW w:w="1041" w:type="dxa"/>
                  <w:shd w:val="clear" w:color="auto" w:fill="auto"/>
                  <w:vAlign w:val="center"/>
                </w:tcPr>
                <w:p w14:paraId="20BE0CB1">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0.5</w:t>
                  </w:r>
                </w:p>
              </w:tc>
              <w:tc>
                <w:tcPr>
                  <w:tcW w:w="1143" w:type="dxa"/>
                  <w:shd w:val="clear" w:color="auto" w:fill="auto"/>
                  <w:vAlign w:val="center"/>
                </w:tcPr>
                <w:p w14:paraId="2261595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有资质企业处理</w:t>
                  </w:r>
                </w:p>
              </w:tc>
              <w:tc>
                <w:tcPr>
                  <w:tcW w:w="845" w:type="dxa"/>
                  <w:shd w:val="clear" w:color="auto" w:fill="auto"/>
                  <w:vAlign w:val="center"/>
                </w:tcPr>
                <w:p w14:paraId="5EFEDB59">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w:t>
                  </w:r>
                </w:p>
              </w:tc>
            </w:tr>
            <w:tr w14:paraId="58AD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shd w:val="clear" w:color="auto" w:fill="auto"/>
                  <w:vAlign w:val="center"/>
                </w:tcPr>
                <w:p w14:paraId="0EEFAE64">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bidi="ar"/>
                    </w:rPr>
                    <w:t>废机油桶</w:t>
                  </w:r>
                </w:p>
              </w:tc>
              <w:tc>
                <w:tcPr>
                  <w:tcW w:w="736" w:type="dxa"/>
                  <w:shd w:val="clear" w:color="auto" w:fill="auto"/>
                  <w:vAlign w:val="center"/>
                </w:tcPr>
                <w:p w14:paraId="50E6B616">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shd w:val="clear" w:color="auto" w:fill="auto"/>
                  <w:vAlign w:val="center"/>
                </w:tcPr>
                <w:p w14:paraId="75680E8D">
                  <w:pPr>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900-</w:t>
                  </w:r>
                  <w:r>
                    <w:rPr>
                      <w:rFonts w:hint="eastAsia" w:cs="Times New Roman"/>
                      <w:color w:val="auto"/>
                      <w:sz w:val="21"/>
                      <w:szCs w:val="21"/>
                      <w:highlight w:val="none"/>
                      <w:lang w:val="en-US" w:eastAsia="zh-CN"/>
                    </w:rPr>
                    <w:t>249</w:t>
                  </w:r>
                  <w:r>
                    <w:rPr>
                      <w:rFonts w:hint="eastAsia" w:ascii="Times New Roman" w:hAnsi="Times New Roman" w:eastAsia="宋体" w:cs="Times New Roman"/>
                      <w:color w:val="auto"/>
                      <w:sz w:val="21"/>
                      <w:szCs w:val="21"/>
                      <w:highlight w:val="none"/>
                      <w:lang w:val="en-US" w:eastAsia="zh-CN"/>
                    </w:rPr>
                    <w:t>-08</w:t>
                  </w:r>
                </w:p>
              </w:tc>
              <w:tc>
                <w:tcPr>
                  <w:tcW w:w="841" w:type="dxa"/>
                  <w:shd w:val="clear" w:color="auto" w:fill="auto"/>
                  <w:vAlign w:val="center"/>
                </w:tcPr>
                <w:p w14:paraId="4A80A865">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物料使用</w:t>
                  </w:r>
                </w:p>
              </w:tc>
              <w:tc>
                <w:tcPr>
                  <w:tcW w:w="745" w:type="dxa"/>
                  <w:shd w:val="clear" w:color="auto" w:fill="auto"/>
                  <w:vAlign w:val="center"/>
                </w:tcPr>
                <w:p w14:paraId="3DDDE68F">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1041" w:type="dxa"/>
                  <w:shd w:val="clear" w:color="auto" w:fill="auto"/>
                  <w:vAlign w:val="center"/>
                </w:tcPr>
                <w:p w14:paraId="21DE87A4">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0.01</w:t>
                  </w:r>
                </w:p>
              </w:tc>
              <w:tc>
                <w:tcPr>
                  <w:tcW w:w="1143" w:type="dxa"/>
                  <w:shd w:val="clear" w:color="auto" w:fill="auto"/>
                  <w:vAlign w:val="center"/>
                </w:tcPr>
                <w:p w14:paraId="0D45DD14">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rPr>
                    <w:t>有资质企业处理</w:t>
                  </w:r>
                </w:p>
              </w:tc>
              <w:tc>
                <w:tcPr>
                  <w:tcW w:w="845" w:type="dxa"/>
                  <w:shd w:val="clear" w:color="auto" w:fill="auto"/>
                  <w:vAlign w:val="center"/>
                </w:tcPr>
                <w:p w14:paraId="174F2FE2">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w:t>
                  </w:r>
                </w:p>
              </w:tc>
            </w:tr>
            <w:tr w14:paraId="104F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vAlign w:val="center"/>
                </w:tcPr>
                <w:p w14:paraId="07FA0D34">
                  <w:pPr>
                    <w:jc w:val="center"/>
                    <w:outlineLvl w:val="0"/>
                    <w:rPr>
                      <w:rFonts w:hint="default" w:eastAsia="宋体"/>
                      <w:color w:val="auto"/>
                      <w:sz w:val="21"/>
                      <w:szCs w:val="21"/>
                      <w:highlight w:val="none"/>
                      <w:lang w:val="en-US" w:eastAsia="zh-CN"/>
                    </w:rPr>
                  </w:pPr>
                  <w:r>
                    <w:rPr>
                      <w:rFonts w:hint="eastAsia"/>
                      <w:color w:val="auto"/>
                      <w:sz w:val="21"/>
                      <w:szCs w:val="21"/>
                      <w:highlight w:val="none"/>
                      <w:lang w:val="en-US" w:eastAsia="zh-CN"/>
                    </w:rPr>
                    <w:t>废催化剂</w:t>
                  </w:r>
                </w:p>
              </w:tc>
              <w:tc>
                <w:tcPr>
                  <w:tcW w:w="736" w:type="dxa"/>
                  <w:vAlign w:val="center"/>
                </w:tcPr>
                <w:p w14:paraId="2AEFA007">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vAlign w:val="center"/>
                </w:tcPr>
                <w:p w14:paraId="0DCB9C2F">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900-049-50</w:t>
                  </w:r>
                </w:p>
              </w:tc>
              <w:tc>
                <w:tcPr>
                  <w:tcW w:w="841" w:type="dxa"/>
                  <w:vAlign w:val="center"/>
                </w:tcPr>
                <w:p w14:paraId="187E27AB">
                  <w:pPr>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废气处理</w:t>
                  </w:r>
                </w:p>
              </w:tc>
              <w:tc>
                <w:tcPr>
                  <w:tcW w:w="745" w:type="dxa"/>
                  <w:vAlign w:val="center"/>
                </w:tcPr>
                <w:p w14:paraId="5461016F">
                  <w:pPr>
                    <w:jc w:val="center"/>
                    <w:rPr>
                      <w:color w:val="auto"/>
                      <w:sz w:val="21"/>
                      <w:szCs w:val="21"/>
                      <w:highlight w:val="none"/>
                      <w:lang w:bidi="ar"/>
                    </w:rPr>
                  </w:pPr>
                  <w:r>
                    <w:rPr>
                      <w:rFonts w:hint="eastAsia"/>
                      <w:color w:val="auto"/>
                      <w:sz w:val="21"/>
                      <w:szCs w:val="21"/>
                      <w:highlight w:val="none"/>
                      <w:lang w:val="en-US" w:eastAsia="zh-CN" w:bidi="ar"/>
                    </w:rPr>
                    <w:t>固态</w:t>
                  </w:r>
                </w:p>
              </w:tc>
              <w:tc>
                <w:tcPr>
                  <w:tcW w:w="1041" w:type="dxa"/>
                  <w:vAlign w:val="center"/>
                </w:tcPr>
                <w:p w14:paraId="05F7427E">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0.18</w:t>
                  </w:r>
                </w:p>
              </w:tc>
              <w:tc>
                <w:tcPr>
                  <w:tcW w:w="1143" w:type="dxa"/>
                  <w:vAlign w:val="center"/>
                </w:tcPr>
                <w:p w14:paraId="34C60188">
                  <w:pPr>
                    <w:jc w:val="center"/>
                    <w:rPr>
                      <w:color w:val="auto"/>
                      <w:sz w:val="21"/>
                      <w:szCs w:val="21"/>
                      <w:highlight w:val="none"/>
                      <w:lang w:bidi="ar"/>
                    </w:rPr>
                  </w:pPr>
                  <w:r>
                    <w:rPr>
                      <w:rFonts w:hint="eastAsia"/>
                      <w:color w:val="auto"/>
                      <w:sz w:val="21"/>
                      <w:szCs w:val="21"/>
                      <w:highlight w:val="none"/>
                      <w:lang w:val="en-US" w:eastAsia="zh-CN"/>
                    </w:rPr>
                    <w:t>有资质企业处理</w:t>
                  </w:r>
                </w:p>
              </w:tc>
              <w:tc>
                <w:tcPr>
                  <w:tcW w:w="845" w:type="dxa"/>
                  <w:vAlign w:val="center"/>
                </w:tcPr>
                <w:p w14:paraId="34F47357">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w:t>
                  </w:r>
                </w:p>
              </w:tc>
            </w:tr>
            <w:tr w14:paraId="77B8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vAlign w:val="center"/>
                </w:tcPr>
                <w:p w14:paraId="089FFCD8">
                  <w:pPr>
                    <w:jc w:val="center"/>
                    <w:outlineLvl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废活化水</w:t>
                  </w:r>
                </w:p>
              </w:tc>
              <w:tc>
                <w:tcPr>
                  <w:tcW w:w="736" w:type="dxa"/>
                  <w:vAlign w:val="center"/>
                </w:tcPr>
                <w:p w14:paraId="01ABF33F">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vAlign w:val="center"/>
                </w:tcPr>
                <w:p w14:paraId="1D398A5F">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900-042-49</w:t>
                  </w:r>
                </w:p>
              </w:tc>
              <w:tc>
                <w:tcPr>
                  <w:tcW w:w="841" w:type="dxa"/>
                  <w:vAlign w:val="center"/>
                </w:tcPr>
                <w:p w14:paraId="304A4575">
                  <w:pPr>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物料使用</w:t>
                  </w:r>
                </w:p>
              </w:tc>
              <w:tc>
                <w:tcPr>
                  <w:tcW w:w="745" w:type="dxa"/>
                  <w:vAlign w:val="center"/>
                </w:tcPr>
                <w:p w14:paraId="3BAEEE20">
                  <w:pPr>
                    <w:jc w:val="center"/>
                    <w:rPr>
                      <w:color w:val="auto"/>
                      <w:sz w:val="21"/>
                      <w:szCs w:val="21"/>
                      <w:highlight w:val="none"/>
                      <w:lang w:bidi="ar"/>
                    </w:rPr>
                  </w:pPr>
                  <w:r>
                    <w:rPr>
                      <w:rFonts w:hint="eastAsia"/>
                      <w:color w:val="auto"/>
                      <w:sz w:val="21"/>
                      <w:szCs w:val="21"/>
                      <w:highlight w:val="none"/>
                      <w:lang w:val="en-US" w:eastAsia="zh-CN" w:bidi="ar"/>
                    </w:rPr>
                    <w:t>液态</w:t>
                  </w:r>
                </w:p>
              </w:tc>
              <w:tc>
                <w:tcPr>
                  <w:tcW w:w="1041" w:type="dxa"/>
                  <w:vAlign w:val="center"/>
                </w:tcPr>
                <w:p w14:paraId="085B2EFA">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1.5</w:t>
                  </w:r>
                </w:p>
              </w:tc>
              <w:tc>
                <w:tcPr>
                  <w:tcW w:w="1143" w:type="dxa"/>
                  <w:vAlign w:val="center"/>
                </w:tcPr>
                <w:p w14:paraId="4FFDFD39">
                  <w:pPr>
                    <w:jc w:val="center"/>
                    <w:rPr>
                      <w:color w:val="auto"/>
                      <w:sz w:val="21"/>
                      <w:szCs w:val="21"/>
                      <w:highlight w:val="none"/>
                      <w:lang w:bidi="ar"/>
                    </w:rPr>
                  </w:pPr>
                  <w:r>
                    <w:rPr>
                      <w:rFonts w:hint="eastAsia"/>
                      <w:color w:val="auto"/>
                      <w:sz w:val="21"/>
                      <w:szCs w:val="21"/>
                      <w:highlight w:val="none"/>
                      <w:lang w:val="en-US" w:eastAsia="zh-CN"/>
                    </w:rPr>
                    <w:t>有资质企业处理</w:t>
                  </w:r>
                </w:p>
              </w:tc>
              <w:tc>
                <w:tcPr>
                  <w:tcW w:w="845" w:type="dxa"/>
                  <w:vAlign w:val="center"/>
                </w:tcPr>
                <w:p w14:paraId="51E26780">
                  <w:pPr>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w:t>
                  </w:r>
                </w:p>
              </w:tc>
            </w:tr>
            <w:tr w14:paraId="7D8D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dxa"/>
                  <w:vAlign w:val="center"/>
                </w:tcPr>
                <w:p w14:paraId="5D3782F6">
                  <w:pPr>
                    <w:jc w:val="center"/>
                    <w:outlineLvl w:val="0"/>
                    <w:rPr>
                      <w:rFonts w:hint="default"/>
                      <w:color w:val="auto"/>
                      <w:sz w:val="21"/>
                      <w:szCs w:val="21"/>
                      <w:highlight w:val="none"/>
                      <w:lang w:val="en-US" w:eastAsia="zh-CN" w:bidi="ar"/>
                    </w:rPr>
                  </w:pPr>
                  <w:r>
                    <w:rPr>
                      <w:rFonts w:hint="eastAsia"/>
                      <w:color w:val="auto"/>
                      <w:sz w:val="21"/>
                      <w:szCs w:val="21"/>
                      <w:highlight w:val="none"/>
                      <w:lang w:val="en-US" w:eastAsia="zh-CN" w:bidi="ar"/>
                    </w:rPr>
                    <w:t>喷淋废水</w:t>
                  </w:r>
                </w:p>
              </w:tc>
              <w:tc>
                <w:tcPr>
                  <w:tcW w:w="736" w:type="dxa"/>
                  <w:vAlign w:val="center"/>
                </w:tcPr>
                <w:p w14:paraId="70E16C27">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危险废物</w:t>
                  </w:r>
                </w:p>
              </w:tc>
              <w:tc>
                <w:tcPr>
                  <w:tcW w:w="1455" w:type="dxa"/>
                  <w:vAlign w:val="center"/>
                </w:tcPr>
                <w:p w14:paraId="144A100F">
                  <w:pPr>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900-042-49</w:t>
                  </w:r>
                </w:p>
              </w:tc>
              <w:tc>
                <w:tcPr>
                  <w:tcW w:w="841" w:type="dxa"/>
                  <w:vAlign w:val="center"/>
                </w:tcPr>
                <w:p w14:paraId="62FCABAC">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废气处理</w:t>
                  </w:r>
                </w:p>
              </w:tc>
              <w:tc>
                <w:tcPr>
                  <w:tcW w:w="745" w:type="dxa"/>
                  <w:vAlign w:val="center"/>
                </w:tcPr>
                <w:p w14:paraId="10FFED09">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固态</w:t>
                  </w:r>
                </w:p>
              </w:tc>
              <w:tc>
                <w:tcPr>
                  <w:tcW w:w="1041" w:type="dxa"/>
                  <w:vAlign w:val="center"/>
                </w:tcPr>
                <w:p w14:paraId="1AAFD2F0">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2.167</w:t>
                  </w:r>
                </w:p>
              </w:tc>
              <w:tc>
                <w:tcPr>
                  <w:tcW w:w="1143" w:type="dxa"/>
                  <w:vAlign w:val="center"/>
                </w:tcPr>
                <w:p w14:paraId="0D42F282">
                  <w:pPr>
                    <w:jc w:val="center"/>
                    <w:rPr>
                      <w:rFonts w:hint="eastAsia"/>
                      <w:color w:val="auto"/>
                      <w:sz w:val="21"/>
                      <w:szCs w:val="21"/>
                      <w:highlight w:val="none"/>
                      <w:lang w:val="en-US" w:eastAsia="zh-CN"/>
                    </w:rPr>
                  </w:pPr>
                  <w:r>
                    <w:rPr>
                      <w:rFonts w:hint="eastAsia"/>
                      <w:color w:val="auto"/>
                      <w:sz w:val="21"/>
                      <w:szCs w:val="21"/>
                      <w:highlight w:val="none"/>
                      <w:lang w:val="en-US" w:eastAsia="zh-CN"/>
                    </w:rPr>
                    <w:t>有资质企业处理</w:t>
                  </w:r>
                </w:p>
              </w:tc>
              <w:tc>
                <w:tcPr>
                  <w:tcW w:w="845" w:type="dxa"/>
                  <w:vAlign w:val="center"/>
                </w:tcPr>
                <w:p w14:paraId="2168F306">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w:t>
                  </w:r>
                </w:p>
              </w:tc>
            </w:tr>
          </w:tbl>
          <w:p w14:paraId="56908C0F">
            <w:pPr>
              <w:adjustRightInd w:val="0"/>
              <w:snapToGrid w:val="0"/>
              <w:spacing w:before="120" w:beforeLines="50"/>
              <w:jc w:val="center"/>
              <w:rPr>
                <w:color w:val="auto"/>
                <w:highlight w:val="none"/>
              </w:rPr>
            </w:pPr>
            <w:r>
              <w:rPr>
                <w:b/>
                <w:bCs/>
                <w:color w:val="auto"/>
                <w:highlight w:val="none"/>
              </w:rPr>
              <w:t>表4</w:t>
            </w:r>
            <w:r>
              <w:rPr>
                <w:rFonts w:hint="eastAsia"/>
                <w:b/>
                <w:bCs/>
                <w:color w:val="auto"/>
                <w:highlight w:val="none"/>
                <w:lang w:val="en-US" w:eastAsia="zh-CN"/>
              </w:rPr>
              <w:t>-17</w:t>
            </w:r>
            <w:r>
              <w:rPr>
                <w:rFonts w:hint="eastAsia"/>
                <w:b/>
                <w:bCs/>
                <w:color w:val="auto"/>
                <w:highlight w:val="none"/>
              </w:rPr>
              <w:t xml:space="preserve"> </w:t>
            </w:r>
            <w:r>
              <w:rPr>
                <w:b/>
                <w:bCs/>
                <w:color w:val="auto"/>
                <w:highlight w:val="none"/>
              </w:rPr>
              <w:t xml:space="preserve"> 项目</w:t>
            </w:r>
            <w:r>
              <w:rPr>
                <w:rFonts w:hint="eastAsia"/>
                <w:b/>
                <w:bCs/>
                <w:color w:val="auto"/>
                <w:highlight w:val="none"/>
              </w:rPr>
              <w:t>危险</w:t>
            </w:r>
            <w:r>
              <w:rPr>
                <w:b/>
                <w:bCs/>
                <w:color w:val="auto"/>
                <w:highlight w:val="none"/>
              </w:rPr>
              <w:t>废物产</w:t>
            </w:r>
            <w:r>
              <w:rPr>
                <w:rFonts w:hint="eastAsia"/>
                <w:b/>
                <w:bCs/>
                <w:color w:val="auto"/>
                <w:highlight w:val="none"/>
              </w:rPr>
              <w:t>生及处置统计一览</w:t>
            </w:r>
            <w:r>
              <w:rPr>
                <w:b/>
                <w:bCs/>
                <w:color w:val="auto"/>
                <w:highlight w:val="none"/>
              </w:rPr>
              <w:t>表</w:t>
            </w:r>
          </w:p>
          <w:tbl>
            <w:tblPr>
              <w:tblStyle w:val="21"/>
              <w:tblW w:w="8158" w:type="dxa"/>
              <w:jc w:val="center"/>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934"/>
              <w:gridCol w:w="1266"/>
              <w:gridCol w:w="825"/>
              <w:gridCol w:w="1060"/>
              <w:gridCol w:w="515"/>
              <w:gridCol w:w="808"/>
              <w:gridCol w:w="642"/>
              <w:gridCol w:w="905"/>
            </w:tblGrid>
            <w:tr w14:paraId="00442F0F">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3" w:type="dxa"/>
                  <w:tcBorders>
                    <w:top w:val="single" w:color="auto" w:sz="4" w:space="0"/>
                    <w:left w:val="single" w:color="auto" w:sz="4" w:space="0"/>
                    <w:bottom w:val="single" w:color="auto" w:sz="4" w:space="0"/>
                    <w:right w:val="single" w:color="auto" w:sz="4" w:space="0"/>
                  </w:tcBorders>
                  <w:vAlign w:val="center"/>
                </w:tcPr>
                <w:p w14:paraId="3B837467">
                  <w:pPr>
                    <w:jc w:val="center"/>
                    <w:outlineLvl w:val="0"/>
                    <w:rPr>
                      <w:b/>
                      <w:color w:val="auto"/>
                      <w:sz w:val="21"/>
                      <w:szCs w:val="21"/>
                      <w:highlight w:val="none"/>
                    </w:rPr>
                  </w:pPr>
                  <w:r>
                    <w:rPr>
                      <w:b/>
                      <w:color w:val="auto"/>
                      <w:sz w:val="21"/>
                      <w:szCs w:val="21"/>
                      <w:highlight w:val="none"/>
                      <w:lang w:bidi="ar"/>
                    </w:rPr>
                    <w:t>危险废物名称</w:t>
                  </w:r>
                </w:p>
              </w:tc>
              <w:tc>
                <w:tcPr>
                  <w:tcW w:w="934" w:type="dxa"/>
                  <w:tcBorders>
                    <w:top w:val="single" w:color="auto" w:sz="4" w:space="0"/>
                    <w:left w:val="single" w:color="auto" w:sz="4" w:space="0"/>
                    <w:bottom w:val="single" w:color="auto" w:sz="4" w:space="0"/>
                    <w:right w:val="single" w:color="auto" w:sz="4" w:space="0"/>
                  </w:tcBorders>
                  <w:vAlign w:val="center"/>
                </w:tcPr>
                <w:p w14:paraId="26679869">
                  <w:pPr>
                    <w:jc w:val="center"/>
                    <w:outlineLvl w:val="0"/>
                    <w:rPr>
                      <w:b/>
                      <w:color w:val="auto"/>
                      <w:sz w:val="21"/>
                      <w:szCs w:val="21"/>
                      <w:highlight w:val="none"/>
                    </w:rPr>
                  </w:pPr>
                  <w:r>
                    <w:rPr>
                      <w:b/>
                      <w:color w:val="auto"/>
                      <w:sz w:val="21"/>
                      <w:szCs w:val="21"/>
                      <w:highlight w:val="none"/>
                      <w:lang w:bidi="ar"/>
                    </w:rPr>
                    <w:t>危险废物类别</w:t>
                  </w:r>
                </w:p>
              </w:tc>
              <w:tc>
                <w:tcPr>
                  <w:tcW w:w="1266" w:type="dxa"/>
                  <w:tcBorders>
                    <w:top w:val="single" w:color="auto" w:sz="4" w:space="0"/>
                    <w:left w:val="single" w:color="auto" w:sz="4" w:space="0"/>
                    <w:bottom w:val="single" w:color="auto" w:sz="4" w:space="0"/>
                    <w:right w:val="single" w:color="auto" w:sz="4" w:space="0"/>
                  </w:tcBorders>
                  <w:vAlign w:val="center"/>
                </w:tcPr>
                <w:p w14:paraId="7659D196">
                  <w:pPr>
                    <w:jc w:val="center"/>
                    <w:outlineLvl w:val="0"/>
                    <w:rPr>
                      <w:b/>
                      <w:color w:val="auto"/>
                      <w:sz w:val="21"/>
                      <w:szCs w:val="21"/>
                      <w:highlight w:val="none"/>
                    </w:rPr>
                  </w:pPr>
                  <w:r>
                    <w:rPr>
                      <w:b/>
                      <w:color w:val="auto"/>
                      <w:sz w:val="21"/>
                      <w:szCs w:val="21"/>
                      <w:highlight w:val="none"/>
                      <w:lang w:bidi="ar"/>
                    </w:rPr>
                    <w:t>危险废物代码</w:t>
                  </w:r>
                </w:p>
              </w:tc>
              <w:tc>
                <w:tcPr>
                  <w:tcW w:w="825" w:type="dxa"/>
                  <w:tcBorders>
                    <w:top w:val="single" w:color="auto" w:sz="4" w:space="0"/>
                    <w:left w:val="single" w:color="auto" w:sz="4" w:space="0"/>
                    <w:bottom w:val="single" w:color="auto" w:sz="4" w:space="0"/>
                    <w:right w:val="single" w:color="auto" w:sz="4" w:space="0"/>
                  </w:tcBorders>
                  <w:vAlign w:val="center"/>
                </w:tcPr>
                <w:p w14:paraId="6DF22E5D">
                  <w:pPr>
                    <w:jc w:val="center"/>
                    <w:outlineLvl w:val="0"/>
                    <w:rPr>
                      <w:rFonts w:hint="eastAsia" w:eastAsia="宋体"/>
                      <w:b/>
                      <w:color w:val="auto"/>
                      <w:sz w:val="21"/>
                      <w:szCs w:val="21"/>
                      <w:highlight w:val="none"/>
                      <w:lang w:eastAsia="zh-CN"/>
                    </w:rPr>
                  </w:pPr>
                  <w:r>
                    <w:rPr>
                      <w:b/>
                      <w:color w:val="auto"/>
                      <w:sz w:val="21"/>
                      <w:szCs w:val="21"/>
                      <w:highlight w:val="none"/>
                      <w:lang w:bidi="ar"/>
                    </w:rPr>
                    <w:t>产生量</w:t>
                  </w:r>
                  <w:r>
                    <w:rPr>
                      <w:rFonts w:hint="eastAsia"/>
                      <w:b/>
                      <w:color w:val="auto"/>
                      <w:sz w:val="21"/>
                      <w:szCs w:val="21"/>
                      <w:highlight w:val="none"/>
                      <w:lang w:eastAsia="zh-CN" w:bidi="ar"/>
                    </w:rPr>
                    <w:t>t/a</w:t>
                  </w:r>
                </w:p>
              </w:tc>
              <w:tc>
                <w:tcPr>
                  <w:tcW w:w="1060" w:type="dxa"/>
                  <w:tcBorders>
                    <w:top w:val="single" w:color="auto" w:sz="4" w:space="0"/>
                    <w:left w:val="single" w:color="auto" w:sz="4" w:space="0"/>
                    <w:bottom w:val="single" w:color="auto" w:sz="4" w:space="0"/>
                    <w:right w:val="single" w:color="auto" w:sz="4" w:space="0"/>
                  </w:tcBorders>
                  <w:vAlign w:val="center"/>
                </w:tcPr>
                <w:p w14:paraId="21F46BA2">
                  <w:pPr>
                    <w:jc w:val="center"/>
                    <w:outlineLvl w:val="0"/>
                    <w:rPr>
                      <w:b/>
                      <w:color w:val="auto"/>
                      <w:sz w:val="21"/>
                      <w:szCs w:val="21"/>
                      <w:highlight w:val="none"/>
                    </w:rPr>
                  </w:pPr>
                  <w:r>
                    <w:rPr>
                      <w:b/>
                      <w:color w:val="auto"/>
                      <w:sz w:val="21"/>
                      <w:szCs w:val="21"/>
                      <w:highlight w:val="none"/>
                      <w:lang w:bidi="ar"/>
                    </w:rPr>
                    <w:t>产生工序及装置</w:t>
                  </w:r>
                </w:p>
              </w:tc>
              <w:tc>
                <w:tcPr>
                  <w:tcW w:w="515" w:type="dxa"/>
                  <w:tcBorders>
                    <w:top w:val="single" w:color="auto" w:sz="4" w:space="0"/>
                    <w:left w:val="single" w:color="auto" w:sz="4" w:space="0"/>
                    <w:bottom w:val="single" w:color="auto" w:sz="4" w:space="0"/>
                    <w:right w:val="single" w:color="auto" w:sz="4" w:space="0"/>
                  </w:tcBorders>
                  <w:vAlign w:val="center"/>
                </w:tcPr>
                <w:p w14:paraId="7E80D430">
                  <w:pPr>
                    <w:jc w:val="center"/>
                    <w:outlineLvl w:val="0"/>
                    <w:rPr>
                      <w:b/>
                      <w:color w:val="auto"/>
                      <w:sz w:val="21"/>
                      <w:szCs w:val="21"/>
                      <w:highlight w:val="none"/>
                    </w:rPr>
                  </w:pPr>
                  <w:r>
                    <w:rPr>
                      <w:b/>
                      <w:color w:val="auto"/>
                      <w:sz w:val="21"/>
                      <w:szCs w:val="21"/>
                      <w:highlight w:val="none"/>
                    </w:rPr>
                    <w:t>形态</w:t>
                  </w:r>
                </w:p>
              </w:tc>
              <w:tc>
                <w:tcPr>
                  <w:tcW w:w="808" w:type="dxa"/>
                  <w:tcBorders>
                    <w:top w:val="single" w:color="auto" w:sz="4" w:space="0"/>
                    <w:left w:val="single" w:color="auto" w:sz="4" w:space="0"/>
                    <w:bottom w:val="single" w:color="auto" w:sz="4" w:space="0"/>
                    <w:right w:val="single" w:color="auto" w:sz="4" w:space="0"/>
                  </w:tcBorders>
                  <w:vAlign w:val="center"/>
                </w:tcPr>
                <w:p w14:paraId="48D54B27">
                  <w:pPr>
                    <w:jc w:val="center"/>
                    <w:outlineLvl w:val="0"/>
                    <w:rPr>
                      <w:b/>
                      <w:color w:val="auto"/>
                      <w:sz w:val="21"/>
                      <w:szCs w:val="21"/>
                      <w:highlight w:val="none"/>
                    </w:rPr>
                  </w:pPr>
                  <w:r>
                    <w:rPr>
                      <w:b/>
                      <w:color w:val="auto"/>
                      <w:sz w:val="21"/>
                      <w:szCs w:val="21"/>
                      <w:highlight w:val="none"/>
                      <w:lang w:bidi="ar"/>
                    </w:rPr>
                    <w:t>产废周期</w:t>
                  </w:r>
                </w:p>
              </w:tc>
              <w:tc>
                <w:tcPr>
                  <w:tcW w:w="642" w:type="dxa"/>
                  <w:tcBorders>
                    <w:top w:val="single" w:color="auto" w:sz="4" w:space="0"/>
                    <w:left w:val="nil"/>
                    <w:bottom w:val="single" w:color="auto" w:sz="4" w:space="0"/>
                    <w:right w:val="single" w:color="auto" w:sz="4" w:space="0"/>
                  </w:tcBorders>
                  <w:vAlign w:val="center"/>
                </w:tcPr>
                <w:p w14:paraId="258CE96F">
                  <w:pPr>
                    <w:jc w:val="center"/>
                    <w:outlineLvl w:val="0"/>
                    <w:rPr>
                      <w:b/>
                      <w:color w:val="auto"/>
                      <w:sz w:val="21"/>
                      <w:szCs w:val="21"/>
                      <w:highlight w:val="none"/>
                    </w:rPr>
                  </w:pPr>
                  <w:r>
                    <w:rPr>
                      <w:b/>
                      <w:color w:val="auto"/>
                      <w:sz w:val="21"/>
                      <w:szCs w:val="21"/>
                      <w:highlight w:val="none"/>
                    </w:rPr>
                    <w:t>危险特性</w:t>
                  </w:r>
                </w:p>
              </w:tc>
              <w:tc>
                <w:tcPr>
                  <w:tcW w:w="905" w:type="dxa"/>
                  <w:tcBorders>
                    <w:top w:val="single" w:color="auto" w:sz="4" w:space="0"/>
                    <w:left w:val="nil"/>
                    <w:bottom w:val="single" w:color="auto" w:sz="4" w:space="0"/>
                    <w:right w:val="single" w:color="auto" w:sz="4" w:space="0"/>
                  </w:tcBorders>
                  <w:vAlign w:val="center"/>
                </w:tcPr>
                <w:p w14:paraId="2312329C">
                  <w:pPr>
                    <w:jc w:val="center"/>
                    <w:outlineLvl w:val="0"/>
                    <w:rPr>
                      <w:b/>
                      <w:color w:val="auto"/>
                      <w:sz w:val="21"/>
                      <w:szCs w:val="21"/>
                      <w:highlight w:val="none"/>
                      <w:lang w:bidi="ar"/>
                    </w:rPr>
                  </w:pPr>
                  <w:r>
                    <w:rPr>
                      <w:b/>
                      <w:color w:val="auto"/>
                      <w:sz w:val="21"/>
                      <w:szCs w:val="21"/>
                      <w:highlight w:val="none"/>
                      <w:lang w:bidi="ar"/>
                    </w:rPr>
                    <w:t>污染防治措施</w:t>
                  </w:r>
                </w:p>
              </w:tc>
            </w:tr>
            <w:tr w14:paraId="6B5044F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D4572DB">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bidi="ar"/>
                    </w:rPr>
                    <w:t>漆渣</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0C7861E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HW12</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5E10006C">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900-252-12</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49492463">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0.07</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348703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喷漆工序</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79536689">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9FC694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60天</w:t>
                  </w:r>
                </w:p>
              </w:tc>
              <w:tc>
                <w:tcPr>
                  <w:tcW w:w="642" w:type="dxa"/>
                  <w:tcBorders>
                    <w:top w:val="single" w:color="auto" w:sz="4" w:space="0"/>
                    <w:left w:val="nil"/>
                    <w:bottom w:val="single" w:color="auto" w:sz="4" w:space="0"/>
                    <w:right w:val="single" w:color="auto" w:sz="4" w:space="0"/>
                  </w:tcBorders>
                  <w:shd w:val="clear" w:color="auto" w:fill="auto"/>
                  <w:vAlign w:val="center"/>
                </w:tcPr>
                <w:p w14:paraId="4C1012D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T,I</w:t>
                  </w:r>
                </w:p>
              </w:tc>
              <w:tc>
                <w:tcPr>
                  <w:tcW w:w="905" w:type="dxa"/>
                  <w:vMerge w:val="restart"/>
                  <w:tcBorders>
                    <w:top w:val="single" w:color="auto" w:sz="4" w:space="0"/>
                    <w:left w:val="nil"/>
                    <w:right w:val="single" w:color="auto" w:sz="4" w:space="0"/>
                  </w:tcBorders>
                  <w:vAlign w:val="center"/>
                </w:tcPr>
                <w:p w14:paraId="5C0398AA">
                  <w:pPr>
                    <w:jc w:val="center"/>
                    <w:outlineLvl w:val="0"/>
                    <w:rPr>
                      <w:color w:val="auto"/>
                      <w:sz w:val="21"/>
                      <w:szCs w:val="21"/>
                      <w:highlight w:val="none"/>
                      <w:lang w:bidi="ar"/>
                    </w:rPr>
                  </w:pPr>
                  <w:r>
                    <w:rPr>
                      <w:color w:val="auto"/>
                      <w:sz w:val="21"/>
                      <w:szCs w:val="21"/>
                      <w:highlight w:val="none"/>
                      <w:lang w:bidi="ar"/>
                    </w:rPr>
                    <w:t>暂存在危废暂存间，由有资质单位处理</w:t>
                  </w:r>
                </w:p>
              </w:tc>
            </w:tr>
            <w:tr w14:paraId="066C8148">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C4A8FE">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废活性炭</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52A4A83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HW49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1440B929">
                  <w:pPr>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900-039-49</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E5FF5A6">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6.94</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49365214">
                  <w:pPr>
                    <w:jc w:val="center"/>
                    <w:rPr>
                      <w:rFonts w:hint="default"/>
                      <w:color w:val="auto"/>
                      <w:sz w:val="21"/>
                      <w:szCs w:val="21"/>
                      <w:highlight w:val="none"/>
                      <w:lang w:val="en-US" w:eastAsia="zh-CN"/>
                    </w:rPr>
                  </w:pPr>
                  <w:r>
                    <w:rPr>
                      <w:rFonts w:hint="eastAsia"/>
                      <w:color w:val="auto"/>
                      <w:sz w:val="21"/>
                      <w:szCs w:val="21"/>
                      <w:highlight w:val="none"/>
                      <w:lang w:val="en-US" w:eastAsia="zh-CN"/>
                    </w:rPr>
                    <w:t>废气处理</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40D8FAB9">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6A7646E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120天</w:t>
                  </w:r>
                </w:p>
              </w:tc>
              <w:tc>
                <w:tcPr>
                  <w:tcW w:w="642" w:type="dxa"/>
                  <w:tcBorders>
                    <w:top w:val="single" w:color="auto" w:sz="4" w:space="0"/>
                    <w:left w:val="nil"/>
                    <w:bottom w:val="single" w:color="auto" w:sz="4" w:space="0"/>
                    <w:right w:val="single" w:color="auto" w:sz="4" w:space="0"/>
                  </w:tcBorders>
                  <w:shd w:val="clear" w:color="auto" w:fill="auto"/>
                  <w:vAlign w:val="center"/>
                </w:tcPr>
                <w:p w14:paraId="515B7BC2">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T</w:t>
                  </w:r>
                </w:p>
              </w:tc>
              <w:tc>
                <w:tcPr>
                  <w:tcW w:w="905" w:type="dxa"/>
                  <w:vMerge w:val="continue"/>
                  <w:tcBorders>
                    <w:left w:val="nil"/>
                    <w:right w:val="single" w:color="auto" w:sz="4" w:space="0"/>
                  </w:tcBorders>
                  <w:vAlign w:val="center"/>
                </w:tcPr>
                <w:p w14:paraId="48294F75">
                  <w:pPr>
                    <w:jc w:val="center"/>
                    <w:outlineLvl w:val="0"/>
                    <w:rPr>
                      <w:color w:val="auto"/>
                      <w:sz w:val="21"/>
                      <w:szCs w:val="21"/>
                      <w:highlight w:val="none"/>
                      <w:lang w:bidi="ar"/>
                    </w:rPr>
                  </w:pPr>
                </w:p>
              </w:tc>
            </w:tr>
            <w:tr w14:paraId="7E6A657D">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23525D3">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废紫外线灯</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0951088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HW29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320F3DF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900-023-29</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3DD35B2E">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0.0004</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FC833B3">
                  <w:pPr>
                    <w:jc w:val="center"/>
                    <w:rPr>
                      <w:rFonts w:hint="default"/>
                      <w:color w:val="auto"/>
                      <w:sz w:val="21"/>
                      <w:szCs w:val="21"/>
                      <w:highlight w:val="none"/>
                      <w:lang w:val="en-US" w:eastAsia="zh-CN"/>
                    </w:rPr>
                  </w:pPr>
                  <w:r>
                    <w:rPr>
                      <w:rFonts w:hint="eastAsia"/>
                      <w:color w:val="auto"/>
                      <w:sz w:val="21"/>
                      <w:szCs w:val="21"/>
                      <w:highlight w:val="none"/>
                      <w:lang w:val="en-US" w:eastAsia="zh-CN"/>
                    </w:rPr>
                    <w:t>烘干工序</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44173FEC">
                  <w:pPr>
                    <w:jc w:val="center"/>
                    <w:rPr>
                      <w:rFonts w:hint="eastAsia" w:ascii="Times New Roman" w:hAnsi="Times New Roman" w:eastAsia="宋体" w:cs="Times New Roman"/>
                      <w:color w:val="auto"/>
                      <w:kern w:val="2"/>
                      <w:sz w:val="21"/>
                      <w:szCs w:val="21"/>
                      <w:highlight w:val="none"/>
                      <w:lang w:val="en-US" w:eastAsia="zh-CN" w:bidi="ar"/>
                    </w:rPr>
                  </w:pPr>
                  <w:r>
                    <w:rPr>
                      <w:color w:val="auto"/>
                      <w:sz w:val="21"/>
                      <w:szCs w:val="21"/>
                      <w:highlight w:val="none"/>
                      <w:lang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1994E1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365天</w:t>
                  </w:r>
                </w:p>
              </w:tc>
              <w:tc>
                <w:tcPr>
                  <w:tcW w:w="642" w:type="dxa"/>
                  <w:tcBorders>
                    <w:top w:val="single" w:color="auto" w:sz="4" w:space="0"/>
                    <w:left w:val="nil"/>
                    <w:bottom w:val="single" w:color="auto" w:sz="4" w:space="0"/>
                    <w:right w:val="single" w:color="auto" w:sz="4" w:space="0"/>
                  </w:tcBorders>
                  <w:shd w:val="clear" w:color="auto" w:fill="auto"/>
                  <w:vAlign w:val="center"/>
                </w:tcPr>
                <w:p w14:paraId="5D173386">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T</w:t>
                  </w:r>
                </w:p>
              </w:tc>
              <w:tc>
                <w:tcPr>
                  <w:tcW w:w="905" w:type="dxa"/>
                  <w:vMerge w:val="continue"/>
                  <w:tcBorders>
                    <w:left w:val="nil"/>
                    <w:right w:val="single" w:color="auto" w:sz="4" w:space="0"/>
                  </w:tcBorders>
                  <w:vAlign w:val="center"/>
                </w:tcPr>
                <w:p w14:paraId="21CFB738">
                  <w:pPr>
                    <w:jc w:val="center"/>
                    <w:outlineLvl w:val="0"/>
                    <w:rPr>
                      <w:color w:val="auto"/>
                      <w:sz w:val="21"/>
                      <w:szCs w:val="21"/>
                      <w:highlight w:val="none"/>
                      <w:lang w:bidi="ar"/>
                    </w:rPr>
                  </w:pPr>
                </w:p>
              </w:tc>
            </w:tr>
            <w:tr w14:paraId="67467F24">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866A64">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废桶（废漆桶、废稀释剂桶、废固化剂桶）</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29D1005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HW49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20C4F53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900-041-49</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626567CB">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0.05</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F74FE87">
                  <w:pPr>
                    <w:jc w:val="center"/>
                    <w:rPr>
                      <w:rFonts w:hint="default"/>
                      <w:color w:val="auto"/>
                      <w:sz w:val="21"/>
                      <w:szCs w:val="21"/>
                      <w:highlight w:val="none"/>
                      <w:lang w:val="en-US" w:eastAsia="zh-CN"/>
                    </w:rPr>
                  </w:pPr>
                  <w:r>
                    <w:rPr>
                      <w:rFonts w:hint="eastAsia"/>
                      <w:color w:val="auto"/>
                      <w:sz w:val="21"/>
                      <w:szCs w:val="21"/>
                      <w:highlight w:val="none"/>
                      <w:lang w:val="en-US" w:eastAsia="zh-CN"/>
                    </w:rPr>
                    <w:t>物料使用</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3D691549">
                  <w:pPr>
                    <w:jc w:val="center"/>
                    <w:rPr>
                      <w:rFonts w:hint="eastAsia" w:ascii="Times New Roman" w:hAnsi="Times New Roman" w:eastAsia="宋体" w:cs="Times New Roman"/>
                      <w:color w:val="auto"/>
                      <w:kern w:val="2"/>
                      <w:sz w:val="21"/>
                      <w:szCs w:val="21"/>
                      <w:highlight w:val="none"/>
                      <w:lang w:val="en-US" w:eastAsia="zh-CN" w:bidi="ar"/>
                    </w:rPr>
                  </w:pPr>
                  <w:r>
                    <w:rPr>
                      <w:color w:val="auto"/>
                      <w:sz w:val="21"/>
                      <w:szCs w:val="21"/>
                      <w:highlight w:val="none"/>
                      <w:lang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3C4573B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60天</w:t>
                  </w:r>
                </w:p>
              </w:tc>
              <w:tc>
                <w:tcPr>
                  <w:tcW w:w="642" w:type="dxa"/>
                  <w:tcBorders>
                    <w:top w:val="single" w:color="auto" w:sz="4" w:space="0"/>
                    <w:left w:val="nil"/>
                    <w:bottom w:val="single" w:color="auto" w:sz="4" w:space="0"/>
                    <w:right w:val="single" w:color="auto" w:sz="4" w:space="0"/>
                  </w:tcBorders>
                  <w:shd w:val="clear" w:color="auto" w:fill="auto"/>
                  <w:vAlign w:val="center"/>
                </w:tcPr>
                <w:p w14:paraId="63260615">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T/In</w:t>
                  </w:r>
                </w:p>
              </w:tc>
              <w:tc>
                <w:tcPr>
                  <w:tcW w:w="905" w:type="dxa"/>
                  <w:vMerge w:val="continue"/>
                  <w:tcBorders>
                    <w:left w:val="nil"/>
                    <w:right w:val="single" w:color="auto" w:sz="4" w:space="0"/>
                  </w:tcBorders>
                  <w:vAlign w:val="center"/>
                </w:tcPr>
                <w:p w14:paraId="6729A148">
                  <w:pPr>
                    <w:jc w:val="center"/>
                    <w:outlineLvl w:val="0"/>
                    <w:rPr>
                      <w:color w:val="auto"/>
                      <w:sz w:val="21"/>
                      <w:szCs w:val="21"/>
                      <w:highlight w:val="none"/>
                      <w:lang w:bidi="ar"/>
                    </w:rPr>
                  </w:pPr>
                </w:p>
              </w:tc>
            </w:tr>
            <w:tr w14:paraId="19CDA131">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FAE1745">
                  <w:pPr>
                    <w:jc w:val="center"/>
                    <w:outlineLvl w:val="0"/>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废机油</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16A500F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HW08</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3187445E">
                  <w:pPr>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900-21</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-08</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7CD8732A">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0.5</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C996485">
                  <w:pPr>
                    <w:jc w:val="center"/>
                    <w:rPr>
                      <w:rFonts w:hint="eastAsia"/>
                      <w:color w:val="auto"/>
                      <w:sz w:val="21"/>
                      <w:szCs w:val="21"/>
                      <w:highlight w:val="none"/>
                      <w:lang w:val="en-US" w:eastAsia="zh-CN"/>
                    </w:rPr>
                  </w:pPr>
                  <w:r>
                    <w:rPr>
                      <w:rFonts w:hint="eastAsia"/>
                      <w:color w:val="auto"/>
                      <w:sz w:val="21"/>
                      <w:szCs w:val="21"/>
                      <w:highlight w:val="none"/>
                      <w:lang w:val="en-US" w:eastAsia="zh-CN"/>
                    </w:rPr>
                    <w:t>物料使用</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17070807">
                  <w:pPr>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液态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B30642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180天</w:t>
                  </w:r>
                </w:p>
              </w:tc>
              <w:tc>
                <w:tcPr>
                  <w:tcW w:w="642" w:type="dxa"/>
                  <w:tcBorders>
                    <w:top w:val="single" w:color="auto" w:sz="4" w:space="0"/>
                    <w:left w:val="nil"/>
                    <w:bottom w:val="single" w:color="auto" w:sz="4" w:space="0"/>
                    <w:right w:val="single" w:color="auto" w:sz="4" w:space="0"/>
                  </w:tcBorders>
                  <w:shd w:val="clear" w:color="auto" w:fill="auto"/>
                  <w:vAlign w:val="center"/>
                </w:tcPr>
                <w:p w14:paraId="630C7EB9">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T,I</w:t>
                  </w:r>
                </w:p>
              </w:tc>
              <w:tc>
                <w:tcPr>
                  <w:tcW w:w="905" w:type="dxa"/>
                  <w:vMerge w:val="continue"/>
                  <w:tcBorders>
                    <w:left w:val="nil"/>
                    <w:right w:val="single" w:color="auto" w:sz="4" w:space="0"/>
                  </w:tcBorders>
                  <w:vAlign w:val="center"/>
                </w:tcPr>
                <w:p w14:paraId="32E57774">
                  <w:pPr>
                    <w:jc w:val="center"/>
                    <w:outlineLvl w:val="0"/>
                    <w:rPr>
                      <w:color w:val="auto"/>
                      <w:sz w:val="21"/>
                      <w:szCs w:val="21"/>
                      <w:highlight w:val="none"/>
                      <w:lang w:bidi="ar"/>
                    </w:rPr>
                  </w:pPr>
                </w:p>
              </w:tc>
            </w:tr>
            <w:tr w14:paraId="7CB31276">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5AA94FC">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bidi="ar"/>
                    </w:rPr>
                    <w:t>废机油桶</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315F0C4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HW08</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5EA21FB8">
                  <w:pPr>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900-249-08</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00637FFB">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0.01</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57C69A17">
                  <w:pPr>
                    <w:jc w:val="center"/>
                    <w:rPr>
                      <w:rFonts w:hint="eastAsia"/>
                      <w:color w:val="auto"/>
                      <w:sz w:val="21"/>
                      <w:szCs w:val="21"/>
                      <w:highlight w:val="none"/>
                      <w:lang w:val="en-US" w:eastAsia="zh-CN" w:bidi="ar"/>
                    </w:rPr>
                  </w:pPr>
                  <w:r>
                    <w:rPr>
                      <w:rFonts w:hint="eastAsia"/>
                      <w:color w:val="auto"/>
                      <w:sz w:val="21"/>
                      <w:szCs w:val="21"/>
                      <w:highlight w:val="none"/>
                      <w:lang w:val="en-US" w:eastAsia="zh-CN"/>
                    </w:rPr>
                    <w:t>物料使用</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08CD6642">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B9EA6C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180天</w:t>
                  </w:r>
                </w:p>
              </w:tc>
              <w:tc>
                <w:tcPr>
                  <w:tcW w:w="642" w:type="dxa"/>
                  <w:tcBorders>
                    <w:top w:val="single" w:color="auto" w:sz="4" w:space="0"/>
                    <w:left w:val="nil"/>
                    <w:bottom w:val="single" w:color="auto" w:sz="4" w:space="0"/>
                    <w:right w:val="single" w:color="auto" w:sz="4" w:space="0"/>
                  </w:tcBorders>
                  <w:shd w:val="clear" w:color="auto" w:fill="auto"/>
                  <w:vAlign w:val="center"/>
                </w:tcPr>
                <w:p w14:paraId="03DE6E47">
                  <w:pPr>
                    <w:jc w:val="center"/>
                    <w:rPr>
                      <w:rFonts w:hint="default"/>
                      <w:color w:val="auto"/>
                      <w:sz w:val="21"/>
                      <w:szCs w:val="21"/>
                      <w:highlight w:val="none"/>
                      <w:lang w:val="en-US" w:eastAsia="zh-CN"/>
                    </w:rPr>
                  </w:pPr>
                  <w:r>
                    <w:rPr>
                      <w:rFonts w:hint="eastAsia"/>
                      <w:color w:val="auto"/>
                      <w:sz w:val="21"/>
                      <w:szCs w:val="21"/>
                      <w:highlight w:val="none"/>
                      <w:lang w:val="en-US" w:eastAsia="zh-CN"/>
                    </w:rPr>
                    <w:t>T,I</w:t>
                  </w:r>
                </w:p>
              </w:tc>
              <w:tc>
                <w:tcPr>
                  <w:tcW w:w="905" w:type="dxa"/>
                  <w:vMerge w:val="continue"/>
                  <w:tcBorders>
                    <w:left w:val="nil"/>
                    <w:right w:val="single" w:color="auto" w:sz="4" w:space="0"/>
                  </w:tcBorders>
                  <w:vAlign w:val="center"/>
                </w:tcPr>
                <w:p w14:paraId="17F75BCC">
                  <w:pPr>
                    <w:jc w:val="center"/>
                    <w:outlineLvl w:val="0"/>
                    <w:rPr>
                      <w:color w:val="auto"/>
                      <w:sz w:val="21"/>
                      <w:szCs w:val="21"/>
                      <w:highlight w:val="none"/>
                      <w:lang w:bidi="ar"/>
                    </w:rPr>
                  </w:pPr>
                </w:p>
              </w:tc>
            </w:tr>
            <w:tr w14:paraId="172ACB7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486B850">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废催化剂</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2CCE3CD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HW50</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14E70BBE">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900-049-50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119E2E0">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0.18</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184F7E9">
                  <w:pPr>
                    <w:jc w:val="center"/>
                    <w:rPr>
                      <w:rFonts w:hint="eastAsia"/>
                      <w:color w:val="auto"/>
                      <w:sz w:val="21"/>
                      <w:szCs w:val="21"/>
                      <w:highlight w:val="none"/>
                      <w:lang w:val="en-US" w:eastAsia="zh-CN" w:bidi="ar"/>
                    </w:rPr>
                  </w:pPr>
                  <w:r>
                    <w:rPr>
                      <w:rFonts w:hint="eastAsia"/>
                      <w:color w:val="auto"/>
                      <w:sz w:val="21"/>
                      <w:szCs w:val="21"/>
                      <w:highlight w:val="none"/>
                      <w:lang w:val="en-US" w:eastAsia="zh-CN"/>
                    </w:rPr>
                    <w:t>废气处理</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19D36198">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7246A6E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2年</w:t>
                  </w:r>
                </w:p>
              </w:tc>
              <w:tc>
                <w:tcPr>
                  <w:tcW w:w="642" w:type="dxa"/>
                  <w:tcBorders>
                    <w:top w:val="single" w:color="auto" w:sz="4" w:space="0"/>
                    <w:left w:val="nil"/>
                    <w:bottom w:val="single" w:color="auto" w:sz="4" w:space="0"/>
                    <w:right w:val="single" w:color="auto" w:sz="4" w:space="0"/>
                  </w:tcBorders>
                  <w:shd w:val="clear" w:color="auto" w:fill="auto"/>
                  <w:vAlign w:val="center"/>
                </w:tcPr>
                <w:p w14:paraId="089BAD56">
                  <w:pPr>
                    <w:jc w:val="center"/>
                    <w:rPr>
                      <w:rFonts w:hint="default"/>
                      <w:color w:val="auto"/>
                      <w:sz w:val="21"/>
                      <w:szCs w:val="21"/>
                      <w:highlight w:val="none"/>
                      <w:lang w:val="en-US" w:eastAsia="zh-CN"/>
                    </w:rPr>
                  </w:pPr>
                  <w:r>
                    <w:rPr>
                      <w:rFonts w:hint="eastAsia"/>
                      <w:color w:val="auto"/>
                      <w:sz w:val="21"/>
                      <w:szCs w:val="21"/>
                      <w:highlight w:val="none"/>
                      <w:lang w:val="en-US" w:eastAsia="zh-CN"/>
                    </w:rPr>
                    <w:t>T</w:t>
                  </w:r>
                </w:p>
              </w:tc>
              <w:tc>
                <w:tcPr>
                  <w:tcW w:w="905" w:type="dxa"/>
                  <w:vMerge w:val="continue"/>
                  <w:tcBorders>
                    <w:left w:val="nil"/>
                    <w:right w:val="single" w:color="auto" w:sz="4" w:space="0"/>
                  </w:tcBorders>
                  <w:vAlign w:val="center"/>
                </w:tcPr>
                <w:p w14:paraId="0D68E01A">
                  <w:pPr>
                    <w:jc w:val="center"/>
                    <w:outlineLvl w:val="0"/>
                    <w:rPr>
                      <w:color w:val="auto"/>
                      <w:sz w:val="21"/>
                      <w:szCs w:val="21"/>
                      <w:highlight w:val="none"/>
                      <w:lang w:bidi="ar"/>
                    </w:rPr>
                  </w:pPr>
                </w:p>
              </w:tc>
            </w:tr>
            <w:tr w14:paraId="059BD43B">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0B6BFC">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废活化水</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589728F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HW49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4891FD89">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900-042-49</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5E51576">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1.5</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0CFC428A">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移印工序</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4418D5DE">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液态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512813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1年</w:t>
                  </w:r>
                </w:p>
              </w:tc>
              <w:tc>
                <w:tcPr>
                  <w:tcW w:w="642" w:type="dxa"/>
                  <w:vMerge w:val="restart"/>
                  <w:tcBorders>
                    <w:top w:val="single" w:color="auto" w:sz="4" w:space="0"/>
                    <w:left w:val="nil"/>
                    <w:right w:val="single" w:color="auto" w:sz="4" w:space="0"/>
                  </w:tcBorders>
                  <w:shd w:val="clear" w:color="auto" w:fill="auto"/>
                  <w:vAlign w:val="center"/>
                </w:tcPr>
                <w:p w14:paraId="1AF4A1F6">
                  <w:pPr>
                    <w:jc w:val="center"/>
                    <w:rPr>
                      <w:rFonts w:hint="default"/>
                      <w:color w:val="auto"/>
                      <w:sz w:val="21"/>
                      <w:szCs w:val="21"/>
                      <w:highlight w:val="none"/>
                      <w:lang w:val="en-US" w:eastAsia="zh-CN"/>
                    </w:rPr>
                  </w:pPr>
                  <w:r>
                    <w:rPr>
                      <w:rFonts w:hint="eastAsia"/>
                      <w:color w:val="auto"/>
                      <w:sz w:val="21"/>
                      <w:szCs w:val="21"/>
                      <w:highlight w:val="none"/>
                      <w:lang w:val="en-US" w:eastAsia="zh-CN"/>
                    </w:rPr>
                    <w:t>T/C/I/R/In</w:t>
                  </w:r>
                </w:p>
              </w:tc>
              <w:tc>
                <w:tcPr>
                  <w:tcW w:w="905" w:type="dxa"/>
                  <w:vMerge w:val="continue"/>
                  <w:tcBorders>
                    <w:left w:val="nil"/>
                    <w:right w:val="single" w:color="auto" w:sz="4" w:space="0"/>
                  </w:tcBorders>
                  <w:vAlign w:val="center"/>
                </w:tcPr>
                <w:p w14:paraId="415A4832">
                  <w:pPr>
                    <w:jc w:val="center"/>
                    <w:outlineLvl w:val="0"/>
                    <w:rPr>
                      <w:color w:val="auto"/>
                      <w:sz w:val="21"/>
                      <w:szCs w:val="21"/>
                      <w:highlight w:val="none"/>
                      <w:lang w:bidi="ar"/>
                    </w:rPr>
                  </w:pPr>
                </w:p>
              </w:tc>
            </w:tr>
            <w:tr w14:paraId="076DE58B">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4180A8">
                  <w:pPr>
                    <w:jc w:val="center"/>
                    <w:outlineLvl w:val="0"/>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喷淋废水</w:t>
                  </w:r>
                </w:p>
              </w:tc>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14:paraId="78C39DF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HW49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05163C05">
                  <w:pPr>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900-042-49</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6FFD12F8">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2.167</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5EA83CB">
                  <w:pPr>
                    <w:jc w:val="center"/>
                    <w:rPr>
                      <w:rFonts w:hint="eastAsia"/>
                      <w:color w:val="auto"/>
                      <w:sz w:val="21"/>
                      <w:szCs w:val="21"/>
                      <w:highlight w:val="none"/>
                      <w:lang w:val="en-US" w:eastAsia="zh-CN" w:bidi="ar"/>
                    </w:rPr>
                  </w:pPr>
                  <w:r>
                    <w:rPr>
                      <w:rFonts w:hint="eastAsia"/>
                      <w:color w:val="auto"/>
                      <w:sz w:val="21"/>
                      <w:szCs w:val="21"/>
                      <w:highlight w:val="none"/>
                      <w:lang w:val="en-US" w:eastAsia="zh-CN"/>
                    </w:rPr>
                    <w:t>废气处理</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58EA49C3">
                  <w:pPr>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固态</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34AB461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1年</w:t>
                  </w:r>
                </w:p>
              </w:tc>
              <w:tc>
                <w:tcPr>
                  <w:tcW w:w="642" w:type="dxa"/>
                  <w:vMerge w:val="continue"/>
                  <w:tcBorders>
                    <w:left w:val="nil"/>
                    <w:right w:val="single" w:color="auto" w:sz="4" w:space="0"/>
                  </w:tcBorders>
                  <w:shd w:val="clear" w:color="auto" w:fill="auto"/>
                  <w:vAlign w:val="center"/>
                </w:tcPr>
                <w:p w14:paraId="2C26212A">
                  <w:pPr>
                    <w:jc w:val="center"/>
                    <w:rPr>
                      <w:rFonts w:hint="default"/>
                      <w:color w:val="auto"/>
                      <w:sz w:val="21"/>
                      <w:szCs w:val="21"/>
                      <w:highlight w:val="none"/>
                      <w:lang w:val="en-US" w:eastAsia="zh-CN"/>
                    </w:rPr>
                  </w:pPr>
                </w:p>
              </w:tc>
              <w:tc>
                <w:tcPr>
                  <w:tcW w:w="905" w:type="dxa"/>
                  <w:vMerge w:val="continue"/>
                  <w:tcBorders>
                    <w:left w:val="nil"/>
                    <w:right w:val="single" w:color="auto" w:sz="4" w:space="0"/>
                  </w:tcBorders>
                  <w:vAlign w:val="center"/>
                </w:tcPr>
                <w:p w14:paraId="77DE98DD">
                  <w:pPr>
                    <w:jc w:val="center"/>
                    <w:outlineLvl w:val="0"/>
                    <w:rPr>
                      <w:color w:val="auto"/>
                      <w:sz w:val="21"/>
                      <w:szCs w:val="21"/>
                      <w:highlight w:val="none"/>
                      <w:lang w:bidi="ar"/>
                    </w:rPr>
                  </w:pPr>
                </w:p>
              </w:tc>
            </w:tr>
          </w:tbl>
          <w:p w14:paraId="4B0B03F8">
            <w:pPr>
              <w:widowControl/>
              <w:wordWrap w:val="0"/>
              <w:adjustRightInd w:val="0"/>
              <w:snapToGrid w:val="0"/>
              <w:spacing w:before="120" w:beforeLines="50" w:line="360" w:lineRule="auto"/>
              <w:rPr>
                <w:b/>
                <w:bCs/>
                <w:color w:val="auto"/>
                <w:kern w:val="0"/>
                <w:highlight w:val="none"/>
                <w:lang w:bidi="ar"/>
              </w:rPr>
            </w:pPr>
            <w:r>
              <w:rPr>
                <w:b/>
                <w:bCs/>
                <w:color w:val="auto"/>
                <w:kern w:val="0"/>
                <w:highlight w:val="none"/>
                <w:lang w:bidi="ar"/>
              </w:rPr>
              <w:t>环境管理要求：</w:t>
            </w:r>
          </w:p>
          <w:p w14:paraId="09E97FDE">
            <w:pPr>
              <w:widowControl/>
              <w:wordWrap w:val="0"/>
              <w:spacing w:line="360" w:lineRule="auto"/>
              <w:ind w:firstLine="480" w:firstLineChars="200"/>
              <w:rPr>
                <w:color w:val="auto"/>
                <w:kern w:val="0"/>
                <w:highlight w:val="none"/>
                <w:lang w:bidi="ar"/>
              </w:rPr>
            </w:pPr>
            <w:r>
              <w:rPr>
                <w:color w:val="auto"/>
                <w:kern w:val="0"/>
                <w:highlight w:val="none"/>
                <w:lang w:bidi="ar"/>
              </w:rPr>
              <w:t>项目危险废物短暂存放，</w:t>
            </w:r>
            <w:r>
              <w:rPr>
                <w:rFonts w:hint="eastAsia"/>
                <w:color w:val="auto"/>
                <w:kern w:val="0"/>
                <w:highlight w:val="none"/>
                <w:lang w:eastAsia="zh-CN" w:bidi="ar"/>
              </w:rPr>
              <w:t>本项目建设一间</w:t>
            </w:r>
            <w:r>
              <w:rPr>
                <w:rFonts w:hint="eastAsia"/>
                <w:color w:val="auto"/>
                <w:kern w:val="0"/>
                <w:highlight w:val="none"/>
                <w:lang w:val="en-US" w:eastAsia="zh-CN" w:bidi="ar"/>
              </w:rPr>
              <w:t>10m</w:t>
            </w:r>
            <w:r>
              <w:rPr>
                <w:rFonts w:hint="eastAsia"/>
                <w:color w:val="auto"/>
                <w:kern w:val="0"/>
                <w:highlight w:val="none"/>
                <w:vertAlign w:val="superscript"/>
                <w:lang w:val="en-US" w:eastAsia="zh-CN" w:bidi="ar"/>
              </w:rPr>
              <w:t>2</w:t>
            </w:r>
            <w:r>
              <w:rPr>
                <w:rFonts w:hint="eastAsia"/>
                <w:color w:val="auto"/>
                <w:kern w:val="0"/>
                <w:highlight w:val="none"/>
                <w:lang w:val="en-US" w:eastAsia="zh-CN" w:bidi="ar"/>
              </w:rPr>
              <w:t>危险废物暂存间，位于车间北侧，</w:t>
            </w:r>
            <w:r>
              <w:rPr>
                <w:color w:val="auto"/>
                <w:kern w:val="0"/>
                <w:highlight w:val="none"/>
                <w:lang w:bidi="ar"/>
              </w:rPr>
              <w:t>暂存场地的设置应符合</w:t>
            </w:r>
            <w:r>
              <w:rPr>
                <w:color w:val="auto"/>
                <w:highlight w:val="none"/>
              </w:rPr>
              <w:t>《危险废物贮存污染控制标准》（GB18597-2023）</w:t>
            </w:r>
            <w:r>
              <w:rPr>
                <w:rFonts w:hint="eastAsia"/>
                <w:color w:val="auto"/>
                <w:highlight w:val="none"/>
              </w:rPr>
              <w:t>中</w:t>
            </w:r>
            <w:r>
              <w:rPr>
                <w:color w:val="auto"/>
                <w:highlight w:val="none"/>
              </w:rPr>
              <w:t>有关规定。</w:t>
            </w:r>
            <w:r>
              <w:rPr>
                <w:color w:val="auto"/>
                <w:kern w:val="0"/>
                <w:highlight w:val="none"/>
                <w:lang w:bidi="ar"/>
              </w:rPr>
              <w:t>危废暂存场地设置要求做到以下几点：</w:t>
            </w:r>
          </w:p>
          <w:p w14:paraId="21F8A6F1">
            <w:pPr>
              <w:widowControl/>
              <w:wordWrap w:val="0"/>
              <w:spacing w:line="360" w:lineRule="auto"/>
              <w:ind w:firstLine="480" w:firstLineChars="200"/>
              <w:rPr>
                <w:color w:val="auto"/>
                <w:highlight w:val="none"/>
              </w:rPr>
            </w:pPr>
            <w:r>
              <w:rPr>
                <w:color w:val="auto"/>
                <w:kern w:val="0"/>
                <w:highlight w:val="none"/>
                <w:lang w:bidi="ar"/>
              </w:rPr>
              <w:t>（1）危险废物贮存设施必须按</w:t>
            </w:r>
            <w:r>
              <w:rPr>
                <w:rFonts w:hint="eastAsia"/>
                <w:color w:val="auto"/>
                <w:kern w:val="0"/>
                <w:highlight w:val="none"/>
                <w:lang w:bidi="ar"/>
              </w:rPr>
              <w:t>《危险废物识别标志设置技术规范》（HJ 1276-2022）</w:t>
            </w:r>
            <w:r>
              <w:rPr>
                <w:color w:val="auto"/>
                <w:kern w:val="0"/>
                <w:highlight w:val="none"/>
                <w:lang w:bidi="ar"/>
              </w:rPr>
              <w:t>的规定设置警示标志；</w:t>
            </w:r>
          </w:p>
          <w:p w14:paraId="06232E6F">
            <w:pPr>
              <w:spacing w:line="360" w:lineRule="auto"/>
              <w:ind w:firstLine="480" w:firstLineChars="200"/>
              <w:rPr>
                <w:color w:val="auto"/>
                <w:highlight w:val="none"/>
              </w:rPr>
            </w:pPr>
            <w:r>
              <w:rPr>
                <w:color w:val="auto"/>
                <w:highlight w:val="none"/>
              </w:rPr>
              <w:t>（2）企业须健全危险废物相关管理制度，并严格落实。</w:t>
            </w:r>
          </w:p>
          <w:p w14:paraId="647D75F4">
            <w:pPr>
              <w:spacing w:line="360" w:lineRule="auto"/>
              <w:ind w:firstLine="480" w:firstLineChars="200"/>
              <w:rPr>
                <w:color w:val="auto"/>
                <w:highlight w:val="none"/>
              </w:rPr>
            </w:pPr>
            <w:r>
              <w:rPr>
                <w:color w:val="auto"/>
                <w:highlight w:val="none"/>
              </w:rPr>
              <w:t>①企业须对危险废物储运场所张贴警示标识，危险废物包装物张贴警示标签；</w:t>
            </w:r>
          </w:p>
          <w:p w14:paraId="58644DFE">
            <w:pPr>
              <w:spacing w:line="360" w:lineRule="auto"/>
              <w:ind w:firstLine="480" w:firstLineChars="200"/>
              <w:rPr>
                <w:color w:val="auto"/>
                <w:highlight w:val="none"/>
              </w:rPr>
            </w:pPr>
            <w:r>
              <w:rPr>
                <w:color w:val="auto"/>
                <w:highlight w:val="none"/>
              </w:rPr>
              <w:t>②规范危险废物台账记录、建立危险废物收集及储运有关档案，认真填写《危险废物项目区内转运记录表》，作好危险废物台账的记录，记录上须注明危险废物的名称、来源、数量、特性和包装容器的类别、入库日期、存放库位、废物出库日期及接收单位名称等，并即时存档以备查阅。</w:t>
            </w:r>
          </w:p>
          <w:p w14:paraId="308C5A43">
            <w:pPr>
              <w:spacing w:line="360" w:lineRule="auto"/>
              <w:ind w:firstLine="480" w:firstLineChars="200"/>
              <w:rPr>
                <w:color w:val="auto"/>
                <w:highlight w:val="none"/>
              </w:rPr>
            </w:pPr>
            <w:r>
              <w:rPr>
                <w:color w:val="auto"/>
                <w:highlight w:val="none"/>
              </w:rPr>
              <w:t>（3）危险废物存储和管理的相关要求。</w:t>
            </w:r>
          </w:p>
          <w:p w14:paraId="1B3A51DD">
            <w:pPr>
              <w:spacing w:line="360" w:lineRule="auto"/>
              <w:ind w:firstLine="480" w:firstLineChars="200"/>
              <w:rPr>
                <w:color w:val="auto"/>
                <w:highlight w:val="none"/>
              </w:rPr>
            </w:pPr>
            <w:r>
              <w:rPr>
                <w:color w:val="auto"/>
                <w:highlight w:val="none"/>
              </w:rPr>
              <w:t>①必须将危险废物装入容器内密封装运，盛装危险废物的容器应当符合标准，材质要满足相应的强度要求且必须完好无损，容器材质和衬里要与危险废物相容（不相互反应）；</w:t>
            </w:r>
          </w:p>
          <w:p w14:paraId="0B27653E">
            <w:pPr>
              <w:spacing w:line="360" w:lineRule="auto"/>
              <w:ind w:firstLine="480" w:firstLineChars="200"/>
              <w:rPr>
                <w:color w:val="auto"/>
                <w:highlight w:val="none"/>
              </w:rPr>
            </w:pPr>
            <w:r>
              <w:rPr>
                <w:color w:val="auto"/>
                <w:highlight w:val="none"/>
              </w:rPr>
              <w:t>②危险废物转移过程严格落实《危险废物转移管理办法》的相关规定，规范危险废物转移，做好每次外运处置废物的运输登记。</w:t>
            </w:r>
          </w:p>
          <w:p w14:paraId="36F6F464">
            <w:pPr>
              <w:adjustRightInd w:val="0"/>
              <w:snapToGrid w:val="0"/>
              <w:spacing w:line="360" w:lineRule="auto"/>
              <w:ind w:firstLine="480" w:firstLineChars="200"/>
              <w:rPr>
                <w:color w:val="auto"/>
                <w:kern w:val="0"/>
                <w:highlight w:val="none"/>
                <w:lang w:bidi="ar"/>
              </w:rPr>
            </w:pPr>
            <w:r>
              <w:rPr>
                <w:color w:val="auto"/>
                <w:kern w:val="0"/>
                <w:highlight w:val="none"/>
                <w:lang w:bidi="ar"/>
              </w:rPr>
              <w:t>③对危险废物的容器和包装物以及收集、贮存、运输、利用、处置危险废物的设施、场所，应当按照规定设置危险废物识别标志。</w:t>
            </w:r>
          </w:p>
          <w:p w14:paraId="756A2F38">
            <w:pPr>
              <w:adjustRightInd w:val="0"/>
              <w:snapToGrid w:val="0"/>
              <w:spacing w:line="360" w:lineRule="auto"/>
              <w:ind w:firstLine="480" w:firstLineChars="200"/>
              <w:rPr>
                <w:color w:val="auto"/>
                <w:kern w:val="0"/>
                <w:highlight w:val="none"/>
                <w:lang w:bidi="ar"/>
              </w:rPr>
            </w:pPr>
            <w:r>
              <w:rPr>
                <w:color w:val="auto"/>
                <w:kern w:val="0"/>
                <w:highlight w:val="none"/>
                <w:lang w:bidi="ar"/>
              </w:rPr>
              <w:t>④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6D60D5E8">
            <w:pPr>
              <w:adjustRightInd w:val="0"/>
              <w:snapToGrid w:val="0"/>
              <w:spacing w:line="360" w:lineRule="auto"/>
              <w:ind w:firstLine="480" w:firstLineChars="200"/>
              <w:rPr>
                <w:color w:val="auto"/>
                <w:kern w:val="0"/>
                <w:highlight w:val="none"/>
                <w:lang w:bidi="ar"/>
              </w:rPr>
            </w:pPr>
            <w:r>
              <w:rPr>
                <w:color w:val="auto"/>
                <w:kern w:val="0"/>
                <w:highlight w:val="none"/>
                <w:lang w:bidi="ar"/>
              </w:rPr>
              <w:t>⑤收集、贮存危险废物，应当按照危险废物特性分类进行。禁止混合收集、贮存、运输、处置性质不相容而未经安全性处置的危险废贮存危险废物应当采取符合国家环境保护标准的防护措施。禁止将危险废物混入非危险废物中贮存。</w:t>
            </w:r>
          </w:p>
          <w:p w14:paraId="06F5ACDE">
            <w:pPr>
              <w:adjustRightInd w:val="0"/>
              <w:snapToGrid w:val="0"/>
              <w:spacing w:line="360" w:lineRule="auto"/>
              <w:ind w:firstLine="480" w:firstLineChars="200"/>
              <w:rPr>
                <w:color w:val="auto"/>
                <w:kern w:val="0"/>
                <w:highlight w:val="none"/>
                <w:lang w:bidi="ar"/>
              </w:rPr>
            </w:pPr>
            <w:r>
              <w:rPr>
                <w:color w:val="auto"/>
                <w:kern w:val="0"/>
                <w:highlight w:val="none"/>
                <w:lang w:bidi="ar"/>
              </w:rPr>
              <w:t>⑥转移危险废物的，应当按照国家有关规定填写、运行危险废物电子或者纸质转移联单。</w:t>
            </w:r>
          </w:p>
          <w:p w14:paraId="7EBFF642">
            <w:pPr>
              <w:adjustRightInd w:val="0"/>
              <w:snapToGrid w:val="0"/>
              <w:spacing w:line="360" w:lineRule="auto"/>
              <w:ind w:firstLine="480" w:firstLineChars="200"/>
              <w:rPr>
                <w:color w:val="auto"/>
                <w:kern w:val="0"/>
                <w:highlight w:val="none"/>
                <w:lang w:bidi="ar"/>
              </w:rPr>
            </w:pPr>
            <w:r>
              <w:rPr>
                <w:color w:val="auto"/>
                <w:kern w:val="0"/>
                <w:highlight w:val="none"/>
                <w:lang w:bidi="ar"/>
              </w:rPr>
              <w:t>危险废物转移管理应当全程管控、提高效率，具体办法由国务院生态环境主管部门会同国务院交通运输主管部门和公安部门制定。</w:t>
            </w:r>
          </w:p>
          <w:p w14:paraId="4C62B1E4">
            <w:pPr>
              <w:adjustRightInd w:val="0"/>
              <w:snapToGrid w:val="0"/>
              <w:spacing w:line="360" w:lineRule="auto"/>
              <w:ind w:firstLine="480" w:firstLineChars="200"/>
              <w:rPr>
                <w:color w:val="auto"/>
                <w:kern w:val="0"/>
                <w:highlight w:val="none"/>
                <w:lang w:bidi="ar"/>
              </w:rPr>
            </w:pPr>
            <w:r>
              <w:rPr>
                <w:color w:val="auto"/>
                <w:kern w:val="0"/>
                <w:highlight w:val="none"/>
                <w:lang w:bidi="ar"/>
              </w:rPr>
              <w:t>⑦收集、贮存、运输、利用、处置危险废物的场所、设施、设备和容器、包装物及其他物品转作他用时，应当按照国家有关规定经过消除污染处理，方可使用。</w:t>
            </w:r>
          </w:p>
          <w:p w14:paraId="66B59E7C">
            <w:pPr>
              <w:adjustRightInd w:val="0"/>
              <w:snapToGrid w:val="0"/>
              <w:spacing w:line="360" w:lineRule="auto"/>
              <w:ind w:firstLine="480" w:firstLineChars="200"/>
              <w:rPr>
                <w:color w:val="auto"/>
                <w:kern w:val="0"/>
                <w:highlight w:val="none"/>
                <w:lang w:bidi="ar"/>
              </w:rPr>
            </w:pPr>
            <w:r>
              <w:rPr>
                <w:color w:val="auto"/>
                <w:kern w:val="0"/>
                <w:highlight w:val="none"/>
                <w:lang w:bidi="ar"/>
              </w:rPr>
              <w:t>⑧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监督。</w:t>
            </w:r>
          </w:p>
          <w:p w14:paraId="21E47416">
            <w:pPr>
              <w:adjustRightInd w:val="0"/>
              <w:snapToGrid w:val="0"/>
              <w:spacing w:line="360" w:lineRule="auto"/>
              <w:ind w:firstLine="480" w:firstLineChars="200"/>
              <w:rPr>
                <w:color w:val="auto"/>
                <w:kern w:val="0"/>
                <w:highlight w:val="none"/>
              </w:rPr>
            </w:pPr>
            <w:r>
              <w:rPr>
                <w:color w:val="auto"/>
                <w:kern w:val="0"/>
                <w:highlight w:val="none"/>
                <w:lang w:bidi="ar"/>
              </w:rPr>
              <w:t>项目固体废物处置符合</w:t>
            </w:r>
            <w:r>
              <w:rPr>
                <w:color w:val="auto"/>
                <w:highlight w:val="none"/>
              </w:rPr>
              <w:t>《一般工业固体废物贮存和填埋污染控制标准》（GB18599-2020）</w:t>
            </w:r>
            <w:r>
              <w:rPr>
                <w:color w:val="auto"/>
                <w:kern w:val="0"/>
                <w:highlight w:val="none"/>
                <w:lang w:bidi="ar"/>
              </w:rPr>
              <w:t>、</w:t>
            </w:r>
            <w:r>
              <w:rPr>
                <w:color w:val="auto"/>
                <w:highlight w:val="none"/>
              </w:rPr>
              <w:t>《危险废物贮存污染控制标准》（GB</w:t>
            </w:r>
            <w:r>
              <w:rPr>
                <w:rFonts w:hint="eastAsia"/>
                <w:color w:val="auto"/>
                <w:highlight w:val="none"/>
              </w:rPr>
              <w:t xml:space="preserve"> </w:t>
            </w:r>
            <w:r>
              <w:rPr>
                <w:color w:val="auto"/>
                <w:highlight w:val="none"/>
              </w:rPr>
              <w:t>18597-2023）中</w:t>
            </w:r>
            <w:r>
              <w:rPr>
                <w:color w:val="auto"/>
                <w:kern w:val="0"/>
                <w:highlight w:val="none"/>
                <w:lang w:bidi="ar"/>
              </w:rPr>
              <w:t>要求，</w:t>
            </w:r>
            <w:r>
              <w:rPr>
                <w:color w:val="auto"/>
                <w:kern w:val="0"/>
                <w:highlight w:val="none"/>
              </w:rPr>
              <w:t>各固体废物均能得到妥善解决，对周围环境影响较小。</w:t>
            </w:r>
          </w:p>
          <w:p w14:paraId="37462692">
            <w:pPr>
              <w:snapToGrid w:val="0"/>
              <w:spacing w:line="360" w:lineRule="auto"/>
              <w:rPr>
                <w:b/>
                <w:bCs/>
                <w:color w:val="auto"/>
                <w:highlight w:val="none"/>
              </w:rPr>
            </w:pPr>
            <w:r>
              <w:rPr>
                <w:rFonts w:hint="eastAsia"/>
                <w:b/>
                <w:bCs/>
                <w:color w:val="auto"/>
                <w:highlight w:val="none"/>
                <w:lang w:val="en-US" w:eastAsia="zh-CN"/>
              </w:rPr>
              <w:t>五</w:t>
            </w:r>
            <w:r>
              <w:rPr>
                <w:rFonts w:hint="eastAsia"/>
                <w:b/>
                <w:bCs/>
                <w:color w:val="auto"/>
                <w:highlight w:val="none"/>
              </w:rPr>
              <w:t>、地下水、土壤环境</w:t>
            </w:r>
          </w:p>
          <w:p w14:paraId="7938E627">
            <w:pPr>
              <w:adjustRightInd w:val="0"/>
              <w:snapToGrid w:val="0"/>
              <w:spacing w:line="360" w:lineRule="auto"/>
              <w:ind w:firstLine="480" w:firstLineChars="200"/>
              <w:rPr>
                <w:bCs/>
                <w:color w:val="auto"/>
                <w:highlight w:val="none"/>
              </w:rPr>
            </w:pPr>
            <w:r>
              <w:rPr>
                <w:rFonts w:hint="eastAsia"/>
                <w:bCs/>
                <w:color w:val="auto"/>
                <w:highlight w:val="none"/>
              </w:rPr>
              <w:t>（1）分区防渗要求</w:t>
            </w:r>
          </w:p>
          <w:p w14:paraId="76DF1EA0">
            <w:pPr>
              <w:adjustRightInd w:val="0"/>
              <w:snapToGrid w:val="0"/>
              <w:spacing w:line="360" w:lineRule="auto"/>
              <w:ind w:firstLine="480" w:firstLineChars="200"/>
              <w:rPr>
                <w:rFonts w:hint="eastAsia" w:ascii="Times New Roman" w:hAnsi="Times New Roman" w:eastAsia="宋体" w:cs="Times New Roman"/>
                <w:color w:val="auto"/>
                <w:kern w:val="0"/>
                <w:highlight w:val="none"/>
                <w:lang w:eastAsia="zh-CN" w:bidi="ar"/>
              </w:rPr>
            </w:pPr>
            <w:r>
              <w:rPr>
                <w:rFonts w:hint="eastAsia" w:ascii="Times New Roman" w:hAnsi="Times New Roman" w:eastAsia="宋体" w:cs="Times New Roman"/>
                <w:color w:val="auto"/>
                <w:kern w:val="0"/>
                <w:highlight w:val="none"/>
                <w:lang w:val="en-US" w:eastAsia="zh-CN" w:bidi="ar"/>
              </w:rPr>
              <w:t>1、危险废物暂存间：</w:t>
            </w:r>
            <w:r>
              <w:rPr>
                <w:rFonts w:hint="eastAsia" w:ascii="Times New Roman" w:hAnsi="Times New Roman" w:eastAsia="宋体" w:cs="Times New Roman"/>
                <w:color w:val="auto"/>
                <w:kern w:val="0"/>
                <w:highlight w:val="none"/>
                <w:lang w:bidi="ar"/>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eastAsia" w:ascii="Times New Roman" w:hAnsi="Times New Roman" w:eastAsia="宋体" w:cs="Times New Roman"/>
                <w:color w:val="auto"/>
                <w:kern w:val="0"/>
                <w:highlight w:val="none"/>
                <w:vertAlign w:val="superscript"/>
                <w:lang w:bidi="ar"/>
              </w:rPr>
              <w:t>-7</w:t>
            </w:r>
            <w:r>
              <w:rPr>
                <w:rFonts w:hint="eastAsia" w:ascii="Times New Roman" w:hAnsi="Times New Roman" w:eastAsia="宋体" w:cs="Times New Roman"/>
                <w:color w:val="auto"/>
                <w:kern w:val="0"/>
                <w:highlight w:val="none"/>
                <w:lang w:bidi="ar"/>
              </w:rPr>
              <w:t>cm/s），或至少2mm厚高密度聚乙烯膜等人工防渗材料（渗透系数不大于10</w:t>
            </w:r>
            <w:r>
              <w:rPr>
                <w:rFonts w:hint="eastAsia" w:ascii="Times New Roman" w:hAnsi="Times New Roman" w:eastAsia="宋体" w:cs="Times New Roman"/>
                <w:color w:val="auto"/>
                <w:kern w:val="0"/>
                <w:highlight w:val="none"/>
                <w:vertAlign w:val="superscript"/>
                <w:lang w:bidi="ar"/>
              </w:rPr>
              <w:t>-10</w:t>
            </w:r>
            <w:r>
              <w:rPr>
                <w:rFonts w:hint="eastAsia" w:ascii="Times New Roman" w:hAnsi="Times New Roman" w:eastAsia="宋体" w:cs="Times New Roman"/>
                <w:color w:val="auto"/>
                <w:kern w:val="0"/>
                <w:highlight w:val="none"/>
                <w:lang w:bidi="ar"/>
              </w:rPr>
              <w:t>cm/s），或其他防渗性能等效的材料</w:t>
            </w:r>
            <w:r>
              <w:rPr>
                <w:rFonts w:hint="eastAsia" w:ascii="Times New Roman" w:hAnsi="Times New Roman" w:eastAsia="宋体" w:cs="Times New Roman"/>
                <w:color w:val="auto"/>
                <w:kern w:val="0"/>
                <w:highlight w:val="none"/>
                <w:lang w:eastAsia="zh-CN" w:bidi="ar"/>
              </w:rPr>
              <w:t>；</w:t>
            </w:r>
          </w:p>
          <w:p w14:paraId="0F428128">
            <w:pPr>
              <w:adjustRightInd w:val="0"/>
              <w:snapToGrid w:val="0"/>
              <w:spacing w:line="360" w:lineRule="auto"/>
              <w:ind w:firstLine="480" w:firstLineChars="200"/>
              <w:rPr>
                <w:rFonts w:hint="default" w:cs="Times New Roman"/>
                <w:color w:val="auto"/>
                <w:kern w:val="0"/>
                <w:highlight w:val="none"/>
                <w:lang w:val="en-US" w:eastAsia="zh-CN" w:bidi="ar"/>
              </w:rPr>
            </w:pPr>
            <w:r>
              <w:rPr>
                <w:rFonts w:hint="eastAsia" w:cs="Times New Roman"/>
                <w:color w:val="auto"/>
                <w:kern w:val="0"/>
                <w:highlight w:val="none"/>
                <w:lang w:val="en-US" w:eastAsia="zh-CN" w:bidi="ar"/>
              </w:rPr>
              <w:t>2、喷漆房、调漆房：等效黏土防渗层Mb≥6.0m，K≤1.0×10</w:t>
            </w:r>
            <w:r>
              <w:rPr>
                <w:rFonts w:hint="eastAsia" w:cs="Times New Roman"/>
                <w:color w:val="auto"/>
                <w:kern w:val="0"/>
                <w:highlight w:val="none"/>
                <w:vertAlign w:val="superscript"/>
                <w:lang w:val="en-US" w:eastAsia="zh-CN" w:bidi="ar"/>
              </w:rPr>
              <w:t>-7</w:t>
            </w:r>
            <w:r>
              <w:rPr>
                <w:rFonts w:hint="eastAsia" w:cs="Times New Roman"/>
                <w:color w:val="auto"/>
                <w:kern w:val="0"/>
                <w:highlight w:val="none"/>
                <w:lang w:val="en-US" w:eastAsia="zh-CN" w:bidi="ar"/>
              </w:rPr>
              <w:t>cm/s；或参照GB 18598执行；</w:t>
            </w:r>
          </w:p>
          <w:p w14:paraId="3F60682C">
            <w:pPr>
              <w:adjustRightInd w:val="0"/>
              <w:snapToGrid w:val="0"/>
              <w:spacing w:line="360" w:lineRule="auto"/>
              <w:ind w:firstLine="480" w:firstLineChars="200"/>
              <w:rPr>
                <w:rFonts w:hint="eastAsia" w:ascii="Times New Roman" w:hAnsi="Times New Roman" w:eastAsia="宋体" w:cs="Times New Roman"/>
                <w:color w:val="auto"/>
                <w:kern w:val="0"/>
                <w:highlight w:val="none"/>
                <w:lang w:eastAsia="zh-CN" w:bidi="ar"/>
              </w:rPr>
            </w:pPr>
            <w:r>
              <w:rPr>
                <w:rFonts w:hint="eastAsia" w:cs="Times New Roman"/>
                <w:color w:val="auto"/>
                <w:kern w:val="0"/>
                <w:highlight w:val="none"/>
                <w:lang w:val="en-US" w:eastAsia="zh-CN" w:bidi="ar"/>
              </w:rPr>
              <w:t>3</w:t>
            </w:r>
            <w:r>
              <w:rPr>
                <w:rFonts w:hint="eastAsia" w:ascii="Times New Roman" w:hAnsi="Times New Roman" w:eastAsia="宋体" w:cs="Times New Roman"/>
                <w:color w:val="auto"/>
                <w:kern w:val="0"/>
                <w:highlight w:val="none"/>
                <w:lang w:val="en-US" w:eastAsia="zh-CN" w:bidi="ar"/>
              </w:rPr>
              <w:t>、</w:t>
            </w:r>
            <w:r>
              <w:rPr>
                <w:rFonts w:ascii="Times New Roman" w:hAnsi="Times New Roman" w:eastAsia="宋体" w:cs="Times New Roman"/>
                <w:color w:val="auto"/>
                <w:kern w:val="0"/>
                <w:highlight w:val="none"/>
                <w:lang w:bidi="ar"/>
              </w:rPr>
              <w:t>生产车间</w:t>
            </w:r>
            <w:r>
              <w:rPr>
                <w:rFonts w:hint="eastAsia" w:cs="Times New Roman"/>
                <w:color w:val="auto"/>
                <w:kern w:val="0"/>
                <w:highlight w:val="none"/>
                <w:lang w:eastAsia="zh-CN" w:bidi="ar"/>
              </w:rPr>
              <w:t>、</w:t>
            </w:r>
            <w:r>
              <w:rPr>
                <w:rFonts w:hint="eastAsia" w:ascii="Times New Roman" w:hAnsi="Times New Roman" w:eastAsia="宋体" w:cs="Times New Roman"/>
                <w:color w:val="auto"/>
                <w:kern w:val="0"/>
                <w:highlight w:val="none"/>
                <w:lang w:val="en-US" w:eastAsia="zh-CN" w:bidi="ar"/>
              </w:rPr>
              <w:t>化粪池：</w:t>
            </w:r>
            <w:r>
              <w:rPr>
                <w:rFonts w:hint="eastAsia" w:ascii="Times New Roman" w:hAnsi="Times New Roman" w:eastAsia="宋体" w:cs="Times New Roman"/>
                <w:color w:val="auto"/>
                <w:kern w:val="0"/>
                <w:highlight w:val="none"/>
                <w:lang w:bidi="ar"/>
              </w:rPr>
              <w:t>等效黏土防水层Mb≥1.5m，K≤1.0×10</w:t>
            </w:r>
            <w:r>
              <w:rPr>
                <w:rFonts w:hint="eastAsia" w:ascii="Times New Roman" w:hAnsi="Times New Roman" w:eastAsia="宋体" w:cs="Times New Roman"/>
                <w:color w:val="auto"/>
                <w:kern w:val="0"/>
                <w:highlight w:val="none"/>
                <w:vertAlign w:val="superscript"/>
                <w:lang w:bidi="ar"/>
              </w:rPr>
              <w:t>-7</w:t>
            </w:r>
            <w:r>
              <w:rPr>
                <w:rFonts w:hint="eastAsia" w:ascii="Times New Roman" w:hAnsi="Times New Roman" w:eastAsia="宋体" w:cs="Times New Roman"/>
                <w:color w:val="auto"/>
                <w:kern w:val="0"/>
                <w:highlight w:val="none"/>
                <w:lang w:bidi="ar"/>
              </w:rPr>
              <w:t>cm/s</w:t>
            </w:r>
            <w:r>
              <w:rPr>
                <w:rFonts w:hint="eastAsia" w:ascii="Times New Roman" w:hAnsi="Times New Roman" w:eastAsia="宋体" w:cs="Times New Roman"/>
                <w:color w:val="auto"/>
                <w:kern w:val="0"/>
                <w:highlight w:val="none"/>
                <w:lang w:eastAsia="zh-CN" w:bidi="ar"/>
              </w:rPr>
              <w:t>；</w:t>
            </w:r>
            <w:r>
              <w:rPr>
                <w:rFonts w:hint="eastAsia" w:ascii="Times New Roman" w:hAnsi="Times New Roman" w:eastAsia="宋体" w:cs="Times New Roman"/>
                <w:color w:val="auto"/>
                <w:kern w:val="0"/>
                <w:highlight w:val="none"/>
                <w:lang w:bidi="ar"/>
              </w:rPr>
              <w:t>或参照GB1</w:t>
            </w:r>
            <w:r>
              <w:rPr>
                <w:rFonts w:hint="eastAsia" w:ascii="Times New Roman" w:hAnsi="Times New Roman" w:eastAsia="宋体" w:cs="Times New Roman"/>
                <w:color w:val="auto"/>
                <w:kern w:val="0"/>
                <w:highlight w:val="none"/>
                <w:lang w:val="en-US" w:eastAsia="zh-CN" w:bidi="ar"/>
              </w:rPr>
              <w:t>6889</w:t>
            </w:r>
            <w:r>
              <w:rPr>
                <w:rFonts w:hint="eastAsia" w:ascii="Times New Roman" w:hAnsi="Times New Roman" w:eastAsia="宋体" w:cs="Times New Roman"/>
                <w:color w:val="auto"/>
                <w:kern w:val="0"/>
                <w:highlight w:val="none"/>
                <w:lang w:bidi="ar"/>
              </w:rPr>
              <w:t>执行</w:t>
            </w:r>
            <w:r>
              <w:rPr>
                <w:rFonts w:hint="eastAsia" w:ascii="Times New Roman" w:hAnsi="Times New Roman" w:eastAsia="宋体" w:cs="Times New Roman"/>
                <w:color w:val="auto"/>
                <w:kern w:val="0"/>
                <w:highlight w:val="none"/>
                <w:lang w:eastAsia="zh-CN" w:bidi="ar"/>
              </w:rPr>
              <w:t>；</w:t>
            </w:r>
          </w:p>
          <w:p w14:paraId="124BDF43">
            <w:pPr>
              <w:adjustRightInd w:val="0"/>
              <w:snapToGrid w:val="0"/>
              <w:spacing w:line="360" w:lineRule="auto"/>
              <w:ind w:firstLine="480" w:firstLineChars="200"/>
              <w:rPr>
                <w:rFonts w:hint="default" w:ascii="Times New Roman" w:hAnsi="Times New Roman" w:eastAsia="宋体" w:cs="Times New Roman"/>
                <w:color w:val="auto"/>
                <w:kern w:val="0"/>
                <w:highlight w:val="none"/>
                <w:lang w:val="en-US" w:eastAsia="zh-CN" w:bidi="ar"/>
              </w:rPr>
            </w:pPr>
            <w:r>
              <w:rPr>
                <w:rFonts w:hint="eastAsia" w:cs="Times New Roman"/>
                <w:color w:val="auto"/>
                <w:kern w:val="0"/>
                <w:highlight w:val="none"/>
                <w:lang w:val="en-US" w:eastAsia="zh-CN" w:bidi="ar"/>
              </w:rPr>
              <w:t>4</w:t>
            </w:r>
            <w:r>
              <w:rPr>
                <w:rFonts w:hint="eastAsia" w:ascii="Times New Roman" w:hAnsi="Times New Roman" w:eastAsia="宋体" w:cs="Times New Roman"/>
                <w:color w:val="auto"/>
                <w:kern w:val="0"/>
                <w:highlight w:val="none"/>
                <w:lang w:val="en-US" w:eastAsia="zh-CN" w:bidi="ar"/>
              </w:rPr>
              <w:t>、办公区域：一般地面硬化。</w:t>
            </w:r>
          </w:p>
          <w:p w14:paraId="23855C10">
            <w:pPr>
              <w:pStyle w:val="50"/>
              <w:spacing w:line="36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根据以上分区情况，对本项目场区防渗分区见下表。</w:t>
            </w:r>
          </w:p>
          <w:p w14:paraId="75BA5378">
            <w:pPr>
              <w:pStyle w:val="50"/>
              <w:spacing w:line="240" w:lineRule="auto"/>
              <w:ind w:firstLine="0" w:firstLineChars="0"/>
              <w:jc w:val="center"/>
              <w:rPr>
                <w:b/>
                <w:bCs/>
                <w:color w:val="auto"/>
                <w:highlight w:val="none"/>
              </w:rPr>
            </w:pPr>
            <w:r>
              <w:rPr>
                <w:b/>
                <w:bCs/>
                <w:color w:val="auto"/>
                <w:highlight w:val="none"/>
              </w:rPr>
              <w:t>表4</w:t>
            </w:r>
            <w:r>
              <w:rPr>
                <w:rFonts w:hint="eastAsia"/>
                <w:b/>
                <w:bCs/>
                <w:color w:val="auto"/>
                <w:highlight w:val="none"/>
                <w:lang w:val="en-US" w:eastAsia="zh-CN"/>
              </w:rPr>
              <w:t>-18</w:t>
            </w:r>
            <w:r>
              <w:rPr>
                <w:b/>
                <w:bCs/>
                <w:color w:val="auto"/>
                <w:highlight w:val="none"/>
              </w:rPr>
              <w:t xml:space="preserve">  地下水污染防渗分区参照表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40"/>
              <w:gridCol w:w="1095"/>
              <w:gridCol w:w="1560"/>
              <w:gridCol w:w="3126"/>
            </w:tblGrid>
            <w:tr w14:paraId="4872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7" w:type="dxa"/>
                  <w:vAlign w:val="center"/>
                </w:tcPr>
                <w:p w14:paraId="29E0BEE6">
                  <w:pPr>
                    <w:pStyle w:val="50"/>
                    <w:spacing w:line="240" w:lineRule="auto"/>
                    <w:ind w:firstLine="0" w:firstLineChars="0"/>
                    <w:jc w:val="center"/>
                    <w:rPr>
                      <w:b/>
                      <w:bCs/>
                      <w:color w:val="auto"/>
                      <w:sz w:val="21"/>
                      <w:szCs w:val="21"/>
                      <w:highlight w:val="none"/>
                    </w:rPr>
                  </w:pPr>
                  <w:r>
                    <w:rPr>
                      <w:b/>
                      <w:bCs/>
                      <w:color w:val="auto"/>
                      <w:sz w:val="21"/>
                      <w:szCs w:val="21"/>
                      <w:highlight w:val="none"/>
                    </w:rPr>
                    <w:t>场区内</w:t>
                  </w:r>
                </w:p>
                <w:p w14:paraId="049C6F8A">
                  <w:pPr>
                    <w:pStyle w:val="50"/>
                    <w:spacing w:line="240" w:lineRule="auto"/>
                    <w:ind w:firstLine="0" w:firstLineChars="0"/>
                    <w:jc w:val="center"/>
                    <w:rPr>
                      <w:b/>
                      <w:bCs/>
                      <w:color w:val="auto"/>
                      <w:sz w:val="21"/>
                      <w:szCs w:val="21"/>
                      <w:highlight w:val="none"/>
                    </w:rPr>
                  </w:pPr>
                  <w:r>
                    <w:rPr>
                      <w:b/>
                      <w:bCs/>
                      <w:color w:val="auto"/>
                      <w:sz w:val="21"/>
                      <w:szCs w:val="21"/>
                      <w:highlight w:val="none"/>
                    </w:rPr>
                    <w:t>建构筑物</w:t>
                  </w:r>
                </w:p>
              </w:tc>
              <w:tc>
                <w:tcPr>
                  <w:tcW w:w="1140" w:type="dxa"/>
                  <w:vAlign w:val="center"/>
                </w:tcPr>
                <w:p w14:paraId="46C20965">
                  <w:pPr>
                    <w:pStyle w:val="50"/>
                    <w:spacing w:line="240" w:lineRule="auto"/>
                    <w:ind w:firstLine="0" w:firstLineChars="0"/>
                    <w:jc w:val="center"/>
                    <w:rPr>
                      <w:b/>
                      <w:bCs/>
                      <w:color w:val="auto"/>
                      <w:sz w:val="21"/>
                      <w:szCs w:val="21"/>
                      <w:highlight w:val="none"/>
                    </w:rPr>
                  </w:pPr>
                  <w:r>
                    <w:rPr>
                      <w:b/>
                      <w:bCs/>
                      <w:color w:val="auto"/>
                      <w:sz w:val="21"/>
                      <w:szCs w:val="21"/>
                      <w:highlight w:val="none"/>
                    </w:rPr>
                    <w:t>污染控制难易程度</w:t>
                  </w:r>
                </w:p>
              </w:tc>
              <w:tc>
                <w:tcPr>
                  <w:tcW w:w="1095" w:type="dxa"/>
                  <w:vAlign w:val="center"/>
                </w:tcPr>
                <w:p w14:paraId="329A36F7">
                  <w:pPr>
                    <w:pStyle w:val="50"/>
                    <w:spacing w:line="240" w:lineRule="auto"/>
                    <w:ind w:firstLine="0" w:firstLineChars="0"/>
                    <w:jc w:val="center"/>
                    <w:rPr>
                      <w:b/>
                      <w:bCs/>
                      <w:color w:val="auto"/>
                      <w:sz w:val="21"/>
                      <w:szCs w:val="21"/>
                      <w:highlight w:val="none"/>
                    </w:rPr>
                  </w:pPr>
                  <w:r>
                    <w:rPr>
                      <w:b/>
                      <w:bCs/>
                      <w:color w:val="auto"/>
                      <w:sz w:val="21"/>
                      <w:szCs w:val="21"/>
                      <w:highlight w:val="none"/>
                    </w:rPr>
                    <w:t>污染物类型</w:t>
                  </w:r>
                </w:p>
              </w:tc>
              <w:tc>
                <w:tcPr>
                  <w:tcW w:w="1560" w:type="dxa"/>
                  <w:vAlign w:val="center"/>
                </w:tcPr>
                <w:p w14:paraId="588ECBD6">
                  <w:pPr>
                    <w:pStyle w:val="50"/>
                    <w:spacing w:line="240" w:lineRule="auto"/>
                    <w:ind w:firstLine="0" w:firstLineChars="0"/>
                    <w:jc w:val="center"/>
                    <w:rPr>
                      <w:b/>
                      <w:bCs/>
                      <w:color w:val="auto"/>
                      <w:sz w:val="21"/>
                      <w:szCs w:val="21"/>
                      <w:highlight w:val="none"/>
                    </w:rPr>
                  </w:pPr>
                  <w:r>
                    <w:rPr>
                      <w:b/>
                      <w:bCs/>
                      <w:color w:val="auto"/>
                      <w:sz w:val="21"/>
                      <w:szCs w:val="21"/>
                      <w:highlight w:val="none"/>
                    </w:rPr>
                    <w:t>防渗分区</w:t>
                  </w:r>
                </w:p>
              </w:tc>
              <w:tc>
                <w:tcPr>
                  <w:tcW w:w="3126" w:type="dxa"/>
                  <w:vAlign w:val="center"/>
                </w:tcPr>
                <w:p w14:paraId="74188B91">
                  <w:pPr>
                    <w:pStyle w:val="50"/>
                    <w:spacing w:line="240" w:lineRule="auto"/>
                    <w:ind w:firstLine="0" w:firstLineChars="0"/>
                    <w:jc w:val="center"/>
                    <w:rPr>
                      <w:b/>
                      <w:bCs/>
                      <w:color w:val="auto"/>
                      <w:sz w:val="21"/>
                      <w:szCs w:val="21"/>
                      <w:highlight w:val="none"/>
                    </w:rPr>
                  </w:pPr>
                  <w:r>
                    <w:rPr>
                      <w:b/>
                      <w:bCs/>
                      <w:color w:val="auto"/>
                      <w:sz w:val="21"/>
                      <w:szCs w:val="21"/>
                      <w:highlight w:val="none"/>
                    </w:rPr>
                    <w:t>防渗技术要求</w:t>
                  </w:r>
                </w:p>
              </w:tc>
            </w:tr>
            <w:tr w14:paraId="621C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7" w:type="dxa"/>
                  <w:vAlign w:val="center"/>
                </w:tcPr>
                <w:p w14:paraId="27F7278B">
                  <w:pPr>
                    <w:pStyle w:val="5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w:t>
                  </w:r>
                  <w:r>
                    <w:rPr>
                      <w:rFonts w:hint="eastAsia" w:ascii="Times New Roman" w:hAnsi="Times New Roman" w:eastAsia="宋体" w:cs="Times New Roman"/>
                      <w:color w:val="auto"/>
                      <w:kern w:val="2"/>
                      <w:sz w:val="21"/>
                      <w:szCs w:val="21"/>
                      <w:highlight w:val="none"/>
                      <w:lang w:val="en-US" w:eastAsia="zh-CN" w:bidi="ar-SA"/>
                    </w:rPr>
                    <w:t>暂存间</w:t>
                  </w:r>
                  <w:r>
                    <w:rPr>
                      <w:rFonts w:hint="default" w:ascii="Times New Roman" w:hAnsi="Times New Roman" w:eastAsia="宋体" w:cs="Times New Roman"/>
                      <w:color w:val="auto"/>
                      <w:kern w:val="2"/>
                      <w:sz w:val="21"/>
                      <w:szCs w:val="21"/>
                      <w:highlight w:val="none"/>
                      <w:lang w:val="en-US" w:eastAsia="zh-CN" w:bidi="ar-SA"/>
                    </w:rPr>
                    <w:t>重点防渗</w:t>
                  </w:r>
                </w:p>
              </w:tc>
              <w:tc>
                <w:tcPr>
                  <w:tcW w:w="1140" w:type="dxa"/>
                  <w:vAlign w:val="center"/>
                </w:tcPr>
                <w:p w14:paraId="7F2A094E">
                  <w:pPr>
                    <w:pStyle w:val="50"/>
                    <w:spacing w:line="240" w:lineRule="auto"/>
                    <w:ind w:firstLine="0" w:firstLineChars="0"/>
                    <w:jc w:val="center"/>
                    <w:rPr>
                      <w:color w:val="auto"/>
                      <w:sz w:val="21"/>
                      <w:szCs w:val="21"/>
                      <w:highlight w:val="none"/>
                    </w:rPr>
                  </w:pPr>
                  <w:r>
                    <w:rPr>
                      <w:color w:val="auto"/>
                      <w:sz w:val="21"/>
                      <w:szCs w:val="21"/>
                      <w:highlight w:val="none"/>
                    </w:rPr>
                    <w:t>难</w:t>
                  </w:r>
                </w:p>
              </w:tc>
              <w:tc>
                <w:tcPr>
                  <w:tcW w:w="1095" w:type="dxa"/>
                  <w:vAlign w:val="center"/>
                </w:tcPr>
                <w:p w14:paraId="4B44BD39">
                  <w:pPr>
                    <w:pStyle w:val="50"/>
                    <w:spacing w:line="240" w:lineRule="auto"/>
                    <w:ind w:firstLine="0" w:firstLineChars="0"/>
                    <w:jc w:val="center"/>
                    <w:rPr>
                      <w:color w:val="auto"/>
                      <w:sz w:val="21"/>
                      <w:szCs w:val="21"/>
                      <w:highlight w:val="none"/>
                    </w:rPr>
                  </w:pPr>
                  <w:r>
                    <w:rPr>
                      <w:color w:val="auto"/>
                      <w:sz w:val="21"/>
                      <w:szCs w:val="21"/>
                      <w:highlight w:val="none"/>
                    </w:rPr>
                    <w:t>其他类型</w:t>
                  </w:r>
                </w:p>
              </w:tc>
              <w:tc>
                <w:tcPr>
                  <w:tcW w:w="1560" w:type="dxa"/>
                  <w:vAlign w:val="center"/>
                </w:tcPr>
                <w:p w14:paraId="753820E0">
                  <w:pPr>
                    <w:pStyle w:val="50"/>
                    <w:spacing w:line="240" w:lineRule="auto"/>
                    <w:ind w:firstLine="0" w:firstLineChars="0"/>
                    <w:jc w:val="center"/>
                    <w:rPr>
                      <w:color w:val="auto"/>
                      <w:sz w:val="21"/>
                      <w:szCs w:val="21"/>
                      <w:highlight w:val="none"/>
                    </w:rPr>
                  </w:pPr>
                  <w:r>
                    <w:rPr>
                      <w:color w:val="auto"/>
                      <w:sz w:val="21"/>
                      <w:szCs w:val="21"/>
                      <w:highlight w:val="none"/>
                    </w:rPr>
                    <w:t>重点防渗区</w:t>
                  </w:r>
                </w:p>
              </w:tc>
              <w:tc>
                <w:tcPr>
                  <w:tcW w:w="3126" w:type="dxa"/>
                  <w:vAlign w:val="center"/>
                </w:tcPr>
                <w:p w14:paraId="747201FA">
                  <w:pPr>
                    <w:spacing w:line="240" w:lineRule="auto"/>
                    <w:jc w:val="center"/>
                    <w:rPr>
                      <w:color w:val="auto"/>
                      <w:sz w:val="21"/>
                      <w:szCs w:val="21"/>
                      <w:highlight w:val="none"/>
                    </w:rPr>
                  </w:pPr>
                  <w:r>
                    <w:rPr>
                      <w:rFonts w:hint="eastAsia"/>
                      <w:color w:val="auto"/>
                      <w:sz w:val="21"/>
                      <w:szCs w:val="21"/>
                      <w:highlight w:val="none"/>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eastAsia"/>
                      <w:color w:val="auto"/>
                      <w:sz w:val="21"/>
                      <w:szCs w:val="21"/>
                      <w:highlight w:val="none"/>
                      <w:vertAlign w:val="superscript"/>
                    </w:rPr>
                    <w:t>-7</w:t>
                  </w:r>
                  <w:r>
                    <w:rPr>
                      <w:rFonts w:hint="eastAsia"/>
                      <w:color w:val="auto"/>
                      <w:sz w:val="21"/>
                      <w:szCs w:val="21"/>
                      <w:highlight w:val="none"/>
                    </w:rPr>
                    <w:t>cm/s），或至少2mm厚高密度聚乙烯膜等人工防渗材料（渗透系数不大于10</w:t>
                  </w:r>
                  <w:r>
                    <w:rPr>
                      <w:rFonts w:hint="eastAsia"/>
                      <w:color w:val="auto"/>
                      <w:sz w:val="21"/>
                      <w:szCs w:val="21"/>
                      <w:highlight w:val="none"/>
                      <w:vertAlign w:val="superscript"/>
                    </w:rPr>
                    <w:t>-10</w:t>
                  </w:r>
                  <w:r>
                    <w:rPr>
                      <w:rFonts w:hint="eastAsia"/>
                      <w:color w:val="auto"/>
                      <w:sz w:val="21"/>
                      <w:szCs w:val="21"/>
                      <w:highlight w:val="none"/>
                    </w:rPr>
                    <w:t>cm/s），或其他防渗性能等效的材料</w:t>
                  </w:r>
                </w:p>
              </w:tc>
            </w:tr>
            <w:tr w14:paraId="3169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7" w:type="dxa"/>
                  <w:vAlign w:val="center"/>
                </w:tcPr>
                <w:p w14:paraId="00F1CDE7">
                  <w:pPr>
                    <w:pStyle w:val="5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喷漆房</w:t>
                  </w:r>
                  <w:r>
                    <w:rPr>
                      <w:rFonts w:hint="eastAsia" w:cs="Times New Roman"/>
                      <w:color w:val="auto"/>
                      <w:kern w:val="2"/>
                      <w:sz w:val="21"/>
                      <w:szCs w:val="21"/>
                      <w:highlight w:val="none"/>
                      <w:lang w:val="en-US" w:eastAsia="zh-CN" w:bidi="ar-SA"/>
                    </w:rPr>
                    <w:t>；调漆房</w:t>
                  </w:r>
                </w:p>
              </w:tc>
              <w:tc>
                <w:tcPr>
                  <w:tcW w:w="1140" w:type="dxa"/>
                  <w:vAlign w:val="center"/>
                </w:tcPr>
                <w:p w14:paraId="13EF393A">
                  <w:pPr>
                    <w:pStyle w:val="50"/>
                    <w:spacing w:line="240" w:lineRule="auto"/>
                    <w:ind w:firstLine="0" w:firstLineChars="0"/>
                    <w:jc w:val="center"/>
                    <w:rPr>
                      <w:color w:val="auto"/>
                      <w:sz w:val="21"/>
                      <w:szCs w:val="21"/>
                      <w:highlight w:val="none"/>
                    </w:rPr>
                  </w:pPr>
                  <w:r>
                    <w:rPr>
                      <w:color w:val="auto"/>
                      <w:sz w:val="21"/>
                      <w:szCs w:val="21"/>
                      <w:highlight w:val="none"/>
                    </w:rPr>
                    <w:t>难</w:t>
                  </w:r>
                </w:p>
              </w:tc>
              <w:tc>
                <w:tcPr>
                  <w:tcW w:w="1095" w:type="dxa"/>
                  <w:vAlign w:val="center"/>
                </w:tcPr>
                <w:p w14:paraId="25D2C159">
                  <w:pPr>
                    <w:pStyle w:val="50"/>
                    <w:spacing w:line="240" w:lineRule="auto"/>
                    <w:ind w:firstLine="0" w:firstLineChars="0"/>
                    <w:jc w:val="center"/>
                    <w:rPr>
                      <w:color w:val="auto"/>
                      <w:sz w:val="21"/>
                      <w:szCs w:val="21"/>
                      <w:highlight w:val="none"/>
                    </w:rPr>
                  </w:pPr>
                  <w:r>
                    <w:rPr>
                      <w:color w:val="auto"/>
                      <w:sz w:val="21"/>
                      <w:szCs w:val="21"/>
                      <w:highlight w:val="none"/>
                    </w:rPr>
                    <w:t>其他类型</w:t>
                  </w:r>
                </w:p>
              </w:tc>
              <w:tc>
                <w:tcPr>
                  <w:tcW w:w="1560" w:type="dxa"/>
                  <w:vAlign w:val="center"/>
                </w:tcPr>
                <w:p w14:paraId="55EED26D">
                  <w:pPr>
                    <w:pStyle w:val="50"/>
                    <w:spacing w:line="240" w:lineRule="auto"/>
                    <w:ind w:firstLine="0" w:firstLineChars="0"/>
                    <w:jc w:val="center"/>
                    <w:rPr>
                      <w:color w:val="auto"/>
                      <w:sz w:val="21"/>
                      <w:szCs w:val="21"/>
                      <w:highlight w:val="none"/>
                    </w:rPr>
                  </w:pPr>
                  <w:r>
                    <w:rPr>
                      <w:color w:val="auto"/>
                      <w:sz w:val="21"/>
                      <w:szCs w:val="21"/>
                      <w:highlight w:val="none"/>
                    </w:rPr>
                    <w:t>重点防渗区</w:t>
                  </w:r>
                </w:p>
              </w:tc>
              <w:tc>
                <w:tcPr>
                  <w:tcW w:w="3126" w:type="dxa"/>
                  <w:vAlign w:val="center"/>
                </w:tcPr>
                <w:p w14:paraId="4E704065">
                  <w:pPr>
                    <w:spacing w:line="240" w:lineRule="auto"/>
                    <w:jc w:val="center"/>
                    <w:rPr>
                      <w:rFonts w:hint="eastAsia"/>
                      <w:color w:val="auto"/>
                      <w:sz w:val="21"/>
                      <w:szCs w:val="21"/>
                      <w:highlight w:val="none"/>
                    </w:rPr>
                  </w:pPr>
                  <w:r>
                    <w:rPr>
                      <w:rFonts w:hint="eastAsia"/>
                      <w:color w:val="auto"/>
                      <w:sz w:val="21"/>
                      <w:szCs w:val="21"/>
                      <w:highlight w:val="none"/>
                      <w:lang w:val="en-US" w:eastAsia="zh-CN"/>
                    </w:rPr>
                    <w:t>等效黏土防渗层Mb≥6.0m，K≤1.0×10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cm/s；或参照GB 18598执行；</w:t>
                  </w:r>
                </w:p>
              </w:tc>
            </w:tr>
            <w:tr w14:paraId="1F7B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7" w:type="dxa"/>
                  <w:vAlign w:val="center"/>
                </w:tcPr>
                <w:p w14:paraId="052CB519">
                  <w:pPr>
                    <w:pStyle w:val="5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生产车间、</w:t>
                  </w:r>
                  <w:r>
                    <w:rPr>
                      <w:rFonts w:hint="eastAsia" w:cs="Times New Roman"/>
                      <w:color w:val="auto"/>
                      <w:sz w:val="21"/>
                      <w:szCs w:val="21"/>
                      <w:highlight w:val="none"/>
                      <w:lang w:val="en-US" w:eastAsia="zh-CN"/>
                    </w:rPr>
                    <w:t>化粪池</w:t>
                  </w:r>
                </w:p>
              </w:tc>
              <w:tc>
                <w:tcPr>
                  <w:tcW w:w="1140" w:type="dxa"/>
                  <w:vAlign w:val="center"/>
                </w:tcPr>
                <w:p w14:paraId="43BE247A">
                  <w:pPr>
                    <w:pStyle w:val="5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难</w:t>
                  </w:r>
                </w:p>
              </w:tc>
              <w:tc>
                <w:tcPr>
                  <w:tcW w:w="1095" w:type="dxa"/>
                  <w:vAlign w:val="center"/>
                </w:tcPr>
                <w:p w14:paraId="0CFC3FBB">
                  <w:pPr>
                    <w:pStyle w:val="5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其他类型</w:t>
                  </w:r>
                </w:p>
              </w:tc>
              <w:tc>
                <w:tcPr>
                  <w:tcW w:w="1560" w:type="dxa"/>
                  <w:vAlign w:val="center"/>
                </w:tcPr>
                <w:p w14:paraId="09A78C3B">
                  <w:pPr>
                    <w:pStyle w:val="5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一般防渗区</w:t>
                  </w:r>
                </w:p>
              </w:tc>
              <w:tc>
                <w:tcPr>
                  <w:tcW w:w="3126" w:type="dxa"/>
                  <w:vAlign w:val="center"/>
                </w:tcPr>
                <w:p w14:paraId="7DCD8BE1">
                  <w:pPr>
                    <w:spacing w:line="240" w:lineRule="auto"/>
                    <w:jc w:val="center"/>
                    <w:rPr>
                      <w:rFonts w:hint="default"/>
                      <w:color w:val="auto"/>
                      <w:sz w:val="21"/>
                      <w:szCs w:val="21"/>
                      <w:highlight w:val="none"/>
                    </w:rPr>
                  </w:pPr>
                  <w:r>
                    <w:rPr>
                      <w:rFonts w:hint="eastAsia"/>
                      <w:color w:val="auto"/>
                      <w:sz w:val="21"/>
                      <w:szCs w:val="21"/>
                      <w:highlight w:val="none"/>
                    </w:rPr>
                    <w:t>等效黏土防水层Mb≥1.5m，K≤1.0×10</w:t>
                  </w:r>
                  <w:r>
                    <w:rPr>
                      <w:rFonts w:hint="eastAsia"/>
                      <w:color w:val="auto"/>
                      <w:sz w:val="21"/>
                      <w:szCs w:val="21"/>
                      <w:highlight w:val="none"/>
                      <w:vertAlign w:val="superscript"/>
                    </w:rPr>
                    <w:t>-7</w:t>
                  </w:r>
                  <w:r>
                    <w:rPr>
                      <w:rFonts w:hint="eastAsia"/>
                      <w:color w:val="auto"/>
                      <w:sz w:val="21"/>
                      <w:szCs w:val="21"/>
                      <w:highlight w:val="none"/>
                    </w:rPr>
                    <w:t>cm/s</w:t>
                  </w:r>
                  <w:r>
                    <w:rPr>
                      <w:rFonts w:hint="eastAsia"/>
                      <w:color w:val="auto"/>
                      <w:sz w:val="21"/>
                      <w:szCs w:val="21"/>
                      <w:highlight w:val="none"/>
                      <w:lang w:eastAsia="zh-CN"/>
                    </w:rPr>
                    <w:t>；</w:t>
                  </w:r>
                  <w:r>
                    <w:rPr>
                      <w:rFonts w:hint="eastAsia"/>
                      <w:color w:val="auto"/>
                      <w:sz w:val="21"/>
                      <w:szCs w:val="21"/>
                      <w:highlight w:val="none"/>
                    </w:rPr>
                    <w:t>或参照GB 1</w:t>
                  </w:r>
                  <w:r>
                    <w:rPr>
                      <w:rFonts w:hint="eastAsia"/>
                      <w:color w:val="auto"/>
                      <w:sz w:val="21"/>
                      <w:szCs w:val="21"/>
                      <w:highlight w:val="none"/>
                      <w:lang w:val="en-US" w:eastAsia="zh-CN"/>
                    </w:rPr>
                    <w:t>6889</w:t>
                  </w:r>
                  <w:r>
                    <w:rPr>
                      <w:rFonts w:hint="eastAsia"/>
                      <w:color w:val="auto"/>
                      <w:sz w:val="21"/>
                      <w:szCs w:val="21"/>
                      <w:highlight w:val="none"/>
                    </w:rPr>
                    <w:t>执行</w:t>
                  </w:r>
                </w:p>
              </w:tc>
            </w:tr>
            <w:tr w14:paraId="2AB1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7" w:type="dxa"/>
                  <w:vAlign w:val="center"/>
                </w:tcPr>
                <w:p w14:paraId="667FB8B2">
                  <w:pPr>
                    <w:pStyle w:val="5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办公区</w:t>
                  </w:r>
                </w:p>
              </w:tc>
              <w:tc>
                <w:tcPr>
                  <w:tcW w:w="1140" w:type="dxa"/>
                  <w:vAlign w:val="center"/>
                </w:tcPr>
                <w:p w14:paraId="6C5C2E53">
                  <w:pPr>
                    <w:pStyle w:val="50"/>
                    <w:spacing w:line="240" w:lineRule="auto"/>
                    <w:ind w:firstLine="0" w:firstLineChars="0"/>
                    <w:jc w:val="center"/>
                    <w:rPr>
                      <w:color w:val="auto"/>
                      <w:sz w:val="21"/>
                      <w:szCs w:val="21"/>
                      <w:highlight w:val="none"/>
                    </w:rPr>
                  </w:pPr>
                  <w:r>
                    <w:rPr>
                      <w:color w:val="auto"/>
                      <w:sz w:val="21"/>
                      <w:szCs w:val="21"/>
                      <w:highlight w:val="none"/>
                    </w:rPr>
                    <w:t>易</w:t>
                  </w:r>
                </w:p>
              </w:tc>
              <w:tc>
                <w:tcPr>
                  <w:tcW w:w="1095" w:type="dxa"/>
                  <w:vAlign w:val="center"/>
                </w:tcPr>
                <w:p w14:paraId="4852D575">
                  <w:pPr>
                    <w:pStyle w:val="50"/>
                    <w:spacing w:line="240" w:lineRule="auto"/>
                    <w:ind w:firstLine="0" w:firstLineChars="0"/>
                    <w:jc w:val="center"/>
                    <w:rPr>
                      <w:color w:val="auto"/>
                      <w:sz w:val="21"/>
                      <w:szCs w:val="21"/>
                      <w:highlight w:val="none"/>
                    </w:rPr>
                  </w:pPr>
                  <w:r>
                    <w:rPr>
                      <w:color w:val="auto"/>
                      <w:sz w:val="21"/>
                      <w:szCs w:val="21"/>
                      <w:highlight w:val="none"/>
                    </w:rPr>
                    <w:t>其他类型</w:t>
                  </w:r>
                </w:p>
              </w:tc>
              <w:tc>
                <w:tcPr>
                  <w:tcW w:w="1560" w:type="dxa"/>
                  <w:vAlign w:val="center"/>
                </w:tcPr>
                <w:p w14:paraId="2787DFF7">
                  <w:pPr>
                    <w:pStyle w:val="50"/>
                    <w:spacing w:line="240" w:lineRule="auto"/>
                    <w:ind w:firstLine="0" w:firstLineChars="0"/>
                    <w:jc w:val="center"/>
                    <w:rPr>
                      <w:color w:val="auto"/>
                      <w:sz w:val="21"/>
                      <w:szCs w:val="21"/>
                      <w:highlight w:val="none"/>
                    </w:rPr>
                  </w:pPr>
                  <w:r>
                    <w:rPr>
                      <w:color w:val="auto"/>
                      <w:sz w:val="21"/>
                      <w:szCs w:val="21"/>
                      <w:highlight w:val="none"/>
                    </w:rPr>
                    <w:t>简单防渗区</w:t>
                  </w:r>
                </w:p>
              </w:tc>
              <w:tc>
                <w:tcPr>
                  <w:tcW w:w="3126" w:type="dxa"/>
                  <w:vAlign w:val="center"/>
                </w:tcPr>
                <w:p w14:paraId="52854811">
                  <w:pPr>
                    <w:pStyle w:val="50"/>
                    <w:spacing w:line="240" w:lineRule="auto"/>
                    <w:ind w:firstLine="0" w:firstLineChars="0"/>
                    <w:jc w:val="center"/>
                    <w:rPr>
                      <w:color w:val="auto"/>
                      <w:sz w:val="21"/>
                      <w:szCs w:val="21"/>
                      <w:highlight w:val="none"/>
                    </w:rPr>
                  </w:pPr>
                  <w:r>
                    <w:rPr>
                      <w:color w:val="auto"/>
                      <w:sz w:val="21"/>
                      <w:szCs w:val="21"/>
                      <w:highlight w:val="none"/>
                    </w:rPr>
                    <w:t>一般地面硬化</w:t>
                  </w:r>
                </w:p>
              </w:tc>
            </w:tr>
          </w:tbl>
          <w:p w14:paraId="1A6166E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bCs/>
                <w:color w:val="auto"/>
                <w:sz w:val="24"/>
                <w:highlight w:val="none"/>
              </w:rPr>
            </w:pPr>
            <w:r>
              <w:rPr>
                <w:rFonts w:hint="eastAsia"/>
                <w:b/>
                <w:bCs/>
                <w:color w:val="auto"/>
                <w:sz w:val="24"/>
                <w:highlight w:val="none"/>
                <w:lang w:val="en-US" w:eastAsia="zh-CN"/>
              </w:rPr>
              <w:t>六</w:t>
            </w:r>
            <w:r>
              <w:rPr>
                <w:rFonts w:hint="eastAsia"/>
                <w:b/>
                <w:bCs/>
                <w:color w:val="auto"/>
                <w:sz w:val="24"/>
                <w:highlight w:val="none"/>
              </w:rPr>
              <w:t>、环境生态</w:t>
            </w:r>
          </w:p>
          <w:p w14:paraId="2EBC54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pacing w:val="0"/>
                <w:szCs w:val="21"/>
                <w:highlight w:val="none"/>
              </w:rPr>
            </w:pPr>
            <w:r>
              <w:rPr>
                <w:bCs/>
                <w:color w:val="auto"/>
                <w:spacing w:val="0"/>
                <w:highlight w:val="none"/>
              </w:rPr>
              <w:t>项目位于</w:t>
            </w:r>
            <w:r>
              <w:rPr>
                <w:rFonts w:hint="default"/>
                <w:bCs/>
                <w:color w:val="auto"/>
                <w:spacing w:val="0"/>
                <w:highlight w:val="none"/>
                <w:lang w:val="en-US" w:eastAsia="zh-CN"/>
              </w:rPr>
              <w:t>安徽省宿州市</w:t>
            </w:r>
            <w:r>
              <w:rPr>
                <w:rFonts w:hint="default" w:eastAsia="宋体"/>
                <w:color w:val="auto"/>
                <w:highlight w:val="none"/>
                <w:lang w:val="en-US" w:eastAsia="zh-CN"/>
              </w:rPr>
              <w:t>泗县经济开发区蟠龙山路与南柳路交口东南角地块</w:t>
            </w:r>
            <w:r>
              <w:rPr>
                <w:bCs/>
                <w:color w:val="auto"/>
                <w:spacing w:val="0"/>
                <w:highlight w:val="none"/>
              </w:rPr>
              <w:t>，用地范围内不含生态环境保护目标，故不对生态环境进行影响分析</w:t>
            </w:r>
            <w:r>
              <w:rPr>
                <w:bCs/>
                <w:color w:val="auto"/>
                <w:spacing w:val="0"/>
                <w:szCs w:val="21"/>
                <w:highlight w:val="none"/>
              </w:rPr>
              <w:t>。</w:t>
            </w:r>
          </w:p>
          <w:p w14:paraId="0E76C8F8">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highlight w:val="none"/>
              </w:rPr>
            </w:pPr>
            <w:r>
              <w:rPr>
                <w:rFonts w:hint="eastAsia"/>
                <w:b/>
                <w:bCs/>
                <w:color w:val="auto"/>
                <w:highlight w:val="none"/>
                <w:lang w:val="en-US" w:eastAsia="zh-CN"/>
              </w:rPr>
              <w:t>七</w:t>
            </w:r>
            <w:r>
              <w:rPr>
                <w:rFonts w:hint="eastAsia"/>
                <w:b/>
                <w:bCs/>
                <w:color w:val="auto"/>
                <w:highlight w:val="none"/>
              </w:rPr>
              <w:t>、</w:t>
            </w:r>
            <w:r>
              <w:rPr>
                <w:b/>
                <w:bCs/>
                <w:color w:val="auto"/>
                <w:highlight w:val="none"/>
              </w:rPr>
              <w:t>环境风险</w:t>
            </w:r>
          </w:p>
          <w:p w14:paraId="13BC9EBB">
            <w:pPr>
              <w:adjustRightInd w:val="0"/>
              <w:snapToGrid w:val="0"/>
              <w:spacing w:line="360" w:lineRule="auto"/>
              <w:ind w:firstLine="480" w:firstLineChars="200"/>
              <w:rPr>
                <w:color w:val="auto"/>
                <w:highlight w:val="none"/>
              </w:rPr>
            </w:pPr>
            <w:r>
              <w:rPr>
                <w:color w:val="auto"/>
                <w:highlight w:val="none"/>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 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14:paraId="77B84C69">
            <w:pPr>
              <w:adjustRightInd w:val="0"/>
              <w:snapToGrid w:val="0"/>
              <w:spacing w:line="360" w:lineRule="auto"/>
              <w:ind w:firstLine="480" w:firstLineChars="200"/>
              <w:rPr>
                <w:color w:val="auto"/>
                <w:highlight w:val="none"/>
              </w:rPr>
            </w:pPr>
            <w:r>
              <w:rPr>
                <w:color w:val="auto"/>
                <w:highlight w:val="none"/>
              </w:rPr>
              <w:t>本次环境风险评价重点主要对项目运营期间可能存在的危险、有害因素进行分析，并对可能发生的突发性事件及事故所造成的人身安全与环境影响、损害程度，提出合理可行的防范、应急与减缓措施。</w:t>
            </w:r>
          </w:p>
          <w:p w14:paraId="237E65FC">
            <w:pPr>
              <w:spacing w:line="360" w:lineRule="auto"/>
              <w:ind w:firstLine="482"/>
              <w:rPr>
                <w:b/>
                <w:bCs/>
                <w:color w:val="auto"/>
                <w:sz w:val="24"/>
                <w:highlight w:val="none"/>
              </w:rPr>
            </w:pPr>
            <w:r>
              <w:rPr>
                <w:b/>
                <w:bCs/>
                <w:color w:val="auto"/>
                <w:sz w:val="24"/>
                <w:highlight w:val="none"/>
              </w:rPr>
              <w:t>7.1风险调查</w:t>
            </w:r>
          </w:p>
          <w:p w14:paraId="54CA863F">
            <w:pPr>
              <w:widowControl/>
              <w:adjustRightInd w:val="0"/>
              <w:snapToGrid w:val="0"/>
              <w:spacing w:line="360" w:lineRule="auto"/>
              <w:ind w:firstLine="480" w:firstLineChars="200"/>
              <w:jc w:val="left"/>
              <w:rPr>
                <w:color w:val="auto"/>
                <w:sz w:val="24"/>
                <w:szCs w:val="24"/>
                <w:highlight w:val="none"/>
              </w:rPr>
            </w:pPr>
            <w:r>
              <w:rPr>
                <w:color w:val="auto"/>
                <w:sz w:val="24"/>
                <w:szCs w:val="24"/>
                <w:highlight w:val="none"/>
              </w:rPr>
              <w:t>本项目</w:t>
            </w:r>
            <w:r>
              <w:rPr>
                <w:rFonts w:hint="eastAsia"/>
                <w:color w:val="auto"/>
                <w:sz w:val="24"/>
                <w:szCs w:val="24"/>
                <w:highlight w:val="none"/>
                <w:lang w:val="en-US" w:eastAsia="zh-CN"/>
              </w:rPr>
              <w:t>生产</w:t>
            </w:r>
            <w:r>
              <w:rPr>
                <w:color w:val="auto"/>
                <w:sz w:val="24"/>
                <w:szCs w:val="24"/>
                <w:highlight w:val="none"/>
              </w:rPr>
              <w:t>过程中涉及的原辅材料主要为</w:t>
            </w:r>
            <w:r>
              <w:rPr>
                <w:rFonts w:hint="eastAsia"/>
                <w:color w:val="auto"/>
                <w:sz w:val="24"/>
                <w:szCs w:val="24"/>
                <w:highlight w:val="none"/>
                <w:lang w:val="en-US" w:eastAsia="zh-CN"/>
              </w:rPr>
              <w:t>丙烯酸酯涂料、</w:t>
            </w:r>
            <w:r>
              <w:rPr>
                <w:rFonts w:hint="eastAsia"/>
                <w:color w:val="auto"/>
                <w:highlight w:val="none"/>
                <w:vertAlign w:val="baseline"/>
                <w:lang w:val="en-US" w:eastAsia="zh-CN"/>
              </w:rPr>
              <w:t>机油</w:t>
            </w:r>
            <w:r>
              <w:rPr>
                <w:rFonts w:hint="eastAsia"/>
                <w:color w:val="auto"/>
                <w:sz w:val="24"/>
                <w:szCs w:val="24"/>
                <w:highlight w:val="none"/>
                <w:lang w:val="en-US" w:eastAsia="zh-CN"/>
              </w:rPr>
              <w:t>等</w:t>
            </w:r>
            <w:r>
              <w:rPr>
                <w:color w:val="auto"/>
                <w:sz w:val="24"/>
                <w:szCs w:val="24"/>
                <w:highlight w:val="none"/>
              </w:rPr>
              <w:t>，与《建设项目环境风险评价技术导则》（HJ</w:t>
            </w:r>
            <w:r>
              <w:rPr>
                <w:rFonts w:hint="eastAsia"/>
                <w:color w:val="auto"/>
                <w:sz w:val="24"/>
                <w:szCs w:val="24"/>
                <w:highlight w:val="none"/>
              </w:rPr>
              <w:t xml:space="preserve"> </w:t>
            </w:r>
            <w:r>
              <w:rPr>
                <w:color w:val="auto"/>
                <w:sz w:val="24"/>
                <w:szCs w:val="24"/>
                <w:highlight w:val="none"/>
              </w:rPr>
              <w:t>169-2018）附录B中重点关注的危险物质进行对比</w:t>
            </w:r>
            <w:r>
              <w:rPr>
                <w:rFonts w:hint="eastAsia"/>
                <w:color w:val="auto"/>
                <w:sz w:val="24"/>
                <w:szCs w:val="24"/>
                <w:highlight w:val="none"/>
              </w:rPr>
              <w:t>，</w:t>
            </w:r>
            <w:r>
              <w:rPr>
                <w:rFonts w:hint="eastAsia"/>
                <w:color w:val="auto"/>
                <w:sz w:val="24"/>
                <w:szCs w:val="24"/>
                <w:highlight w:val="none"/>
                <w:lang w:val="en-US" w:eastAsia="zh-CN"/>
              </w:rPr>
              <w:t>机油、废机油、二甲苯</w:t>
            </w:r>
            <w:r>
              <w:rPr>
                <w:rFonts w:hint="eastAsia"/>
                <w:color w:val="auto"/>
                <w:sz w:val="24"/>
                <w:szCs w:val="24"/>
                <w:highlight w:val="none"/>
              </w:rPr>
              <w:t>属于</w:t>
            </w:r>
            <w:r>
              <w:rPr>
                <w:color w:val="auto"/>
                <w:sz w:val="24"/>
                <w:szCs w:val="24"/>
                <w:highlight w:val="none"/>
              </w:rPr>
              <w:t>重点关注的危险物质</w:t>
            </w:r>
            <w:r>
              <w:rPr>
                <w:rFonts w:hint="eastAsia"/>
                <w:color w:val="auto"/>
                <w:sz w:val="24"/>
                <w:szCs w:val="24"/>
                <w:highlight w:val="none"/>
              </w:rPr>
              <w:t>。</w:t>
            </w:r>
          </w:p>
          <w:p w14:paraId="384A6822">
            <w:pPr>
              <w:widowControl/>
              <w:adjustRightInd w:val="0"/>
              <w:snapToGrid w:val="0"/>
              <w:jc w:val="center"/>
              <w:rPr>
                <w:b/>
                <w:bCs/>
                <w:color w:val="auto"/>
                <w:highlight w:val="none"/>
              </w:rPr>
            </w:pPr>
            <w:r>
              <w:rPr>
                <w:rFonts w:hint="eastAsia"/>
                <w:b/>
                <w:bCs/>
                <w:color w:val="auto"/>
                <w:highlight w:val="none"/>
              </w:rPr>
              <w:t>表4</w:t>
            </w:r>
            <w:r>
              <w:rPr>
                <w:rFonts w:hint="eastAsia"/>
                <w:b/>
                <w:bCs/>
                <w:color w:val="auto"/>
                <w:highlight w:val="none"/>
                <w:lang w:val="en-US" w:eastAsia="zh-CN"/>
              </w:rPr>
              <w:t>-19</w:t>
            </w:r>
            <w:r>
              <w:rPr>
                <w:rFonts w:hint="eastAsia"/>
                <w:b/>
                <w:bCs/>
                <w:color w:val="auto"/>
                <w:highlight w:val="none"/>
              </w:rPr>
              <w:t xml:space="preserve">  项目危险物质数量和分布情况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881"/>
              <w:gridCol w:w="2632"/>
              <w:gridCol w:w="1743"/>
            </w:tblGrid>
            <w:tr w14:paraId="2EF6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1" w:type="pct"/>
                  <w:vAlign w:val="center"/>
                </w:tcPr>
                <w:p w14:paraId="445B25D3">
                  <w:pPr>
                    <w:pStyle w:val="35"/>
                    <w:rPr>
                      <w:bCs/>
                      <w:color w:val="auto"/>
                      <w:szCs w:val="21"/>
                      <w:highlight w:val="none"/>
                    </w:rPr>
                  </w:pPr>
                  <w:r>
                    <w:rPr>
                      <w:bCs/>
                      <w:color w:val="auto"/>
                      <w:szCs w:val="21"/>
                      <w:highlight w:val="none"/>
                    </w:rPr>
                    <w:t>危险物质</w:t>
                  </w:r>
                </w:p>
              </w:tc>
              <w:tc>
                <w:tcPr>
                  <w:tcW w:w="1154" w:type="pct"/>
                  <w:vAlign w:val="center"/>
                </w:tcPr>
                <w:p w14:paraId="1792DC94">
                  <w:pPr>
                    <w:pStyle w:val="35"/>
                    <w:rPr>
                      <w:bCs/>
                      <w:color w:val="auto"/>
                      <w:szCs w:val="21"/>
                      <w:highlight w:val="none"/>
                    </w:rPr>
                  </w:pPr>
                  <w:r>
                    <w:rPr>
                      <w:bCs/>
                      <w:color w:val="auto"/>
                      <w:szCs w:val="21"/>
                      <w:highlight w:val="none"/>
                    </w:rPr>
                    <w:t>最大贮存量（t）</w:t>
                  </w:r>
                </w:p>
              </w:tc>
              <w:tc>
                <w:tcPr>
                  <w:tcW w:w="1615" w:type="pct"/>
                  <w:vAlign w:val="center"/>
                </w:tcPr>
                <w:p w14:paraId="273C6752">
                  <w:pPr>
                    <w:pStyle w:val="35"/>
                    <w:rPr>
                      <w:rFonts w:hint="eastAsia" w:eastAsia="宋体"/>
                      <w:bCs/>
                      <w:color w:val="auto"/>
                      <w:szCs w:val="21"/>
                      <w:highlight w:val="none"/>
                      <w:lang w:eastAsia="zh-CN"/>
                    </w:rPr>
                  </w:pPr>
                  <w:r>
                    <w:rPr>
                      <w:rFonts w:hint="eastAsia"/>
                      <w:bCs/>
                      <w:color w:val="auto"/>
                      <w:szCs w:val="21"/>
                      <w:highlight w:val="none"/>
                      <w:lang w:eastAsia="zh-CN"/>
                    </w:rPr>
                    <w:t>危险特性</w:t>
                  </w:r>
                </w:p>
              </w:tc>
              <w:tc>
                <w:tcPr>
                  <w:tcW w:w="1069" w:type="pct"/>
                  <w:vAlign w:val="center"/>
                </w:tcPr>
                <w:p w14:paraId="0BF17E90">
                  <w:pPr>
                    <w:pStyle w:val="35"/>
                    <w:rPr>
                      <w:rFonts w:hint="eastAsia" w:eastAsia="宋体"/>
                      <w:bCs/>
                      <w:color w:val="auto"/>
                      <w:szCs w:val="21"/>
                      <w:highlight w:val="none"/>
                      <w:lang w:val="en-US" w:eastAsia="zh-CN"/>
                    </w:rPr>
                  </w:pPr>
                  <w:r>
                    <w:rPr>
                      <w:rFonts w:hint="eastAsia"/>
                      <w:bCs/>
                      <w:color w:val="auto"/>
                      <w:szCs w:val="21"/>
                      <w:highlight w:val="none"/>
                      <w:lang w:val="en-US" w:eastAsia="zh-CN"/>
                    </w:rPr>
                    <w:t>分布</w:t>
                  </w:r>
                </w:p>
              </w:tc>
            </w:tr>
            <w:tr w14:paraId="7B3E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1" w:type="pct"/>
                  <w:vAlign w:val="center"/>
                </w:tcPr>
                <w:p w14:paraId="40CF9DA6">
                  <w:pPr>
                    <w:pStyle w:val="33"/>
                    <w:snapToGrid w:val="0"/>
                    <w:spacing w:before="48" w:beforeLines="2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机油</w:t>
                  </w:r>
                </w:p>
              </w:tc>
              <w:tc>
                <w:tcPr>
                  <w:tcW w:w="1154" w:type="pct"/>
                  <w:vAlign w:val="center"/>
                </w:tcPr>
                <w:p w14:paraId="3F66AADC">
                  <w:pPr>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1615" w:type="pct"/>
                  <w:vAlign w:val="center"/>
                </w:tcPr>
                <w:p w14:paraId="1D0DCA0B">
                  <w:pPr>
                    <w:jc w:val="center"/>
                    <w:rPr>
                      <w:rFonts w:hint="eastAsia" w:eastAsia="宋体"/>
                      <w:b w:val="0"/>
                      <w:bCs/>
                      <w:color w:val="auto"/>
                      <w:sz w:val="21"/>
                      <w:szCs w:val="21"/>
                      <w:highlight w:val="none"/>
                      <w:lang w:eastAsia="zh-CN"/>
                    </w:rPr>
                  </w:pPr>
                  <w:r>
                    <w:rPr>
                      <w:rFonts w:hint="eastAsia"/>
                      <w:b w:val="0"/>
                      <w:bCs/>
                      <w:color w:val="auto"/>
                      <w:sz w:val="21"/>
                      <w:szCs w:val="21"/>
                      <w:highlight w:val="none"/>
                      <w:lang w:eastAsia="zh-CN"/>
                    </w:rPr>
                    <w:t>油类物质，可燃</w:t>
                  </w:r>
                </w:p>
              </w:tc>
              <w:tc>
                <w:tcPr>
                  <w:tcW w:w="1069" w:type="pct"/>
                  <w:vMerge w:val="restart"/>
                  <w:vAlign w:val="center"/>
                </w:tcPr>
                <w:p w14:paraId="1F46AFE5">
                  <w:pPr>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调漆房</w:t>
                  </w:r>
                </w:p>
              </w:tc>
            </w:tr>
            <w:tr w14:paraId="1AFD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1" w:type="pct"/>
                  <w:vAlign w:val="center"/>
                </w:tcPr>
                <w:p w14:paraId="793D7737">
                  <w:pPr>
                    <w:pStyle w:val="33"/>
                    <w:snapToGrid w:val="0"/>
                    <w:spacing w:before="48" w:beforeLines="2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二甲苯</w:t>
                  </w:r>
                </w:p>
              </w:tc>
              <w:tc>
                <w:tcPr>
                  <w:tcW w:w="1154" w:type="pct"/>
                  <w:vAlign w:val="center"/>
                </w:tcPr>
                <w:p w14:paraId="03292862">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0.138</w:t>
                  </w:r>
                </w:p>
              </w:tc>
              <w:tc>
                <w:tcPr>
                  <w:tcW w:w="1615" w:type="pct"/>
                  <w:vAlign w:val="center"/>
                </w:tcPr>
                <w:p w14:paraId="55B135E7">
                  <w:pPr>
                    <w:jc w:val="center"/>
                    <w:rPr>
                      <w:rFonts w:hint="default"/>
                      <w:b w:val="0"/>
                      <w:bCs/>
                      <w:color w:val="auto"/>
                      <w:sz w:val="21"/>
                      <w:szCs w:val="21"/>
                      <w:highlight w:val="none"/>
                      <w:lang w:val="en-US" w:eastAsia="zh-CN"/>
                    </w:rPr>
                  </w:pPr>
                  <w:r>
                    <w:rPr>
                      <w:rFonts w:hint="default"/>
                      <w:b w:val="0"/>
                      <w:bCs/>
                      <w:color w:val="auto"/>
                      <w:sz w:val="21"/>
                      <w:szCs w:val="21"/>
                      <w:highlight w:val="none"/>
                      <w:lang w:val="en-US" w:eastAsia="zh-CN"/>
                    </w:rPr>
                    <w:t>易燃</w:t>
                  </w:r>
                  <w:r>
                    <w:rPr>
                      <w:rFonts w:hint="eastAsia"/>
                      <w:b w:val="0"/>
                      <w:bCs/>
                      <w:color w:val="auto"/>
                      <w:sz w:val="21"/>
                      <w:szCs w:val="21"/>
                      <w:highlight w:val="none"/>
                      <w:lang w:val="en-US" w:eastAsia="zh-CN"/>
                    </w:rPr>
                    <w:t>、有毒物质</w:t>
                  </w:r>
                </w:p>
              </w:tc>
              <w:tc>
                <w:tcPr>
                  <w:tcW w:w="1069" w:type="pct"/>
                  <w:vMerge w:val="continue"/>
                  <w:vAlign w:val="center"/>
                </w:tcPr>
                <w:p w14:paraId="57C42795">
                  <w:pPr>
                    <w:jc w:val="center"/>
                    <w:rPr>
                      <w:rFonts w:hint="eastAsia"/>
                      <w:b w:val="0"/>
                      <w:bCs/>
                      <w:color w:val="auto"/>
                      <w:sz w:val="21"/>
                      <w:szCs w:val="21"/>
                      <w:highlight w:val="none"/>
                      <w:lang w:val="en-US" w:eastAsia="zh-CN"/>
                    </w:rPr>
                  </w:pPr>
                </w:p>
              </w:tc>
            </w:tr>
            <w:tr w14:paraId="3F05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1" w:type="pct"/>
                  <w:vAlign w:val="center"/>
                </w:tcPr>
                <w:p w14:paraId="5A8C10B9">
                  <w:pPr>
                    <w:pStyle w:val="33"/>
                    <w:snapToGrid w:val="0"/>
                    <w:spacing w:before="48" w:beforeLines="2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醋酸丁酯</w:t>
                  </w:r>
                </w:p>
              </w:tc>
              <w:tc>
                <w:tcPr>
                  <w:tcW w:w="1154" w:type="pct"/>
                  <w:vAlign w:val="center"/>
                </w:tcPr>
                <w:p w14:paraId="48E98528">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0.519</w:t>
                  </w:r>
                </w:p>
              </w:tc>
              <w:tc>
                <w:tcPr>
                  <w:tcW w:w="1615" w:type="pct"/>
                  <w:vAlign w:val="center"/>
                </w:tcPr>
                <w:p w14:paraId="7A19E72D">
                  <w:pPr>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有毒物质</w:t>
                  </w:r>
                </w:p>
              </w:tc>
              <w:tc>
                <w:tcPr>
                  <w:tcW w:w="1069" w:type="pct"/>
                  <w:vMerge w:val="continue"/>
                  <w:vAlign w:val="center"/>
                </w:tcPr>
                <w:p w14:paraId="4E368A90">
                  <w:pPr>
                    <w:jc w:val="center"/>
                    <w:rPr>
                      <w:rFonts w:hint="eastAsia"/>
                      <w:b w:val="0"/>
                      <w:bCs/>
                      <w:color w:val="auto"/>
                      <w:sz w:val="21"/>
                      <w:szCs w:val="21"/>
                      <w:highlight w:val="none"/>
                      <w:lang w:val="en-US" w:eastAsia="zh-CN"/>
                    </w:rPr>
                  </w:pPr>
                </w:p>
              </w:tc>
            </w:tr>
            <w:tr w14:paraId="6B79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1" w:type="pct"/>
                  <w:vAlign w:val="center"/>
                </w:tcPr>
                <w:p w14:paraId="407A5634">
                  <w:pPr>
                    <w:pStyle w:val="33"/>
                    <w:snapToGrid w:val="0"/>
                    <w:spacing w:before="48" w:beforeLines="2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废机油</w:t>
                  </w:r>
                </w:p>
              </w:tc>
              <w:tc>
                <w:tcPr>
                  <w:tcW w:w="1154" w:type="pct"/>
                  <w:vAlign w:val="center"/>
                </w:tcPr>
                <w:p w14:paraId="613E2CF9">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615" w:type="pct"/>
                  <w:vAlign w:val="center"/>
                </w:tcPr>
                <w:p w14:paraId="4FA7F197">
                  <w:pPr>
                    <w:jc w:val="center"/>
                    <w:rPr>
                      <w:rFonts w:hint="default"/>
                      <w:b w:val="0"/>
                      <w:bCs/>
                      <w:color w:val="auto"/>
                      <w:sz w:val="21"/>
                      <w:szCs w:val="21"/>
                      <w:highlight w:val="none"/>
                      <w:lang w:val="en-US" w:eastAsia="zh-CN"/>
                    </w:rPr>
                  </w:pPr>
                  <w:r>
                    <w:rPr>
                      <w:rFonts w:hint="eastAsia"/>
                      <w:b w:val="0"/>
                      <w:bCs/>
                      <w:color w:val="auto"/>
                      <w:sz w:val="21"/>
                      <w:szCs w:val="21"/>
                      <w:highlight w:val="none"/>
                      <w:lang w:eastAsia="zh-CN"/>
                    </w:rPr>
                    <w:t>油类物质，可燃</w:t>
                  </w:r>
                </w:p>
              </w:tc>
              <w:tc>
                <w:tcPr>
                  <w:tcW w:w="1069" w:type="pct"/>
                  <w:vAlign w:val="center"/>
                </w:tcPr>
                <w:p w14:paraId="491E0E92">
                  <w:pPr>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危险废物暂存间</w:t>
                  </w:r>
                </w:p>
              </w:tc>
            </w:tr>
          </w:tbl>
          <w:p w14:paraId="77EABFB8">
            <w:pPr>
              <w:adjustRightInd w:val="0"/>
              <w:snapToGrid w:val="0"/>
              <w:spacing w:before="120" w:beforeLines="50" w:line="360" w:lineRule="auto"/>
              <w:ind w:firstLine="480" w:firstLineChars="200"/>
              <w:rPr>
                <w:color w:val="auto"/>
                <w:highlight w:val="none"/>
              </w:rPr>
            </w:pPr>
            <w:r>
              <w:rPr>
                <w:rFonts w:hint="eastAsia"/>
                <w:color w:val="auto"/>
                <w:highlight w:val="none"/>
              </w:rPr>
              <w:t>（2）</w:t>
            </w:r>
            <w:r>
              <w:rPr>
                <w:color w:val="auto"/>
                <w:highlight w:val="none"/>
              </w:rPr>
              <w:t>风险潜势初判</w:t>
            </w:r>
          </w:p>
          <w:p w14:paraId="3B03B463">
            <w:pPr>
              <w:adjustRightInd w:val="0"/>
              <w:snapToGrid w:val="0"/>
              <w:spacing w:line="360" w:lineRule="auto"/>
              <w:ind w:firstLine="480" w:firstLineChars="200"/>
              <w:rPr>
                <w:color w:val="auto"/>
                <w:highlight w:val="none"/>
              </w:rPr>
            </w:pPr>
            <w:r>
              <w:rPr>
                <w:color w:val="auto"/>
                <w:highlight w:val="none"/>
              </w:rPr>
              <w:t>计算所涉及的每种危险物质在厂界内的最大存在总量与其在《建设项目环境风险评价技术导则》（HJ169-2018）附录B中对应临界量的比值Q。在不同厂区的同一种物质，按其在厂界内的最大存在总量计算。</w:t>
            </w:r>
          </w:p>
          <w:p w14:paraId="011E1B9A">
            <w:pPr>
              <w:adjustRightInd w:val="0"/>
              <w:snapToGrid w:val="0"/>
              <w:spacing w:line="360" w:lineRule="auto"/>
              <w:ind w:firstLine="480" w:firstLineChars="200"/>
              <w:rPr>
                <w:color w:val="auto"/>
                <w:highlight w:val="none"/>
              </w:rPr>
            </w:pPr>
            <w:r>
              <w:rPr>
                <w:color w:val="auto"/>
                <w:highlight w:val="none"/>
              </w:rPr>
              <w:t>当只涉及一种危险物质时，计算该物质的总量与其临界量比值，即为Q；</w:t>
            </w:r>
          </w:p>
          <w:p w14:paraId="1AAE4D05">
            <w:pPr>
              <w:adjustRightInd w:val="0"/>
              <w:snapToGrid w:val="0"/>
              <w:spacing w:line="360" w:lineRule="auto"/>
              <w:ind w:firstLine="480" w:firstLineChars="200"/>
              <w:rPr>
                <w:color w:val="auto"/>
                <w:highlight w:val="none"/>
              </w:rPr>
            </w:pPr>
            <w:r>
              <w:rPr>
                <w:color w:val="auto"/>
                <w:highlight w:val="none"/>
              </w:rPr>
              <w:t>当存在多种危险物质时，则按下式计算物质总量与其临界量比值Q；</w:t>
            </w:r>
          </w:p>
          <w:p w14:paraId="022F0AC1">
            <w:pPr>
              <w:adjustRightInd w:val="0"/>
              <w:snapToGrid w:val="0"/>
              <w:spacing w:line="360" w:lineRule="auto"/>
              <w:ind w:firstLine="480" w:firstLineChars="200"/>
              <w:jc w:val="center"/>
              <w:rPr>
                <w:color w:val="auto"/>
                <w:highlight w:val="none"/>
              </w:rPr>
            </w:pPr>
            <w:r>
              <w:rPr>
                <w:color w:val="auto"/>
                <w:position w:val="-30"/>
                <w:highlight w:val="none"/>
              </w:rPr>
              <w:object>
                <v:shape id="_x0000_i1036" o:spt="75" type="#_x0000_t75" style="height:34pt;width:99.65pt;" o:ole="t" filled="f" o:preferrelative="t" stroked="f" coordsize="21600,21600">
                  <v:path/>
                  <v:fill on="f" focussize="0,0"/>
                  <v:stroke on="f" joinstyle="miter"/>
                  <v:imagedata r:id="rId51" o:title=""/>
                  <o:lock v:ext="edit" aspectratio="t"/>
                  <w10:wrap type="none"/>
                  <w10:anchorlock/>
                </v:shape>
                <o:OLEObject Type="Embed" ProgID="Equation.3" ShapeID="_x0000_i1036" DrawAspect="Content" ObjectID="_1468075736" r:id="rId50">
                  <o:LockedField>false</o:LockedField>
                </o:OLEObject>
              </w:object>
            </w:r>
          </w:p>
          <w:p w14:paraId="5FA97CDA">
            <w:pPr>
              <w:adjustRightInd w:val="0"/>
              <w:snapToGrid w:val="0"/>
              <w:spacing w:line="360" w:lineRule="auto"/>
              <w:ind w:firstLine="480" w:firstLineChars="200"/>
              <w:rPr>
                <w:color w:val="auto"/>
                <w:highlight w:val="none"/>
              </w:rPr>
            </w:pPr>
            <w:r>
              <w:rPr>
                <w:color w:val="auto"/>
                <w:highlight w:val="none"/>
              </w:rPr>
              <w:t>式中：q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n</w:t>
            </w:r>
            <w:r>
              <w:rPr>
                <w:color w:val="auto"/>
                <w:highlight w:val="none"/>
              </w:rPr>
              <w:t xml:space="preserve"> ——每种危险废物实际存在量，t。</w:t>
            </w:r>
          </w:p>
          <w:p w14:paraId="197C31DE">
            <w:pPr>
              <w:adjustRightInd w:val="0"/>
              <w:snapToGrid w:val="0"/>
              <w:spacing w:line="360" w:lineRule="auto"/>
              <w:ind w:firstLine="480" w:firstLineChars="20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n</w:t>
            </w:r>
            <w:r>
              <w:rPr>
                <w:color w:val="auto"/>
                <w:highlight w:val="none"/>
              </w:rPr>
              <w:t xml:space="preserve"> ——与各危险物质相对应的生产场所或贮存区的临界量，t。</w:t>
            </w:r>
          </w:p>
          <w:p w14:paraId="4AA82664">
            <w:pPr>
              <w:pStyle w:val="33"/>
              <w:spacing w:line="360" w:lineRule="auto"/>
              <w:ind w:firstLineChars="200"/>
              <w:rPr>
                <w:color w:val="auto"/>
                <w:highlight w:val="none"/>
              </w:rPr>
            </w:pPr>
            <w:r>
              <w:rPr>
                <w:color w:val="auto"/>
                <w:highlight w:val="none"/>
              </w:rPr>
              <w:t>当Q&lt;1时，该项目风险潜势为Ⅰ。</w:t>
            </w:r>
          </w:p>
          <w:p w14:paraId="20DD72F5">
            <w:pPr>
              <w:adjustRightInd w:val="0"/>
              <w:snapToGrid w:val="0"/>
              <w:spacing w:line="360" w:lineRule="auto"/>
              <w:ind w:firstLine="480" w:firstLineChars="200"/>
              <w:rPr>
                <w:color w:val="auto"/>
                <w:highlight w:val="none"/>
              </w:rPr>
            </w:pPr>
            <w:r>
              <w:rPr>
                <w:color w:val="auto"/>
                <w:highlight w:val="none"/>
              </w:rPr>
              <w:t>当Q≥1时，将Q值划分为：（1）1≤Q&lt;10；（2）10≤Q&lt;100；（3）Q≥100。</w:t>
            </w:r>
          </w:p>
          <w:p w14:paraId="687C46BD">
            <w:pPr>
              <w:pStyle w:val="33"/>
              <w:snapToGrid w:val="0"/>
              <w:spacing w:line="360" w:lineRule="auto"/>
              <w:ind w:firstLineChars="200"/>
              <w:jc w:val="left"/>
              <w:rPr>
                <w:rFonts w:hint="eastAsia" w:eastAsia="宋体"/>
                <w:b/>
                <w:bCs/>
                <w:color w:val="auto"/>
                <w:highlight w:val="none"/>
                <w:lang w:eastAsia="zh-CN"/>
              </w:rPr>
            </w:pPr>
            <w:r>
              <w:rPr>
                <w:rFonts w:hint="eastAsia"/>
                <w:color w:val="auto"/>
                <w:highlight w:val="none"/>
              </w:rPr>
              <w:t>本项目生产过程中，项目涉及的各危险物料重大危险源识别见下</w:t>
            </w:r>
            <w:r>
              <w:rPr>
                <w:color w:val="auto"/>
                <w:highlight w:val="none"/>
              </w:rPr>
              <w:t>表</w:t>
            </w:r>
            <w:r>
              <w:rPr>
                <w:rFonts w:hint="eastAsia"/>
                <w:color w:val="auto"/>
                <w:highlight w:val="none"/>
                <w:lang w:eastAsia="zh-CN"/>
              </w:rPr>
              <w:t>：</w:t>
            </w:r>
          </w:p>
          <w:p w14:paraId="586B2820">
            <w:pPr>
              <w:pStyle w:val="33"/>
              <w:snapToGrid w:val="0"/>
              <w:jc w:val="center"/>
              <w:rPr>
                <w:b/>
                <w:bCs/>
                <w:color w:val="auto"/>
                <w:highlight w:val="none"/>
              </w:rPr>
            </w:pPr>
            <w:r>
              <w:rPr>
                <w:b/>
                <w:bCs/>
                <w:color w:val="auto"/>
                <w:highlight w:val="none"/>
              </w:rPr>
              <w:t>表</w:t>
            </w:r>
            <w:r>
              <w:rPr>
                <w:rFonts w:hint="eastAsia"/>
                <w:b/>
                <w:bCs/>
                <w:color w:val="auto"/>
                <w:highlight w:val="none"/>
              </w:rPr>
              <w:t>4</w:t>
            </w:r>
            <w:r>
              <w:rPr>
                <w:rFonts w:hint="eastAsia"/>
                <w:b/>
                <w:bCs/>
                <w:color w:val="auto"/>
                <w:highlight w:val="none"/>
                <w:lang w:val="en-US" w:eastAsia="zh-CN"/>
              </w:rPr>
              <w:t>-20</w:t>
            </w:r>
            <w:r>
              <w:rPr>
                <w:rFonts w:hint="eastAsia"/>
                <w:b/>
                <w:bCs/>
                <w:color w:val="auto"/>
                <w:highlight w:val="none"/>
              </w:rPr>
              <w:t xml:space="preserve"> </w:t>
            </w:r>
            <w:r>
              <w:rPr>
                <w:b/>
                <w:bCs/>
                <w:color w:val="auto"/>
                <w:highlight w:val="none"/>
              </w:rPr>
              <w:t xml:space="preserve"> 危险物质储存量与临界量一览表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6"/>
              <w:gridCol w:w="1581"/>
              <w:gridCol w:w="1092"/>
              <w:gridCol w:w="1454"/>
              <w:gridCol w:w="1455"/>
              <w:gridCol w:w="1021"/>
              <w:gridCol w:w="1159"/>
            </w:tblGrid>
            <w:tr w14:paraId="0F0B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68029DE2">
                  <w:pPr>
                    <w:pStyle w:val="35"/>
                    <w:rPr>
                      <w:bCs/>
                      <w:color w:val="auto"/>
                      <w:sz w:val="21"/>
                      <w:szCs w:val="21"/>
                      <w:highlight w:val="none"/>
                    </w:rPr>
                  </w:pPr>
                  <w:r>
                    <w:rPr>
                      <w:bCs/>
                      <w:color w:val="auto"/>
                      <w:sz w:val="21"/>
                      <w:szCs w:val="21"/>
                      <w:highlight w:val="none"/>
                    </w:rPr>
                    <w:t>序号</w:t>
                  </w:r>
                </w:p>
              </w:tc>
              <w:tc>
                <w:tcPr>
                  <w:tcW w:w="970" w:type="pct"/>
                  <w:vAlign w:val="center"/>
                </w:tcPr>
                <w:p w14:paraId="160AC0F3">
                  <w:pPr>
                    <w:pStyle w:val="35"/>
                    <w:rPr>
                      <w:bCs/>
                      <w:color w:val="auto"/>
                      <w:sz w:val="21"/>
                      <w:szCs w:val="21"/>
                      <w:highlight w:val="none"/>
                    </w:rPr>
                  </w:pPr>
                  <w:r>
                    <w:rPr>
                      <w:bCs/>
                      <w:color w:val="auto"/>
                      <w:sz w:val="21"/>
                      <w:szCs w:val="21"/>
                      <w:highlight w:val="none"/>
                    </w:rPr>
                    <w:t>危险物质名称</w:t>
                  </w:r>
                </w:p>
              </w:tc>
              <w:tc>
                <w:tcPr>
                  <w:tcW w:w="670" w:type="pct"/>
                  <w:vAlign w:val="center"/>
                </w:tcPr>
                <w:p w14:paraId="3A07DB70">
                  <w:pPr>
                    <w:pStyle w:val="35"/>
                    <w:rPr>
                      <w:rFonts w:hint="default" w:eastAsia="宋体"/>
                      <w:bCs/>
                      <w:color w:val="auto"/>
                      <w:sz w:val="21"/>
                      <w:szCs w:val="21"/>
                      <w:highlight w:val="none"/>
                      <w:lang w:val="en-US" w:eastAsia="zh-CN"/>
                    </w:rPr>
                  </w:pPr>
                  <w:r>
                    <w:rPr>
                      <w:rFonts w:hint="eastAsia"/>
                      <w:bCs/>
                      <w:color w:val="auto"/>
                      <w:sz w:val="21"/>
                      <w:szCs w:val="21"/>
                      <w:highlight w:val="none"/>
                      <w:lang w:val="en-US" w:eastAsia="zh-CN"/>
                    </w:rPr>
                    <w:t>在线量t</w:t>
                  </w:r>
                </w:p>
              </w:tc>
              <w:tc>
                <w:tcPr>
                  <w:tcW w:w="892" w:type="pct"/>
                  <w:vAlign w:val="center"/>
                </w:tcPr>
                <w:p w14:paraId="47A41684">
                  <w:pPr>
                    <w:pStyle w:val="35"/>
                    <w:rPr>
                      <w:rFonts w:hint="default"/>
                      <w:bCs/>
                      <w:color w:val="auto"/>
                      <w:sz w:val="21"/>
                      <w:szCs w:val="21"/>
                      <w:highlight w:val="none"/>
                      <w:lang w:val="en-US" w:eastAsia="zh-CN"/>
                    </w:rPr>
                  </w:pPr>
                  <w:r>
                    <w:rPr>
                      <w:rFonts w:hint="eastAsia"/>
                      <w:bCs/>
                      <w:color w:val="auto"/>
                      <w:sz w:val="21"/>
                      <w:szCs w:val="21"/>
                      <w:highlight w:val="none"/>
                      <w:lang w:val="en-US" w:eastAsia="zh-CN"/>
                    </w:rPr>
                    <w:t>储存量t</w:t>
                  </w:r>
                </w:p>
              </w:tc>
              <w:tc>
                <w:tcPr>
                  <w:tcW w:w="892" w:type="pct"/>
                  <w:vAlign w:val="center"/>
                </w:tcPr>
                <w:p w14:paraId="5ABFFC49">
                  <w:pPr>
                    <w:pStyle w:val="35"/>
                    <w:rPr>
                      <w:bCs/>
                      <w:color w:val="auto"/>
                      <w:sz w:val="21"/>
                      <w:szCs w:val="21"/>
                      <w:highlight w:val="none"/>
                    </w:rPr>
                  </w:pPr>
                  <w:r>
                    <w:rPr>
                      <w:bCs/>
                      <w:color w:val="auto"/>
                      <w:sz w:val="21"/>
                      <w:szCs w:val="21"/>
                      <w:highlight w:val="none"/>
                    </w:rPr>
                    <w:t>最大存在总量</w:t>
                  </w:r>
                  <w:r>
                    <w:rPr>
                      <w:bCs/>
                      <w:i/>
                      <w:color w:val="auto"/>
                      <w:sz w:val="21"/>
                      <w:szCs w:val="21"/>
                      <w:highlight w:val="none"/>
                    </w:rPr>
                    <w:t>q</w:t>
                  </w:r>
                  <w:r>
                    <w:rPr>
                      <w:bCs/>
                      <w:color w:val="auto"/>
                      <w:sz w:val="21"/>
                      <w:szCs w:val="21"/>
                      <w:highlight w:val="none"/>
                      <w:vertAlign w:val="subscript"/>
                    </w:rPr>
                    <w:t>n</w:t>
                  </w:r>
                  <w:r>
                    <w:rPr>
                      <w:bCs/>
                      <w:color w:val="auto"/>
                      <w:sz w:val="21"/>
                      <w:szCs w:val="21"/>
                      <w:highlight w:val="none"/>
                    </w:rPr>
                    <w:t>/t</w:t>
                  </w:r>
                </w:p>
              </w:tc>
              <w:tc>
                <w:tcPr>
                  <w:tcW w:w="626" w:type="pct"/>
                  <w:vAlign w:val="center"/>
                </w:tcPr>
                <w:p w14:paraId="46DA103B">
                  <w:pPr>
                    <w:pStyle w:val="35"/>
                    <w:rPr>
                      <w:bCs/>
                      <w:color w:val="auto"/>
                      <w:sz w:val="21"/>
                      <w:szCs w:val="21"/>
                      <w:highlight w:val="none"/>
                    </w:rPr>
                  </w:pPr>
                  <w:r>
                    <w:rPr>
                      <w:bCs/>
                      <w:color w:val="auto"/>
                      <w:sz w:val="21"/>
                      <w:szCs w:val="21"/>
                      <w:highlight w:val="none"/>
                    </w:rPr>
                    <w:t>临界量</w:t>
                  </w:r>
                  <w:r>
                    <w:rPr>
                      <w:bCs/>
                      <w:i/>
                      <w:color w:val="auto"/>
                      <w:sz w:val="21"/>
                      <w:szCs w:val="21"/>
                      <w:highlight w:val="none"/>
                    </w:rPr>
                    <w:t>Q</w:t>
                  </w:r>
                  <w:r>
                    <w:rPr>
                      <w:bCs/>
                      <w:color w:val="auto"/>
                      <w:sz w:val="21"/>
                      <w:szCs w:val="21"/>
                      <w:highlight w:val="none"/>
                      <w:vertAlign w:val="subscript"/>
                    </w:rPr>
                    <w:t>n</w:t>
                  </w:r>
                  <w:r>
                    <w:rPr>
                      <w:bCs/>
                      <w:color w:val="auto"/>
                      <w:sz w:val="21"/>
                      <w:szCs w:val="21"/>
                      <w:highlight w:val="none"/>
                    </w:rPr>
                    <w:t>/t</w:t>
                  </w:r>
                </w:p>
              </w:tc>
              <w:tc>
                <w:tcPr>
                  <w:tcW w:w="711" w:type="pct"/>
                  <w:vAlign w:val="center"/>
                </w:tcPr>
                <w:p w14:paraId="614C164B">
                  <w:pPr>
                    <w:pStyle w:val="35"/>
                    <w:rPr>
                      <w:bCs/>
                      <w:color w:val="auto"/>
                      <w:sz w:val="21"/>
                      <w:szCs w:val="21"/>
                      <w:highlight w:val="none"/>
                    </w:rPr>
                  </w:pPr>
                  <w:r>
                    <w:rPr>
                      <w:bCs/>
                      <w:color w:val="auto"/>
                      <w:sz w:val="21"/>
                      <w:szCs w:val="21"/>
                      <w:highlight w:val="none"/>
                    </w:rPr>
                    <w:t>该种危险物质</w:t>
                  </w:r>
                  <w:r>
                    <w:rPr>
                      <w:bCs/>
                      <w:i/>
                      <w:color w:val="auto"/>
                      <w:sz w:val="21"/>
                      <w:szCs w:val="21"/>
                      <w:highlight w:val="none"/>
                    </w:rPr>
                    <w:t>Q</w:t>
                  </w:r>
                  <w:r>
                    <w:rPr>
                      <w:bCs/>
                      <w:color w:val="auto"/>
                      <w:sz w:val="21"/>
                      <w:szCs w:val="21"/>
                      <w:highlight w:val="none"/>
                    </w:rPr>
                    <w:t>值</w:t>
                  </w:r>
                </w:p>
              </w:tc>
            </w:tr>
            <w:tr w14:paraId="117B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4EA56E91">
                  <w:pPr>
                    <w:pStyle w:val="35"/>
                    <w:rPr>
                      <w:b w:val="0"/>
                      <w:color w:val="auto"/>
                      <w:sz w:val="21"/>
                      <w:szCs w:val="21"/>
                      <w:highlight w:val="none"/>
                    </w:rPr>
                  </w:pPr>
                  <w:r>
                    <w:rPr>
                      <w:rFonts w:hint="eastAsia"/>
                      <w:b w:val="0"/>
                      <w:color w:val="auto"/>
                      <w:sz w:val="21"/>
                      <w:szCs w:val="21"/>
                      <w:highlight w:val="none"/>
                    </w:rPr>
                    <w:t>1</w:t>
                  </w:r>
                </w:p>
              </w:tc>
              <w:tc>
                <w:tcPr>
                  <w:tcW w:w="970" w:type="pct"/>
                  <w:vAlign w:val="center"/>
                </w:tcPr>
                <w:p w14:paraId="72797955">
                  <w:pPr>
                    <w:spacing w:line="240" w:lineRule="auto"/>
                    <w:jc w:val="center"/>
                    <w:rPr>
                      <w:rFonts w:hint="eastAsia" w:eastAsia="宋体"/>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机油</w:t>
                  </w:r>
                </w:p>
              </w:tc>
              <w:tc>
                <w:tcPr>
                  <w:tcW w:w="670" w:type="pct"/>
                  <w:vAlign w:val="center"/>
                </w:tcPr>
                <w:p w14:paraId="156FEB47">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0.25</w:t>
                  </w:r>
                </w:p>
              </w:tc>
              <w:tc>
                <w:tcPr>
                  <w:tcW w:w="892" w:type="pct"/>
                  <w:vAlign w:val="center"/>
                </w:tcPr>
                <w:p w14:paraId="0458224A">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0.5</w:t>
                  </w:r>
                </w:p>
              </w:tc>
              <w:tc>
                <w:tcPr>
                  <w:tcW w:w="892" w:type="pct"/>
                  <w:vAlign w:val="center"/>
                </w:tcPr>
                <w:p w14:paraId="4F5CAABB">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0.75</w:t>
                  </w:r>
                </w:p>
              </w:tc>
              <w:tc>
                <w:tcPr>
                  <w:tcW w:w="626" w:type="pct"/>
                  <w:vAlign w:val="center"/>
                </w:tcPr>
                <w:p w14:paraId="429B7092">
                  <w:pPr>
                    <w:pStyle w:val="35"/>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2500</w:t>
                  </w:r>
                </w:p>
              </w:tc>
              <w:tc>
                <w:tcPr>
                  <w:tcW w:w="711" w:type="pct"/>
                  <w:vAlign w:val="center"/>
                </w:tcPr>
                <w:p w14:paraId="3BC46951">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0.0003</w:t>
                  </w:r>
                </w:p>
              </w:tc>
            </w:tr>
            <w:tr w14:paraId="5EFF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531BC53D">
                  <w:pPr>
                    <w:pStyle w:val="35"/>
                    <w:rPr>
                      <w:rFonts w:hint="eastAsia" w:eastAsia="宋体"/>
                      <w:b w:val="0"/>
                      <w:color w:val="auto"/>
                      <w:sz w:val="21"/>
                      <w:szCs w:val="21"/>
                      <w:highlight w:val="none"/>
                      <w:lang w:val="en-US" w:eastAsia="zh-CN"/>
                    </w:rPr>
                  </w:pPr>
                  <w:r>
                    <w:rPr>
                      <w:rFonts w:hint="eastAsia"/>
                      <w:b w:val="0"/>
                      <w:color w:val="auto"/>
                      <w:sz w:val="21"/>
                      <w:szCs w:val="21"/>
                      <w:highlight w:val="none"/>
                      <w:lang w:val="en-US" w:eastAsia="zh-CN"/>
                    </w:rPr>
                    <w:t>2</w:t>
                  </w:r>
                </w:p>
              </w:tc>
              <w:tc>
                <w:tcPr>
                  <w:tcW w:w="970" w:type="pct"/>
                  <w:vAlign w:val="center"/>
                </w:tcPr>
                <w:p w14:paraId="4E80D911">
                  <w:pPr>
                    <w:spacing w:line="240" w:lineRule="auto"/>
                    <w:jc w:val="center"/>
                    <w:rPr>
                      <w:rFonts w:hint="eastAsia"/>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二甲苯</w:t>
                  </w:r>
                </w:p>
              </w:tc>
              <w:tc>
                <w:tcPr>
                  <w:tcW w:w="670" w:type="pct"/>
                  <w:vAlign w:val="center"/>
                </w:tcPr>
                <w:p w14:paraId="5AA6C913">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w:t>
                  </w:r>
                </w:p>
              </w:tc>
              <w:tc>
                <w:tcPr>
                  <w:tcW w:w="892" w:type="pct"/>
                  <w:vAlign w:val="center"/>
                </w:tcPr>
                <w:p w14:paraId="3AB07DCB">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0.012</w:t>
                  </w:r>
                </w:p>
              </w:tc>
              <w:tc>
                <w:tcPr>
                  <w:tcW w:w="892" w:type="pct"/>
                  <w:vAlign w:val="center"/>
                </w:tcPr>
                <w:p w14:paraId="470A4481">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b w:val="0"/>
                      <w:color w:val="auto"/>
                      <w:sz w:val="21"/>
                      <w:szCs w:val="21"/>
                      <w:highlight w:val="none"/>
                      <w:shd w:val="clear" w:color="auto" w:fill="FFFFFF"/>
                      <w:lang w:val="en-US" w:eastAsia="zh-CN"/>
                    </w:rPr>
                    <w:t>0.012</w:t>
                  </w:r>
                </w:p>
              </w:tc>
              <w:tc>
                <w:tcPr>
                  <w:tcW w:w="626" w:type="pct"/>
                  <w:vAlign w:val="center"/>
                </w:tcPr>
                <w:p w14:paraId="74E1BCAA">
                  <w:pPr>
                    <w:pStyle w:val="35"/>
                    <w:rPr>
                      <w:rFonts w:hint="default"/>
                      <w:b w:val="0"/>
                      <w:color w:val="auto"/>
                      <w:sz w:val="21"/>
                      <w:szCs w:val="21"/>
                      <w:highlight w:val="none"/>
                      <w:lang w:val="en-US" w:eastAsia="zh-CN"/>
                    </w:rPr>
                  </w:pPr>
                  <w:r>
                    <w:rPr>
                      <w:rFonts w:hint="eastAsia"/>
                      <w:b w:val="0"/>
                      <w:color w:val="auto"/>
                      <w:sz w:val="21"/>
                      <w:szCs w:val="21"/>
                      <w:highlight w:val="none"/>
                      <w:lang w:val="en-US" w:eastAsia="zh-CN"/>
                    </w:rPr>
                    <w:t>10</w:t>
                  </w:r>
                </w:p>
              </w:tc>
              <w:tc>
                <w:tcPr>
                  <w:tcW w:w="711" w:type="pct"/>
                  <w:vAlign w:val="center"/>
                </w:tcPr>
                <w:p w14:paraId="17C00148">
                  <w:pPr>
                    <w:keepNext w:val="0"/>
                    <w:keepLines w:val="0"/>
                    <w:widowControl/>
                    <w:suppressLineNumbers w:val="0"/>
                    <w:jc w:val="center"/>
                    <w:textAlignment w:val="center"/>
                    <w:rPr>
                      <w:rFonts w:hint="default"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0.0012</w:t>
                  </w:r>
                </w:p>
              </w:tc>
            </w:tr>
            <w:tr w14:paraId="20E4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213EABD1">
                  <w:pPr>
                    <w:pStyle w:val="35"/>
                    <w:rPr>
                      <w:rFonts w:hint="default"/>
                      <w:b w:val="0"/>
                      <w:color w:val="auto"/>
                      <w:sz w:val="21"/>
                      <w:szCs w:val="21"/>
                      <w:highlight w:val="none"/>
                      <w:lang w:val="en-US" w:eastAsia="zh-CN"/>
                    </w:rPr>
                  </w:pPr>
                  <w:r>
                    <w:rPr>
                      <w:rFonts w:hint="eastAsia"/>
                      <w:b w:val="0"/>
                      <w:color w:val="auto"/>
                      <w:sz w:val="21"/>
                      <w:szCs w:val="21"/>
                      <w:highlight w:val="none"/>
                      <w:lang w:val="en-US" w:eastAsia="zh-CN"/>
                    </w:rPr>
                    <w:t>3</w:t>
                  </w:r>
                </w:p>
              </w:tc>
              <w:tc>
                <w:tcPr>
                  <w:tcW w:w="970" w:type="pct"/>
                  <w:vAlign w:val="center"/>
                </w:tcPr>
                <w:p w14:paraId="1F3F14ED">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废机油</w:t>
                  </w:r>
                </w:p>
              </w:tc>
              <w:tc>
                <w:tcPr>
                  <w:tcW w:w="670" w:type="pct"/>
                  <w:vAlign w:val="center"/>
                </w:tcPr>
                <w:p w14:paraId="15E3266B">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w:t>
                  </w:r>
                </w:p>
              </w:tc>
              <w:tc>
                <w:tcPr>
                  <w:tcW w:w="892" w:type="pct"/>
                  <w:vAlign w:val="center"/>
                </w:tcPr>
                <w:p w14:paraId="42691EE2">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0.5</w:t>
                  </w:r>
                </w:p>
              </w:tc>
              <w:tc>
                <w:tcPr>
                  <w:tcW w:w="892" w:type="pct"/>
                  <w:vAlign w:val="center"/>
                </w:tcPr>
                <w:p w14:paraId="1EE8BA8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626" w:type="pct"/>
                  <w:vAlign w:val="center"/>
                </w:tcPr>
                <w:p w14:paraId="15F57230">
                  <w:pPr>
                    <w:pStyle w:val="35"/>
                    <w:rPr>
                      <w:rFonts w:hint="default"/>
                      <w:b w:val="0"/>
                      <w:color w:val="auto"/>
                      <w:sz w:val="21"/>
                      <w:szCs w:val="21"/>
                      <w:highlight w:val="none"/>
                      <w:lang w:val="en-US" w:eastAsia="zh-CN"/>
                    </w:rPr>
                  </w:pPr>
                  <w:r>
                    <w:rPr>
                      <w:rFonts w:hint="eastAsia"/>
                      <w:b w:val="0"/>
                      <w:color w:val="auto"/>
                      <w:sz w:val="21"/>
                      <w:szCs w:val="21"/>
                      <w:highlight w:val="none"/>
                      <w:lang w:val="en-US" w:eastAsia="zh-CN"/>
                    </w:rPr>
                    <w:t>2500</w:t>
                  </w:r>
                </w:p>
              </w:tc>
              <w:tc>
                <w:tcPr>
                  <w:tcW w:w="711" w:type="pct"/>
                  <w:vAlign w:val="center"/>
                </w:tcPr>
                <w:p w14:paraId="696DC4FC">
                  <w:pPr>
                    <w:keepNext w:val="0"/>
                    <w:keepLines w:val="0"/>
                    <w:widowControl/>
                    <w:suppressLineNumbers w:val="0"/>
                    <w:jc w:val="center"/>
                    <w:textAlignment w:val="center"/>
                    <w:rPr>
                      <w:rFonts w:hint="default"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0.0002</w:t>
                  </w:r>
                </w:p>
              </w:tc>
            </w:tr>
            <w:tr w14:paraId="2180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0C93BB3A">
                  <w:pPr>
                    <w:pStyle w:val="35"/>
                    <w:rPr>
                      <w:rFonts w:hint="default"/>
                      <w:b w:val="0"/>
                      <w:color w:val="auto"/>
                      <w:sz w:val="21"/>
                      <w:szCs w:val="21"/>
                      <w:highlight w:val="none"/>
                      <w:lang w:val="en-US" w:eastAsia="zh-CN"/>
                    </w:rPr>
                  </w:pPr>
                  <w:r>
                    <w:rPr>
                      <w:rFonts w:hint="eastAsia"/>
                      <w:b w:val="0"/>
                      <w:color w:val="auto"/>
                      <w:sz w:val="21"/>
                      <w:szCs w:val="21"/>
                      <w:highlight w:val="none"/>
                      <w:lang w:val="en-US" w:eastAsia="zh-CN"/>
                    </w:rPr>
                    <w:t>4</w:t>
                  </w:r>
                </w:p>
              </w:tc>
              <w:tc>
                <w:tcPr>
                  <w:tcW w:w="970" w:type="pct"/>
                  <w:vAlign w:val="center"/>
                </w:tcPr>
                <w:p w14:paraId="2F0B697B">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醋酸丁酯</w:t>
                  </w:r>
                </w:p>
              </w:tc>
              <w:tc>
                <w:tcPr>
                  <w:tcW w:w="670" w:type="pct"/>
                  <w:vAlign w:val="center"/>
                </w:tcPr>
                <w:p w14:paraId="744476CE">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w:t>
                  </w:r>
                </w:p>
              </w:tc>
              <w:tc>
                <w:tcPr>
                  <w:tcW w:w="892" w:type="pct"/>
                  <w:vAlign w:val="center"/>
                </w:tcPr>
                <w:p w14:paraId="43E9F714">
                  <w:pPr>
                    <w:spacing w:line="240" w:lineRule="auto"/>
                    <w:jc w:val="center"/>
                    <w:rPr>
                      <w:rFonts w:hint="default"/>
                      <w:b w:val="0"/>
                      <w:color w:val="auto"/>
                      <w:sz w:val="21"/>
                      <w:szCs w:val="21"/>
                      <w:highlight w:val="none"/>
                      <w:shd w:val="clear" w:color="auto" w:fill="FFFFFF"/>
                      <w:lang w:val="en-US" w:eastAsia="zh-CN"/>
                    </w:rPr>
                  </w:pPr>
                  <w:r>
                    <w:rPr>
                      <w:rFonts w:hint="eastAsia"/>
                      <w:b w:val="0"/>
                      <w:color w:val="auto"/>
                      <w:sz w:val="21"/>
                      <w:szCs w:val="21"/>
                      <w:highlight w:val="none"/>
                      <w:shd w:val="clear" w:color="auto" w:fill="FFFFFF"/>
                      <w:lang w:val="en-US" w:eastAsia="zh-CN"/>
                    </w:rPr>
                    <w:t>0.043</w:t>
                  </w:r>
                </w:p>
              </w:tc>
              <w:tc>
                <w:tcPr>
                  <w:tcW w:w="892" w:type="pct"/>
                  <w:vAlign w:val="center"/>
                </w:tcPr>
                <w:p w14:paraId="3B452A9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0.043</w:t>
                  </w:r>
                </w:p>
              </w:tc>
              <w:tc>
                <w:tcPr>
                  <w:tcW w:w="626" w:type="pct"/>
                  <w:vAlign w:val="center"/>
                </w:tcPr>
                <w:p w14:paraId="2D79D7B7">
                  <w:pPr>
                    <w:pStyle w:val="35"/>
                    <w:rPr>
                      <w:rFonts w:hint="default"/>
                      <w:b w:val="0"/>
                      <w:color w:val="auto"/>
                      <w:sz w:val="21"/>
                      <w:szCs w:val="21"/>
                      <w:highlight w:val="none"/>
                      <w:lang w:val="en-US" w:eastAsia="zh-CN"/>
                    </w:rPr>
                  </w:pPr>
                  <w:r>
                    <w:rPr>
                      <w:rFonts w:hint="eastAsia"/>
                      <w:b w:val="0"/>
                      <w:color w:val="auto"/>
                      <w:sz w:val="21"/>
                      <w:szCs w:val="21"/>
                      <w:highlight w:val="none"/>
                      <w:lang w:val="en-US" w:eastAsia="zh-CN"/>
                    </w:rPr>
                    <w:t>10</w:t>
                  </w:r>
                </w:p>
              </w:tc>
              <w:tc>
                <w:tcPr>
                  <w:tcW w:w="711" w:type="pct"/>
                  <w:vAlign w:val="center"/>
                </w:tcPr>
                <w:p w14:paraId="63CEDFFB">
                  <w:pPr>
                    <w:keepNext w:val="0"/>
                    <w:keepLines w:val="0"/>
                    <w:widowControl/>
                    <w:suppressLineNumbers w:val="0"/>
                    <w:jc w:val="center"/>
                    <w:textAlignment w:val="center"/>
                    <w:rPr>
                      <w:rFonts w:hint="default"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0.0043</w:t>
                  </w:r>
                </w:p>
              </w:tc>
            </w:tr>
            <w:tr w14:paraId="7224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62" w:type="pct"/>
                  <w:gridSpan w:val="5"/>
                  <w:vAlign w:val="center"/>
                </w:tcPr>
                <w:p w14:paraId="3B6FB23F">
                  <w:pPr>
                    <w:pStyle w:val="35"/>
                    <w:rPr>
                      <w:b w:val="0"/>
                      <w:color w:val="auto"/>
                      <w:sz w:val="21"/>
                      <w:szCs w:val="21"/>
                      <w:highlight w:val="none"/>
                    </w:rPr>
                  </w:pPr>
                  <w:r>
                    <w:rPr>
                      <w:b w:val="0"/>
                      <w:color w:val="auto"/>
                      <w:sz w:val="21"/>
                      <w:szCs w:val="21"/>
                      <w:highlight w:val="none"/>
                    </w:rPr>
                    <w:t>项目</w:t>
                  </w:r>
                  <w:r>
                    <w:rPr>
                      <w:b w:val="0"/>
                      <w:i/>
                      <w:color w:val="auto"/>
                      <w:sz w:val="21"/>
                      <w:szCs w:val="21"/>
                      <w:highlight w:val="none"/>
                    </w:rPr>
                    <w:t>Q</w:t>
                  </w:r>
                  <w:r>
                    <w:rPr>
                      <w:b w:val="0"/>
                      <w:color w:val="auto"/>
                      <w:sz w:val="21"/>
                      <w:szCs w:val="21"/>
                      <w:highlight w:val="none"/>
                    </w:rPr>
                    <w:t>值∑</w:t>
                  </w:r>
                </w:p>
              </w:tc>
              <w:tc>
                <w:tcPr>
                  <w:tcW w:w="1337" w:type="pct"/>
                  <w:gridSpan w:val="2"/>
                  <w:vAlign w:val="center"/>
                </w:tcPr>
                <w:p w14:paraId="6D97119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0.006</w:t>
                  </w:r>
                </w:p>
              </w:tc>
            </w:tr>
          </w:tbl>
          <w:p w14:paraId="2B6FDFB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highlight w:val="none"/>
              </w:rPr>
            </w:pPr>
            <w:r>
              <w:rPr>
                <w:rFonts w:hint="eastAsia"/>
                <w:color w:val="auto"/>
                <w:highlight w:val="none"/>
              </w:rPr>
              <w:t>由上</w:t>
            </w:r>
            <w:r>
              <w:rPr>
                <w:rFonts w:hint="eastAsia"/>
                <w:color w:val="auto"/>
                <w:highlight w:val="none"/>
                <w:lang w:eastAsia="zh-CN"/>
              </w:rPr>
              <w:t>表可可知</w:t>
            </w:r>
            <w:r>
              <w:rPr>
                <w:rFonts w:hint="eastAsia"/>
                <w:color w:val="auto"/>
                <w:highlight w:val="none"/>
              </w:rPr>
              <w:t>，本项目物质总量与其临界量比值Q&lt;1。</w:t>
            </w:r>
          </w:p>
          <w:p w14:paraId="072D0C62">
            <w:pPr>
              <w:spacing w:line="360" w:lineRule="auto"/>
              <w:ind w:firstLine="459"/>
              <w:rPr>
                <w:color w:val="auto"/>
                <w:sz w:val="24"/>
                <w:highlight w:val="none"/>
              </w:rPr>
            </w:pPr>
            <w:r>
              <w:rPr>
                <w:color w:val="auto"/>
                <w:sz w:val="24"/>
                <w:highlight w:val="none"/>
              </w:rPr>
              <w:t>根据《建设项目环境风险评价技术导则》（HJ 169-2018）规定，风险评价的等级划分是基于项目涉及的物质和工艺系统的危险性及其所在地的环境敏感性确定环境风险潜势，按下表确定评价工作等级。</w:t>
            </w:r>
          </w:p>
          <w:p w14:paraId="0F9ECFB1">
            <w:pPr>
              <w:ind w:firstLine="28"/>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 xml:space="preserve">-21 </w:t>
            </w:r>
            <w:r>
              <w:rPr>
                <w:b/>
                <w:bCs/>
                <w:color w:val="auto"/>
                <w:sz w:val="24"/>
                <w:highlight w:val="none"/>
              </w:rPr>
              <w:t xml:space="preserve"> 环境风险评价工作等级划分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272"/>
              <w:gridCol w:w="1613"/>
              <w:gridCol w:w="1677"/>
              <w:gridCol w:w="1514"/>
            </w:tblGrid>
            <w:tr w14:paraId="0629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170" w:type="dxa"/>
                  <w:noWrap w:val="0"/>
                  <w:vAlign w:val="center"/>
                </w:tcPr>
                <w:p w14:paraId="33B46ABA">
                  <w:pPr>
                    <w:jc w:val="center"/>
                    <w:rPr>
                      <w:color w:val="auto"/>
                      <w:kern w:val="0"/>
                      <w:sz w:val="21"/>
                      <w:szCs w:val="21"/>
                      <w:highlight w:val="none"/>
                    </w:rPr>
                  </w:pPr>
                  <w:r>
                    <w:rPr>
                      <w:color w:val="auto"/>
                      <w:kern w:val="0"/>
                      <w:sz w:val="21"/>
                      <w:szCs w:val="21"/>
                      <w:highlight w:val="none"/>
                    </w:rPr>
                    <w:t>环境风险潜势</w:t>
                  </w:r>
                </w:p>
              </w:tc>
              <w:tc>
                <w:tcPr>
                  <w:tcW w:w="1328" w:type="dxa"/>
                  <w:noWrap w:val="0"/>
                  <w:vAlign w:val="center"/>
                </w:tcPr>
                <w:p w14:paraId="5F59CB33">
                  <w:pPr>
                    <w:jc w:val="center"/>
                    <w:rPr>
                      <w:color w:val="auto"/>
                      <w:kern w:val="0"/>
                      <w:sz w:val="21"/>
                      <w:szCs w:val="21"/>
                      <w:highlight w:val="none"/>
                    </w:rPr>
                  </w:pPr>
                  <w:r>
                    <w:rPr>
                      <w:color w:val="auto"/>
                      <w:kern w:val="0"/>
                      <w:sz w:val="21"/>
                      <w:szCs w:val="21"/>
                      <w:highlight w:val="none"/>
                    </w:rPr>
                    <w:t>Ⅳ、Ⅳ</w:t>
                  </w:r>
                  <w:r>
                    <w:rPr>
                      <w:color w:val="auto"/>
                      <w:kern w:val="0"/>
                      <w:sz w:val="21"/>
                      <w:szCs w:val="21"/>
                      <w:highlight w:val="none"/>
                      <w:vertAlign w:val="superscript"/>
                    </w:rPr>
                    <w:t>+</w:t>
                  </w:r>
                </w:p>
              </w:tc>
              <w:tc>
                <w:tcPr>
                  <w:tcW w:w="1687" w:type="dxa"/>
                  <w:noWrap w:val="0"/>
                  <w:vAlign w:val="center"/>
                </w:tcPr>
                <w:p w14:paraId="66E4B5CC">
                  <w:pPr>
                    <w:jc w:val="center"/>
                    <w:rPr>
                      <w:color w:val="auto"/>
                      <w:kern w:val="0"/>
                      <w:sz w:val="21"/>
                      <w:szCs w:val="21"/>
                      <w:highlight w:val="none"/>
                    </w:rPr>
                  </w:pPr>
                  <w:r>
                    <w:rPr>
                      <w:color w:val="auto"/>
                      <w:kern w:val="0"/>
                      <w:sz w:val="21"/>
                      <w:szCs w:val="21"/>
                      <w:highlight w:val="none"/>
                    </w:rPr>
                    <w:t>Ⅲ</w:t>
                  </w:r>
                </w:p>
              </w:tc>
              <w:tc>
                <w:tcPr>
                  <w:tcW w:w="1754" w:type="dxa"/>
                  <w:noWrap w:val="0"/>
                  <w:vAlign w:val="center"/>
                </w:tcPr>
                <w:p w14:paraId="79009564">
                  <w:pPr>
                    <w:jc w:val="center"/>
                    <w:rPr>
                      <w:color w:val="auto"/>
                      <w:kern w:val="0"/>
                      <w:sz w:val="21"/>
                      <w:szCs w:val="21"/>
                      <w:highlight w:val="none"/>
                    </w:rPr>
                  </w:pPr>
                  <w:r>
                    <w:rPr>
                      <w:color w:val="auto"/>
                      <w:kern w:val="0"/>
                      <w:sz w:val="21"/>
                      <w:szCs w:val="21"/>
                      <w:highlight w:val="none"/>
                    </w:rPr>
                    <w:t>Ⅱ</w:t>
                  </w:r>
                </w:p>
              </w:tc>
              <w:tc>
                <w:tcPr>
                  <w:tcW w:w="1583" w:type="dxa"/>
                  <w:noWrap w:val="0"/>
                  <w:vAlign w:val="center"/>
                </w:tcPr>
                <w:p w14:paraId="59BFEF44">
                  <w:pPr>
                    <w:jc w:val="center"/>
                    <w:rPr>
                      <w:color w:val="auto"/>
                      <w:kern w:val="0"/>
                      <w:sz w:val="21"/>
                      <w:szCs w:val="21"/>
                      <w:highlight w:val="none"/>
                    </w:rPr>
                  </w:pPr>
                  <w:r>
                    <w:rPr>
                      <w:color w:val="auto"/>
                      <w:kern w:val="0"/>
                      <w:sz w:val="21"/>
                      <w:szCs w:val="21"/>
                      <w:highlight w:val="none"/>
                    </w:rPr>
                    <w:t>Ⅰ</w:t>
                  </w:r>
                </w:p>
              </w:tc>
            </w:tr>
            <w:tr w14:paraId="008D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0" w:type="dxa"/>
                  <w:noWrap w:val="0"/>
                  <w:vAlign w:val="center"/>
                </w:tcPr>
                <w:p w14:paraId="767E70A7">
                  <w:pPr>
                    <w:jc w:val="center"/>
                    <w:rPr>
                      <w:color w:val="auto"/>
                      <w:kern w:val="0"/>
                      <w:sz w:val="21"/>
                      <w:szCs w:val="21"/>
                      <w:highlight w:val="none"/>
                    </w:rPr>
                  </w:pPr>
                  <w:r>
                    <w:rPr>
                      <w:color w:val="auto"/>
                      <w:kern w:val="0"/>
                      <w:sz w:val="21"/>
                      <w:szCs w:val="21"/>
                      <w:highlight w:val="none"/>
                    </w:rPr>
                    <w:t>评价工作等级</w:t>
                  </w:r>
                </w:p>
              </w:tc>
              <w:tc>
                <w:tcPr>
                  <w:tcW w:w="1328" w:type="dxa"/>
                  <w:noWrap w:val="0"/>
                  <w:vAlign w:val="center"/>
                </w:tcPr>
                <w:p w14:paraId="57911E85">
                  <w:pPr>
                    <w:jc w:val="center"/>
                    <w:rPr>
                      <w:color w:val="auto"/>
                      <w:kern w:val="0"/>
                      <w:sz w:val="21"/>
                      <w:szCs w:val="21"/>
                      <w:highlight w:val="none"/>
                    </w:rPr>
                  </w:pPr>
                  <w:r>
                    <w:rPr>
                      <w:color w:val="auto"/>
                      <w:kern w:val="0"/>
                      <w:sz w:val="21"/>
                      <w:szCs w:val="21"/>
                      <w:highlight w:val="none"/>
                    </w:rPr>
                    <w:t>一</w:t>
                  </w:r>
                </w:p>
              </w:tc>
              <w:tc>
                <w:tcPr>
                  <w:tcW w:w="1687" w:type="dxa"/>
                  <w:noWrap w:val="0"/>
                  <w:vAlign w:val="center"/>
                </w:tcPr>
                <w:p w14:paraId="5411650D">
                  <w:pPr>
                    <w:jc w:val="center"/>
                    <w:rPr>
                      <w:color w:val="auto"/>
                      <w:kern w:val="0"/>
                      <w:sz w:val="21"/>
                      <w:szCs w:val="21"/>
                      <w:highlight w:val="none"/>
                    </w:rPr>
                  </w:pPr>
                  <w:r>
                    <w:rPr>
                      <w:color w:val="auto"/>
                      <w:kern w:val="0"/>
                      <w:sz w:val="21"/>
                      <w:szCs w:val="21"/>
                      <w:highlight w:val="none"/>
                    </w:rPr>
                    <w:t>二</w:t>
                  </w:r>
                </w:p>
              </w:tc>
              <w:tc>
                <w:tcPr>
                  <w:tcW w:w="1754" w:type="dxa"/>
                  <w:noWrap w:val="0"/>
                  <w:vAlign w:val="center"/>
                </w:tcPr>
                <w:p w14:paraId="1E8FC497">
                  <w:pPr>
                    <w:jc w:val="center"/>
                    <w:rPr>
                      <w:color w:val="auto"/>
                      <w:kern w:val="0"/>
                      <w:sz w:val="21"/>
                      <w:szCs w:val="21"/>
                      <w:highlight w:val="none"/>
                    </w:rPr>
                  </w:pPr>
                  <w:r>
                    <w:rPr>
                      <w:color w:val="auto"/>
                      <w:kern w:val="0"/>
                      <w:sz w:val="21"/>
                      <w:szCs w:val="21"/>
                      <w:highlight w:val="none"/>
                    </w:rPr>
                    <w:t>三</w:t>
                  </w:r>
                </w:p>
              </w:tc>
              <w:tc>
                <w:tcPr>
                  <w:tcW w:w="1583" w:type="dxa"/>
                  <w:noWrap w:val="0"/>
                  <w:vAlign w:val="center"/>
                </w:tcPr>
                <w:p w14:paraId="0499D55E">
                  <w:pPr>
                    <w:jc w:val="center"/>
                    <w:rPr>
                      <w:color w:val="auto"/>
                      <w:kern w:val="0"/>
                      <w:sz w:val="21"/>
                      <w:szCs w:val="21"/>
                      <w:highlight w:val="none"/>
                    </w:rPr>
                  </w:pPr>
                  <w:r>
                    <w:rPr>
                      <w:color w:val="auto"/>
                      <w:kern w:val="0"/>
                      <w:sz w:val="21"/>
                      <w:szCs w:val="21"/>
                      <w:highlight w:val="none"/>
                    </w:rPr>
                    <w:t>简单分析</w:t>
                  </w:r>
                  <w:r>
                    <w:rPr>
                      <w:color w:val="auto"/>
                      <w:kern w:val="0"/>
                      <w:sz w:val="21"/>
                      <w:szCs w:val="21"/>
                      <w:highlight w:val="none"/>
                      <w:vertAlign w:val="superscript"/>
                    </w:rPr>
                    <w:t>a</w:t>
                  </w:r>
                </w:p>
              </w:tc>
            </w:tr>
            <w:tr w14:paraId="5355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5"/>
                  <w:noWrap w:val="0"/>
                  <w:vAlign w:val="center"/>
                </w:tcPr>
                <w:p w14:paraId="5C515267">
                  <w:pPr>
                    <w:jc w:val="center"/>
                    <w:rPr>
                      <w:color w:val="auto"/>
                      <w:kern w:val="0"/>
                      <w:sz w:val="21"/>
                      <w:szCs w:val="21"/>
                      <w:highlight w:val="none"/>
                    </w:rPr>
                  </w:pPr>
                  <w:r>
                    <w:rPr>
                      <w:color w:val="auto"/>
                      <w:kern w:val="0"/>
                      <w:sz w:val="21"/>
                      <w:szCs w:val="21"/>
                      <w:highlight w:val="none"/>
                    </w:rPr>
                    <w:t>a是相对于详细评价工作内容而言，在描述风险物质、环境影响途径、环境危害后果、风险防范措施等方面给出定性的说明。</w:t>
                  </w:r>
                </w:p>
              </w:tc>
            </w:tr>
          </w:tbl>
          <w:p w14:paraId="3759DEDA">
            <w:pPr>
              <w:keepNext w:val="0"/>
              <w:keepLines w:val="0"/>
              <w:pageBreakBefore w:val="0"/>
              <w:widowControl w:val="0"/>
              <w:kinsoku/>
              <w:wordWrap/>
              <w:overflowPunct/>
              <w:topLinePunct w:val="0"/>
              <w:autoSpaceDE/>
              <w:autoSpaceDN/>
              <w:bidi w:val="0"/>
              <w:adjustRightInd/>
              <w:snapToGrid/>
              <w:spacing w:before="157" w:beforeLines="50" w:line="360" w:lineRule="auto"/>
              <w:ind w:firstLine="468" w:firstLineChars="200"/>
              <w:textAlignment w:val="auto"/>
              <w:rPr>
                <w:color w:val="auto"/>
                <w:highlight w:val="none"/>
              </w:rPr>
            </w:pPr>
            <w:r>
              <w:rPr>
                <w:color w:val="auto"/>
                <w:spacing w:val="-3"/>
                <w:sz w:val="24"/>
                <w:highlight w:val="none"/>
              </w:rPr>
              <w:t>本项目厂区内风险物质数量与临界量比值Q＜1，风险潜势为Ⅰ，</w:t>
            </w:r>
            <w:r>
              <w:rPr>
                <w:rFonts w:hint="eastAsia"/>
                <w:color w:val="auto"/>
                <w:sz w:val="24"/>
                <w:highlight w:val="none"/>
              </w:rPr>
              <w:t>进行简单分析即可</w:t>
            </w:r>
            <w:r>
              <w:rPr>
                <w:color w:val="auto"/>
                <w:highlight w:val="none"/>
              </w:rPr>
              <w:t>。</w:t>
            </w:r>
          </w:p>
          <w:p w14:paraId="773450B0">
            <w:pPr>
              <w:spacing w:line="360" w:lineRule="auto"/>
              <w:ind w:firstLine="482" w:firstLineChars="200"/>
              <w:rPr>
                <w:b/>
                <w:bCs/>
                <w:color w:val="auto"/>
                <w:highlight w:val="none"/>
              </w:rPr>
            </w:pPr>
            <w:r>
              <w:rPr>
                <w:rFonts w:hint="eastAsia"/>
                <w:b/>
                <w:bCs/>
                <w:color w:val="auto"/>
                <w:highlight w:val="none"/>
              </w:rPr>
              <w:t>7.3</w:t>
            </w:r>
            <w:r>
              <w:rPr>
                <w:b/>
                <w:bCs/>
                <w:color w:val="auto"/>
                <w:highlight w:val="none"/>
              </w:rPr>
              <w:t>环境风险</w:t>
            </w:r>
            <w:r>
              <w:rPr>
                <w:rFonts w:hint="eastAsia"/>
                <w:b/>
                <w:bCs/>
                <w:color w:val="auto"/>
                <w:highlight w:val="none"/>
              </w:rPr>
              <w:t>识别</w:t>
            </w:r>
          </w:p>
          <w:p w14:paraId="077B34A9">
            <w:pPr>
              <w:adjustRightInd w:val="0"/>
              <w:snapToGrid w:val="0"/>
              <w:spacing w:line="360" w:lineRule="auto"/>
              <w:ind w:firstLine="480" w:firstLineChars="200"/>
              <w:rPr>
                <w:bCs/>
                <w:color w:val="auto"/>
                <w:highlight w:val="none"/>
              </w:rPr>
            </w:pPr>
            <w:r>
              <w:rPr>
                <w:rFonts w:hint="eastAsia" w:ascii="宋体" w:hAnsi="宋体" w:cs="宋体"/>
                <w:bCs/>
                <w:color w:val="auto"/>
                <w:highlight w:val="none"/>
              </w:rPr>
              <w:t>①</w:t>
            </w:r>
            <w:r>
              <w:rPr>
                <w:bCs/>
                <w:color w:val="auto"/>
                <w:highlight w:val="none"/>
              </w:rPr>
              <w:t>生产单元及储存设施</w:t>
            </w:r>
          </w:p>
          <w:p w14:paraId="4E7D7C7F">
            <w:pPr>
              <w:adjustRightInd w:val="0"/>
              <w:snapToGrid w:val="0"/>
              <w:spacing w:line="360" w:lineRule="auto"/>
              <w:ind w:firstLine="480" w:firstLineChars="200"/>
              <w:rPr>
                <w:rFonts w:hint="default" w:eastAsia="宋体"/>
                <w:bCs/>
                <w:color w:val="auto"/>
                <w:highlight w:val="none"/>
                <w:lang w:val="en-US" w:eastAsia="zh-CN"/>
              </w:rPr>
            </w:pPr>
            <w:r>
              <w:rPr>
                <w:bCs/>
                <w:color w:val="auto"/>
                <w:highlight w:val="none"/>
              </w:rPr>
              <w:t>本项目生产过程涉及</w:t>
            </w:r>
            <w:r>
              <w:rPr>
                <w:rFonts w:hint="eastAsia"/>
                <w:bCs/>
                <w:color w:val="auto"/>
                <w:highlight w:val="none"/>
                <w:lang w:val="en-US" w:eastAsia="zh-CN"/>
              </w:rPr>
              <w:t>风险物质</w:t>
            </w:r>
            <w:r>
              <w:rPr>
                <w:bCs/>
                <w:color w:val="auto"/>
                <w:highlight w:val="none"/>
              </w:rPr>
              <w:t>为</w:t>
            </w:r>
            <w:r>
              <w:rPr>
                <w:rFonts w:hint="eastAsia"/>
                <w:bCs/>
                <w:color w:val="auto"/>
                <w:highlight w:val="none"/>
                <w:lang w:val="en-US" w:eastAsia="zh-CN"/>
              </w:rPr>
              <w:t>机油、废机油以及丙烯酸酯涂料</w:t>
            </w:r>
            <w:r>
              <w:rPr>
                <w:bCs/>
                <w:color w:val="auto"/>
                <w:highlight w:val="none"/>
              </w:rPr>
              <w:t>，涉及风险源包括</w:t>
            </w:r>
            <w:r>
              <w:rPr>
                <w:rFonts w:hint="eastAsia"/>
                <w:bCs/>
                <w:color w:val="auto"/>
                <w:highlight w:val="none"/>
                <w:lang w:val="en-US" w:eastAsia="zh-CN"/>
              </w:rPr>
              <w:t>油类物质</w:t>
            </w:r>
            <w:r>
              <w:rPr>
                <w:bCs/>
                <w:color w:val="auto"/>
                <w:highlight w:val="none"/>
              </w:rPr>
              <w:t>，</w:t>
            </w:r>
            <w:r>
              <w:rPr>
                <w:rFonts w:hint="eastAsia"/>
                <w:bCs/>
                <w:color w:val="auto"/>
                <w:highlight w:val="none"/>
                <w:lang w:val="en-US" w:eastAsia="zh-CN"/>
              </w:rPr>
              <w:t>机油</w:t>
            </w:r>
            <w:r>
              <w:rPr>
                <w:bCs/>
                <w:color w:val="auto"/>
                <w:highlight w:val="none"/>
              </w:rPr>
              <w:t>位于</w:t>
            </w:r>
            <w:r>
              <w:rPr>
                <w:rFonts w:hint="eastAsia"/>
                <w:bCs/>
                <w:color w:val="auto"/>
                <w:highlight w:val="none"/>
                <w:lang w:val="en-US" w:eastAsia="zh-CN"/>
              </w:rPr>
              <w:t>调漆房内，废机油位于危险废物暂存间</w:t>
            </w:r>
            <w:r>
              <w:rPr>
                <w:rFonts w:hint="eastAsia"/>
                <w:color w:val="auto"/>
                <w:highlight w:val="none"/>
                <w:lang w:eastAsia="zh-CN"/>
              </w:rPr>
              <w:t>，</w:t>
            </w:r>
            <w:r>
              <w:rPr>
                <w:rFonts w:hint="eastAsia"/>
                <w:color w:val="auto"/>
                <w:highlight w:val="none"/>
                <w:lang w:val="en-US" w:eastAsia="zh-CN"/>
              </w:rPr>
              <w:t>涉及二甲苯，丙烯酸酯涂料位于调漆房内。</w:t>
            </w:r>
          </w:p>
          <w:p w14:paraId="2978E0EF">
            <w:pPr>
              <w:adjustRightInd w:val="0"/>
              <w:snapToGrid w:val="0"/>
              <w:spacing w:line="360" w:lineRule="auto"/>
              <w:ind w:firstLine="480" w:firstLineChars="200"/>
              <w:rPr>
                <w:bCs/>
                <w:color w:val="auto"/>
                <w:highlight w:val="none"/>
              </w:rPr>
            </w:pPr>
            <w:r>
              <w:rPr>
                <w:rFonts w:hint="eastAsia" w:ascii="宋体" w:hAnsi="宋体" w:cs="宋体"/>
                <w:bCs/>
                <w:color w:val="auto"/>
                <w:highlight w:val="none"/>
              </w:rPr>
              <w:t>②</w:t>
            </w:r>
            <w:r>
              <w:rPr>
                <w:bCs/>
                <w:color w:val="auto"/>
                <w:highlight w:val="none"/>
              </w:rPr>
              <w:t>环保设施风险识别</w:t>
            </w:r>
          </w:p>
          <w:p w14:paraId="06FA1857">
            <w:pPr>
              <w:adjustRightInd w:val="0"/>
              <w:snapToGrid w:val="0"/>
              <w:spacing w:line="360" w:lineRule="auto"/>
              <w:ind w:firstLine="480" w:firstLineChars="200"/>
              <w:jc w:val="left"/>
              <w:rPr>
                <w:bCs/>
                <w:color w:val="auto"/>
                <w:highlight w:val="none"/>
              </w:rPr>
            </w:pPr>
            <w:r>
              <w:rPr>
                <w:bCs/>
                <w:color w:val="auto"/>
                <w:highlight w:val="none"/>
              </w:rPr>
              <w:t>本项目环保工程中涉及环境风险包括：</w:t>
            </w:r>
            <w:r>
              <w:rPr>
                <w:rFonts w:hint="eastAsia"/>
                <w:bCs/>
                <w:color w:val="auto"/>
                <w:highlight w:val="none"/>
              </w:rPr>
              <w:t>废气处理系统、</w:t>
            </w:r>
            <w:r>
              <w:rPr>
                <w:bCs/>
                <w:color w:val="auto"/>
                <w:highlight w:val="none"/>
              </w:rPr>
              <w:t>危险废物暂存间</w:t>
            </w:r>
            <w:r>
              <w:rPr>
                <w:rFonts w:hint="eastAsia"/>
                <w:bCs/>
                <w:color w:val="auto"/>
                <w:highlight w:val="none"/>
              </w:rPr>
              <w:t>，</w:t>
            </w:r>
            <w:r>
              <w:rPr>
                <w:bCs/>
                <w:color w:val="auto"/>
                <w:highlight w:val="none"/>
              </w:rPr>
              <w:t>可能影响环境的途径</w:t>
            </w:r>
            <w:r>
              <w:rPr>
                <w:rFonts w:hint="eastAsia"/>
                <w:bCs/>
                <w:color w:val="auto"/>
                <w:highlight w:val="none"/>
              </w:rPr>
              <w:t>。</w:t>
            </w:r>
          </w:p>
          <w:p w14:paraId="233D6FBF">
            <w:pPr>
              <w:adjustRightInd w:val="0"/>
              <w:snapToGrid w:val="0"/>
              <w:spacing w:line="360" w:lineRule="auto"/>
              <w:ind w:firstLine="480" w:firstLineChars="200"/>
              <w:rPr>
                <w:bCs/>
                <w:color w:val="auto"/>
                <w:highlight w:val="none"/>
              </w:rPr>
            </w:pPr>
            <w:r>
              <w:rPr>
                <w:bCs/>
                <w:color w:val="auto"/>
                <w:highlight w:val="none"/>
              </w:rPr>
              <w:t>根据物质风险识别及生产系统危险性识别，确定可能的风险类型及环境影响途径见</w:t>
            </w:r>
            <w:r>
              <w:rPr>
                <w:rFonts w:hint="eastAsia"/>
                <w:bCs/>
                <w:color w:val="auto"/>
                <w:highlight w:val="none"/>
              </w:rPr>
              <w:t>下表</w:t>
            </w:r>
            <w:r>
              <w:rPr>
                <w:bCs/>
                <w:color w:val="auto"/>
                <w:highlight w:val="none"/>
              </w:rPr>
              <w:t>。</w:t>
            </w:r>
          </w:p>
          <w:p w14:paraId="4F4D8C52">
            <w:pPr>
              <w:pStyle w:val="51"/>
              <w:numPr>
                <w:ilvl w:val="0"/>
                <w:numId w:val="0"/>
              </w:numPr>
              <w:adjustRightInd w:val="0"/>
              <w:snapToGrid w:val="0"/>
              <w:spacing w:line="240" w:lineRule="auto"/>
              <w:rPr>
                <w:rFonts w:ascii="Times New Roman" w:hAnsi="Times New Roman" w:cs="Times New Roman"/>
                <w:color w:val="auto"/>
                <w:szCs w:val="24"/>
                <w:highlight w:val="none"/>
              </w:rPr>
            </w:pPr>
            <w:r>
              <w:rPr>
                <w:rFonts w:ascii="Times New Roman" w:hAnsi="Times New Roman" w:cs="Times New Roman"/>
                <w:color w:val="auto"/>
                <w:szCs w:val="24"/>
                <w:highlight w:val="none"/>
              </w:rPr>
              <w:t>表4</w:t>
            </w:r>
            <w:r>
              <w:rPr>
                <w:rFonts w:hint="eastAsia" w:ascii="Times New Roman" w:hAnsi="Times New Roman" w:cs="Times New Roman"/>
                <w:color w:val="auto"/>
                <w:szCs w:val="24"/>
                <w:highlight w:val="none"/>
                <w:lang w:val="en-US" w:eastAsia="zh-CN"/>
              </w:rPr>
              <w:t>-22</w:t>
            </w:r>
            <w:r>
              <w:rPr>
                <w:rFonts w:hint="eastAsia" w:ascii="Times New Roman" w:hAnsi="Times New Roman" w:cs="Times New Roman"/>
                <w:color w:val="auto"/>
                <w:szCs w:val="24"/>
                <w:highlight w:val="none"/>
              </w:rPr>
              <w:t xml:space="preserve"> </w:t>
            </w:r>
            <w:r>
              <w:rPr>
                <w:rFonts w:ascii="Times New Roman" w:hAnsi="Times New Roman" w:cs="Times New Roman"/>
                <w:color w:val="auto"/>
                <w:szCs w:val="24"/>
                <w:highlight w:val="none"/>
              </w:rPr>
              <w:t xml:space="preserve"> 环境影响途径及危害对象</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4"/>
              <w:gridCol w:w="781"/>
              <w:gridCol w:w="1122"/>
              <w:gridCol w:w="1011"/>
              <w:gridCol w:w="1567"/>
              <w:gridCol w:w="1766"/>
              <w:gridCol w:w="1457"/>
            </w:tblGrid>
            <w:tr w14:paraId="1C9B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72" w:type="pct"/>
                  <w:vAlign w:val="center"/>
                </w:tcPr>
                <w:p w14:paraId="13C15E7E">
                  <w:pPr>
                    <w:pStyle w:val="35"/>
                    <w:spacing w:before="20" w:after="20"/>
                    <w:rPr>
                      <w:b/>
                      <w:bCs/>
                      <w:color w:val="auto"/>
                      <w:sz w:val="21"/>
                      <w:szCs w:val="21"/>
                      <w:highlight w:val="none"/>
                    </w:rPr>
                  </w:pPr>
                  <w:r>
                    <w:rPr>
                      <w:b/>
                      <w:bCs/>
                      <w:color w:val="auto"/>
                      <w:sz w:val="21"/>
                      <w:szCs w:val="21"/>
                      <w:highlight w:val="none"/>
                    </w:rPr>
                    <w:t>序号</w:t>
                  </w:r>
                </w:p>
              </w:tc>
              <w:tc>
                <w:tcPr>
                  <w:tcW w:w="479" w:type="pct"/>
                  <w:vAlign w:val="center"/>
                </w:tcPr>
                <w:p w14:paraId="712BDE46">
                  <w:pPr>
                    <w:pStyle w:val="35"/>
                    <w:spacing w:before="20" w:after="20"/>
                    <w:rPr>
                      <w:b/>
                      <w:bCs/>
                      <w:color w:val="auto"/>
                      <w:sz w:val="21"/>
                      <w:szCs w:val="21"/>
                      <w:highlight w:val="none"/>
                    </w:rPr>
                  </w:pPr>
                  <w:r>
                    <w:rPr>
                      <w:b/>
                      <w:bCs/>
                      <w:color w:val="auto"/>
                      <w:sz w:val="21"/>
                      <w:szCs w:val="21"/>
                      <w:highlight w:val="none"/>
                    </w:rPr>
                    <w:t>危险单元</w:t>
                  </w:r>
                </w:p>
              </w:tc>
              <w:tc>
                <w:tcPr>
                  <w:tcW w:w="688" w:type="pct"/>
                  <w:vAlign w:val="center"/>
                </w:tcPr>
                <w:p w14:paraId="7819FA16">
                  <w:pPr>
                    <w:pStyle w:val="35"/>
                    <w:spacing w:before="20" w:after="20"/>
                    <w:rPr>
                      <w:b/>
                      <w:bCs/>
                      <w:color w:val="auto"/>
                      <w:sz w:val="21"/>
                      <w:szCs w:val="21"/>
                      <w:highlight w:val="none"/>
                    </w:rPr>
                  </w:pPr>
                  <w:r>
                    <w:rPr>
                      <w:b/>
                      <w:bCs/>
                      <w:color w:val="auto"/>
                      <w:sz w:val="21"/>
                      <w:szCs w:val="21"/>
                      <w:highlight w:val="none"/>
                    </w:rPr>
                    <w:t>风险源</w:t>
                  </w:r>
                </w:p>
              </w:tc>
              <w:tc>
                <w:tcPr>
                  <w:tcW w:w="620" w:type="pct"/>
                  <w:vAlign w:val="center"/>
                </w:tcPr>
                <w:p w14:paraId="38EFE442">
                  <w:pPr>
                    <w:pStyle w:val="35"/>
                    <w:spacing w:before="20" w:after="20"/>
                    <w:rPr>
                      <w:b/>
                      <w:bCs/>
                      <w:color w:val="auto"/>
                      <w:sz w:val="21"/>
                      <w:szCs w:val="21"/>
                      <w:highlight w:val="none"/>
                    </w:rPr>
                  </w:pPr>
                  <w:r>
                    <w:rPr>
                      <w:b/>
                      <w:bCs/>
                      <w:color w:val="auto"/>
                      <w:sz w:val="21"/>
                      <w:szCs w:val="21"/>
                      <w:highlight w:val="none"/>
                    </w:rPr>
                    <w:t>主要危险物质</w:t>
                  </w:r>
                </w:p>
              </w:tc>
              <w:tc>
                <w:tcPr>
                  <w:tcW w:w="961" w:type="pct"/>
                  <w:vAlign w:val="center"/>
                </w:tcPr>
                <w:p w14:paraId="117AADE8">
                  <w:pPr>
                    <w:pStyle w:val="35"/>
                    <w:spacing w:before="20" w:after="20"/>
                    <w:rPr>
                      <w:b/>
                      <w:bCs/>
                      <w:color w:val="auto"/>
                      <w:sz w:val="21"/>
                      <w:szCs w:val="21"/>
                      <w:highlight w:val="none"/>
                    </w:rPr>
                  </w:pPr>
                  <w:r>
                    <w:rPr>
                      <w:b/>
                      <w:bCs/>
                      <w:color w:val="auto"/>
                      <w:sz w:val="21"/>
                      <w:szCs w:val="21"/>
                      <w:highlight w:val="none"/>
                    </w:rPr>
                    <w:t>环境风险类型</w:t>
                  </w:r>
                </w:p>
              </w:tc>
              <w:tc>
                <w:tcPr>
                  <w:tcW w:w="1083" w:type="pct"/>
                  <w:vAlign w:val="center"/>
                </w:tcPr>
                <w:p w14:paraId="250CEB65">
                  <w:pPr>
                    <w:pStyle w:val="35"/>
                    <w:spacing w:before="20" w:after="20"/>
                    <w:rPr>
                      <w:b/>
                      <w:bCs/>
                      <w:color w:val="auto"/>
                      <w:sz w:val="21"/>
                      <w:szCs w:val="21"/>
                      <w:highlight w:val="none"/>
                    </w:rPr>
                  </w:pPr>
                  <w:r>
                    <w:rPr>
                      <w:b/>
                      <w:bCs/>
                      <w:color w:val="auto"/>
                      <w:sz w:val="21"/>
                      <w:szCs w:val="21"/>
                      <w:highlight w:val="none"/>
                    </w:rPr>
                    <w:t>向环境转移途径及环境影响途径</w:t>
                  </w:r>
                </w:p>
              </w:tc>
              <w:tc>
                <w:tcPr>
                  <w:tcW w:w="894" w:type="pct"/>
                  <w:vAlign w:val="center"/>
                </w:tcPr>
                <w:p w14:paraId="2E0EA99C">
                  <w:pPr>
                    <w:pStyle w:val="35"/>
                    <w:spacing w:before="20" w:after="20"/>
                    <w:rPr>
                      <w:b/>
                      <w:bCs/>
                      <w:color w:val="auto"/>
                      <w:sz w:val="21"/>
                      <w:szCs w:val="21"/>
                      <w:highlight w:val="none"/>
                    </w:rPr>
                  </w:pPr>
                  <w:r>
                    <w:rPr>
                      <w:b/>
                      <w:bCs/>
                      <w:color w:val="auto"/>
                      <w:sz w:val="21"/>
                      <w:szCs w:val="21"/>
                      <w:highlight w:val="none"/>
                    </w:rPr>
                    <w:t>可能受影响的环境敏感目标</w:t>
                  </w:r>
                </w:p>
              </w:tc>
            </w:tr>
            <w:tr w14:paraId="4AA1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72" w:type="pct"/>
                  <w:vAlign w:val="center"/>
                </w:tcPr>
                <w:p w14:paraId="099A3CB7">
                  <w:pPr>
                    <w:pStyle w:val="35"/>
                    <w:spacing w:before="20" w:after="20"/>
                    <w:rPr>
                      <w:b w:val="0"/>
                      <w:bCs w:val="0"/>
                      <w:color w:val="auto"/>
                      <w:sz w:val="21"/>
                      <w:szCs w:val="21"/>
                      <w:highlight w:val="none"/>
                    </w:rPr>
                  </w:pPr>
                  <w:r>
                    <w:rPr>
                      <w:b w:val="0"/>
                      <w:bCs w:val="0"/>
                      <w:color w:val="auto"/>
                      <w:sz w:val="21"/>
                      <w:szCs w:val="21"/>
                      <w:highlight w:val="none"/>
                    </w:rPr>
                    <w:t>1</w:t>
                  </w:r>
                </w:p>
              </w:tc>
              <w:tc>
                <w:tcPr>
                  <w:tcW w:w="479" w:type="pct"/>
                  <w:vAlign w:val="center"/>
                </w:tcPr>
                <w:p w14:paraId="1AF5571A">
                  <w:pPr>
                    <w:pStyle w:val="35"/>
                    <w:spacing w:before="20" w:after="2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调漆房、喷漆房</w:t>
                  </w:r>
                </w:p>
              </w:tc>
              <w:tc>
                <w:tcPr>
                  <w:tcW w:w="688" w:type="pct"/>
                  <w:vAlign w:val="center"/>
                </w:tcPr>
                <w:p w14:paraId="0FB26089">
                  <w:pPr>
                    <w:pStyle w:val="35"/>
                    <w:spacing w:before="20" w:after="2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机油、</w:t>
                  </w:r>
                  <w:r>
                    <w:rPr>
                      <w:rFonts w:hint="eastAsia" w:ascii="Times New Roman" w:hAnsi="Times New Roman" w:eastAsia="宋体" w:cs="Times New Roman"/>
                      <w:b w:val="0"/>
                      <w:bCs w:val="0"/>
                      <w:color w:val="auto"/>
                      <w:sz w:val="21"/>
                      <w:szCs w:val="21"/>
                      <w:lang w:val="en-US" w:eastAsia="zh-CN"/>
                    </w:rPr>
                    <w:t>UV漆、丙烯酸铝粉漆、稀释剂、固化剂</w:t>
                  </w:r>
                </w:p>
              </w:tc>
              <w:tc>
                <w:tcPr>
                  <w:tcW w:w="620" w:type="pct"/>
                  <w:vAlign w:val="center"/>
                </w:tcPr>
                <w:p w14:paraId="7F255499">
                  <w:pPr>
                    <w:pStyle w:val="35"/>
                    <w:spacing w:before="20" w:after="2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油类物质、漆类物质</w:t>
                  </w:r>
                </w:p>
              </w:tc>
              <w:tc>
                <w:tcPr>
                  <w:tcW w:w="961" w:type="pct"/>
                  <w:vAlign w:val="center"/>
                </w:tcPr>
                <w:p w14:paraId="4D2F35FC">
                  <w:pPr>
                    <w:pStyle w:val="35"/>
                    <w:spacing w:before="20" w:after="20"/>
                    <w:rPr>
                      <w:b w:val="0"/>
                      <w:bCs w:val="0"/>
                      <w:color w:val="auto"/>
                      <w:sz w:val="21"/>
                      <w:szCs w:val="21"/>
                      <w:highlight w:val="none"/>
                    </w:rPr>
                  </w:pPr>
                  <w:r>
                    <w:rPr>
                      <w:b w:val="0"/>
                      <w:bCs w:val="0"/>
                      <w:color w:val="auto"/>
                      <w:sz w:val="21"/>
                      <w:szCs w:val="21"/>
                      <w:highlight w:val="none"/>
                    </w:rPr>
                    <w:t>危险物质泄漏；火灾、爆炸引发的伴生/次生污染物排放</w:t>
                  </w:r>
                </w:p>
              </w:tc>
              <w:tc>
                <w:tcPr>
                  <w:tcW w:w="1083" w:type="pct"/>
                  <w:vAlign w:val="center"/>
                </w:tcPr>
                <w:p w14:paraId="12609954">
                  <w:pPr>
                    <w:pStyle w:val="35"/>
                    <w:spacing w:before="20" w:after="20"/>
                    <w:rPr>
                      <w:b w:val="0"/>
                      <w:bCs w:val="0"/>
                      <w:color w:val="auto"/>
                      <w:sz w:val="21"/>
                      <w:szCs w:val="21"/>
                      <w:highlight w:val="none"/>
                    </w:rPr>
                  </w:pPr>
                  <w:r>
                    <w:rPr>
                      <w:b w:val="0"/>
                      <w:bCs w:val="0"/>
                      <w:color w:val="auto"/>
                      <w:sz w:val="21"/>
                      <w:szCs w:val="21"/>
                      <w:highlight w:val="none"/>
                    </w:rPr>
                    <w:t>火灾、爆炸引发的伴生/次生污染物排放对大气影响、</w:t>
                  </w:r>
                </w:p>
                <w:p w14:paraId="44364CCA">
                  <w:pPr>
                    <w:pStyle w:val="35"/>
                    <w:spacing w:before="20" w:after="20"/>
                    <w:rPr>
                      <w:b w:val="0"/>
                      <w:bCs w:val="0"/>
                      <w:color w:val="auto"/>
                      <w:sz w:val="21"/>
                      <w:szCs w:val="21"/>
                      <w:highlight w:val="none"/>
                    </w:rPr>
                  </w:pPr>
                  <w:r>
                    <w:rPr>
                      <w:b w:val="0"/>
                      <w:bCs w:val="0"/>
                      <w:color w:val="auto"/>
                      <w:sz w:val="21"/>
                      <w:szCs w:val="21"/>
                      <w:highlight w:val="none"/>
                    </w:rPr>
                    <w:t>危险物质泄露进入地下水、土壤</w:t>
                  </w:r>
                </w:p>
              </w:tc>
              <w:tc>
                <w:tcPr>
                  <w:tcW w:w="894" w:type="pct"/>
                  <w:vAlign w:val="center"/>
                </w:tcPr>
                <w:p w14:paraId="43DDA1FD">
                  <w:pPr>
                    <w:pStyle w:val="35"/>
                    <w:spacing w:before="20" w:after="20"/>
                    <w:rPr>
                      <w:b w:val="0"/>
                      <w:bCs w:val="0"/>
                      <w:color w:val="auto"/>
                      <w:sz w:val="21"/>
                      <w:szCs w:val="21"/>
                      <w:highlight w:val="none"/>
                    </w:rPr>
                  </w:pPr>
                  <w:r>
                    <w:rPr>
                      <w:rFonts w:hint="eastAsia"/>
                      <w:b w:val="0"/>
                      <w:bCs w:val="0"/>
                      <w:color w:val="auto"/>
                      <w:sz w:val="21"/>
                      <w:szCs w:val="21"/>
                      <w:highlight w:val="none"/>
                      <w:lang w:val="en-US" w:eastAsia="zh-CN"/>
                    </w:rPr>
                    <w:t>大气环境、</w:t>
                  </w:r>
                  <w:r>
                    <w:rPr>
                      <w:b w:val="0"/>
                      <w:bCs w:val="0"/>
                      <w:color w:val="auto"/>
                      <w:sz w:val="21"/>
                      <w:szCs w:val="21"/>
                      <w:highlight w:val="none"/>
                    </w:rPr>
                    <w:t>区域地下水、土壤</w:t>
                  </w:r>
                </w:p>
              </w:tc>
            </w:tr>
            <w:tr w14:paraId="04C6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72" w:type="pct"/>
                  <w:vAlign w:val="center"/>
                </w:tcPr>
                <w:p w14:paraId="367AD1B0">
                  <w:pPr>
                    <w:pStyle w:val="35"/>
                    <w:spacing w:before="10" w:after="10"/>
                    <w:rPr>
                      <w:b w:val="0"/>
                      <w:bCs w:val="0"/>
                      <w:color w:val="auto"/>
                      <w:sz w:val="21"/>
                      <w:szCs w:val="21"/>
                      <w:highlight w:val="none"/>
                    </w:rPr>
                  </w:pPr>
                  <w:r>
                    <w:rPr>
                      <w:rFonts w:hint="eastAsia"/>
                      <w:b w:val="0"/>
                      <w:bCs w:val="0"/>
                      <w:color w:val="auto"/>
                      <w:sz w:val="21"/>
                      <w:szCs w:val="21"/>
                      <w:highlight w:val="none"/>
                    </w:rPr>
                    <w:t>2</w:t>
                  </w:r>
                </w:p>
              </w:tc>
              <w:tc>
                <w:tcPr>
                  <w:tcW w:w="479" w:type="pct"/>
                  <w:vAlign w:val="center"/>
                </w:tcPr>
                <w:p w14:paraId="6E39C4AE">
                  <w:pPr>
                    <w:pStyle w:val="35"/>
                    <w:spacing w:before="20" w:after="20"/>
                    <w:rPr>
                      <w:b w:val="0"/>
                      <w:bCs w:val="0"/>
                      <w:color w:val="auto"/>
                      <w:sz w:val="21"/>
                      <w:szCs w:val="21"/>
                      <w:highlight w:val="none"/>
                    </w:rPr>
                  </w:pPr>
                  <w:r>
                    <w:rPr>
                      <w:b w:val="0"/>
                      <w:bCs w:val="0"/>
                      <w:color w:val="auto"/>
                      <w:sz w:val="21"/>
                      <w:szCs w:val="21"/>
                      <w:highlight w:val="none"/>
                    </w:rPr>
                    <w:t>废气处理系统</w:t>
                  </w:r>
                </w:p>
              </w:tc>
              <w:tc>
                <w:tcPr>
                  <w:tcW w:w="688" w:type="pct"/>
                  <w:vAlign w:val="center"/>
                </w:tcPr>
                <w:p w14:paraId="714F480F">
                  <w:pPr>
                    <w:pStyle w:val="35"/>
                    <w:spacing w:before="20" w:after="20"/>
                    <w:rPr>
                      <w:b w:val="0"/>
                      <w:bCs w:val="0"/>
                      <w:color w:val="auto"/>
                      <w:sz w:val="21"/>
                      <w:szCs w:val="21"/>
                      <w:highlight w:val="none"/>
                    </w:rPr>
                  </w:pPr>
                  <w:r>
                    <w:rPr>
                      <w:b w:val="0"/>
                      <w:bCs w:val="0"/>
                      <w:color w:val="auto"/>
                      <w:sz w:val="21"/>
                      <w:szCs w:val="21"/>
                      <w:highlight w:val="none"/>
                    </w:rPr>
                    <w:t>环保设施</w:t>
                  </w:r>
                </w:p>
              </w:tc>
              <w:tc>
                <w:tcPr>
                  <w:tcW w:w="620" w:type="pct"/>
                  <w:vAlign w:val="center"/>
                </w:tcPr>
                <w:p w14:paraId="38A0A7BB">
                  <w:pPr>
                    <w:pStyle w:val="35"/>
                    <w:spacing w:before="20" w:after="2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颗粒物、二甲苯、非甲烷总烃、苯乙烯、丙烯腈、醋酸丁酯</w:t>
                  </w:r>
                </w:p>
              </w:tc>
              <w:tc>
                <w:tcPr>
                  <w:tcW w:w="961" w:type="pct"/>
                  <w:vAlign w:val="center"/>
                </w:tcPr>
                <w:p w14:paraId="0DCA5D79">
                  <w:pPr>
                    <w:pStyle w:val="35"/>
                    <w:spacing w:before="20" w:after="20"/>
                    <w:rPr>
                      <w:b w:val="0"/>
                      <w:bCs w:val="0"/>
                      <w:color w:val="auto"/>
                      <w:sz w:val="21"/>
                      <w:szCs w:val="21"/>
                      <w:highlight w:val="none"/>
                    </w:rPr>
                  </w:pPr>
                  <w:r>
                    <w:rPr>
                      <w:b w:val="0"/>
                      <w:bCs w:val="0"/>
                      <w:color w:val="auto"/>
                      <w:sz w:val="21"/>
                      <w:szCs w:val="21"/>
                      <w:highlight w:val="none"/>
                    </w:rPr>
                    <w:t>事故排放</w:t>
                  </w:r>
                </w:p>
              </w:tc>
              <w:tc>
                <w:tcPr>
                  <w:tcW w:w="1083" w:type="pct"/>
                  <w:vAlign w:val="center"/>
                </w:tcPr>
                <w:p w14:paraId="71BA7EAF">
                  <w:pPr>
                    <w:pStyle w:val="35"/>
                    <w:spacing w:before="20" w:after="20"/>
                    <w:rPr>
                      <w:b w:val="0"/>
                      <w:bCs w:val="0"/>
                      <w:color w:val="auto"/>
                      <w:sz w:val="21"/>
                      <w:szCs w:val="21"/>
                      <w:highlight w:val="none"/>
                    </w:rPr>
                  </w:pPr>
                  <w:r>
                    <w:rPr>
                      <w:b w:val="0"/>
                      <w:bCs w:val="0"/>
                      <w:color w:val="auto"/>
                      <w:sz w:val="21"/>
                      <w:szCs w:val="21"/>
                      <w:highlight w:val="none"/>
                    </w:rPr>
                    <w:t>大气</w:t>
                  </w:r>
                </w:p>
              </w:tc>
              <w:tc>
                <w:tcPr>
                  <w:tcW w:w="894" w:type="pct"/>
                  <w:vAlign w:val="center"/>
                </w:tcPr>
                <w:p w14:paraId="03C31B7E">
                  <w:pPr>
                    <w:pStyle w:val="35"/>
                    <w:spacing w:before="20" w:after="2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周边大气环境</w:t>
                  </w:r>
                </w:p>
              </w:tc>
            </w:tr>
            <w:tr w14:paraId="271F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72" w:type="pct"/>
                  <w:vAlign w:val="center"/>
                </w:tcPr>
                <w:p w14:paraId="300A9169">
                  <w:pPr>
                    <w:pStyle w:val="35"/>
                    <w:spacing w:before="10" w:after="10"/>
                    <w:rPr>
                      <w:b w:val="0"/>
                      <w:bCs w:val="0"/>
                      <w:color w:val="auto"/>
                      <w:sz w:val="21"/>
                      <w:szCs w:val="21"/>
                      <w:highlight w:val="none"/>
                    </w:rPr>
                  </w:pPr>
                  <w:r>
                    <w:rPr>
                      <w:rFonts w:hint="eastAsia"/>
                      <w:b w:val="0"/>
                      <w:bCs w:val="0"/>
                      <w:color w:val="auto"/>
                      <w:sz w:val="21"/>
                      <w:szCs w:val="21"/>
                      <w:highlight w:val="none"/>
                    </w:rPr>
                    <w:t>3</w:t>
                  </w:r>
                </w:p>
              </w:tc>
              <w:tc>
                <w:tcPr>
                  <w:tcW w:w="479" w:type="pct"/>
                  <w:vAlign w:val="center"/>
                </w:tcPr>
                <w:p w14:paraId="3E4DF3F9">
                  <w:pPr>
                    <w:pStyle w:val="35"/>
                    <w:spacing w:before="10" w:after="10"/>
                    <w:rPr>
                      <w:b w:val="0"/>
                      <w:bCs w:val="0"/>
                      <w:color w:val="auto"/>
                      <w:sz w:val="21"/>
                      <w:szCs w:val="21"/>
                      <w:highlight w:val="none"/>
                    </w:rPr>
                  </w:pPr>
                  <w:r>
                    <w:rPr>
                      <w:b w:val="0"/>
                      <w:bCs w:val="0"/>
                      <w:color w:val="auto"/>
                      <w:sz w:val="21"/>
                      <w:szCs w:val="21"/>
                      <w:highlight w:val="none"/>
                    </w:rPr>
                    <w:t>危险废物暂存间</w:t>
                  </w:r>
                </w:p>
              </w:tc>
              <w:tc>
                <w:tcPr>
                  <w:tcW w:w="688" w:type="pct"/>
                  <w:vAlign w:val="center"/>
                </w:tcPr>
                <w:p w14:paraId="3CCEC088">
                  <w:pPr>
                    <w:pStyle w:val="35"/>
                    <w:spacing w:before="10" w:after="10"/>
                    <w:rPr>
                      <w:b w:val="0"/>
                      <w:bCs w:val="0"/>
                      <w:color w:val="auto"/>
                      <w:sz w:val="21"/>
                      <w:szCs w:val="21"/>
                      <w:highlight w:val="none"/>
                    </w:rPr>
                  </w:pPr>
                  <w:r>
                    <w:rPr>
                      <w:b w:val="0"/>
                      <w:bCs w:val="0"/>
                      <w:color w:val="auto"/>
                      <w:sz w:val="21"/>
                      <w:szCs w:val="21"/>
                      <w:highlight w:val="none"/>
                    </w:rPr>
                    <w:t>危险废物</w:t>
                  </w:r>
                </w:p>
              </w:tc>
              <w:tc>
                <w:tcPr>
                  <w:tcW w:w="620" w:type="pct"/>
                  <w:vAlign w:val="center"/>
                </w:tcPr>
                <w:p w14:paraId="5C4F3263">
                  <w:pPr>
                    <w:pStyle w:val="35"/>
                    <w:spacing w:before="10" w:after="10"/>
                    <w:rPr>
                      <w:b w:val="0"/>
                      <w:bCs w:val="0"/>
                      <w:color w:val="auto"/>
                      <w:sz w:val="21"/>
                      <w:szCs w:val="21"/>
                      <w:highlight w:val="none"/>
                    </w:rPr>
                  </w:pPr>
                  <w:r>
                    <w:rPr>
                      <w:b w:val="0"/>
                      <w:bCs w:val="0"/>
                      <w:color w:val="auto"/>
                      <w:sz w:val="21"/>
                      <w:szCs w:val="21"/>
                      <w:highlight w:val="none"/>
                    </w:rPr>
                    <w:t>危险</w:t>
                  </w:r>
                </w:p>
                <w:p w14:paraId="2AF985D3">
                  <w:pPr>
                    <w:pStyle w:val="35"/>
                    <w:spacing w:before="10" w:after="10"/>
                    <w:rPr>
                      <w:b w:val="0"/>
                      <w:bCs w:val="0"/>
                      <w:color w:val="auto"/>
                      <w:sz w:val="21"/>
                      <w:szCs w:val="21"/>
                      <w:highlight w:val="none"/>
                    </w:rPr>
                  </w:pPr>
                  <w:r>
                    <w:rPr>
                      <w:b w:val="0"/>
                      <w:bCs w:val="0"/>
                      <w:color w:val="auto"/>
                      <w:sz w:val="21"/>
                      <w:szCs w:val="21"/>
                      <w:highlight w:val="none"/>
                    </w:rPr>
                    <w:t>废物</w:t>
                  </w:r>
                </w:p>
              </w:tc>
              <w:tc>
                <w:tcPr>
                  <w:tcW w:w="961" w:type="pct"/>
                  <w:vAlign w:val="center"/>
                </w:tcPr>
                <w:p w14:paraId="0A978694">
                  <w:pPr>
                    <w:pStyle w:val="35"/>
                    <w:spacing w:before="10" w:after="10"/>
                    <w:rPr>
                      <w:b w:val="0"/>
                      <w:bCs w:val="0"/>
                      <w:color w:val="auto"/>
                      <w:sz w:val="21"/>
                      <w:szCs w:val="21"/>
                      <w:highlight w:val="none"/>
                    </w:rPr>
                  </w:pPr>
                  <w:r>
                    <w:rPr>
                      <w:b w:val="0"/>
                      <w:bCs w:val="0"/>
                      <w:color w:val="auto"/>
                      <w:sz w:val="21"/>
                      <w:szCs w:val="21"/>
                      <w:highlight w:val="none"/>
                    </w:rPr>
                    <w:t>泄漏；火灾、爆炸引发的伴生/次生污染物排放</w:t>
                  </w:r>
                </w:p>
              </w:tc>
              <w:tc>
                <w:tcPr>
                  <w:tcW w:w="1083" w:type="pct"/>
                  <w:vAlign w:val="center"/>
                </w:tcPr>
                <w:p w14:paraId="7E228334">
                  <w:pPr>
                    <w:pStyle w:val="35"/>
                    <w:spacing w:before="20" w:after="20"/>
                    <w:rPr>
                      <w:b w:val="0"/>
                      <w:bCs w:val="0"/>
                      <w:color w:val="auto"/>
                      <w:sz w:val="21"/>
                      <w:szCs w:val="21"/>
                      <w:highlight w:val="none"/>
                    </w:rPr>
                  </w:pPr>
                  <w:r>
                    <w:rPr>
                      <w:b w:val="0"/>
                      <w:bCs w:val="0"/>
                      <w:color w:val="auto"/>
                      <w:sz w:val="21"/>
                      <w:szCs w:val="21"/>
                      <w:highlight w:val="none"/>
                    </w:rPr>
                    <w:t>火灾、爆炸引发的伴生/次生污染物排放对大气影响、</w:t>
                  </w:r>
                </w:p>
                <w:p w14:paraId="475AB7AE">
                  <w:pPr>
                    <w:pStyle w:val="35"/>
                    <w:spacing w:before="10" w:after="10"/>
                    <w:rPr>
                      <w:b w:val="0"/>
                      <w:bCs w:val="0"/>
                      <w:color w:val="auto"/>
                      <w:sz w:val="21"/>
                      <w:szCs w:val="21"/>
                      <w:highlight w:val="none"/>
                    </w:rPr>
                  </w:pPr>
                  <w:r>
                    <w:rPr>
                      <w:b w:val="0"/>
                      <w:bCs w:val="0"/>
                      <w:color w:val="auto"/>
                      <w:sz w:val="21"/>
                      <w:szCs w:val="21"/>
                      <w:highlight w:val="none"/>
                    </w:rPr>
                    <w:t>危险物质泄露进入地下水、土壤</w:t>
                  </w:r>
                </w:p>
              </w:tc>
              <w:tc>
                <w:tcPr>
                  <w:tcW w:w="894" w:type="pct"/>
                  <w:vAlign w:val="center"/>
                </w:tcPr>
                <w:p w14:paraId="5040AB82">
                  <w:pPr>
                    <w:pStyle w:val="35"/>
                    <w:spacing w:before="10" w:after="10"/>
                    <w:rPr>
                      <w:b w:val="0"/>
                      <w:bCs w:val="0"/>
                      <w:color w:val="auto"/>
                      <w:sz w:val="21"/>
                      <w:szCs w:val="21"/>
                      <w:highlight w:val="none"/>
                    </w:rPr>
                  </w:pPr>
                  <w:r>
                    <w:rPr>
                      <w:b w:val="0"/>
                      <w:bCs w:val="0"/>
                      <w:color w:val="auto"/>
                      <w:sz w:val="21"/>
                      <w:szCs w:val="21"/>
                      <w:highlight w:val="none"/>
                    </w:rPr>
                    <w:t>区域地下水、土壤</w:t>
                  </w:r>
                </w:p>
              </w:tc>
            </w:tr>
          </w:tbl>
          <w:p w14:paraId="2880FC2B">
            <w:pPr>
              <w:adjustRightInd w:val="0"/>
              <w:snapToGrid w:val="0"/>
              <w:spacing w:before="120" w:beforeLines="50" w:line="360" w:lineRule="auto"/>
              <w:ind w:firstLine="480" w:firstLineChars="200"/>
              <w:rPr>
                <w:color w:val="auto"/>
                <w:highlight w:val="none"/>
              </w:rPr>
            </w:pPr>
            <w:r>
              <w:rPr>
                <w:rFonts w:hint="eastAsia"/>
                <w:color w:val="auto"/>
                <w:highlight w:val="none"/>
              </w:rPr>
              <w:t>（1）</w:t>
            </w:r>
            <w:r>
              <w:rPr>
                <w:rFonts w:hint="eastAsia"/>
                <w:color w:val="auto"/>
                <w:highlight w:val="none"/>
                <w:lang w:val="en-US" w:eastAsia="zh-CN"/>
              </w:rPr>
              <w:t>生产</w:t>
            </w:r>
            <w:r>
              <w:rPr>
                <w:rFonts w:hint="eastAsia"/>
                <w:color w:val="auto"/>
                <w:highlight w:val="none"/>
              </w:rPr>
              <w:t>装置</w:t>
            </w:r>
          </w:p>
          <w:p w14:paraId="258C6D64">
            <w:pPr>
              <w:spacing w:line="360" w:lineRule="auto"/>
              <w:ind w:firstLine="480" w:firstLineChars="200"/>
              <w:rPr>
                <w:rFonts w:hint="eastAsia"/>
                <w:color w:val="auto"/>
                <w:highlight w:val="none"/>
              </w:rPr>
            </w:pPr>
            <w:r>
              <w:rPr>
                <w:rFonts w:hint="eastAsia"/>
                <w:color w:val="auto"/>
                <w:highlight w:val="none"/>
                <w:lang w:val="en-US" w:eastAsia="zh-CN"/>
              </w:rPr>
              <w:t>生产</w:t>
            </w:r>
            <w:r>
              <w:rPr>
                <w:color w:val="auto"/>
                <w:highlight w:val="none"/>
              </w:rPr>
              <w:t>过程中，因操作不当或设备老化、磨损，易产生跑、冒、滴、漏现象，管道连接不严</w:t>
            </w:r>
            <w:r>
              <w:rPr>
                <w:rFonts w:hint="eastAsia"/>
                <w:color w:val="auto"/>
                <w:highlight w:val="none"/>
                <w:lang w:eastAsia="zh-CN"/>
              </w:rPr>
              <w:t>易</w:t>
            </w:r>
            <w:r>
              <w:rPr>
                <w:color w:val="auto"/>
                <w:highlight w:val="none"/>
              </w:rPr>
              <w:t>造成</w:t>
            </w:r>
            <w:r>
              <w:rPr>
                <w:rFonts w:hint="eastAsia"/>
                <w:color w:val="auto"/>
                <w:highlight w:val="none"/>
                <w:lang w:val="en-US" w:eastAsia="zh-CN"/>
              </w:rPr>
              <w:t>试剂</w:t>
            </w:r>
            <w:r>
              <w:rPr>
                <w:color w:val="auto"/>
                <w:highlight w:val="none"/>
              </w:rPr>
              <w:t>泄漏，对环境产生污染。</w:t>
            </w:r>
            <w:r>
              <w:rPr>
                <w:rFonts w:hint="eastAsia"/>
                <w:color w:val="auto"/>
                <w:highlight w:val="none"/>
                <w:lang w:val="en-US" w:eastAsia="zh-CN"/>
              </w:rPr>
              <w:t>易燃物质</w:t>
            </w:r>
            <w:r>
              <w:rPr>
                <w:rFonts w:hint="eastAsia"/>
                <w:color w:val="auto"/>
                <w:highlight w:val="none"/>
              </w:rPr>
              <w:t>过程中使用等发生泄漏，遇火源或者高温时可引起燃烧，在一定条件下</w:t>
            </w:r>
            <w:r>
              <w:rPr>
                <w:rFonts w:hint="eastAsia"/>
                <w:color w:val="auto"/>
                <w:highlight w:val="none"/>
                <w:lang w:eastAsia="zh-CN"/>
              </w:rPr>
              <w:t>可能</w:t>
            </w:r>
            <w:r>
              <w:rPr>
                <w:rFonts w:hint="eastAsia"/>
                <w:color w:val="auto"/>
                <w:highlight w:val="none"/>
              </w:rPr>
              <w:t>发生火灾事故等，建设单位应加强对设备的安全检查，严格操作规程，避免设备老旧或人员误操作造成</w:t>
            </w:r>
            <w:r>
              <w:rPr>
                <w:rFonts w:hint="eastAsia"/>
                <w:color w:val="auto"/>
                <w:highlight w:val="none"/>
                <w:lang w:val="en-US" w:eastAsia="zh-CN"/>
              </w:rPr>
              <w:t>试剂</w:t>
            </w:r>
            <w:r>
              <w:rPr>
                <w:rFonts w:hint="eastAsia"/>
                <w:color w:val="auto"/>
                <w:highlight w:val="none"/>
              </w:rPr>
              <w:t>泄漏或引发燃爆事故。</w:t>
            </w:r>
          </w:p>
          <w:p w14:paraId="0FD2A5F6">
            <w:pPr>
              <w:spacing w:line="360" w:lineRule="auto"/>
              <w:ind w:firstLine="480" w:firstLineChars="200"/>
              <w:rPr>
                <w:color w:val="auto"/>
                <w:highlight w:val="none"/>
              </w:rPr>
            </w:pPr>
            <w:r>
              <w:rPr>
                <w:rFonts w:hint="eastAsia"/>
                <w:color w:val="auto"/>
                <w:highlight w:val="none"/>
              </w:rPr>
              <w:t>（2）储运装置</w:t>
            </w:r>
          </w:p>
          <w:p w14:paraId="2C7365B3">
            <w:pPr>
              <w:spacing w:line="360" w:lineRule="auto"/>
              <w:ind w:firstLine="480" w:firstLineChars="200"/>
              <w:rPr>
                <w:color w:val="auto"/>
                <w:highlight w:val="none"/>
              </w:rPr>
            </w:pPr>
            <w:r>
              <w:rPr>
                <w:color w:val="auto"/>
                <w:highlight w:val="none"/>
              </w:rPr>
              <w:t>运输：根据建设单位提供的资料，本项目物料主要采用公路运输，原材料由供应方委托有资质的单位运输，产品委托社会专业运输单位外运。运输过</w:t>
            </w:r>
            <w:r>
              <w:rPr>
                <w:rFonts w:hint="eastAsia"/>
                <w:color w:val="auto"/>
                <w:highlight w:val="none"/>
                <w:lang w:eastAsia="zh-CN"/>
              </w:rPr>
              <w:t>程中</w:t>
            </w:r>
            <w:r>
              <w:rPr>
                <w:color w:val="auto"/>
                <w:highlight w:val="none"/>
              </w:rPr>
              <w:t>有发生交通事故的可能，如撞车、侧翻等，一旦发生此类事故，可能造成运输工具破损、包装桶盖被撞开或包装容器被撞破，直接结果是容器内物料外泄进入大气或地表水。但</w:t>
            </w:r>
            <w:r>
              <w:rPr>
                <w:rFonts w:hint="eastAsia"/>
                <w:color w:val="auto"/>
                <w:highlight w:val="none"/>
                <w:lang w:eastAsia="zh-CN"/>
              </w:rPr>
              <w:t>此类</w:t>
            </w:r>
            <w:r>
              <w:rPr>
                <w:color w:val="auto"/>
                <w:highlight w:val="none"/>
              </w:rPr>
              <w:t>事故发生概率较小，可通过采取安全补偿措施使危险等级降低至较轻。因此，本项目运输风险影响相对较小。</w:t>
            </w:r>
          </w:p>
          <w:p w14:paraId="00D2660F">
            <w:pPr>
              <w:spacing w:line="360" w:lineRule="auto"/>
              <w:ind w:firstLine="480" w:firstLineChars="200"/>
              <w:rPr>
                <w:color w:val="auto"/>
                <w:highlight w:val="none"/>
              </w:rPr>
            </w:pPr>
            <w:r>
              <w:rPr>
                <w:color w:val="auto"/>
                <w:highlight w:val="none"/>
              </w:rPr>
              <w:t>储存：物料在储存过程中，由于设备开裂、</w:t>
            </w:r>
            <w:r>
              <w:rPr>
                <w:rFonts w:hint="eastAsia"/>
                <w:color w:val="auto"/>
                <w:highlight w:val="none"/>
              </w:rPr>
              <w:t>包装设施</w:t>
            </w:r>
            <w:r>
              <w:rPr>
                <w:color w:val="auto"/>
                <w:highlight w:val="none"/>
              </w:rPr>
              <w:t>破损、操作不当等原因，可能导致物料泄漏。包装桶在存放过程中也有可能因意外而侧翻或破损，或因容器内外温差过大造成盖子顶开，发生物料泄漏</w:t>
            </w:r>
            <w:r>
              <w:rPr>
                <w:rFonts w:hint="eastAsia"/>
                <w:color w:val="auto"/>
                <w:highlight w:val="none"/>
              </w:rPr>
              <w:t>或</w:t>
            </w:r>
            <w:r>
              <w:rPr>
                <w:color w:val="auto"/>
                <w:highlight w:val="none"/>
              </w:rPr>
              <w:t>导致火灾、爆炸事故，引起的有毒、有害物质扩散到大气中产生大气污染，相应的事故、消防废水污染地表水、土壤及地下水环境，造成水污染和土壤污染。</w:t>
            </w:r>
          </w:p>
          <w:p w14:paraId="775FAB71">
            <w:pPr>
              <w:spacing w:line="360" w:lineRule="auto"/>
              <w:ind w:firstLine="480" w:firstLineChars="200"/>
              <w:rPr>
                <w:color w:val="auto"/>
                <w:highlight w:val="none"/>
              </w:rPr>
            </w:pPr>
            <w:r>
              <w:rPr>
                <w:rFonts w:hint="eastAsia"/>
                <w:color w:val="auto"/>
                <w:highlight w:val="none"/>
              </w:rPr>
              <w:t>（3）环保工程</w:t>
            </w:r>
          </w:p>
          <w:p w14:paraId="4A6BF548">
            <w:pPr>
              <w:spacing w:line="360" w:lineRule="auto"/>
              <w:ind w:firstLine="480" w:firstLineChars="200"/>
              <w:rPr>
                <w:color w:val="auto"/>
                <w:highlight w:val="none"/>
              </w:rPr>
            </w:pPr>
            <w:r>
              <w:rPr>
                <w:rFonts w:hint="eastAsia"/>
                <w:color w:val="auto"/>
                <w:highlight w:val="none"/>
              </w:rPr>
              <w:t>危险废物暂存间：</w:t>
            </w:r>
            <w:r>
              <w:rPr>
                <w:rFonts w:hint="eastAsia"/>
                <w:color w:val="auto"/>
                <w:highlight w:val="none"/>
                <w:lang w:val="en-US" w:eastAsia="zh-CN"/>
              </w:rPr>
              <w:t>废活性炭等遇明火</w:t>
            </w:r>
            <w:r>
              <w:rPr>
                <w:rFonts w:hint="eastAsia"/>
                <w:color w:val="auto"/>
                <w:highlight w:val="none"/>
              </w:rPr>
              <w:t>，</w:t>
            </w:r>
            <w:r>
              <w:rPr>
                <w:color w:val="auto"/>
                <w:highlight w:val="none"/>
              </w:rPr>
              <w:t>导致火灾事故，引起的有毒、有害物质扩散到大气中产生大气污染，相应的事故、消防废水污染地表水、土壤及地下水环境，造成水污染和土壤污染。</w:t>
            </w:r>
          </w:p>
          <w:p w14:paraId="0F7D02BF">
            <w:pPr>
              <w:spacing w:line="360" w:lineRule="auto"/>
              <w:ind w:firstLine="480" w:firstLineChars="200"/>
              <w:rPr>
                <w:color w:val="auto"/>
                <w:highlight w:val="none"/>
              </w:rPr>
            </w:pPr>
            <w:r>
              <w:rPr>
                <w:rFonts w:hint="eastAsia"/>
                <w:color w:val="auto"/>
                <w:highlight w:val="none"/>
              </w:rPr>
              <w:t>废气处理装置：环保设施发生故障，导致超标废气排放，扩散到大气中产生大气污染。</w:t>
            </w:r>
          </w:p>
          <w:p w14:paraId="26E194CB">
            <w:pPr>
              <w:spacing w:line="360" w:lineRule="auto"/>
              <w:ind w:firstLine="482" w:firstLineChars="200"/>
              <w:rPr>
                <w:b/>
                <w:bCs/>
                <w:color w:val="auto"/>
                <w:highlight w:val="none"/>
              </w:rPr>
            </w:pPr>
            <w:r>
              <w:rPr>
                <w:rFonts w:hint="eastAsia"/>
                <w:b/>
                <w:bCs/>
                <w:color w:val="auto"/>
                <w:highlight w:val="none"/>
              </w:rPr>
              <w:t>7.4</w:t>
            </w:r>
            <w:r>
              <w:rPr>
                <w:b/>
                <w:bCs/>
                <w:color w:val="auto"/>
                <w:highlight w:val="none"/>
              </w:rPr>
              <w:t>环境风险分析</w:t>
            </w:r>
          </w:p>
          <w:p w14:paraId="5D69B950">
            <w:pPr>
              <w:spacing w:line="360" w:lineRule="auto"/>
              <w:ind w:firstLine="480" w:firstLineChars="200"/>
              <w:rPr>
                <w:color w:val="auto"/>
                <w:highlight w:val="none"/>
              </w:rPr>
            </w:pPr>
            <w:r>
              <w:rPr>
                <w:rFonts w:hint="eastAsia"/>
                <w:color w:val="auto"/>
                <w:highlight w:val="none"/>
              </w:rPr>
              <w:t>液体</w:t>
            </w:r>
            <w:r>
              <w:rPr>
                <w:rFonts w:hint="eastAsia"/>
                <w:color w:val="auto"/>
                <w:highlight w:val="none"/>
                <w:lang w:eastAsia="zh-CN"/>
              </w:rPr>
              <w:t>泄漏</w:t>
            </w:r>
            <w:r>
              <w:rPr>
                <w:rFonts w:hint="eastAsia"/>
                <w:color w:val="auto"/>
                <w:highlight w:val="none"/>
              </w:rPr>
              <w:t>事故风险影响分析</w:t>
            </w:r>
          </w:p>
          <w:p w14:paraId="0CA6349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highlight w:val="none"/>
              </w:rPr>
            </w:pPr>
            <w:r>
              <w:rPr>
                <w:color w:val="auto"/>
                <w:highlight w:val="none"/>
              </w:rPr>
              <w:t>物料在储存</w:t>
            </w:r>
            <w:r>
              <w:rPr>
                <w:rFonts w:hint="eastAsia"/>
                <w:color w:val="auto"/>
                <w:highlight w:val="none"/>
              </w:rPr>
              <w:t>、生产</w:t>
            </w:r>
            <w:r>
              <w:rPr>
                <w:color w:val="auto"/>
                <w:highlight w:val="none"/>
              </w:rPr>
              <w:t>过程中，由于</w:t>
            </w:r>
            <w:r>
              <w:rPr>
                <w:rFonts w:hint="eastAsia"/>
                <w:color w:val="auto"/>
                <w:highlight w:val="none"/>
              </w:rPr>
              <w:t>包装桶</w:t>
            </w:r>
            <w:r>
              <w:rPr>
                <w:color w:val="auto"/>
                <w:highlight w:val="none"/>
              </w:rPr>
              <w:t>破损、操作不当等原因，可能导致物料泄漏</w:t>
            </w:r>
            <w:r>
              <w:rPr>
                <w:rFonts w:hint="eastAsia"/>
                <w:color w:val="auto"/>
                <w:highlight w:val="none"/>
              </w:rPr>
              <w:t>，从而</w:t>
            </w:r>
            <w:r>
              <w:rPr>
                <w:color w:val="auto"/>
                <w:highlight w:val="none"/>
              </w:rPr>
              <w:t>污染地表水、土壤及地下水环境，造成水污染和土壤污染。</w:t>
            </w:r>
            <w:r>
              <w:rPr>
                <w:rFonts w:hint="eastAsia"/>
                <w:color w:val="auto"/>
                <w:highlight w:val="none"/>
              </w:rPr>
              <w:t>因此，在日常生产过程中，应定期对</w:t>
            </w:r>
            <w:r>
              <w:rPr>
                <w:rFonts w:hint="eastAsia"/>
                <w:color w:val="auto"/>
                <w:highlight w:val="none"/>
                <w:lang w:val="en-US" w:eastAsia="zh-CN"/>
              </w:rPr>
              <w:t>生产</w:t>
            </w:r>
            <w:r>
              <w:rPr>
                <w:rFonts w:hint="eastAsia"/>
                <w:color w:val="auto"/>
                <w:highlight w:val="none"/>
              </w:rPr>
              <w:t>设施、包装设施等进行安全状况检查等，危废暂存间等应进行防渗、防泄漏措施，避免因泄露导致水污染和土壤污染。</w:t>
            </w:r>
          </w:p>
          <w:p w14:paraId="442FD7DE">
            <w:pPr>
              <w:pStyle w:val="8"/>
              <w:spacing w:line="360" w:lineRule="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废气处理装置事故风险影响分析</w:t>
            </w:r>
          </w:p>
          <w:p w14:paraId="44B257B2">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项目生产过程中可能会出现</w:t>
            </w:r>
            <w:r>
              <w:rPr>
                <w:rFonts w:ascii="Times New Roman" w:hAnsi="Times New Roman" w:eastAsia="宋体" w:cs="Times New Roman"/>
                <w:color w:val="auto"/>
                <w:kern w:val="2"/>
                <w:sz w:val="24"/>
                <w:szCs w:val="24"/>
                <w:highlight w:val="none"/>
                <w:lang w:val="en-US" w:eastAsia="zh-CN" w:bidi="ar-SA"/>
              </w:rPr>
              <w:t>环保除尘设施</w:t>
            </w:r>
            <w:r>
              <w:rPr>
                <w:rFonts w:hint="eastAsia" w:ascii="Times New Roman" w:hAnsi="Times New Roman" w:eastAsia="宋体" w:cs="Times New Roman"/>
                <w:color w:val="auto"/>
                <w:kern w:val="2"/>
                <w:sz w:val="24"/>
                <w:szCs w:val="24"/>
                <w:highlight w:val="none"/>
                <w:lang w:val="en-US" w:eastAsia="zh-CN" w:bidi="ar-SA"/>
              </w:rPr>
              <w:t>故障，导致</w:t>
            </w:r>
            <w:r>
              <w:rPr>
                <w:rFonts w:hint="eastAsia" w:cs="Times New Roman"/>
                <w:color w:val="auto"/>
                <w:kern w:val="2"/>
                <w:sz w:val="24"/>
                <w:szCs w:val="24"/>
                <w:highlight w:val="none"/>
                <w:lang w:val="en-US" w:eastAsia="zh-CN" w:bidi="ar-SA"/>
              </w:rPr>
              <w:t>废气未经处理排放，从而</w:t>
            </w:r>
            <w:r>
              <w:rPr>
                <w:rFonts w:hint="eastAsia"/>
                <w:color w:val="auto"/>
                <w:highlight w:val="none"/>
                <w:lang w:val="en-US" w:eastAsia="zh-CN"/>
              </w:rPr>
              <w:t>污染下风向居民区、</w:t>
            </w:r>
            <w:r>
              <w:rPr>
                <w:color w:val="auto"/>
                <w:highlight w:val="none"/>
              </w:rPr>
              <w:t>污染地表水、土壤及地下水环境，造成水污染和土壤污染。</w:t>
            </w:r>
            <w:r>
              <w:rPr>
                <w:rFonts w:hint="eastAsia"/>
                <w:color w:val="auto"/>
                <w:highlight w:val="none"/>
              </w:rPr>
              <w:t>因此，在日常生产过程中，应定期对</w:t>
            </w:r>
            <w:r>
              <w:rPr>
                <w:rFonts w:hint="eastAsia"/>
                <w:color w:val="auto"/>
                <w:highlight w:val="none"/>
                <w:lang w:val="en-US" w:eastAsia="zh-CN"/>
              </w:rPr>
              <w:t>废气处理设施</w:t>
            </w:r>
            <w:r>
              <w:rPr>
                <w:rFonts w:hint="eastAsia"/>
                <w:color w:val="auto"/>
                <w:highlight w:val="none"/>
              </w:rPr>
              <w:t>等进行安全状况检查等。</w:t>
            </w:r>
          </w:p>
          <w:p w14:paraId="7D8BFB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highlight w:val="none"/>
              </w:rPr>
            </w:pPr>
            <w:r>
              <w:rPr>
                <w:b/>
                <w:bCs/>
                <w:color w:val="auto"/>
                <w:highlight w:val="none"/>
              </w:rPr>
              <w:t>7.</w:t>
            </w:r>
            <w:r>
              <w:rPr>
                <w:rFonts w:hint="eastAsia"/>
                <w:b/>
                <w:bCs/>
                <w:color w:val="auto"/>
                <w:highlight w:val="none"/>
              </w:rPr>
              <w:t>5</w:t>
            </w:r>
            <w:r>
              <w:rPr>
                <w:b/>
                <w:color w:val="auto"/>
                <w:highlight w:val="none"/>
              </w:rPr>
              <w:t>环境风险防范措施</w:t>
            </w:r>
            <w:r>
              <w:rPr>
                <w:b/>
                <w:color w:val="auto"/>
                <w:kern w:val="0"/>
                <w:highlight w:val="none"/>
              </w:rPr>
              <w:t>及应急要求</w:t>
            </w:r>
          </w:p>
          <w:p w14:paraId="5A94518E">
            <w:pPr>
              <w:pStyle w:val="8"/>
              <w:spacing w:line="360" w:lineRule="auto"/>
              <w:ind w:firstLine="480"/>
              <w:rPr>
                <w:color w:val="auto"/>
                <w:sz w:val="24"/>
                <w:highlight w:val="none"/>
              </w:rPr>
            </w:pPr>
            <w:r>
              <w:rPr>
                <w:rFonts w:hint="eastAsia"/>
                <w:color w:val="auto"/>
                <w:kern w:val="0"/>
                <w:sz w:val="24"/>
                <w:highlight w:val="none"/>
              </w:rPr>
              <w:t>（1）</w:t>
            </w:r>
            <w:r>
              <w:rPr>
                <w:color w:val="auto"/>
                <w:kern w:val="0"/>
                <w:sz w:val="24"/>
                <w:highlight w:val="none"/>
              </w:rPr>
              <w:t>严格控制</w:t>
            </w:r>
            <w:r>
              <w:rPr>
                <w:rFonts w:hint="eastAsia"/>
                <w:color w:val="auto"/>
                <w:kern w:val="0"/>
                <w:sz w:val="24"/>
                <w:highlight w:val="none"/>
                <w:lang w:val="en-US" w:eastAsia="zh-CN"/>
              </w:rPr>
              <w:t>油类物质</w:t>
            </w:r>
            <w:r>
              <w:rPr>
                <w:color w:val="auto"/>
                <w:kern w:val="0"/>
                <w:sz w:val="24"/>
                <w:highlight w:val="none"/>
              </w:rPr>
              <w:t>的使用和管理要求，落实专门管理人员，</w:t>
            </w:r>
            <w:r>
              <w:rPr>
                <w:rFonts w:hint="eastAsia"/>
                <w:color w:val="auto"/>
                <w:kern w:val="0"/>
                <w:sz w:val="24"/>
                <w:highlight w:val="none"/>
                <w:lang w:eastAsia="zh-CN"/>
              </w:rPr>
              <w:t>制定</w:t>
            </w:r>
            <w:r>
              <w:rPr>
                <w:color w:val="auto"/>
                <w:kern w:val="0"/>
                <w:sz w:val="24"/>
                <w:highlight w:val="none"/>
              </w:rPr>
              <w:t>相关责任制度；</w:t>
            </w:r>
          </w:p>
          <w:p w14:paraId="3900E25C">
            <w:pPr>
              <w:pStyle w:val="5"/>
              <w:spacing w:before="0" w:after="0" w:line="360" w:lineRule="auto"/>
              <w:ind w:firstLine="480" w:firstLineChars="200"/>
              <w:rPr>
                <w:rFonts w:ascii="Times New Roman" w:hAnsi="Times New Roman" w:eastAsia="宋体"/>
                <w:b w:val="0"/>
                <w:color w:val="auto"/>
                <w:highlight w:val="none"/>
              </w:rPr>
            </w:pPr>
            <w:r>
              <w:rPr>
                <w:rFonts w:hint="eastAsia" w:ascii="Times New Roman" w:hAnsi="Times New Roman" w:eastAsia="宋体"/>
                <w:b w:val="0"/>
                <w:color w:val="auto"/>
                <w:kern w:val="0"/>
                <w:highlight w:val="none"/>
              </w:rPr>
              <w:t>（2）</w:t>
            </w:r>
            <w:r>
              <w:rPr>
                <w:rFonts w:ascii="Times New Roman" w:hAnsi="Times New Roman" w:eastAsia="宋体"/>
                <w:b w:val="0"/>
                <w:color w:val="auto"/>
                <w:kern w:val="0"/>
                <w:highlight w:val="none"/>
              </w:rPr>
              <w:t>在</w:t>
            </w:r>
            <w:r>
              <w:rPr>
                <w:rFonts w:hint="eastAsia" w:ascii="Times New Roman" w:hAnsi="Times New Roman" w:eastAsia="宋体"/>
                <w:b w:val="0"/>
                <w:color w:val="auto"/>
                <w:kern w:val="0"/>
                <w:highlight w:val="none"/>
                <w:lang w:val="en-US" w:eastAsia="zh-CN"/>
              </w:rPr>
              <w:t>油类物质</w:t>
            </w:r>
            <w:r>
              <w:rPr>
                <w:rFonts w:ascii="Times New Roman" w:hAnsi="Times New Roman" w:eastAsia="宋体"/>
                <w:b w:val="0"/>
                <w:color w:val="auto"/>
                <w:kern w:val="0"/>
                <w:highlight w:val="none"/>
              </w:rPr>
              <w:t>存储位置增设必要的应急物资</w:t>
            </w:r>
            <w:r>
              <w:rPr>
                <w:rFonts w:hint="eastAsia" w:eastAsia="宋体"/>
                <w:b w:val="0"/>
                <w:color w:val="auto"/>
                <w:kern w:val="0"/>
                <w:highlight w:val="none"/>
              </w:rPr>
              <w:t>和消防物资</w:t>
            </w:r>
            <w:r>
              <w:rPr>
                <w:rFonts w:ascii="Times New Roman" w:hAnsi="Times New Roman" w:eastAsia="宋体"/>
                <w:b w:val="0"/>
                <w:color w:val="auto"/>
                <w:kern w:val="0"/>
                <w:highlight w:val="none"/>
              </w:rPr>
              <w:t>，如</w:t>
            </w:r>
            <w:r>
              <w:rPr>
                <w:rFonts w:hint="eastAsia" w:eastAsia="宋体"/>
                <w:b w:val="0"/>
                <w:color w:val="auto"/>
                <w:kern w:val="0"/>
                <w:highlight w:val="none"/>
              </w:rPr>
              <w:t>灭火器、防毒面具</w:t>
            </w:r>
            <w:r>
              <w:rPr>
                <w:rFonts w:ascii="Times New Roman" w:hAnsi="Times New Roman" w:eastAsia="宋体"/>
                <w:b w:val="0"/>
                <w:color w:val="auto"/>
                <w:kern w:val="0"/>
                <w:highlight w:val="none"/>
              </w:rPr>
              <w:t>等，以便</w:t>
            </w:r>
            <w:r>
              <w:rPr>
                <w:rFonts w:hint="eastAsia" w:ascii="Times New Roman" w:hAnsi="Times New Roman" w:eastAsia="宋体"/>
                <w:b w:val="0"/>
                <w:color w:val="auto"/>
                <w:kern w:val="0"/>
                <w:highlight w:val="none"/>
                <w:lang w:eastAsia="zh-CN"/>
              </w:rPr>
              <w:t>泄漏</w:t>
            </w:r>
            <w:r>
              <w:rPr>
                <w:rFonts w:ascii="Times New Roman" w:hAnsi="Times New Roman" w:eastAsia="宋体"/>
                <w:b w:val="0"/>
                <w:color w:val="auto"/>
                <w:kern w:val="0"/>
                <w:highlight w:val="none"/>
              </w:rPr>
              <w:t>事故</w:t>
            </w:r>
            <w:r>
              <w:rPr>
                <w:rFonts w:hint="eastAsia" w:eastAsia="宋体"/>
                <w:b w:val="0"/>
                <w:color w:val="auto"/>
                <w:kern w:val="0"/>
                <w:highlight w:val="none"/>
              </w:rPr>
              <w:t>或火灾</w:t>
            </w:r>
            <w:r>
              <w:rPr>
                <w:rFonts w:ascii="Times New Roman" w:hAnsi="Times New Roman" w:eastAsia="宋体"/>
                <w:b w:val="0"/>
                <w:color w:val="auto"/>
                <w:kern w:val="0"/>
                <w:highlight w:val="none"/>
              </w:rPr>
              <w:t>发生时应急处置使用；</w:t>
            </w:r>
          </w:p>
          <w:p w14:paraId="4931069F">
            <w:pPr>
              <w:adjustRightInd w:val="0"/>
              <w:snapToGrid w:val="0"/>
              <w:spacing w:line="360" w:lineRule="auto"/>
              <w:ind w:firstLine="480" w:firstLineChars="200"/>
              <w:rPr>
                <w:color w:val="auto"/>
                <w:highlight w:val="none"/>
              </w:rPr>
            </w:pPr>
            <w:r>
              <w:rPr>
                <w:rFonts w:hint="eastAsia"/>
                <w:color w:val="auto"/>
                <w:highlight w:val="none"/>
              </w:rPr>
              <w:t>（3）</w:t>
            </w:r>
            <w:r>
              <w:rPr>
                <w:color w:val="auto"/>
                <w:highlight w:val="none"/>
              </w:rPr>
              <w:t>进一步细化事故应急措施，平时进行职工教育和信息发布，并加强应急培训与演练，一旦发生</w:t>
            </w:r>
            <w:r>
              <w:rPr>
                <w:rFonts w:hint="eastAsia"/>
                <w:color w:val="auto"/>
                <w:highlight w:val="none"/>
                <w:lang w:eastAsia="zh-CN"/>
              </w:rPr>
              <w:t>泄漏</w:t>
            </w:r>
            <w:r>
              <w:rPr>
                <w:color w:val="auto"/>
                <w:highlight w:val="none"/>
              </w:rPr>
              <w:t>事故，则应积极组织应急处置，并做好相关善后回复措施。</w:t>
            </w:r>
          </w:p>
          <w:p w14:paraId="53AC26F2">
            <w:pPr>
              <w:adjustRightInd w:val="0"/>
              <w:snapToGrid w:val="0"/>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7.6环境风险评价结论</w:t>
            </w:r>
          </w:p>
          <w:p w14:paraId="12A28CA9">
            <w:pPr>
              <w:adjustRightInd w:val="0"/>
              <w:snapToGrid w:val="0"/>
              <w:spacing w:line="360" w:lineRule="auto"/>
              <w:ind w:firstLine="480" w:firstLineChars="200"/>
              <w:rPr>
                <w:rFonts w:ascii="Times New Roman" w:hAnsi="Times New Roman"/>
                <w:bCs/>
                <w:color w:val="auto"/>
                <w:sz w:val="24"/>
                <w:highlight w:val="none"/>
              </w:rPr>
            </w:pPr>
            <w:r>
              <w:rPr>
                <w:rFonts w:hint="eastAsia" w:ascii="Times New Roman" w:hAnsi="Times New Roman"/>
                <w:bCs/>
                <w:color w:val="auto"/>
                <w:sz w:val="24"/>
                <w:highlight w:val="none"/>
              </w:rPr>
              <w:t>综上所述，</w:t>
            </w:r>
            <w:r>
              <w:rPr>
                <w:rFonts w:hint="eastAsia" w:ascii="Times New Roman" w:hAnsi="Times New Roman"/>
                <w:color w:val="auto"/>
                <w:sz w:val="24"/>
                <w:highlight w:val="none"/>
              </w:rPr>
              <w:t>按照本报告提出的应急预案内容要求，细化编制可操作性好的应急措施及预案，为生产和贮运系统一旦出现突发事故，提供可操作的应急指导方案，以利于减缓风险损害。</w:t>
            </w:r>
          </w:p>
          <w:p w14:paraId="768B9CAB">
            <w:pPr>
              <w:adjustRightInd w:val="0"/>
              <w:snapToGrid w:val="0"/>
              <w:spacing w:line="240" w:lineRule="auto"/>
              <w:jc w:val="center"/>
              <w:rPr>
                <w:color w:val="auto"/>
                <w:highlight w:val="none"/>
              </w:rPr>
            </w:pPr>
            <w:r>
              <w:rPr>
                <w:rFonts w:hint="default" w:ascii="Times New Roman" w:hAnsi="Times New Roman" w:eastAsia="宋体" w:cs="Times New Roman"/>
                <w:b/>
                <w:bCs/>
                <w:color w:val="auto"/>
                <w:highlight w:val="none"/>
              </w:rPr>
              <w:t>表4</w:t>
            </w:r>
            <w:r>
              <w:rPr>
                <w:rFonts w:hint="eastAsia"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建设项目环境风险简单分析内容表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5936"/>
            </w:tblGrid>
            <w:tr w14:paraId="5220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2" w:type="dxa"/>
                  <w:noWrap w:val="0"/>
                  <w:vAlign w:val="center"/>
                </w:tcPr>
                <w:p w14:paraId="3EB7D53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建设项目名称</w:t>
                  </w:r>
                </w:p>
              </w:tc>
              <w:tc>
                <w:tcPr>
                  <w:tcW w:w="5936" w:type="dxa"/>
                  <w:noWrap w:val="0"/>
                  <w:vAlign w:val="center"/>
                </w:tcPr>
                <w:p w14:paraId="55ED72C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年产3万套塑料制品项目</w:t>
                  </w:r>
                </w:p>
              </w:tc>
            </w:tr>
            <w:tr w14:paraId="760D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2" w:type="dxa"/>
                  <w:noWrap w:val="0"/>
                  <w:vAlign w:val="center"/>
                </w:tcPr>
                <w:p w14:paraId="2D6033A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建设地点</w:t>
                  </w:r>
                </w:p>
              </w:tc>
              <w:tc>
                <w:tcPr>
                  <w:tcW w:w="5936" w:type="dxa"/>
                  <w:noWrap w:val="0"/>
                  <w:vAlign w:val="center"/>
                </w:tcPr>
                <w:p w14:paraId="280C1CF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泗县经济开发区蟠龙山路与南柳路交口东南角地块</w:t>
                  </w:r>
                </w:p>
              </w:tc>
            </w:tr>
            <w:tr w14:paraId="7A13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2" w:type="dxa"/>
                  <w:noWrap w:val="0"/>
                  <w:vAlign w:val="center"/>
                </w:tcPr>
                <w:p w14:paraId="2636389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地理坐标</w:t>
                  </w:r>
                </w:p>
              </w:tc>
              <w:tc>
                <w:tcPr>
                  <w:tcW w:w="5936" w:type="dxa"/>
                  <w:noWrap w:val="0"/>
                  <w:vAlign w:val="center"/>
                </w:tcPr>
                <w:p w14:paraId="4CA611F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东经117度55分45.541秒，北纬33度28分10.425秒</w:t>
                  </w:r>
                </w:p>
              </w:tc>
            </w:tr>
            <w:tr w14:paraId="413B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2" w:type="dxa"/>
                  <w:noWrap w:val="0"/>
                  <w:vAlign w:val="center"/>
                </w:tcPr>
                <w:p w14:paraId="6F43601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主要危险物质及分布</w:t>
                  </w:r>
                </w:p>
              </w:tc>
              <w:tc>
                <w:tcPr>
                  <w:tcW w:w="5936" w:type="dxa"/>
                  <w:noWrap w:val="0"/>
                  <w:vAlign w:val="center"/>
                </w:tcPr>
                <w:p w14:paraId="13A69EE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主要危险物质：机油、丙烯酸铝粉漆、二甲苯、危险废物</w:t>
                  </w:r>
                </w:p>
                <w:p w14:paraId="2A401DE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分布：喷漆房、调漆房、危险废物暂存间</w:t>
                  </w:r>
                </w:p>
              </w:tc>
            </w:tr>
            <w:tr w14:paraId="588B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2" w:type="dxa"/>
                  <w:noWrap w:val="0"/>
                  <w:vAlign w:val="center"/>
                </w:tcPr>
                <w:p w14:paraId="6EC863F5">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环境影响途径及危害后果</w:t>
                  </w:r>
                </w:p>
              </w:tc>
              <w:tc>
                <w:tcPr>
                  <w:tcW w:w="5936" w:type="dxa"/>
                  <w:noWrap w:val="0"/>
                  <w:vAlign w:val="center"/>
                </w:tcPr>
                <w:p w14:paraId="4DBDED9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机油</w:t>
                  </w:r>
                  <w:r>
                    <w:rPr>
                      <w:rFonts w:hint="eastAsia" w:cs="Times New Roman"/>
                      <w:color w:val="auto"/>
                      <w:sz w:val="21"/>
                      <w:szCs w:val="21"/>
                      <w:highlight w:val="none"/>
                      <w:lang w:val="en-US" w:eastAsia="zh-CN"/>
                    </w:rPr>
                    <w:t>、油漆</w:t>
                  </w:r>
                  <w:r>
                    <w:rPr>
                      <w:rFonts w:hint="eastAsia" w:ascii="Times New Roman" w:hAnsi="Times New Roman" w:eastAsia="宋体" w:cs="Times New Roman"/>
                      <w:color w:val="auto"/>
                      <w:sz w:val="21"/>
                      <w:szCs w:val="21"/>
                      <w:highlight w:val="none"/>
                      <w:lang w:val="en-US" w:eastAsia="zh-CN"/>
                    </w:rPr>
                    <w:t>等物料在储存或者使用过程中的</w:t>
                  </w:r>
                  <w:r>
                    <w:rPr>
                      <w:rFonts w:hint="eastAsia" w:cs="Times New Roman"/>
                      <w:color w:val="auto"/>
                      <w:sz w:val="21"/>
                      <w:szCs w:val="21"/>
                      <w:highlight w:val="none"/>
                      <w:lang w:val="en-US" w:eastAsia="zh-CN"/>
                    </w:rPr>
                    <w:t>泄漏</w:t>
                  </w:r>
                  <w:r>
                    <w:rPr>
                      <w:rFonts w:hint="eastAsia" w:ascii="Times New Roman" w:hAnsi="Times New Roman" w:eastAsia="宋体" w:cs="Times New Roman"/>
                      <w:color w:val="auto"/>
                      <w:sz w:val="21"/>
                      <w:szCs w:val="21"/>
                      <w:highlight w:val="none"/>
                      <w:lang w:val="en-US" w:eastAsia="zh-CN"/>
                    </w:rPr>
                    <w:t>或遇明火产生爆炸、火灾、爆炸事故及其次生/伴生污染，引起的有毒、有害物质扩散到大气中产生大气污染，相应的事故、消防废水污染地表水、土壤及地下水环境，造成水污染和土壤污染。</w:t>
                  </w:r>
                </w:p>
              </w:tc>
            </w:tr>
            <w:tr w14:paraId="6278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2" w:type="dxa"/>
                  <w:noWrap w:val="0"/>
                  <w:vAlign w:val="center"/>
                </w:tcPr>
                <w:p w14:paraId="5D9B6A1C">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风险防范措施要求。</w:t>
                  </w:r>
                </w:p>
              </w:tc>
              <w:tc>
                <w:tcPr>
                  <w:tcW w:w="5936" w:type="dxa"/>
                  <w:noWrap w:val="0"/>
                  <w:vAlign w:val="center"/>
                </w:tcPr>
                <w:p w14:paraId="37186397">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原辅料按相关要求贮存，明确贮存注意事项并要求专人负责看管</w:t>
                  </w:r>
                  <w:r>
                    <w:rPr>
                      <w:color w:val="auto"/>
                      <w:sz w:val="21"/>
                      <w:szCs w:val="21"/>
                      <w:highlight w:val="none"/>
                    </w:rPr>
                    <w:t>。定期对生产设施、包装设施以及相应环保设施等进行安全状况检查，危废暂存间</w:t>
                  </w:r>
                  <w:r>
                    <w:rPr>
                      <w:rFonts w:hint="eastAsia"/>
                      <w:color w:val="auto"/>
                      <w:sz w:val="21"/>
                      <w:szCs w:val="21"/>
                      <w:highlight w:val="none"/>
                      <w:lang w:val="en-US" w:eastAsia="zh-CN"/>
                    </w:rPr>
                    <w:t>、油类、漆类放置区</w:t>
                  </w:r>
                  <w:r>
                    <w:rPr>
                      <w:color w:val="auto"/>
                      <w:sz w:val="21"/>
                      <w:szCs w:val="21"/>
                      <w:highlight w:val="none"/>
                    </w:rPr>
                    <w:t>等应进行防渗、防泄漏措施；车间内配置相应的消防设备、设施、防毒、灭火物资等消防、安全设施；制定严格的运行操作规章制度，发生火灾、爆炸事故后，灭火的同时疏散周边无关人员</w:t>
                  </w:r>
                  <w:r>
                    <w:rPr>
                      <w:rFonts w:hint="eastAsia"/>
                      <w:color w:val="auto"/>
                      <w:sz w:val="21"/>
                      <w:szCs w:val="21"/>
                      <w:highlight w:val="none"/>
                      <w:lang w:val="en-US" w:eastAsia="zh-CN"/>
                    </w:rPr>
                    <w:t>；</w:t>
                  </w:r>
                  <w:r>
                    <w:rPr>
                      <w:color w:val="auto"/>
                      <w:sz w:val="21"/>
                      <w:szCs w:val="21"/>
                      <w:highlight w:val="none"/>
                    </w:rPr>
                    <w:t>制定应急预案等</w:t>
                  </w:r>
                </w:p>
              </w:tc>
            </w:tr>
          </w:tbl>
          <w:p w14:paraId="643353C3">
            <w:pPr>
              <w:adjustRightInd w:val="0"/>
              <w:snapToGrid w:val="0"/>
              <w:spacing w:before="120" w:beforeLines="50" w:line="360" w:lineRule="auto"/>
              <w:rPr>
                <w:b/>
                <w:color w:val="auto"/>
                <w:highlight w:val="none"/>
              </w:rPr>
            </w:pPr>
            <w:r>
              <w:rPr>
                <w:rFonts w:hint="eastAsia"/>
                <w:b/>
                <w:color w:val="auto"/>
                <w:highlight w:val="none"/>
                <w:lang w:val="en-US" w:eastAsia="zh-CN"/>
              </w:rPr>
              <w:t>八</w:t>
            </w:r>
            <w:r>
              <w:rPr>
                <w:rFonts w:hint="eastAsia"/>
                <w:b/>
                <w:color w:val="auto"/>
                <w:highlight w:val="none"/>
              </w:rPr>
              <w:t>、</w:t>
            </w:r>
            <w:r>
              <w:rPr>
                <w:b/>
                <w:color w:val="auto"/>
                <w:highlight w:val="none"/>
              </w:rPr>
              <w:t>电磁辐射</w:t>
            </w:r>
          </w:p>
          <w:p w14:paraId="006877C7">
            <w:pPr>
              <w:spacing w:line="360" w:lineRule="auto"/>
              <w:ind w:firstLine="480" w:firstLineChars="200"/>
              <w:rPr>
                <w:bCs/>
                <w:color w:val="auto"/>
                <w:highlight w:val="none"/>
              </w:rPr>
            </w:pPr>
            <w:r>
              <w:rPr>
                <w:bCs/>
                <w:color w:val="auto"/>
                <w:highlight w:val="none"/>
              </w:rPr>
              <w:t>建设项目不涉及电磁辐射源。</w:t>
            </w:r>
          </w:p>
          <w:p w14:paraId="7D12960D">
            <w:pPr>
              <w:spacing w:line="360" w:lineRule="auto"/>
              <w:rPr>
                <w:color w:val="auto"/>
                <w:highlight w:val="none"/>
              </w:rPr>
            </w:pPr>
            <w:r>
              <w:rPr>
                <w:rFonts w:hint="eastAsia"/>
                <w:b/>
                <w:color w:val="auto"/>
                <w:highlight w:val="none"/>
                <w:lang w:val="en-US" w:eastAsia="zh-CN"/>
              </w:rPr>
              <w:t>九</w:t>
            </w:r>
            <w:r>
              <w:rPr>
                <w:b/>
                <w:color w:val="auto"/>
                <w:highlight w:val="none"/>
              </w:rPr>
              <w:t>、</w:t>
            </w:r>
            <w:r>
              <w:rPr>
                <w:b/>
                <w:bCs/>
                <w:color w:val="auto"/>
                <w:highlight w:val="none"/>
              </w:rPr>
              <w:t>环境管理计划</w:t>
            </w:r>
          </w:p>
          <w:p w14:paraId="0CAE0CCF">
            <w:pPr>
              <w:spacing w:line="360" w:lineRule="auto"/>
              <w:ind w:firstLine="482" w:firstLineChars="200"/>
              <w:rPr>
                <w:b/>
                <w:bCs/>
                <w:color w:val="auto"/>
                <w:highlight w:val="none"/>
              </w:rPr>
            </w:pPr>
            <w:r>
              <w:rPr>
                <w:rFonts w:hint="eastAsia"/>
                <w:b/>
                <w:bCs/>
                <w:color w:val="auto"/>
                <w:highlight w:val="none"/>
              </w:rPr>
              <w:t>1、</w:t>
            </w:r>
            <w:r>
              <w:rPr>
                <w:b/>
                <w:bCs/>
                <w:color w:val="auto"/>
                <w:highlight w:val="none"/>
              </w:rPr>
              <w:t>环境管理</w:t>
            </w:r>
          </w:p>
          <w:p w14:paraId="06CDA649">
            <w:pPr>
              <w:spacing w:line="360" w:lineRule="auto"/>
              <w:ind w:firstLine="480" w:firstLineChars="200"/>
              <w:jc w:val="left"/>
              <w:rPr>
                <w:color w:val="auto"/>
                <w:highlight w:val="none"/>
              </w:rPr>
            </w:pPr>
            <w:r>
              <w:rPr>
                <w:color w:val="auto"/>
                <w:highlight w:val="none"/>
              </w:rPr>
              <w:t>企业工程投入运营后，应设置环境管理机构，为公司的生产管理和环境管理提供保证，确保建设项目经济、环境和社会效益协调发展；</w:t>
            </w:r>
            <w:r>
              <w:rPr>
                <w:color w:val="auto"/>
                <w:kern w:val="0"/>
                <w:highlight w:val="none"/>
              </w:rPr>
              <w:t>环境管理机构负责项目运行期的环境管理与环境监测工作，掌握公司各污染源治理措施工艺、设备、运行及维护等资料，检查公司各环保设备的运行情况，领导和组织公司内部的环境监测工作。制定应急防范措施，一旦发生非正常污染应及时组织做好污染监测工作，并分析原因总结经验教训，杜绝污染事故的再次发生；监督拟建工程环保设备的安装调试等工作，坚持</w:t>
            </w:r>
            <w:r>
              <w:rPr>
                <w:rFonts w:hint="eastAsia"/>
                <w:color w:val="auto"/>
                <w:kern w:val="0"/>
                <w:highlight w:val="none"/>
              </w:rPr>
              <w:t>“</w:t>
            </w:r>
            <w:r>
              <w:rPr>
                <w:color w:val="auto"/>
                <w:kern w:val="0"/>
                <w:highlight w:val="none"/>
              </w:rPr>
              <w:t>三同时</w:t>
            </w:r>
            <w:r>
              <w:rPr>
                <w:rFonts w:hint="eastAsia"/>
                <w:color w:val="auto"/>
                <w:kern w:val="0"/>
                <w:highlight w:val="none"/>
              </w:rPr>
              <w:t>”</w:t>
            </w:r>
            <w:r>
              <w:rPr>
                <w:color w:val="auto"/>
                <w:kern w:val="0"/>
                <w:highlight w:val="none"/>
              </w:rPr>
              <w:t>原则，保障环保设施的设计、施工、运行与主体工程同时进行。</w:t>
            </w:r>
            <w:r>
              <w:rPr>
                <w:color w:val="auto"/>
                <w:highlight w:val="none"/>
              </w:rPr>
              <w:t>编制主要生产设施和污染防治设施的环境管理台账等。</w:t>
            </w:r>
          </w:p>
          <w:p w14:paraId="46ED59D2">
            <w:pPr>
              <w:spacing w:line="360" w:lineRule="auto"/>
              <w:ind w:firstLine="482" w:firstLineChars="200"/>
              <w:rPr>
                <w:b/>
                <w:bCs/>
                <w:color w:val="auto"/>
                <w:highlight w:val="none"/>
              </w:rPr>
            </w:pPr>
            <w:r>
              <w:rPr>
                <w:b/>
                <w:bCs/>
                <w:color w:val="auto"/>
                <w:highlight w:val="none"/>
              </w:rPr>
              <w:t>2、排污口规范化要求</w:t>
            </w:r>
          </w:p>
          <w:p w14:paraId="7E1D8C2C">
            <w:pPr>
              <w:spacing w:line="360" w:lineRule="auto"/>
              <w:ind w:firstLine="480" w:firstLineChars="200"/>
              <w:rPr>
                <w:color w:val="auto"/>
                <w:highlight w:val="none"/>
              </w:rPr>
            </w:pPr>
            <w:r>
              <w:rPr>
                <w:color w:val="auto"/>
                <w:highlight w:val="none"/>
              </w:rPr>
              <w:t>（1）废水排放口</w:t>
            </w:r>
          </w:p>
          <w:p w14:paraId="56BF5A2B">
            <w:pPr>
              <w:spacing w:line="360" w:lineRule="auto"/>
              <w:ind w:firstLine="480" w:firstLineChars="200"/>
              <w:rPr>
                <w:color w:val="auto"/>
                <w:highlight w:val="none"/>
              </w:rPr>
            </w:pPr>
            <w:r>
              <w:rPr>
                <w:rFonts w:hint="eastAsia"/>
                <w:color w:val="auto"/>
                <w:highlight w:val="none"/>
                <w:lang w:val="en-US" w:eastAsia="zh-CN"/>
              </w:rPr>
              <w:t>本</w:t>
            </w:r>
            <w:r>
              <w:rPr>
                <w:color w:val="auto"/>
                <w:highlight w:val="none"/>
              </w:rPr>
              <w:t>项目总排口应设置明显的标志牌。</w:t>
            </w:r>
            <w:r>
              <w:rPr>
                <w:rFonts w:ascii="Times New Roman" w:hAnsi="Times New Roman"/>
                <w:color w:val="auto"/>
                <w:sz w:val="24"/>
                <w:highlight w:val="none"/>
              </w:rPr>
              <w:t>标志牌设置高度为标志牌上端离地面2m。排污单位必须负责日常的维护保养，任何单位和个人不得擅自拆除。</w:t>
            </w:r>
          </w:p>
          <w:p w14:paraId="351350C3">
            <w:pPr>
              <w:spacing w:line="360" w:lineRule="auto"/>
              <w:ind w:firstLine="480" w:firstLineChars="200"/>
              <w:rPr>
                <w:color w:val="auto"/>
                <w:highlight w:val="none"/>
              </w:rPr>
            </w:pPr>
            <w:r>
              <w:rPr>
                <w:color w:val="auto"/>
                <w:highlight w:val="none"/>
              </w:rPr>
              <w:t>（2）废气排放口</w:t>
            </w:r>
          </w:p>
          <w:p w14:paraId="79DF840F">
            <w:pPr>
              <w:spacing w:line="360" w:lineRule="auto"/>
              <w:ind w:firstLine="480" w:firstLineChars="200"/>
              <w:rPr>
                <w:color w:val="auto"/>
                <w:highlight w:val="none"/>
              </w:rPr>
            </w:pPr>
            <w:r>
              <w:rPr>
                <w:color w:val="auto"/>
                <w:highlight w:val="none"/>
              </w:rPr>
              <w:t>项目建成后，</w:t>
            </w:r>
            <w:r>
              <w:rPr>
                <w:rFonts w:hint="eastAsia"/>
                <w:color w:val="auto"/>
                <w:highlight w:val="none"/>
                <w:lang w:val="en-US" w:eastAsia="zh-CN"/>
              </w:rPr>
              <w:t>应</w:t>
            </w:r>
            <w:r>
              <w:rPr>
                <w:color w:val="auto"/>
                <w:highlight w:val="none"/>
              </w:rPr>
              <w:t>在</w:t>
            </w:r>
            <w:r>
              <w:rPr>
                <w:rFonts w:hint="eastAsia"/>
                <w:color w:val="auto"/>
                <w:highlight w:val="none"/>
                <w:lang w:val="en-US" w:eastAsia="zh-CN"/>
              </w:rPr>
              <w:t>现有项目</w:t>
            </w:r>
            <w:r>
              <w:rPr>
                <w:color w:val="auto"/>
                <w:highlight w:val="none"/>
              </w:rPr>
              <w:t>排气筒附近地面醒目处设置环保图形标志牌，标明排气筒高度﹑出口内径﹑排放污染物种类等。废气排放口必须符合规定的高度和按《污染源监测技术规范》便于采样﹑监测的要求，排气筒应设置永久采样孔，并安装采样监测平台，其采样口由授权的环境监察支队和环境监测中心站共同确认。</w:t>
            </w:r>
          </w:p>
          <w:p w14:paraId="56449659">
            <w:pPr>
              <w:spacing w:line="360" w:lineRule="auto"/>
              <w:ind w:firstLine="480" w:firstLineChars="200"/>
              <w:rPr>
                <w:color w:val="auto"/>
                <w:highlight w:val="none"/>
              </w:rPr>
            </w:pPr>
            <w:r>
              <w:rPr>
                <w:color w:val="auto"/>
                <w:highlight w:val="none"/>
              </w:rPr>
              <w:t>（3）固定噪声排放源</w:t>
            </w:r>
          </w:p>
          <w:p w14:paraId="30D72BFD">
            <w:pPr>
              <w:spacing w:line="360" w:lineRule="auto"/>
              <w:ind w:firstLine="480" w:firstLineChars="200"/>
              <w:rPr>
                <w:color w:val="auto"/>
                <w:highlight w:val="none"/>
              </w:rPr>
            </w:pPr>
            <w:r>
              <w:rPr>
                <w:color w:val="auto"/>
                <w:highlight w:val="none"/>
              </w:rPr>
              <w:t>按规定对固定噪声进行治理，并在边界噪声敏感点且对外界影响最大处设置标志牌。</w:t>
            </w:r>
          </w:p>
          <w:p w14:paraId="4FA3BE2B">
            <w:pPr>
              <w:spacing w:line="360" w:lineRule="auto"/>
              <w:ind w:firstLine="480" w:firstLineChars="200"/>
              <w:rPr>
                <w:color w:val="auto"/>
                <w:highlight w:val="none"/>
              </w:rPr>
            </w:pPr>
            <w:r>
              <w:rPr>
                <w:color w:val="auto"/>
                <w:highlight w:val="none"/>
              </w:rPr>
              <w:t>（4）</w:t>
            </w:r>
            <w:r>
              <w:rPr>
                <w:rFonts w:hint="eastAsia"/>
                <w:color w:val="auto"/>
                <w:highlight w:val="none"/>
                <w:lang w:eastAsia="zh-CN"/>
              </w:rPr>
              <w:t>固体废物</w:t>
            </w:r>
            <w:r>
              <w:rPr>
                <w:color w:val="auto"/>
                <w:highlight w:val="none"/>
              </w:rPr>
              <w:t>贮存场</w:t>
            </w:r>
          </w:p>
          <w:p w14:paraId="4B6885D1">
            <w:pPr>
              <w:spacing w:line="360" w:lineRule="auto"/>
              <w:ind w:firstLine="480" w:firstLineChars="200"/>
              <w:rPr>
                <w:color w:val="auto"/>
                <w:highlight w:val="none"/>
              </w:rPr>
            </w:pPr>
            <w:r>
              <w:rPr>
                <w:color w:val="auto"/>
                <w:highlight w:val="none"/>
              </w:rPr>
              <w:t>对各种固体废物应分别收集﹑贮存和运输，设置专用危险废物暂存场所，</w:t>
            </w:r>
            <w:r>
              <w:rPr>
                <w:rFonts w:hint="eastAsia"/>
                <w:color w:val="auto"/>
                <w:highlight w:val="none"/>
              </w:rPr>
              <w:t>贮存点应采取防风、防雨、防晒和防止危险废物流失、扬散</w:t>
            </w:r>
            <w:r>
              <w:rPr>
                <w:rFonts w:hint="eastAsia"/>
                <w:color w:val="auto"/>
                <w:highlight w:val="none"/>
                <w:lang w:eastAsia="zh-CN"/>
              </w:rPr>
              <w:t>、</w:t>
            </w:r>
            <w:r>
              <w:rPr>
                <w:color w:val="auto"/>
                <w:highlight w:val="none"/>
              </w:rPr>
              <w:t>防渗漏</w:t>
            </w:r>
            <w:r>
              <w:rPr>
                <w:rFonts w:hint="eastAsia"/>
                <w:color w:val="auto"/>
                <w:highlight w:val="none"/>
              </w:rPr>
              <w:t>等措施</w:t>
            </w:r>
            <w:r>
              <w:rPr>
                <w:rFonts w:hint="eastAsia"/>
                <w:color w:val="auto"/>
                <w:highlight w:val="none"/>
                <w:lang w:eastAsia="zh-CN"/>
              </w:rPr>
              <w:t>，</w:t>
            </w:r>
            <w:r>
              <w:rPr>
                <w:color w:val="auto"/>
                <w:highlight w:val="none"/>
              </w:rPr>
              <w:t>并设置标志牌。</w:t>
            </w:r>
          </w:p>
          <w:p w14:paraId="6D226895">
            <w:pPr>
              <w:spacing w:line="360" w:lineRule="auto"/>
              <w:ind w:firstLine="480" w:firstLineChars="200"/>
              <w:rPr>
                <w:color w:val="auto"/>
                <w:highlight w:val="none"/>
              </w:rPr>
            </w:pPr>
            <w:r>
              <w:rPr>
                <w:color w:val="auto"/>
                <w:highlight w:val="none"/>
              </w:rPr>
              <w:t>（5）设置标志牌要求</w:t>
            </w:r>
          </w:p>
          <w:p w14:paraId="62ADF41C">
            <w:pPr>
              <w:spacing w:line="360" w:lineRule="auto"/>
              <w:ind w:firstLine="482"/>
              <w:rPr>
                <w:color w:val="auto"/>
                <w:highlight w:val="none"/>
              </w:rPr>
            </w:pPr>
            <w:r>
              <w:rPr>
                <w:color w:val="auto"/>
                <w:highlight w:val="none"/>
                <w:lang w:bidi="ar"/>
              </w:rPr>
              <w:t>项目废气、废水排放口及固废暂存处需按照国家相关规定进行建设，并设置相关</w:t>
            </w:r>
            <w:r>
              <w:rPr>
                <w:rFonts w:hint="eastAsia"/>
                <w:color w:val="auto"/>
                <w:highlight w:val="none"/>
                <w:lang w:val="en-US" w:eastAsia="zh-CN" w:bidi="ar"/>
              </w:rPr>
              <w:t>标识</w:t>
            </w:r>
            <w:r>
              <w:rPr>
                <w:color w:val="auto"/>
                <w:highlight w:val="none"/>
                <w:lang w:bidi="ar"/>
              </w:rPr>
              <w:t>标牌，排污口图形符号见下表。</w:t>
            </w:r>
          </w:p>
          <w:p w14:paraId="60F56CA7">
            <w:pPr>
              <w:spacing w:line="360" w:lineRule="auto"/>
              <w:ind w:firstLine="480" w:firstLineChars="200"/>
              <w:rPr>
                <w:color w:val="auto"/>
                <w:highlight w:val="none"/>
              </w:rPr>
            </w:pPr>
            <w:r>
              <w:rPr>
                <w:color w:val="auto"/>
                <w:highlight w:val="none"/>
              </w:rPr>
              <w:t>排污口图形符号见下表。</w:t>
            </w:r>
          </w:p>
          <w:p w14:paraId="3BC5B2B5">
            <w:pPr>
              <w:spacing w:beforeLines="0" w:line="240" w:lineRule="auto"/>
              <w:jc w:val="center"/>
              <w:rPr>
                <w:rFonts w:eastAsia="宋体" w:cs="Times New Roman"/>
                <w:color w:val="auto"/>
                <w:szCs w:val="24"/>
                <w:highlight w:val="none"/>
              </w:rPr>
            </w:pPr>
            <w:r>
              <w:rPr>
                <w:rFonts w:eastAsia="宋体" w:cs="Times New Roman"/>
                <w:b/>
                <w:bCs/>
                <w:color w:val="auto"/>
                <w:szCs w:val="24"/>
                <w:highlight w:val="none"/>
              </w:rPr>
              <w:t>表</w:t>
            </w:r>
            <w:r>
              <w:rPr>
                <w:rFonts w:hint="eastAsia" w:eastAsia="宋体" w:cs="Times New Roman"/>
                <w:b/>
                <w:bCs/>
                <w:color w:val="auto"/>
                <w:szCs w:val="24"/>
                <w:highlight w:val="none"/>
              </w:rPr>
              <w:t>4</w:t>
            </w:r>
            <w:r>
              <w:rPr>
                <w:rFonts w:hint="eastAsia" w:cs="Times New Roman"/>
                <w:b/>
                <w:bCs/>
                <w:color w:val="auto"/>
                <w:szCs w:val="24"/>
                <w:highlight w:val="none"/>
                <w:lang w:val="en-US" w:eastAsia="zh-CN"/>
              </w:rPr>
              <w:t>-23</w:t>
            </w:r>
            <w:r>
              <w:rPr>
                <w:rFonts w:eastAsia="宋体" w:cs="Times New Roman"/>
                <w:b/>
                <w:bCs/>
                <w:color w:val="auto"/>
                <w:szCs w:val="24"/>
                <w:highlight w:val="none"/>
              </w:rPr>
              <w:t xml:space="preserve">  厂区排污口图形符号（提示标志）一览表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521"/>
              <w:gridCol w:w="1660"/>
              <w:gridCol w:w="1552"/>
              <w:gridCol w:w="2670"/>
            </w:tblGrid>
            <w:tr w14:paraId="20AA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55" w:type="pct"/>
                  <w:vAlign w:val="center"/>
                </w:tcPr>
                <w:p w14:paraId="48DE2DBD">
                  <w:pPr>
                    <w:jc w:val="center"/>
                    <w:rPr>
                      <w:b/>
                      <w:color w:val="auto"/>
                      <w:sz w:val="21"/>
                      <w:szCs w:val="21"/>
                      <w:highlight w:val="none"/>
                    </w:rPr>
                  </w:pPr>
                  <w:r>
                    <w:rPr>
                      <w:b/>
                      <w:color w:val="auto"/>
                      <w:sz w:val="21"/>
                      <w:szCs w:val="21"/>
                      <w:highlight w:val="none"/>
                    </w:rPr>
                    <w:t>序号</w:t>
                  </w:r>
                </w:p>
              </w:tc>
              <w:tc>
                <w:tcPr>
                  <w:tcW w:w="933" w:type="pct"/>
                  <w:vAlign w:val="center"/>
                </w:tcPr>
                <w:p w14:paraId="185CEEB9">
                  <w:pPr>
                    <w:jc w:val="center"/>
                    <w:rPr>
                      <w:b/>
                      <w:color w:val="auto"/>
                      <w:sz w:val="21"/>
                      <w:szCs w:val="21"/>
                      <w:highlight w:val="none"/>
                    </w:rPr>
                  </w:pPr>
                  <w:r>
                    <w:rPr>
                      <w:b/>
                      <w:color w:val="auto"/>
                      <w:sz w:val="21"/>
                      <w:szCs w:val="21"/>
                      <w:highlight w:val="none"/>
                    </w:rPr>
                    <w:t>提示图形符号</w:t>
                  </w:r>
                </w:p>
              </w:tc>
              <w:tc>
                <w:tcPr>
                  <w:tcW w:w="1019" w:type="pct"/>
                  <w:vAlign w:val="center"/>
                </w:tcPr>
                <w:p w14:paraId="739516CC">
                  <w:pPr>
                    <w:jc w:val="center"/>
                    <w:rPr>
                      <w:b/>
                      <w:color w:val="auto"/>
                      <w:sz w:val="21"/>
                      <w:szCs w:val="21"/>
                      <w:highlight w:val="none"/>
                    </w:rPr>
                  </w:pPr>
                  <w:r>
                    <w:rPr>
                      <w:b/>
                      <w:color w:val="auto"/>
                      <w:sz w:val="21"/>
                      <w:szCs w:val="21"/>
                      <w:highlight w:val="none"/>
                    </w:rPr>
                    <w:t>警告图形符号</w:t>
                  </w:r>
                </w:p>
              </w:tc>
              <w:tc>
                <w:tcPr>
                  <w:tcW w:w="953" w:type="pct"/>
                  <w:vAlign w:val="center"/>
                </w:tcPr>
                <w:p w14:paraId="16C7E964">
                  <w:pPr>
                    <w:jc w:val="center"/>
                    <w:rPr>
                      <w:b/>
                      <w:color w:val="auto"/>
                      <w:sz w:val="21"/>
                      <w:szCs w:val="21"/>
                      <w:highlight w:val="none"/>
                    </w:rPr>
                  </w:pPr>
                  <w:r>
                    <w:rPr>
                      <w:b/>
                      <w:color w:val="auto"/>
                      <w:sz w:val="21"/>
                      <w:szCs w:val="21"/>
                      <w:highlight w:val="none"/>
                    </w:rPr>
                    <w:t>名称</w:t>
                  </w:r>
                </w:p>
              </w:tc>
              <w:tc>
                <w:tcPr>
                  <w:tcW w:w="1638" w:type="pct"/>
                  <w:vAlign w:val="center"/>
                </w:tcPr>
                <w:p w14:paraId="6945662D">
                  <w:pPr>
                    <w:jc w:val="center"/>
                    <w:rPr>
                      <w:b/>
                      <w:color w:val="auto"/>
                      <w:sz w:val="21"/>
                      <w:szCs w:val="21"/>
                      <w:highlight w:val="none"/>
                    </w:rPr>
                  </w:pPr>
                  <w:r>
                    <w:rPr>
                      <w:b/>
                      <w:color w:val="auto"/>
                      <w:sz w:val="21"/>
                      <w:szCs w:val="21"/>
                      <w:highlight w:val="none"/>
                    </w:rPr>
                    <w:t>功能</w:t>
                  </w:r>
                </w:p>
              </w:tc>
            </w:tr>
            <w:tr w14:paraId="01BC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Align w:val="center"/>
                </w:tcPr>
                <w:p w14:paraId="3A2DB509">
                  <w:pPr>
                    <w:jc w:val="center"/>
                    <w:rPr>
                      <w:color w:val="auto"/>
                      <w:sz w:val="21"/>
                      <w:szCs w:val="21"/>
                      <w:highlight w:val="none"/>
                    </w:rPr>
                  </w:pPr>
                  <w:r>
                    <w:rPr>
                      <w:color w:val="auto"/>
                      <w:sz w:val="21"/>
                      <w:szCs w:val="21"/>
                      <w:highlight w:val="none"/>
                    </w:rPr>
                    <w:t>1</w:t>
                  </w:r>
                </w:p>
              </w:tc>
              <w:tc>
                <w:tcPr>
                  <w:tcW w:w="933" w:type="pct"/>
                  <w:vAlign w:val="center"/>
                </w:tcPr>
                <w:p w14:paraId="48C5985D">
                  <w:pPr>
                    <w:jc w:val="center"/>
                    <w:rPr>
                      <w:color w:val="auto"/>
                      <w:sz w:val="21"/>
                      <w:szCs w:val="21"/>
                      <w:highlight w:val="none"/>
                    </w:rPr>
                  </w:pPr>
                  <w:r>
                    <w:rPr>
                      <w:color w:val="auto"/>
                      <w:highlight w:val="none"/>
                    </w:rPr>
                    <w:drawing>
                      <wp:inline distT="0" distB="0" distL="114300" distR="114300">
                        <wp:extent cx="575945" cy="578485"/>
                        <wp:effectExtent l="0" t="0" r="14605" b="12065"/>
                        <wp:docPr id="1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3"/>
                                <pic:cNvPicPr>
                                  <a:picLocks noChangeAspect="1"/>
                                </pic:cNvPicPr>
                              </pic:nvPicPr>
                              <pic:blipFill>
                                <a:blip r:embed="rId52"/>
                                <a:stretch>
                                  <a:fillRect/>
                                </a:stretch>
                              </pic:blipFill>
                              <pic:spPr>
                                <a:xfrm>
                                  <a:off x="0" y="0"/>
                                  <a:ext cx="575945" cy="578485"/>
                                </a:xfrm>
                                <a:prstGeom prst="rect">
                                  <a:avLst/>
                                </a:prstGeom>
                                <a:noFill/>
                                <a:ln>
                                  <a:noFill/>
                                </a:ln>
                              </pic:spPr>
                            </pic:pic>
                          </a:graphicData>
                        </a:graphic>
                      </wp:inline>
                    </w:drawing>
                  </w:r>
                </w:p>
              </w:tc>
              <w:tc>
                <w:tcPr>
                  <w:tcW w:w="1019" w:type="pct"/>
                  <w:vAlign w:val="center"/>
                </w:tcPr>
                <w:p w14:paraId="75A1FC02">
                  <w:pPr>
                    <w:jc w:val="center"/>
                    <w:rPr>
                      <w:color w:val="auto"/>
                      <w:sz w:val="21"/>
                      <w:szCs w:val="21"/>
                      <w:highlight w:val="none"/>
                    </w:rPr>
                  </w:pPr>
                  <w:r>
                    <w:rPr>
                      <w:color w:val="auto"/>
                      <w:highlight w:val="none"/>
                    </w:rPr>
                    <w:drawing>
                      <wp:inline distT="0" distB="0" distL="114300" distR="114300">
                        <wp:extent cx="616585" cy="552450"/>
                        <wp:effectExtent l="0" t="0" r="12065" b="0"/>
                        <wp:docPr id="2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pic:cNvPicPr>
                                  <a:picLocks noChangeAspect="1"/>
                                </pic:cNvPicPr>
                              </pic:nvPicPr>
                              <pic:blipFill>
                                <a:blip r:embed="rId53"/>
                                <a:stretch>
                                  <a:fillRect/>
                                </a:stretch>
                              </pic:blipFill>
                              <pic:spPr>
                                <a:xfrm>
                                  <a:off x="0" y="0"/>
                                  <a:ext cx="616585" cy="552450"/>
                                </a:xfrm>
                                <a:prstGeom prst="rect">
                                  <a:avLst/>
                                </a:prstGeom>
                                <a:noFill/>
                                <a:ln>
                                  <a:noFill/>
                                </a:ln>
                              </pic:spPr>
                            </pic:pic>
                          </a:graphicData>
                        </a:graphic>
                      </wp:inline>
                    </w:drawing>
                  </w:r>
                </w:p>
              </w:tc>
              <w:tc>
                <w:tcPr>
                  <w:tcW w:w="953" w:type="pct"/>
                  <w:vAlign w:val="center"/>
                </w:tcPr>
                <w:p w14:paraId="3E838F56">
                  <w:pPr>
                    <w:jc w:val="center"/>
                    <w:rPr>
                      <w:color w:val="auto"/>
                      <w:sz w:val="21"/>
                      <w:szCs w:val="21"/>
                      <w:highlight w:val="none"/>
                    </w:rPr>
                  </w:pPr>
                  <w:r>
                    <w:rPr>
                      <w:color w:val="auto"/>
                      <w:sz w:val="21"/>
                      <w:szCs w:val="21"/>
                      <w:highlight w:val="none"/>
                    </w:rPr>
                    <w:t>废水排放口</w:t>
                  </w:r>
                </w:p>
              </w:tc>
              <w:tc>
                <w:tcPr>
                  <w:tcW w:w="1638" w:type="pct"/>
                  <w:vAlign w:val="center"/>
                </w:tcPr>
                <w:p w14:paraId="56A78E30">
                  <w:pPr>
                    <w:jc w:val="center"/>
                    <w:rPr>
                      <w:color w:val="auto"/>
                      <w:sz w:val="21"/>
                      <w:szCs w:val="21"/>
                      <w:highlight w:val="none"/>
                    </w:rPr>
                  </w:pPr>
                  <w:r>
                    <w:rPr>
                      <w:color w:val="auto"/>
                      <w:sz w:val="21"/>
                      <w:szCs w:val="21"/>
                      <w:highlight w:val="none"/>
                    </w:rPr>
                    <w:t>废水向水体排放</w:t>
                  </w:r>
                </w:p>
              </w:tc>
            </w:tr>
            <w:tr w14:paraId="320F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Align w:val="center"/>
                </w:tcPr>
                <w:p w14:paraId="0F7DCFC8">
                  <w:pPr>
                    <w:jc w:val="center"/>
                    <w:rPr>
                      <w:color w:val="auto"/>
                      <w:sz w:val="21"/>
                      <w:szCs w:val="21"/>
                      <w:highlight w:val="none"/>
                    </w:rPr>
                  </w:pPr>
                  <w:r>
                    <w:rPr>
                      <w:color w:val="auto"/>
                      <w:sz w:val="21"/>
                      <w:szCs w:val="21"/>
                      <w:highlight w:val="none"/>
                    </w:rPr>
                    <w:t>2</w:t>
                  </w:r>
                </w:p>
              </w:tc>
              <w:tc>
                <w:tcPr>
                  <w:tcW w:w="933" w:type="pct"/>
                  <w:vAlign w:val="center"/>
                </w:tcPr>
                <w:p w14:paraId="46FB29AB">
                  <w:pPr>
                    <w:jc w:val="center"/>
                    <w:rPr>
                      <w:color w:val="auto"/>
                      <w:sz w:val="21"/>
                      <w:szCs w:val="21"/>
                      <w:highlight w:val="none"/>
                    </w:rPr>
                  </w:pPr>
                  <w:r>
                    <w:rPr>
                      <w:color w:val="auto"/>
                      <w:highlight w:val="none"/>
                    </w:rPr>
                    <w:drawing>
                      <wp:inline distT="0" distB="0" distL="114300" distR="114300">
                        <wp:extent cx="571500" cy="569595"/>
                        <wp:effectExtent l="0" t="0" r="0" b="1905"/>
                        <wp:docPr id="2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5"/>
                                <pic:cNvPicPr>
                                  <a:picLocks noChangeAspect="1"/>
                                </pic:cNvPicPr>
                              </pic:nvPicPr>
                              <pic:blipFill>
                                <a:blip r:embed="rId54"/>
                                <a:stretch>
                                  <a:fillRect/>
                                </a:stretch>
                              </pic:blipFill>
                              <pic:spPr>
                                <a:xfrm>
                                  <a:off x="0" y="0"/>
                                  <a:ext cx="571500" cy="569595"/>
                                </a:xfrm>
                                <a:prstGeom prst="rect">
                                  <a:avLst/>
                                </a:prstGeom>
                                <a:noFill/>
                                <a:ln>
                                  <a:noFill/>
                                </a:ln>
                              </pic:spPr>
                            </pic:pic>
                          </a:graphicData>
                        </a:graphic>
                      </wp:inline>
                    </w:drawing>
                  </w:r>
                </w:p>
              </w:tc>
              <w:tc>
                <w:tcPr>
                  <w:tcW w:w="1019" w:type="pct"/>
                  <w:vAlign w:val="center"/>
                </w:tcPr>
                <w:p w14:paraId="6566C5F1">
                  <w:pPr>
                    <w:jc w:val="center"/>
                    <w:rPr>
                      <w:color w:val="auto"/>
                      <w:sz w:val="21"/>
                      <w:szCs w:val="21"/>
                      <w:highlight w:val="none"/>
                    </w:rPr>
                  </w:pPr>
                  <w:r>
                    <w:rPr>
                      <w:color w:val="auto"/>
                      <w:highlight w:val="none"/>
                    </w:rPr>
                    <w:drawing>
                      <wp:inline distT="0" distB="0" distL="114300" distR="114300">
                        <wp:extent cx="621030" cy="543560"/>
                        <wp:effectExtent l="0" t="0" r="7620" b="8890"/>
                        <wp:docPr id="2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6"/>
                                <pic:cNvPicPr>
                                  <a:picLocks noChangeAspect="1"/>
                                </pic:cNvPicPr>
                              </pic:nvPicPr>
                              <pic:blipFill>
                                <a:blip r:embed="rId55"/>
                                <a:stretch>
                                  <a:fillRect/>
                                </a:stretch>
                              </pic:blipFill>
                              <pic:spPr>
                                <a:xfrm>
                                  <a:off x="0" y="0"/>
                                  <a:ext cx="621030" cy="543560"/>
                                </a:xfrm>
                                <a:prstGeom prst="rect">
                                  <a:avLst/>
                                </a:prstGeom>
                                <a:noFill/>
                                <a:ln>
                                  <a:noFill/>
                                </a:ln>
                              </pic:spPr>
                            </pic:pic>
                          </a:graphicData>
                        </a:graphic>
                      </wp:inline>
                    </w:drawing>
                  </w:r>
                </w:p>
              </w:tc>
              <w:tc>
                <w:tcPr>
                  <w:tcW w:w="953" w:type="pct"/>
                  <w:vAlign w:val="center"/>
                </w:tcPr>
                <w:p w14:paraId="04EF3C5F">
                  <w:pPr>
                    <w:jc w:val="center"/>
                    <w:rPr>
                      <w:color w:val="auto"/>
                      <w:sz w:val="21"/>
                      <w:szCs w:val="21"/>
                      <w:highlight w:val="none"/>
                    </w:rPr>
                  </w:pPr>
                  <w:r>
                    <w:rPr>
                      <w:color w:val="auto"/>
                      <w:sz w:val="21"/>
                      <w:szCs w:val="21"/>
                      <w:highlight w:val="none"/>
                    </w:rPr>
                    <w:t>废气排放口</w:t>
                  </w:r>
                </w:p>
              </w:tc>
              <w:tc>
                <w:tcPr>
                  <w:tcW w:w="1638" w:type="pct"/>
                  <w:vAlign w:val="center"/>
                </w:tcPr>
                <w:p w14:paraId="1839BE52">
                  <w:pPr>
                    <w:jc w:val="center"/>
                    <w:rPr>
                      <w:color w:val="auto"/>
                      <w:sz w:val="21"/>
                      <w:szCs w:val="21"/>
                      <w:highlight w:val="none"/>
                    </w:rPr>
                  </w:pPr>
                  <w:r>
                    <w:rPr>
                      <w:color w:val="auto"/>
                      <w:sz w:val="21"/>
                      <w:szCs w:val="21"/>
                      <w:highlight w:val="none"/>
                    </w:rPr>
                    <w:t>废气向大气环境排放</w:t>
                  </w:r>
                </w:p>
              </w:tc>
            </w:tr>
            <w:tr w14:paraId="4D5E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Align w:val="center"/>
                </w:tcPr>
                <w:p w14:paraId="32463520">
                  <w:pPr>
                    <w:jc w:val="center"/>
                    <w:rPr>
                      <w:color w:val="auto"/>
                      <w:sz w:val="21"/>
                      <w:szCs w:val="21"/>
                      <w:highlight w:val="none"/>
                    </w:rPr>
                  </w:pPr>
                  <w:r>
                    <w:rPr>
                      <w:color w:val="auto"/>
                      <w:sz w:val="21"/>
                      <w:szCs w:val="21"/>
                      <w:highlight w:val="none"/>
                    </w:rPr>
                    <w:t>3</w:t>
                  </w:r>
                </w:p>
              </w:tc>
              <w:tc>
                <w:tcPr>
                  <w:tcW w:w="933" w:type="pct"/>
                  <w:vAlign w:val="center"/>
                </w:tcPr>
                <w:p w14:paraId="33F3E7A2">
                  <w:pPr>
                    <w:jc w:val="center"/>
                    <w:rPr>
                      <w:color w:val="auto"/>
                      <w:sz w:val="21"/>
                      <w:szCs w:val="21"/>
                      <w:highlight w:val="none"/>
                    </w:rPr>
                  </w:pPr>
                  <w:r>
                    <w:rPr>
                      <w:color w:val="auto"/>
                      <w:highlight w:val="none"/>
                    </w:rPr>
                    <w:drawing>
                      <wp:inline distT="0" distB="0" distL="114300" distR="114300">
                        <wp:extent cx="573405" cy="551815"/>
                        <wp:effectExtent l="0" t="0" r="17145" b="635"/>
                        <wp:docPr id="2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7"/>
                                <pic:cNvPicPr>
                                  <a:picLocks noChangeAspect="1"/>
                                </pic:cNvPicPr>
                              </pic:nvPicPr>
                              <pic:blipFill>
                                <a:blip r:embed="rId56"/>
                                <a:stretch>
                                  <a:fillRect/>
                                </a:stretch>
                              </pic:blipFill>
                              <pic:spPr>
                                <a:xfrm>
                                  <a:off x="0" y="0"/>
                                  <a:ext cx="573405" cy="551815"/>
                                </a:xfrm>
                                <a:prstGeom prst="rect">
                                  <a:avLst/>
                                </a:prstGeom>
                                <a:noFill/>
                                <a:ln>
                                  <a:noFill/>
                                </a:ln>
                              </pic:spPr>
                            </pic:pic>
                          </a:graphicData>
                        </a:graphic>
                      </wp:inline>
                    </w:drawing>
                  </w:r>
                </w:p>
              </w:tc>
              <w:tc>
                <w:tcPr>
                  <w:tcW w:w="1019" w:type="pct"/>
                  <w:vAlign w:val="center"/>
                </w:tcPr>
                <w:p w14:paraId="519437F3">
                  <w:pPr>
                    <w:jc w:val="center"/>
                    <w:rPr>
                      <w:color w:val="auto"/>
                      <w:sz w:val="21"/>
                      <w:szCs w:val="21"/>
                      <w:highlight w:val="none"/>
                    </w:rPr>
                  </w:pPr>
                  <w:r>
                    <w:rPr>
                      <w:color w:val="auto"/>
                      <w:highlight w:val="none"/>
                    </w:rPr>
                    <w:drawing>
                      <wp:inline distT="0" distB="0" distL="114300" distR="114300">
                        <wp:extent cx="640715" cy="555625"/>
                        <wp:effectExtent l="0" t="0" r="6985" b="15875"/>
                        <wp:docPr id="2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8"/>
                                <pic:cNvPicPr>
                                  <a:picLocks noChangeAspect="1"/>
                                </pic:cNvPicPr>
                              </pic:nvPicPr>
                              <pic:blipFill>
                                <a:blip r:embed="rId57"/>
                                <a:stretch>
                                  <a:fillRect/>
                                </a:stretch>
                              </pic:blipFill>
                              <pic:spPr>
                                <a:xfrm>
                                  <a:off x="0" y="0"/>
                                  <a:ext cx="640715" cy="555625"/>
                                </a:xfrm>
                                <a:prstGeom prst="rect">
                                  <a:avLst/>
                                </a:prstGeom>
                                <a:noFill/>
                                <a:ln>
                                  <a:noFill/>
                                </a:ln>
                              </pic:spPr>
                            </pic:pic>
                          </a:graphicData>
                        </a:graphic>
                      </wp:inline>
                    </w:drawing>
                  </w:r>
                </w:p>
              </w:tc>
              <w:tc>
                <w:tcPr>
                  <w:tcW w:w="953" w:type="pct"/>
                  <w:vAlign w:val="center"/>
                </w:tcPr>
                <w:p w14:paraId="45391DF2">
                  <w:pPr>
                    <w:jc w:val="center"/>
                    <w:rPr>
                      <w:color w:val="auto"/>
                      <w:sz w:val="21"/>
                      <w:szCs w:val="21"/>
                      <w:highlight w:val="none"/>
                    </w:rPr>
                  </w:pPr>
                  <w:r>
                    <w:rPr>
                      <w:color w:val="auto"/>
                      <w:sz w:val="21"/>
                      <w:szCs w:val="21"/>
                      <w:highlight w:val="none"/>
                    </w:rPr>
                    <w:t>一般固体废物</w:t>
                  </w:r>
                </w:p>
              </w:tc>
              <w:tc>
                <w:tcPr>
                  <w:tcW w:w="1638" w:type="pct"/>
                  <w:vAlign w:val="center"/>
                </w:tcPr>
                <w:p w14:paraId="78CE287B">
                  <w:pPr>
                    <w:jc w:val="center"/>
                    <w:rPr>
                      <w:color w:val="auto"/>
                      <w:sz w:val="21"/>
                      <w:szCs w:val="21"/>
                      <w:highlight w:val="none"/>
                    </w:rPr>
                  </w:pPr>
                  <w:r>
                    <w:rPr>
                      <w:color w:val="auto"/>
                      <w:sz w:val="21"/>
                      <w:szCs w:val="21"/>
                      <w:highlight w:val="none"/>
                    </w:rPr>
                    <w:t>一般固体废物贮存、</w:t>
                  </w:r>
                  <w:r>
                    <w:rPr>
                      <w:rFonts w:hint="eastAsia"/>
                      <w:color w:val="auto"/>
                      <w:sz w:val="21"/>
                      <w:szCs w:val="21"/>
                      <w:highlight w:val="none"/>
                    </w:rPr>
                    <w:t>处置场</w:t>
                  </w:r>
                </w:p>
              </w:tc>
            </w:tr>
            <w:tr w14:paraId="7900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Align w:val="center"/>
                </w:tcPr>
                <w:p w14:paraId="71AE7271">
                  <w:pPr>
                    <w:jc w:val="center"/>
                    <w:rPr>
                      <w:color w:val="auto"/>
                      <w:sz w:val="21"/>
                      <w:szCs w:val="21"/>
                      <w:highlight w:val="none"/>
                    </w:rPr>
                  </w:pPr>
                  <w:r>
                    <w:rPr>
                      <w:color w:val="auto"/>
                      <w:sz w:val="21"/>
                      <w:szCs w:val="21"/>
                      <w:highlight w:val="none"/>
                    </w:rPr>
                    <w:t>4</w:t>
                  </w:r>
                </w:p>
              </w:tc>
              <w:tc>
                <w:tcPr>
                  <w:tcW w:w="933" w:type="pct"/>
                  <w:vAlign w:val="center"/>
                </w:tcPr>
                <w:p w14:paraId="6DE465A2">
                  <w:pPr>
                    <w:jc w:val="center"/>
                    <w:rPr>
                      <w:color w:val="auto"/>
                      <w:sz w:val="21"/>
                      <w:szCs w:val="21"/>
                      <w:highlight w:val="none"/>
                    </w:rPr>
                  </w:pPr>
                  <w:r>
                    <w:rPr>
                      <w:color w:val="auto"/>
                      <w:highlight w:val="none"/>
                    </w:rPr>
                    <w:drawing>
                      <wp:inline distT="0" distB="0" distL="114300" distR="114300">
                        <wp:extent cx="565150" cy="567690"/>
                        <wp:effectExtent l="0" t="0" r="6350" b="3810"/>
                        <wp:docPr id="2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9"/>
                                <pic:cNvPicPr>
                                  <a:picLocks noChangeAspect="1"/>
                                </pic:cNvPicPr>
                              </pic:nvPicPr>
                              <pic:blipFill>
                                <a:blip r:embed="rId58"/>
                                <a:stretch>
                                  <a:fillRect/>
                                </a:stretch>
                              </pic:blipFill>
                              <pic:spPr>
                                <a:xfrm>
                                  <a:off x="0" y="0"/>
                                  <a:ext cx="565150" cy="567690"/>
                                </a:xfrm>
                                <a:prstGeom prst="rect">
                                  <a:avLst/>
                                </a:prstGeom>
                                <a:noFill/>
                                <a:ln>
                                  <a:noFill/>
                                </a:ln>
                              </pic:spPr>
                            </pic:pic>
                          </a:graphicData>
                        </a:graphic>
                      </wp:inline>
                    </w:drawing>
                  </w:r>
                </w:p>
              </w:tc>
              <w:tc>
                <w:tcPr>
                  <w:tcW w:w="1019" w:type="pct"/>
                  <w:vAlign w:val="center"/>
                </w:tcPr>
                <w:p w14:paraId="28B893B5">
                  <w:pPr>
                    <w:jc w:val="center"/>
                    <w:rPr>
                      <w:color w:val="auto"/>
                      <w:sz w:val="21"/>
                      <w:szCs w:val="21"/>
                      <w:highlight w:val="none"/>
                    </w:rPr>
                  </w:pPr>
                  <w:r>
                    <w:rPr>
                      <w:color w:val="auto"/>
                      <w:highlight w:val="none"/>
                    </w:rPr>
                    <w:drawing>
                      <wp:inline distT="0" distB="0" distL="114300" distR="114300">
                        <wp:extent cx="650240" cy="565785"/>
                        <wp:effectExtent l="0" t="0" r="16510" b="5715"/>
                        <wp:docPr id="2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0"/>
                                <pic:cNvPicPr>
                                  <a:picLocks noChangeAspect="1"/>
                                </pic:cNvPicPr>
                              </pic:nvPicPr>
                              <pic:blipFill>
                                <a:blip r:embed="rId59"/>
                                <a:stretch>
                                  <a:fillRect/>
                                </a:stretch>
                              </pic:blipFill>
                              <pic:spPr>
                                <a:xfrm>
                                  <a:off x="0" y="0"/>
                                  <a:ext cx="650240" cy="565785"/>
                                </a:xfrm>
                                <a:prstGeom prst="rect">
                                  <a:avLst/>
                                </a:prstGeom>
                                <a:noFill/>
                                <a:ln>
                                  <a:noFill/>
                                </a:ln>
                              </pic:spPr>
                            </pic:pic>
                          </a:graphicData>
                        </a:graphic>
                      </wp:inline>
                    </w:drawing>
                  </w:r>
                </w:p>
              </w:tc>
              <w:tc>
                <w:tcPr>
                  <w:tcW w:w="953" w:type="pct"/>
                  <w:vAlign w:val="center"/>
                </w:tcPr>
                <w:p w14:paraId="2A3F1B9D">
                  <w:pPr>
                    <w:jc w:val="center"/>
                    <w:rPr>
                      <w:color w:val="auto"/>
                      <w:sz w:val="21"/>
                      <w:szCs w:val="21"/>
                      <w:highlight w:val="none"/>
                    </w:rPr>
                  </w:pPr>
                  <w:r>
                    <w:rPr>
                      <w:color w:val="auto"/>
                      <w:sz w:val="21"/>
                      <w:szCs w:val="21"/>
                      <w:highlight w:val="none"/>
                    </w:rPr>
                    <w:t>噪声排放源</w:t>
                  </w:r>
                </w:p>
              </w:tc>
              <w:tc>
                <w:tcPr>
                  <w:tcW w:w="1638" w:type="pct"/>
                  <w:vAlign w:val="center"/>
                </w:tcPr>
                <w:p w14:paraId="2AB8E641">
                  <w:pPr>
                    <w:jc w:val="center"/>
                    <w:rPr>
                      <w:color w:val="auto"/>
                      <w:sz w:val="21"/>
                      <w:szCs w:val="21"/>
                      <w:highlight w:val="none"/>
                    </w:rPr>
                  </w:pPr>
                  <w:r>
                    <w:rPr>
                      <w:color w:val="auto"/>
                      <w:sz w:val="21"/>
                      <w:szCs w:val="21"/>
                      <w:highlight w:val="none"/>
                    </w:rPr>
                    <w:t>噪声向外环境排放</w:t>
                  </w:r>
                </w:p>
              </w:tc>
            </w:tr>
            <w:tr w14:paraId="6057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Align w:val="center"/>
                </w:tcPr>
                <w:p w14:paraId="27F188B7">
                  <w:pPr>
                    <w:jc w:val="center"/>
                    <w:rPr>
                      <w:color w:val="auto"/>
                      <w:sz w:val="21"/>
                      <w:szCs w:val="21"/>
                      <w:highlight w:val="none"/>
                    </w:rPr>
                  </w:pPr>
                  <w:r>
                    <w:rPr>
                      <w:color w:val="auto"/>
                      <w:sz w:val="21"/>
                      <w:szCs w:val="21"/>
                      <w:highlight w:val="none"/>
                    </w:rPr>
                    <w:t>5</w:t>
                  </w:r>
                </w:p>
              </w:tc>
              <w:tc>
                <w:tcPr>
                  <w:tcW w:w="933" w:type="pct"/>
                  <w:vAlign w:val="center"/>
                </w:tcPr>
                <w:p w14:paraId="502494C4">
                  <w:pPr>
                    <w:jc w:val="center"/>
                    <w:rPr>
                      <w:color w:val="auto"/>
                      <w:sz w:val="21"/>
                      <w:szCs w:val="21"/>
                      <w:highlight w:val="none"/>
                    </w:rPr>
                  </w:pPr>
                </w:p>
              </w:tc>
              <w:tc>
                <w:tcPr>
                  <w:tcW w:w="1019" w:type="pct"/>
                  <w:vAlign w:val="center"/>
                </w:tcPr>
                <w:p w14:paraId="105E83B0">
                  <w:pPr>
                    <w:jc w:val="center"/>
                    <w:rPr>
                      <w:color w:val="auto"/>
                      <w:sz w:val="21"/>
                      <w:szCs w:val="21"/>
                      <w:highlight w:val="none"/>
                    </w:rPr>
                  </w:pPr>
                  <w:r>
                    <w:rPr>
                      <w:rFonts w:hint="eastAsia"/>
                      <w:color w:val="auto"/>
                      <w:sz w:val="21"/>
                      <w:szCs w:val="21"/>
                      <w:highlight w:val="none"/>
                    </w:rPr>
                    <w:drawing>
                      <wp:inline distT="0" distB="0" distL="114300" distR="114300">
                        <wp:extent cx="718820" cy="614045"/>
                        <wp:effectExtent l="0" t="0" r="5080" b="14605"/>
                        <wp:docPr id="29" name="图片 29" descr="ZBIOYXP`1QJ%@DE8BF`U9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ZBIOYXP`1QJ%@DE8BF`U91V"/>
                                <pic:cNvPicPr>
                                  <a:picLocks noChangeAspect="1"/>
                                </pic:cNvPicPr>
                              </pic:nvPicPr>
                              <pic:blipFill>
                                <a:blip r:embed="rId60"/>
                                <a:stretch>
                                  <a:fillRect/>
                                </a:stretch>
                              </pic:blipFill>
                              <pic:spPr>
                                <a:xfrm>
                                  <a:off x="0" y="0"/>
                                  <a:ext cx="718820" cy="614045"/>
                                </a:xfrm>
                                <a:prstGeom prst="rect">
                                  <a:avLst/>
                                </a:prstGeom>
                              </pic:spPr>
                            </pic:pic>
                          </a:graphicData>
                        </a:graphic>
                      </wp:inline>
                    </w:drawing>
                  </w:r>
                </w:p>
              </w:tc>
              <w:tc>
                <w:tcPr>
                  <w:tcW w:w="953" w:type="pct"/>
                  <w:vAlign w:val="center"/>
                </w:tcPr>
                <w:p w14:paraId="561C9C97">
                  <w:pPr>
                    <w:jc w:val="center"/>
                    <w:rPr>
                      <w:color w:val="auto"/>
                      <w:sz w:val="21"/>
                      <w:szCs w:val="21"/>
                      <w:highlight w:val="none"/>
                    </w:rPr>
                  </w:pPr>
                  <w:r>
                    <w:rPr>
                      <w:color w:val="auto"/>
                      <w:sz w:val="21"/>
                      <w:szCs w:val="21"/>
                      <w:highlight w:val="none"/>
                    </w:rPr>
                    <w:t>危险废物</w:t>
                  </w:r>
                </w:p>
              </w:tc>
              <w:tc>
                <w:tcPr>
                  <w:tcW w:w="1638" w:type="pct"/>
                  <w:vAlign w:val="center"/>
                </w:tcPr>
                <w:p w14:paraId="320A023D">
                  <w:pPr>
                    <w:jc w:val="center"/>
                    <w:rPr>
                      <w:color w:val="auto"/>
                      <w:sz w:val="21"/>
                      <w:szCs w:val="21"/>
                      <w:highlight w:val="none"/>
                    </w:rPr>
                  </w:pPr>
                  <w:r>
                    <w:rPr>
                      <w:color w:val="auto"/>
                      <w:sz w:val="21"/>
                      <w:szCs w:val="21"/>
                      <w:highlight w:val="none"/>
                    </w:rPr>
                    <w:t>危险废物贮存、处置场</w:t>
                  </w:r>
                </w:p>
              </w:tc>
            </w:tr>
          </w:tbl>
          <w:p w14:paraId="6F368B31">
            <w:pPr>
              <w:spacing w:line="360" w:lineRule="auto"/>
              <w:ind w:firstLine="482"/>
              <w:rPr>
                <w:b/>
                <w:bCs/>
                <w:color w:val="auto"/>
                <w:highlight w:val="none"/>
              </w:rPr>
            </w:pPr>
            <w:r>
              <w:rPr>
                <w:color w:val="auto"/>
                <w:highlight w:val="none"/>
              </w:rPr>
              <w:t>建设单位应将有关排污口的情况如：排污口的性质、编号、排污口的位置；主要排放的污染物种类、数量、浓度、排放规律、排放去向；污染治理设施的运行情况等进行建档管理。</w:t>
            </w:r>
          </w:p>
          <w:p w14:paraId="44B8BE4A">
            <w:pPr>
              <w:adjustRightInd w:val="0"/>
              <w:snapToGrid w:val="0"/>
              <w:spacing w:before="120" w:beforeLines="50" w:line="360" w:lineRule="auto"/>
              <w:ind w:firstLine="0" w:firstLineChars="0"/>
              <w:rPr>
                <w:color w:val="auto"/>
                <w:highlight w:val="none"/>
              </w:rPr>
            </w:pPr>
            <w:r>
              <w:rPr>
                <w:rFonts w:hint="eastAsia"/>
                <w:b/>
                <w:color w:val="auto"/>
                <w:highlight w:val="none"/>
                <w:lang w:val="en-US" w:eastAsia="zh-CN"/>
              </w:rPr>
              <w:t>十</w:t>
            </w:r>
            <w:r>
              <w:rPr>
                <w:b/>
                <w:color w:val="auto"/>
                <w:highlight w:val="none"/>
              </w:rPr>
              <w:t>、环保投资</w:t>
            </w:r>
          </w:p>
          <w:p w14:paraId="64231766">
            <w:pPr>
              <w:snapToGrid w:val="0"/>
              <w:spacing w:line="360" w:lineRule="auto"/>
              <w:ind w:firstLine="480" w:firstLineChars="200"/>
              <w:rPr>
                <w:b/>
                <w:color w:val="auto"/>
                <w:highlight w:val="none"/>
                <w:lang w:val="zh-CN"/>
              </w:rPr>
            </w:pPr>
            <w:r>
              <w:rPr>
                <w:bCs/>
                <w:color w:val="auto"/>
                <w:highlight w:val="none"/>
              </w:rPr>
              <w:t>项目总投资</w:t>
            </w:r>
            <w:r>
              <w:rPr>
                <w:rFonts w:hint="eastAsia"/>
                <w:bCs/>
                <w:color w:val="auto"/>
                <w:highlight w:val="none"/>
                <w:lang w:val="en-US" w:eastAsia="zh-CN"/>
              </w:rPr>
              <w:t>1800</w:t>
            </w:r>
            <w:r>
              <w:rPr>
                <w:bCs/>
                <w:color w:val="auto"/>
                <w:highlight w:val="none"/>
              </w:rPr>
              <w:t>万元，其中环保投资</w:t>
            </w:r>
            <w:r>
              <w:rPr>
                <w:rFonts w:hint="eastAsia"/>
                <w:bCs/>
                <w:color w:val="auto"/>
                <w:highlight w:val="none"/>
                <w:lang w:val="en-US" w:eastAsia="zh-CN"/>
              </w:rPr>
              <w:t>68</w:t>
            </w:r>
            <w:r>
              <w:rPr>
                <w:bCs/>
                <w:color w:val="auto"/>
                <w:highlight w:val="none"/>
              </w:rPr>
              <w:t>万元，约占总投资</w:t>
            </w:r>
            <w:r>
              <w:rPr>
                <w:rFonts w:hint="eastAsia"/>
                <w:bCs/>
                <w:color w:val="auto"/>
                <w:highlight w:val="none"/>
                <w:lang w:val="en-US" w:eastAsia="zh-CN"/>
              </w:rPr>
              <w:t>3.7</w:t>
            </w:r>
            <w:r>
              <w:rPr>
                <w:bCs/>
                <w:color w:val="auto"/>
                <w:highlight w:val="none"/>
              </w:rPr>
              <w:t>%，主要用于废水、废气、固体废物和噪声污染的治理。</w:t>
            </w:r>
          </w:p>
          <w:p w14:paraId="619FFDF3">
            <w:pPr>
              <w:autoSpaceDE w:val="0"/>
              <w:autoSpaceDN w:val="0"/>
              <w:adjustRightInd w:val="0"/>
              <w:snapToGrid w:val="0"/>
              <w:jc w:val="center"/>
              <w:rPr>
                <w:b/>
                <w:color w:val="auto"/>
                <w:highlight w:val="none"/>
                <w:lang w:val="zh-CN"/>
              </w:rPr>
            </w:pPr>
            <w:r>
              <w:rPr>
                <w:b/>
                <w:color w:val="auto"/>
                <w:highlight w:val="none"/>
                <w:lang w:val="zh-CN"/>
              </w:rPr>
              <w:t>表</w:t>
            </w:r>
            <w:r>
              <w:rPr>
                <w:rFonts w:hint="eastAsia"/>
                <w:b/>
                <w:color w:val="auto"/>
                <w:highlight w:val="none"/>
              </w:rPr>
              <w:t>4</w:t>
            </w:r>
            <w:r>
              <w:rPr>
                <w:rFonts w:hint="eastAsia"/>
                <w:b/>
                <w:color w:val="auto"/>
                <w:highlight w:val="none"/>
                <w:lang w:val="en-US" w:eastAsia="zh-CN"/>
              </w:rPr>
              <w:t>-24</w:t>
            </w:r>
            <w:r>
              <w:rPr>
                <w:b/>
                <w:color w:val="auto"/>
                <w:highlight w:val="none"/>
              </w:rPr>
              <w:t xml:space="preserve">  </w:t>
            </w:r>
            <w:r>
              <w:rPr>
                <w:b/>
                <w:color w:val="auto"/>
                <w:highlight w:val="none"/>
                <w:lang w:val="zh-CN"/>
              </w:rPr>
              <w:t>项目环保防治措施及投资估算表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511"/>
              <w:gridCol w:w="4800"/>
              <w:gridCol w:w="1111"/>
            </w:tblGrid>
            <w:tr w14:paraId="6151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Align w:val="center"/>
                </w:tcPr>
                <w:p w14:paraId="44A615F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污染类别</w:t>
                  </w:r>
                </w:p>
              </w:tc>
              <w:tc>
                <w:tcPr>
                  <w:tcW w:w="1511" w:type="dxa"/>
                  <w:vAlign w:val="center"/>
                </w:tcPr>
                <w:p w14:paraId="6548F6E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污染防治对象</w:t>
                  </w:r>
                </w:p>
              </w:tc>
              <w:tc>
                <w:tcPr>
                  <w:tcW w:w="4800" w:type="dxa"/>
                  <w:vAlign w:val="center"/>
                </w:tcPr>
                <w:p w14:paraId="192F63D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1111" w:type="dxa"/>
                  <w:vAlign w:val="center"/>
                </w:tcPr>
                <w:p w14:paraId="4191AE0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投资估算（万元）</w:t>
                  </w:r>
                </w:p>
              </w:tc>
            </w:tr>
            <w:tr w14:paraId="641D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Align w:val="center"/>
                </w:tcPr>
                <w:p w14:paraId="0B94221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511" w:type="dxa"/>
                  <w:vAlign w:val="center"/>
                </w:tcPr>
                <w:p w14:paraId="4334DC05">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4800" w:type="dxa"/>
                  <w:vAlign w:val="center"/>
                </w:tcPr>
                <w:p w14:paraId="29BDEEE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化粪池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污水管网（依托）</w:t>
                  </w:r>
                </w:p>
              </w:tc>
              <w:tc>
                <w:tcPr>
                  <w:tcW w:w="1111" w:type="dxa"/>
                  <w:vAlign w:val="center"/>
                </w:tcPr>
                <w:p w14:paraId="56119B59">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r>
            <w:tr w14:paraId="18E5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Merge w:val="restart"/>
                  <w:vAlign w:val="center"/>
                </w:tcPr>
                <w:p w14:paraId="0FB0A9F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511" w:type="dxa"/>
                  <w:vAlign w:val="center"/>
                </w:tcPr>
                <w:p w14:paraId="6F945E0D">
                  <w:pPr>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注塑</w:t>
                  </w:r>
                  <w:r>
                    <w:rPr>
                      <w:rFonts w:hint="default" w:ascii="Times New Roman" w:hAnsi="Times New Roman" w:eastAsia="宋体" w:cs="Times New Roman"/>
                      <w:color w:val="auto"/>
                      <w:sz w:val="21"/>
                      <w:szCs w:val="21"/>
                      <w:highlight w:val="none"/>
                      <w:lang w:val="en-US" w:eastAsia="zh-CN"/>
                    </w:rPr>
                    <w:t>工序</w:t>
                  </w:r>
                </w:p>
              </w:tc>
              <w:tc>
                <w:tcPr>
                  <w:tcW w:w="4800" w:type="dxa"/>
                  <w:vAlign w:val="center"/>
                </w:tcPr>
                <w:p w14:paraId="54783097">
                  <w:pPr>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二级活性炭吸附装置+15m高排气筒DA001</w:t>
                  </w:r>
                </w:p>
              </w:tc>
              <w:tc>
                <w:tcPr>
                  <w:tcW w:w="1111" w:type="dxa"/>
                  <w:vAlign w:val="center"/>
                </w:tcPr>
                <w:p w14:paraId="77A9CC5E">
                  <w:pPr>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37D3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Merge w:val="continue"/>
                  <w:vAlign w:val="center"/>
                </w:tcPr>
                <w:p w14:paraId="0E88042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1511" w:type="dxa"/>
                  <w:vAlign w:val="center"/>
                </w:tcPr>
                <w:p w14:paraId="3E46F75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喷漆、调漆、烘干工序</w:t>
                  </w:r>
                </w:p>
              </w:tc>
              <w:tc>
                <w:tcPr>
                  <w:tcW w:w="4800" w:type="dxa"/>
                  <w:vAlign w:val="center"/>
                </w:tcPr>
                <w:p w14:paraId="0C58AE5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一级</w:t>
                  </w:r>
                  <w:r>
                    <w:rPr>
                      <w:rFonts w:hint="eastAsia" w:ascii="Times New Roman" w:hAnsi="Times New Roman" w:eastAsia="宋体" w:cs="Times New Roman"/>
                      <w:color w:val="auto"/>
                      <w:sz w:val="21"/>
                      <w:szCs w:val="21"/>
                      <w:highlight w:val="none"/>
                      <w:lang w:val="en-US" w:eastAsia="zh-CN"/>
                    </w:rPr>
                    <w:t>水喷淋+活性炭吸附/脱附+RCO装置+15m高排气筒DA002</w:t>
                  </w:r>
                </w:p>
              </w:tc>
              <w:tc>
                <w:tcPr>
                  <w:tcW w:w="1111" w:type="dxa"/>
                  <w:vAlign w:val="center"/>
                </w:tcPr>
                <w:p w14:paraId="6BAEECB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3D32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Align w:val="center"/>
                </w:tcPr>
                <w:p w14:paraId="6E95F6A4">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511" w:type="dxa"/>
                  <w:vAlign w:val="center"/>
                </w:tcPr>
                <w:p w14:paraId="384CA4E4">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设备噪声等</w:t>
                  </w:r>
                </w:p>
              </w:tc>
              <w:tc>
                <w:tcPr>
                  <w:tcW w:w="4800" w:type="dxa"/>
                  <w:vAlign w:val="center"/>
                </w:tcPr>
                <w:p w14:paraId="4256E7B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消声、减振、密闭隔声、保养等</w:t>
                  </w:r>
                </w:p>
              </w:tc>
              <w:tc>
                <w:tcPr>
                  <w:tcW w:w="1111" w:type="dxa"/>
                  <w:vAlign w:val="center"/>
                </w:tcPr>
                <w:p w14:paraId="2274301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r w14:paraId="4CAA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Merge w:val="restart"/>
                  <w:vAlign w:val="center"/>
                </w:tcPr>
                <w:p w14:paraId="222D7D6C">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511" w:type="dxa"/>
                  <w:vAlign w:val="center"/>
                </w:tcPr>
                <w:p w14:paraId="090D4B63">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800" w:type="dxa"/>
                  <w:vAlign w:val="center"/>
                </w:tcPr>
                <w:p w14:paraId="0CFFE99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垃圾桶</w:t>
                  </w:r>
                </w:p>
              </w:tc>
              <w:tc>
                <w:tcPr>
                  <w:tcW w:w="1111" w:type="dxa"/>
                  <w:vAlign w:val="center"/>
                </w:tcPr>
                <w:p w14:paraId="20FD51E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r>
            <w:tr w14:paraId="4C64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Merge w:val="continue"/>
                  <w:vAlign w:val="center"/>
                </w:tcPr>
                <w:p w14:paraId="1E55CC4D">
                  <w:pPr>
                    <w:pStyle w:val="33"/>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1511" w:type="dxa"/>
                  <w:vAlign w:val="center"/>
                </w:tcPr>
                <w:p w14:paraId="70879C21">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调漆房</w:t>
                  </w:r>
                </w:p>
              </w:tc>
              <w:tc>
                <w:tcPr>
                  <w:tcW w:w="4800" w:type="dxa"/>
                  <w:vAlign w:val="center"/>
                </w:tcPr>
                <w:p w14:paraId="49E2637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密闭隔间</w:t>
                  </w:r>
                </w:p>
              </w:tc>
              <w:tc>
                <w:tcPr>
                  <w:tcW w:w="1111" w:type="dxa"/>
                  <w:vAlign w:val="center"/>
                </w:tcPr>
                <w:p w14:paraId="080F151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r>
            <w:tr w14:paraId="1593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Merge w:val="continue"/>
                  <w:vAlign w:val="center"/>
                </w:tcPr>
                <w:p w14:paraId="131668D5">
                  <w:pPr>
                    <w:pStyle w:val="33"/>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1511" w:type="dxa"/>
                  <w:vAlign w:val="center"/>
                </w:tcPr>
                <w:p w14:paraId="5552E463">
                  <w:pPr>
                    <w:pStyle w:val="33"/>
                    <w:keepNext w:val="0"/>
                    <w:keepLines w:val="0"/>
                    <w:pageBreakBefore w:val="0"/>
                    <w:widowControl w:val="0"/>
                    <w:kinsoku/>
                    <w:wordWrap/>
                    <w:overflowPunct/>
                    <w:topLinePunct w:val="0"/>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4800" w:type="dxa"/>
                  <w:vAlign w:val="center"/>
                </w:tcPr>
                <w:p w14:paraId="7100A1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危险废物暂存</w:t>
                  </w:r>
                  <w:r>
                    <w:rPr>
                      <w:rFonts w:hint="default" w:ascii="Times New Roman" w:hAnsi="Times New Roman" w:eastAsia="宋体" w:cs="Times New Roman"/>
                      <w:color w:val="auto"/>
                      <w:sz w:val="21"/>
                      <w:szCs w:val="21"/>
                      <w:highlight w:val="none"/>
                    </w:rPr>
                    <w:t>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委托有资质单位处置</w:t>
                  </w:r>
                </w:p>
              </w:tc>
              <w:tc>
                <w:tcPr>
                  <w:tcW w:w="1111" w:type="dxa"/>
                  <w:vAlign w:val="center"/>
                </w:tcPr>
                <w:p w14:paraId="477E275C">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r>
            <w:tr w14:paraId="4ADE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4" w:type="dxa"/>
                  <w:gridSpan w:val="2"/>
                  <w:vAlign w:val="center"/>
                </w:tcPr>
                <w:p w14:paraId="04AED374">
                  <w:pPr>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地下水、土壤</w:t>
                  </w:r>
                </w:p>
              </w:tc>
              <w:tc>
                <w:tcPr>
                  <w:tcW w:w="4800" w:type="dxa"/>
                  <w:vAlign w:val="center"/>
                </w:tcPr>
                <w:p w14:paraId="0E23778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eastAsia" w:cs="Times New Roman"/>
                      <w:color w:val="auto"/>
                      <w:sz w:val="21"/>
                      <w:szCs w:val="21"/>
                      <w:highlight w:val="none"/>
                      <w:lang w:val="en-US" w:eastAsia="zh-CN"/>
                    </w:rPr>
                    <w:t>简单防渗、</w:t>
                  </w:r>
                  <w:r>
                    <w:rPr>
                      <w:rFonts w:hint="default" w:ascii="Times New Roman" w:hAnsi="Times New Roman" w:eastAsia="宋体" w:cs="Times New Roman"/>
                      <w:color w:val="auto"/>
                      <w:sz w:val="21"/>
                      <w:szCs w:val="21"/>
                      <w:highlight w:val="none"/>
                    </w:rPr>
                    <w:t>一般防渗、重点防渗</w:t>
                  </w:r>
                </w:p>
              </w:tc>
              <w:tc>
                <w:tcPr>
                  <w:tcW w:w="1111" w:type="dxa"/>
                  <w:vAlign w:val="center"/>
                </w:tcPr>
                <w:p w14:paraId="58E5C9E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14:paraId="1B87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4" w:type="dxa"/>
                  <w:gridSpan w:val="2"/>
                  <w:vAlign w:val="center"/>
                </w:tcPr>
                <w:p w14:paraId="6E1F476D">
                  <w:pPr>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w:t>
                  </w:r>
                </w:p>
              </w:tc>
              <w:tc>
                <w:tcPr>
                  <w:tcW w:w="4800" w:type="dxa"/>
                  <w:vAlign w:val="center"/>
                </w:tcPr>
                <w:p w14:paraId="28C9C1E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eastAsia"/>
                      <w:color w:val="auto"/>
                      <w:sz w:val="21"/>
                      <w:szCs w:val="21"/>
                      <w:highlight w:val="none"/>
                    </w:rPr>
                    <w:t>原辅料按相关要求贮存，明确贮存注意事项并要求专人负责看管</w:t>
                  </w:r>
                  <w:r>
                    <w:rPr>
                      <w:color w:val="auto"/>
                      <w:sz w:val="21"/>
                      <w:szCs w:val="21"/>
                      <w:highlight w:val="none"/>
                    </w:rPr>
                    <w:t>。定期对生产设施、包装设施以及相应环保设施等进行安全状况检查，</w:t>
                  </w:r>
                  <w:r>
                    <w:rPr>
                      <w:rFonts w:hint="eastAsia"/>
                      <w:color w:val="auto"/>
                      <w:sz w:val="21"/>
                      <w:szCs w:val="21"/>
                      <w:highlight w:val="none"/>
                      <w:lang w:val="en-US" w:eastAsia="zh-CN"/>
                    </w:rPr>
                    <w:t>油类存储区</w:t>
                  </w:r>
                  <w:r>
                    <w:rPr>
                      <w:rFonts w:hint="eastAsia"/>
                      <w:color w:val="auto"/>
                      <w:sz w:val="21"/>
                      <w:szCs w:val="21"/>
                      <w:highlight w:val="none"/>
                    </w:rPr>
                    <w:t>域</w:t>
                  </w:r>
                  <w:r>
                    <w:rPr>
                      <w:rFonts w:hint="eastAsia"/>
                      <w:color w:val="auto"/>
                      <w:sz w:val="21"/>
                      <w:szCs w:val="21"/>
                      <w:highlight w:val="none"/>
                      <w:lang w:val="en-US" w:eastAsia="zh-CN"/>
                    </w:rPr>
                    <w:t>、</w:t>
                  </w:r>
                  <w:r>
                    <w:rPr>
                      <w:color w:val="auto"/>
                      <w:sz w:val="21"/>
                      <w:szCs w:val="21"/>
                      <w:highlight w:val="none"/>
                    </w:rPr>
                    <w:t>危废暂存间等应进行防渗、防泄漏措施；车间内配置相应的消防设备、设施、防毒、灭火物资等消防、安全设施；制定严格的运行操作规章制度，发生火灾、爆炸事故后，灭火的同时疏散周边无关人员；制定应急预案等</w:t>
                  </w:r>
                </w:p>
              </w:tc>
              <w:tc>
                <w:tcPr>
                  <w:tcW w:w="1111" w:type="dxa"/>
                  <w:vAlign w:val="center"/>
                </w:tcPr>
                <w:p w14:paraId="2B35DCF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432B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34" w:type="dxa"/>
                  <w:gridSpan w:val="3"/>
                  <w:vAlign w:val="center"/>
                </w:tcPr>
                <w:p w14:paraId="0F74AFE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111" w:type="dxa"/>
                  <w:vAlign w:val="center"/>
                </w:tcPr>
                <w:p w14:paraId="01CC7A8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68</w:t>
                  </w:r>
                </w:p>
              </w:tc>
            </w:tr>
          </w:tbl>
          <w:p w14:paraId="174DE2F8">
            <w:pPr>
              <w:adjustRightInd w:val="0"/>
              <w:snapToGrid w:val="0"/>
              <w:spacing w:before="120" w:beforeLines="50" w:line="360" w:lineRule="auto"/>
              <w:jc w:val="left"/>
              <w:rPr>
                <w:rFonts w:hint="eastAsia" w:ascii="宋体" w:hAnsi="宋体" w:eastAsia="宋体" w:cs="宋体"/>
                <w:bCs/>
                <w:color w:val="auto"/>
                <w:spacing w:val="-10"/>
                <w:highlight w:val="none"/>
                <w:lang w:eastAsia="zh-CN"/>
              </w:rPr>
            </w:pPr>
          </w:p>
        </w:tc>
      </w:tr>
    </w:tbl>
    <w:p w14:paraId="1A5E3F85">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4AFE168">
      <w:pPr>
        <w:spacing w:line="360" w:lineRule="auto"/>
        <w:jc w:val="center"/>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sz w:val="30"/>
          <w:szCs w:val="30"/>
          <w:highlight w:val="none"/>
        </w:rPr>
        <w:t>五、</w:t>
      </w:r>
      <w:bookmarkStart w:id="39" w:name="_Hlk54167917"/>
      <w:r>
        <w:rPr>
          <w:rFonts w:hint="eastAsia" w:ascii="宋体" w:hAnsi="宋体" w:eastAsia="宋体" w:cs="宋体"/>
          <w:b/>
          <w:bCs/>
          <w:snapToGrid w:val="0"/>
          <w:color w:val="auto"/>
          <w:sz w:val="30"/>
          <w:szCs w:val="30"/>
          <w:highlight w:val="none"/>
        </w:rPr>
        <w:t>环境保护措施监督检查清单</w:t>
      </w:r>
      <w:bookmarkEnd w:id="39"/>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666"/>
        <w:gridCol w:w="1434"/>
        <w:gridCol w:w="1864"/>
        <w:gridCol w:w="2473"/>
      </w:tblGrid>
      <w:tr w14:paraId="1F97D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tcBorders>
              <w:tl2br w:val="single" w:color="auto" w:sz="4" w:space="0"/>
            </w:tcBorders>
            <w:vAlign w:val="center"/>
          </w:tcPr>
          <w:p w14:paraId="2317A0B9">
            <w:pPr>
              <w:adjustRightInd w:val="0"/>
              <w:snapToGrid w:val="0"/>
              <w:ind w:firstLine="840"/>
              <w:rPr>
                <w:rFonts w:ascii="宋体" w:hAnsi="宋体" w:cs="宋体"/>
                <w:color w:val="auto"/>
                <w:sz w:val="21"/>
                <w:szCs w:val="21"/>
                <w:highlight w:val="none"/>
              </w:rPr>
            </w:pPr>
            <w:r>
              <w:rPr>
                <w:rFonts w:hint="eastAsia" w:ascii="宋体" w:hAnsi="宋体" w:cs="宋体"/>
                <w:color w:val="auto"/>
                <w:sz w:val="21"/>
                <w:szCs w:val="21"/>
                <w:highlight w:val="none"/>
              </w:rPr>
              <w:t>内容</w:t>
            </w:r>
          </w:p>
          <w:p w14:paraId="1D30060C">
            <w:pPr>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要素</w:t>
            </w:r>
          </w:p>
        </w:tc>
        <w:tc>
          <w:tcPr>
            <w:tcW w:w="1666" w:type="dxa"/>
            <w:vAlign w:val="center"/>
          </w:tcPr>
          <w:p w14:paraId="7F878A06">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排放口(编号、名称)/污染源</w:t>
            </w:r>
          </w:p>
        </w:tc>
        <w:tc>
          <w:tcPr>
            <w:tcW w:w="1434" w:type="dxa"/>
            <w:vAlign w:val="center"/>
          </w:tcPr>
          <w:p w14:paraId="1B1EBAB2">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污染物项目</w:t>
            </w:r>
          </w:p>
        </w:tc>
        <w:tc>
          <w:tcPr>
            <w:tcW w:w="1864" w:type="dxa"/>
            <w:vAlign w:val="center"/>
          </w:tcPr>
          <w:p w14:paraId="2981B223">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环境保护措施</w:t>
            </w:r>
          </w:p>
        </w:tc>
        <w:tc>
          <w:tcPr>
            <w:tcW w:w="2473" w:type="dxa"/>
            <w:vAlign w:val="center"/>
          </w:tcPr>
          <w:p w14:paraId="1E8FDBE2">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执行标准</w:t>
            </w:r>
          </w:p>
        </w:tc>
      </w:tr>
      <w:tr w14:paraId="3CBEF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restart"/>
            <w:vAlign w:val="center"/>
          </w:tcPr>
          <w:p w14:paraId="39A2B468">
            <w:pPr>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大气环境</w:t>
            </w:r>
          </w:p>
        </w:tc>
        <w:tc>
          <w:tcPr>
            <w:tcW w:w="1666" w:type="dxa"/>
            <w:vMerge w:val="restart"/>
            <w:vAlign w:val="center"/>
          </w:tcPr>
          <w:p w14:paraId="06BCDE1B">
            <w:pPr>
              <w:adjustRightInd w:val="0"/>
              <w:snapToGrid w:val="0"/>
              <w:jc w:val="center"/>
              <w:rPr>
                <w:rFonts w:hint="default"/>
                <w:color w:val="auto"/>
                <w:sz w:val="21"/>
                <w:szCs w:val="21"/>
                <w:highlight w:val="none"/>
                <w:lang w:val="en-US" w:eastAsia="zh-CN"/>
              </w:rPr>
            </w:pPr>
            <w:r>
              <w:rPr>
                <w:rFonts w:hint="eastAsia" w:cs="Times New Roman"/>
                <w:color w:val="auto"/>
                <w:sz w:val="21"/>
                <w:szCs w:val="21"/>
                <w:highlight w:val="none"/>
                <w:lang w:val="en-US" w:eastAsia="zh-CN"/>
              </w:rPr>
              <w:t>注塑</w:t>
            </w:r>
            <w:r>
              <w:rPr>
                <w:rFonts w:hint="default" w:ascii="Times New Roman" w:hAnsi="Times New Roman" w:cs="Times New Roman"/>
                <w:color w:val="auto"/>
                <w:sz w:val="21"/>
                <w:szCs w:val="21"/>
                <w:highlight w:val="none"/>
                <w:lang w:val="en-US" w:eastAsia="zh-CN"/>
              </w:rPr>
              <w:t>/DA001</w:t>
            </w:r>
          </w:p>
        </w:tc>
        <w:tc>
          <w:tcPr>
            <w:tcW w:w="1434" w:type="dxa"/>
            <w:shd w:val="clear" w:color="auto" w:fill="auto"/>
            <w:vAlign w:val="center"/>
          </w:tcPr>
          <w:p w14:paraId="2BC63841">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非甲烷总烃</w:t>
            </w:r>
          </w:p>
        </w:tc>
        <w:tc>
          <w:tcPr>
            <w:tcW w:w="1864" w:type="dxa"/>
            <w:vMerge w:val="restart"/>
            <w:vAlign w:val="center"/>
          </w:tcPr>
          <w:p w14:paraId="78BDA044">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二级活性炭吸附装置</w:t>
            </w:r>
          </w:p>
        </w:tc>
        <w:tc>
          <w:tcPr>
            <w:tcW w:w="2473" w:type="dxa"/>
            <w:vMerge w:val="restart"/>
            <w:vAlign w:val="center"/>
          </w:tcPr>
          <w:p w14:paraId="72069F85">
            <w:pPr>
              <w:adjustRightInd w:val="0"/>
              <w:snapToGrid w:val="0"/>
              <w:jc w:val="center"/>
              <w:rPr>
                <w:rFonts w:hint="eastAsia"/>
                <w:color w:val="auto"/>
                <w:sz w:val="21"/>
                <w:szCs w:val="21"/>
                <w:highlight w:val="none"/>
                <w:lang w:val="en-US" w:eastAsia="zh-CN"/>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bidi="ar"/>
              </w:rPr>
              <w:t>固定源挥发性有机物综合排放标准第6部分:其他行业》（DB34/4812.6-2024）</w:t>
            </w:r>
          </w:p>
        </w:tc>
      </w:tr>
      <w:tr w14:paraId="0F1D0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1E8E6F83">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726416CB">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43ABD414">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苯乙烯</w:t>
            </w:r>
          </w:p>
        </w:tc>
        <w:tc>
          <w:tcPr>
            <w:tcW w:w="1864" w:type="dxa"/>
            <w:vMerge w:val="continue"/>
            <w:vAlign w:val="center"/>
          </w:tcPr>
          <w:p w14:paraId="56C6D7F2">
            <w:pPr>
              <w:adjustRightInd w:val="0"/>
              <w:snapToGrid w:val="0"/>
              <w:jc w:val="center"/>
              <w:rPr>
                <w:rFonts w:hint="eastAsia"/>
                <w:color w:val="auto"/>
                <w:sz w:val="21"/>
                <w:szCs w:val="21"/>
                <w:highlight w:val="none"/>
                <w:lang w:val="en-US" w:eastAsia="zh-CN"/>
              </w:rPr>
            </w:pPr>
          </w:p>
        </w:tc>
        <w:tc>
          <w:tcPr>
            <w:tcW w:w="2473" w:type="dxa"/>
            <w:vMerge w:val="continue"/>
            <w:vAlign w:val="center"/>
          </w:tcPr>
          <w:p w14:paraId="0625441A">
            <w:pPr>
              <w:adjustRightInd w:val="0"/>
              <w:snapToGrid w:val="0"/>
              <w:jc w:val="center"/>
              <w:rPr>
                <w:rFonts w:hint="eastAsia"/>
                <w:color w:val="auto"/>
                <w:sz w:val="21"/>
                <w:szCs w:val="21"/>
                <w:highlight w:val="none"/>
                <w:lang w:val="en-US" w:eastAsia="zh-CN"/>
              </w:rPr>
            </w:pPr>
          </w:p>
        </w:tc>
      </w:tr>
      <w:tr w14:paraId="7B1C4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517319D2">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173EDF54">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032DCC61">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丙烯腈</w:t>
            </w:r>
          </w:p>
        </w:tc>
        <w:tc>
          <w:tcPr>
            <w:tcW w:w="1864" w:type="dxa"/>
            <w:vMerge w:val="continue"/>
            <w:vAlign w:val="center"/>
          </w:tcPr>
          <w:p w14:paraId="3229F368">
            <w:pPr>
              <w:adjustRightInd w:val="0"/>
              <w:snapToGrid w:val="0"/>
              <w:jc w:val="center"/>
              <w:rPr>
                <w:rFonts w:hint="eastAsia"/>
                <w:color w:val="auto"/>
                <w:sz w:val="21"/>
                <w:szCs w:val="21"/>
                <w:highlight w:val="none"/>
                <w:lang w:val="en-US" w:eastAsia="zh-CN"/>
              </w:rPr>
            </w:pPr>
          </w:p>
        </w:tc>
        <w:tc>
          <w:tcPr>
            <w:tcW w:w="2473" w:type="dxa"/>
            <w:vAlign w:val="center"/>
          </w:tcPr>
          <w:p w14:paraId="052AE299">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《合成树脂工业污染物排放标准》（GB 31572-2015(含2024年修改单)）</w:t>
            </w:r>
          </w:p>
        </w:tc>
      </w:tr>
      <w:tr w14:paraId="2F1A3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515E8D88">
            <w:pPr>
              <w:adjustRightInd w:val="0"/>
              <w:snapToGrid w:val="0"/>
              <w:jc w:val="center"/>
              <w:rPr>
                <w:rFonts w:hint="eastAsia" w:ascii="宋体" w:hAnsi="宋体" w:cs="宋体"/>
                <w:color w:val="auto"/>
                <w:sz w:val="21"/>
                <w:szCs w:val="21"/>
                <w:highlight w:val="none"/>
                <w:lang w:val="en-US" w:eastAsia="zh-CN"/>
              </w:rPr>
            </w:pPr>
          </w:p>
        </w:tc>
        <w:tc>
          <w:tcPr>
            <w:tcW w:w="1666" w:type="dxa"/>
            <w:vMerge w:val="restart"/>
            <w:vAlign w:val="center"/>
          </w:tcPr>
          <w:p w14:paraId="0D31EB04">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调漆、喷漆及烘干/DA002</w:t>
            </w:r>
          </w:p>
        </w:tc>
        <w:tc>
          <w:tcPr>
            <w:tcW w:w="1434" w:type="dxa"/>
            <w:shd w:val="clear" w:color="auto" w:fill="auto"/>
            <w:vAlign w:val="center"/>
          </w:tcPr>
          <w:p w14:paraId="34B4B934">
            <w:pPr>
              <w:jc w:val="center"/>
              <w:rPr>
                <w:rFonts w:hint="default"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非甲烷总烃</w:t>
            </w:r>
          </w:p>
        </w:tc>
        <w:tc>
          <w:tcPr>
            <w:tcW w:w="1864" w:type="dxa"/>
            <w:vMerge w:val="restart"/>
            <w:vAlign w:val="center"/>
          </w:tcPr>
          <w:p w14:paraId="4C1515C2">
            <w:pPr>
              <w:adjustRightInd w:val="0"/>
              <w:snapToGrid w:val="0"/>
              <w:jc w:val="center"/>
              <w:rPr>
                <w:rFonts w:hint="default"/>
                <w:color w:val="auto"/>
                <w:sz w:val="21"/>
                <w:szCs w:val="21"/>
                <w:highlight w:val="none"/>
                <w:lang w:val="en-US" w:eastAsia="zh-CN"/>
              </w:rPr>
            </w:pPr>
            <w:r>
              <w:rPr>
                <w:rFonts w:hint="eastAsia" w:cs="Times New Roman"/>
                <w:color w:val="auto"/>
                <w:sz w:val="21"/>
                <w:szCs w:val="21"/>
                <w:highlight w:val="none"/>
                <w:lang w:val="en-US" w:eastAsia="zh-CN"/>
              </w:rPr>
              <w:t>一级水喷淋+活性炭吸附/脱附+RCO</w:t>
            </w:r>
          </w:p>
        </w:tc>
        <w:tc>
          <w:tcPr>
            <w:tcW w:w="2473" w:type="dxa"/>
            <w:vMerge w:val="restart"/>
            <w:shd w:val="clear" w:color="auto" w:fill="auto"/>
            <w:vAlign w:val="center"/>
          </w:tcPr>
          <w:p w14:paraId="2A2B25ED">
            <w:pPr>
              <w:jc w:val="center"/>
              <w:rPr>
                <w:rFonts w:hint="eastAsia"/>
                <w:color w:val="auto"/>
                <w:sz w:val="21"/>
                <w:szCs w:val="21"/>
                <w:highlight w:val="none"/>
                <w:lang w:val="en-US" w:eastAsia="zh-CN"/>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bidi="ar"/>
              </w:rPr>
              <w:t>固定源挥发性有机物综合排放标准第6部分:其他行业》（DB34/4812.6-2024）</w:t>
            </w:r>
          </w:p>
        </w:tc>
      </w:tr>
      <w:tr w14:paraId="4B166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13298C8A">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1DCDEBEC">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5F5F6EC8">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醋酸丁酯</w:t>
            </w:r>
          </w:p>
        </w:tc>
        <w:tc>
          <w:tcPr>
            <w:tcW w:w="1864" w:type="dxa"/>
            <w:vMerge w:val="continue"/>
            <w:vAlign w:val="center"/>
          </w:tcPr>
          <w:p w14:paraId="567EF8AA">
            <w:pPr>
              <w:adjustRightInd w:val="0"/>
              <w:snapToGrid w:val="0"/>
              <w:jc w:val="center"/>
              <w:rPr>
                <w:rFonts w:hint="eastAsia" w:cs="Times New Roman"/>
                <w:color w:val="auto"/>
                <w:sz w:val="21"/>
                <w:szCs w:val="21"/>
                <w:highlight w:val="none"/>
                <w:lang w:val="en-US" w:eastAsia="zh-CN"/>
              </w:rPr>
            </w:pPr>
          </w:p>
        </w:tc>
        <w:tc>
          <w:tcPr>
            <w:tcW w:w="2473" w:type="dxa"/>
            <w:vMerge w:val="continue"/>
            <w:vAlign w:val="center"/>
          </w:tcPr>
          <w:p w14:paraId="5FF6D31B">
            <w:pPr>
              <w:adjustRightInd w:val="0"/>
              <w:snapToGrid w:val="0"/>
              <w:jc w:val="center"/>
              <w:rPr>
                <w:rFonts w:hint="eastAsia"/>
                <w:color w:val="auto"/>
                <w:sz w:val="21"/>
                <w:szCs w:val="21"/>
                <w:highlight w:val="none"/>
                <w:lang w:val="en-US" w:eastAsia="zh-CN"/>
              </w:rPr>
            </w:pPr>
          </w:p>
        </w:tc>
      </w:tr>
      <w:tr w14:paraId="42832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67108816">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40E61954">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3088D015">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二甲苯</w:t>
            </w:r>
          </w:p>
        </w:tc>
        <w:tc>
          <w:tcPr>
            <w:tcW w:w="1864" w:type="dxa"/>
            <w:vMerge w:val="continue"/>
            <w:vAlign w:val="center"/>
          </w:tcPr>
          <w:p w14:paraId="126A0831">
            <w:pPr>
              <w:adjustRightInd w:val="0"/>
              <w:snapToGrid w:val="0"/>
              <w:jc w:val="center"/>
              <w:rPr>
                <w:rFonts w:hint="eastAsia" w:cs="Times New Roman"/>
                <w:color w:val="auto"/>
                <w:sz w:val="21"/>
                <w:szCs w:val="21"/>
                <w:highlight w:val="none"/>
                <w:lang w:val="en-US" w:eastAsia="zh-CN"/>
              </w:rPr>
            </w:pPr>
          </w:p>
        </w:tc>
        <w:tc>
          <w:tcPr>
            <w:tcW w:w="2473" w:type="dxa"/>
            <w:vMerge w:val="continue"/>
            <w:vAlign w:val="center"/>
          </w:tcPr>
          <w:p w14:paraId="61BED8C1">
            <w:pPr>
              <w:adjustRightInd w:val="0"/>
              <w:snapToGrid w:val="0"/>
              <w:jc w:val="center"/>
              <w:rPr>
                <w:rFonts w:hint="eastAsia"/>
                <w:color w:val="auto"/>
                <w:sz w:val="21"/>
                <w:szCs w:val="21"/>
                <w:highlight w:val="none"/>
                <w:lang w:val="en-US" w:eastAsia="zh-CN"/>
              </w:rPr>
            </w:pPr>
          </w:p>
        </w:tc>
      </w:tr>
      <w:tr w14:paraId="5A843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52DB13FD">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04C41E50">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73955AA7">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颗粒物</w:t>
            </w:r>
          </w:p>
        </w:tc>
        <w:tc>
          <w:tcPr>
            <w:tcW w:w="1864" w:type="dxa"/>
            <w:vMerge w:val="continue"/>
            <w:vAlign w:val="center"/>
          </w:tcPr>
          <w:p w14:paraId="745574FF">
            <w:pPr>
              <w:adjustRightInd w:val="0"/>
              <w:snapToGrid w:val="0"/>
              <w:jc w:val="center"/>
              <w:rPr>
                <w:rFonts w:hint="eastAsia" w:cs="Times New Roman"/>
                <w:color w:val="auto"/>
                <w:sz w:val="21"/>
                <w:szCs w:val="21"/>
                <w:highlight w:val="none"/>
                <w:lang w:val="en-US" w:eastAsia="zh-CN"/>
              </w:rPr>
            </w:pPr>
          </w:p>
        </w:tc>
        <w:tc>
          <w:tcPr>
            <w:tcW w:w="2473" w:type="dxa"/>
            <w:shd w:val="clear" w:color="auto" w:fill="auto"/>
            <w:vAlign w:val="center"/>
          </w:tcPr>
          <w:p w14:paraId="193B7C66">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《大气污染物综合排放标准》（GB16297-1996）</w:t>
            </w:r>
          </w:p>
        </w:tc>
      </w:tr>
      <w:tr w14:paraId="75B6E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76EE0C1E">
            <w:pPr>
              <w:adjustRightInd w:val="0"/>
              <w:snapToGrid w:val="0"/>
              <w:jc w:val="center"/>
              <w:rPr>
                <w:rFonts w:hint="eastAsia" w:ascii="宋体" w:hAnsi="宋体" w:cs="宋体"/>
                <w:color w:val="auto"/>
                <w:sz w:val="21"/>
                <w:szCs w:val="21"/>
                <w:highlight w:val="none"/>
                <w:lang w:val="en-US" w:eastAsia="zh-CN"/>
              </w:rPr>
            </w:pPr>
          </w:p>
        </w:tc>
        <w:tc>
          <w:tcPr>
            <w:tcW w:w="1666" w:type="dxa"/>
            <w:vMerge w:val="restart"/>
            <w:vAlign w:val="center"/>
          </w:tcPr>
          <w:p w14:paraId="5823F22A">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434" w:type="dxa"/>
            <w:shd w:val="clear" w:color="auto" w:fill="auto"/>
            <w:vAlign w:val="center"/>
          </w:tcPr>
          <w:p w14:paraId="1039EECC">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rPr>
              <w:t>颗粒物</w:t>
            </w:r>
          </w:p>
        </w:tc>
        <w:tc>
          <w:tcPr>
            <w:tcW w:w="1864" w:type="dxa"/>
            <w:vAlign w:val="center"/>
          </w:tcPr>
          <w:p w14:paraId="00CFD71B">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73" w:type="dxa"/>
            <w:vMerge w:val="restart"/>
            <w:shd w:val="clear" w:color="auto" w:fill="auto"/>
            <w:vAlign w:val="center"/>
          </w:tcPr>
          <w:p w14:paraId="4642AD14">
            <w:pPr>
              <w:jc w:val="center"/>
              <w:rPr>
                <w:rFonts w:hint="eastAsia"/>
                <w:bCs/>
                <w:color w:val="auto"/>
                <w:sz w:val="21"/>
                <w:szCs w:val="21"/>
                <w:highlight w:val="none"/>
                <w:lang w:val="en-US" w:eastAsia="zh-CN"/>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bidi="ar"/>
              </w:rPr>
              <w:t>合成树脂工业污染物排放标准》（GB 31572-2015，含2024年修改单）</w:t>
            </w:r>
          </w:p>
        </w:tc>
      </w:tr>
      <w:tr w14:paraId="22822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6679FAFF">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37E9D273">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4CDC3126">
            <w:pPr>
              <w:jc w:val="center"/>
              <w:rPr>
                <w:rFonts w:hint="eastAsia"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非甲烷总烃</w:t>
            </w:r>
          </w:p>
        </w:tc>
        <w:tc>
          <w:tcPr>
            <w:tcW w:w="1864" w:type="dxa"/>
            <w:vAlign w:val="center"/>
          </w:tcPr>
          <w:p w14:paraId="5D280F13">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73" w:type="dxa"/>
            <w:vMerge w:val="continue"/>
            <w:shd w:val="clear" w:color="auto" w:fill="auto"/>
            <w:vAlign w:val="center"/>
          </w:tcPr>
          <w:p w14:paraId="135C7C80">
            <w:pPr>
              <w:jc w:val="center"/>
              <w:rPr>
                <w:rFonts w:hint="eastAsia"/>
                <w:bCs/>
                <w:color w:val="auto"/>
                <w:sz w:val="21"/>
                <w:szCs w:val="21"/>
                <w:highlight w:val="none"/>
                <w:lang w:val="en-US" w:eastAsia="zh-CN"/>
              </w:rPr>
            </w:pPr>
          </w:p>
        </w:tc>
      </w:tr>
      <w:tr w14:paraId="732B1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2C1401A0">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3AB3C158">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637580E2">
            <w:pPr>
              <w:pStyle w:val="35"/>
              <w:keepNext w:val="0"/>
              <w:keepLines w:val="0"/>
              <w:suppressLineNumbers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二甲苯</w:t>
            </w:r>
          </w:p>
        </w:tc>
        <w:tc>
          <w:tcPr>
            <w:tcW w:w="1864" w:type="dxa"/>
            <w:vAlign w:val="center"/>
          </w:tcPr>
          <w:p w14:paraId="78F5E3CA">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73" w:type="dxa"/>
            <w:shd w:val="clear" w:color="auto" w:fill="auto"/>
            <w:vAlign w:val="center"/>
          </w:tcPr>
          <w:p w14:paraId="7D2C843F">
            <w:pPr>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《大气污染物综合排放标准》（GB16297-1996）</w:t>
            </w:r>
          </w:p>
        </w:tc>
      </w:tr>
      <w:tr w14:paraId="43C36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086F4F1F">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1DA7634F">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384A2504">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苯乙烯</w:t>
            </w:r>
          </w:p>
        </w:tc>
        <w:tc>
          <w:tcPr>
            <w:tcW w:w="1864" w:type="dxa"/>
            <w:vAlign w:val="center"/>
          </w:tcPr>
          <w:p w14:paraId="1A7A44CD">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73" w:type="dxa"/>
            <w:shd w:val="clear" w:color="auto" w:fill="auto"/>
            <w:vAlign w:val="center"/>
          </w:tcPr>
          <w:p w14:paraId="4FB2BF45">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《恶具污染物排放标准》</w:t>
            </w:r>
          </w:p>
          <w:p w14:paraId="6E8CC76A">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GB 14554-93)</w:t>
            </w:r>
          </w:p>
        </w:tc>
      </w:tr>
      <w:tr w14:paraId="0A7DD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Merge w:val="continue"/>
            <w:vAlign w:val="center"/>
          </w:tcPr>
          <w:p w14:paraId="34B15BDE">
            <w:pPr>
              <w:adjustRightInd w:val="0"/>
              <w:snapToGrid w:val="0"/>
              <w:jc w:val="center"/>
              <w:rPr>
                <w:rFonts w:hint="eastAsia" w:ascii="宋体" w:hAnsi="宋体" w:cs="宋体"/>
                <w:color w:val="auto"/>
                <w:sz w:val="21"/>
                <w:szCs w:val="21"/>
                <w:highlight w:val="none"/>
                <w:lang w:val="en-US" w:eastAsia="zh-CN"/>
              </w:rPr>
            </w:pPr>
          </w:p>
        </w:tc>
        <w:tc>
          <w:tcPr>
            <w:tcW w:w="1666" w:type="dxa"/>
            <w:vMerge w:val="continue"/>
            <w:vAlign w:val="center"/>
          </w:tcPr>
          <w:p w14:paraId="4A603C9B">
            <w:pPr>
              <w:adjustRightInd w:val="0"/>
              <w:snapToGrid w:val="0"/>
              <w:jc w:val="center"/>
              <w:rPr>
                <w:rFonts w:hint="eastAsia" w:cs="Times New Roman"/>
                <w:color w:val="auto"/>
                <w:sz w:val="21"/>
                <w:szCs w:val="21"/>
                <w:highlight w:val="none"/>
                <w:lang w:val="en-US" w:eastAsia="zh-CN"/>
              </w:rPr>
            </w:pPr>
          </w:p>
        </w:tc>
        <w:tc>
          <w:tcPr>
            <w:tcW w:w="1434" w:type="dxa"/>
            <w:shd w:val="clear" w:color="auto" w:fill="auto"/>
            <w:vAlign w:val="center"/>
          </w:tcPr>
          <w:p w14:paraId="39015483">
            <w:pPr>
              <w:pStyle w:val="35"/>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丙烯腈</w:t>
            </w:r>
          </w:p>
        </w:tc>
        <w:tc>
          <w:tcPr>
            <w:tcW w:w="1864" w:type="dxa"/>
            <w:vAlign w:val="center"/>
          </w:tcPr>
          <w:p w14:paraId="399630D6">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73" w:type="dxa"/>
            <w:shd w:val="clear" w:color="auto" w:fill="auto"/>
            <w:vAlign w:val="center"/>
          </w:tcPr>
          <w:p w14:paraId="7DE1DC33">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《大气污染物综合排放标准》（GB16297-1996）</w:t>
            </w:r>
          </w:p>
        </w:tc>
      </w:tr>
      <w:tr w14:paraId="3E1AD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2FCF6CA7">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水环境</w:t>
            </w:r>
          </w:p>
        </w:tc>
        <w:tc>
          <w:tcPr>
            <w:tcW w:w="1666" w:type="dxa"/>
            <w:vAlign w:val="center"/>
          </w:tcPr>
          <w:p w14:paraId="1729B39B">
            <w:pPr>
              <w:adjustRightInd w:val="0"/>
              <w:snapToGrid w:val="0"/>
              <w:jc w:val="center"/>
              <w:rPr>
                <w:rFonts w:hint="default" w:ascii="宋体" w:hAnsi="宋体" w:eastAsia="宋体" w:cs="宋体"/>
                <w:color w:val="auto"/>
                <w:sz w:val="21"/>
                <w:szCs w:val="21"/>
                <w:highlight w:val="none"/>
                <w:lang w:val="en-US" w:eastAsia="zh-CN"/>
              </w:rPr>
            </w:pPr>
            <w:r>
              <w:rPr>
                <w:color w:val="auto"/>
                <w:sz w:val="21"/>
                <w:szCs w:val="21"/>
                <w:highlight w:val="none"/>
              </w:rPr>
              <w:t>DW001</w:t>
            </w:r>
            <w:r>
              <w:rPr>
                <w:rFonts w:hint="eastAsia" w:ascii="宋体" w:hAnsi="宋体" w:cs="宋体"/>
                <w:color w:val="auto"/>
                <w:sz w:val="21"/>
                <w:szCs w:val="21"/>
                <w:highlight w:val="none"/>
              </w:rPr>
              <w:t>/生活污水</w:t>
            </w:r>
          </w:p>
        </w:tc>
        <w:tc>
          <w:tcPr>
            <w:tcW w:w="1434" w:type="dxa"/>
            <w:vAlign w:val="center"/>
          </w:tcPr>
          <w:p w14:paraId="4F37BAD1">
            <w:pPr>
              <w:adjustRightInd w:val="0"/>
              <w:snapToGrid w:val="0"/>
              <w:jc w:val="center"/>
              <w:rPr>
                <w:color w:val="auto"/>
                <w:sz w:val="21"/>
                <w:szCs w:val="21"/>
                <w:highlight w:val="none"/>
              </w:rPr>
            </w:pPr>
            <w:r>
              <w:rPr>
                <w:color w:val="auto"/>
                <w:sz w:val="21"/>
                <w:szCs w:val="21"/>
                <w:highlight w:val="none"/>
              </w:rPr>
              <w:t>pH、COD、BOD</w:t>
            </w:r>
            <w:r>
              <w:rPr>
                <w:color w:val="auto"/>
                <w:sz w:val="21"/>
                <w:szCs w:val="21"/>
                <w:highlight w:val="none"/>
                <w:vertAlign w:val="subscript"/>
              </w:rPr>
              <w:t>5</w:t>
            </w:r>
            <w:r>
              <w:rPr>
                <w:color w:val="auto"/>
                <w:sz w:val="21"/>
                <w:szCs w:val="21"/>
                <w:highlight w:val="none"/>
              </w:rPr>
              <w:t>、SS、</w:t>
            </w:r>
            <w:r>
              <w:rPr>
                <w:bCs/>
                <w:snapToGrid w:val="0"/>
                <w:color w:val="auto"/>
                <w:kern w:val="0"/>
                <w:sz w:val="21"/>
                <w:szCs w:val="21"/>
                <w:highlight w:val="none"/>
              </w:rPr>
              <w:t>NH</w:t>
            </w:r>
            <w:r>
              <w:rPr>
                <w:bCs/>
                <w:snapToGrid w:val="0"/>
                <w:color w:val="auto"/>
                <w:kern w:val="0"/>
                <w:sz w:val="21"/>
                <w:szCs w:val="21"/>
                <w:highlight w:val="none"/>
                <w:vertAlign w:val="subscript"/>
              </w:rPr>
              <w:t>3</w:t>
            </w:r>
            <w:r>
              <w:rPr>
                <w:bCs/>
                <w:snapToGrid w:val="0"/>
                <w:color w:val="auto"/>
                <w:kern w:val="0"/>
                <w:sz w:val="21"/>
                <w:szCs w:val="21"/>
                <w:highlight w:val="none"/>
              </w:rPr>
              <w:t>-N</w:t>
            </w:r>
          </w:p>
        </w:tc>
        <w:tc>
          <w:tcPr>
            <w:tcW w:w="1864" w:type="dxa"/>
            <w:vAlign w:val="center"/>
          </w:tcPr>
          <w:p w14:paraId="6A3E2B07">
            <w:pPr>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化粪池</w:t>
            </w:r>
          </w:p>
        </w:tc>
        <w:tc>
          <w:tcPr>
            <w:tcW w:w="2473" w:type="dxa"/>
            <w:vAlign w:val="center"/>
          </w:tcPr>
          <w:p w14:paraId="3A15BC34">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《污水综合排放标准》（</w:t>
            </w:r>
            <w:r>
              <w:rPr>
                <w:rFonts w:hint="default" w:ascii="Times New Roman" w:hAnsi="Times New Roman" w:cs="Times New Roman"/>
                <w:color w:val="auto"/>
                <w:sz w:val="21"/>
                <w:szCs w:val="21"/>
                <w:highlight w:val="none"/>
              </w:rPr>
              <w:t>GB8978-1996</w:t>
            </w:r>
            <w:r>
              <w:rPr>
                <w:rFonts w:hint="eastAsia" w:ascii="宋体" w:hAnsi="宋体" w:cs="宋体"/>
                <w:color w:val="auto"/>
                <w:sz w:val="21"/>
                <w:szCs w:val="21"/>
                <w:highlight w:val="none"/>
              </w:rPr>
              <w:t>）中三级标准</w:t>
            </w:r>
            <w:r>
              <w:rPr>
                <w:rFonts w:ascii="宋体" w:hAnsi="宋体" w:cs="宋体"/>
                <w:color w:val="auto"/>
                <w:sz w:val="21"/>
                <w:szCs w:val="21"/>
                <w:highlight w:val="none"/>
              </w:rPr>
              <w:t>并满足污水处理厂接管要求</w:t>
            </w:r>
          </w:p>
        </w:tc>
      </w:tr>
      <w:tr w14:paraId="44C6E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2FBFAC54">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声环境</w:t>
            </w:r>
          </w:p>
        </w:tc>
        <w:tc>
          <w:tcPr>
            <w:tcW w:w="1666" w:type="dxa"/>
            <w:vAlign w:val="center"/>
          </w:tcPr>
          <w:p w14:paraId="6432D706">
            <w:pPr>
              <w:jc w:val="center"/>
              <w:outlineLvl w:val="0"/>
              <w:rPr>
                <w:rFonts w:ascii="宋体" w:hAnsi="宋体" w:cs="宋体"/>
                <w:color w:val="auto"/>
                <w:sz w:val="21"/>
                <w:szCs w:val="21"/>
                <w:highlight w:val="none"/>
              </w:rPr>
            </w:pPr>
            <w:r>
              <w:rPr>
                <w:rFonts w:hint="eastAsia"/>
                <w:color w:val="auto"/>
                <w:sz w:val="21"/>
                <w:szCs w:val="21"/>
                <w:highlight w:val="none"/>
              </w:rPr>
              <w:t>生产设备</w:t>
            </w:r>
          </w:p>
        </w:tc>
        <w:tc>
          <w:tcPr>
            <w:tcW w:w="1434" w:type="dxa"/>
            <w:vAlign w:val="center"/>
          </w:tcPr>
          <w:p w14:paraId="0096BEF5">
            <w:pPr>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设备噪声</w:t>
            </w:r>
          </w:p>
        </w:tc>
        <w:tc>
          <w:tcPr>
            <w:tcW w:w="1864" w:type="dxa"/>
            <w:vAlign w:val="center"/>
          </w:tcPr>
          <w:p w14:paraId="664F12B3">
            <w:pPr>
              <w:adjustRightInd w:val="0"/>
              <w:snapToGrid w:val="0"/>
              <w:jc w:val="center"/>
              <w:rPr>
                <w:rFonts w:ascii="宋体" w:hAnsi="宋体" w:cs="宋体"/>
                <w:color w:val="auto"/>
                <w:sz w:val="21"/>
                <w:szCs w:val="21"/>
                <w:highlight w:val="none"/>
              </w:rPr>
            </w:pPr>
            <w:r>
              <w:rPr>
                <w:color w:val="auto"/>
                <w:sz w:val="21"/>
                <w:szCs w:val="21"/>
                <w:highlight w:val="none"/>
              </w:rPr>
              <w:t>厂房隔声，使用低噪设备，合理安排工作时间等</w:t>
            </w:r>
          </w:p>
        </w:tc>
        <w:tc>
          <w:tcPr>
            <w:tcW w:w="2473" w:type="dxa"/>
            <w:vAlign w:val="center"/>
          </w:tcPr>
          <w:p w14:paraId="12C79C5A">
            <w:pPr>
              <w:adjustRightInd w:val="0"/>
              <w:snapToGrid w:val="0"/>
              <w:jc w:val="center"/>
              <w:rPr>
                <w:rFonts w:ascii="宋体" w:hAnsi="宋体" w:cs="宋体"/>
                <w:color w:val="auto"/>
                <w:sz w:val="21"/>
                <w:szCs w:val="21"/>
                <w:highlight w:val="none"/>
              </w:rPr>
            </w:pPr>
            <w:r>
              <w:rPr>
                <w:rFonts w:hint="eastAsia"/>
                <w:color w:val="auto"/>
                <w:sz w:val="21"/>
                <w:szCs w:val="21"/>
                <w:highlight w:val="none"/>
              </w:rPr>
              <w:t>《工业企业厂界环境噪声排放标准》（GB12348-2008）中的3类标准</w:t>
            </w:r>
          </w:p>
        </w:tc>
      </w:tr>
      <w:tr w14:paraId="30604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0FEF5497">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电磁辐射</w:t>
            </w:r>
          </w:p>
        </w:tc>
        <w:tc>
          <w:tcPr>
            <w:tcW w:w="7437" w:type="dxa"/>
            <w:gridSpan w:val="4"/>
            <w:vAlign w:val="center"/>
          </w:tcPr>
          <w:p w14:paraId="1F6A3B74">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无</w:t>
            </w:r>
          </w:p>
        </w:tc>
      </w:tr>
      <w:tr w14:paraId="6ED1D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03AF8EFD">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固体废物</w:t>
            </w:r>
          </w:p>
        </w:tc>
        <w:tc>
          <w:tcPr>
            <w:tcW w:w="7437" w:type="dxa"/>
            <w:gridSpan w:val="4"/>
            <w:vAlign w:val="center"/>
          </w:tcPr>
          <w:p w14:paraId="2A97F8F9">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color w:val="auto"/>
                <w:sz w:val="21"/>
                <w:szCs w:val="21"/>
                <w:highlight w:val="none"/>
              </w:rPr>
            </w:pPr>
            <w:r>
              <w:rPr>
                <w:rFonts w:hint="eastAsia"/>
                <w:color w:val="auto"/>
                <w:sz w:val="21"/>
                <w:szCs w:val="21"/>
                <w:highlight w:val="none"/>
                <w:lang w:eastAsia="zh-CN" w:bidi="ar"/>
              </w:rPr>
              <w:t>（</w:t>
            </w:r>
            <w:r>
              <w:rPr>
                <w:rFonts w:hint="eastAsia"/>
                <w:color w:val="auto"/>
                <w:sz w:val="21"/>
                <w:szCs w:val="21"/>
                <w:highlight w:val="none"/>
                <w:lang w:val="en-US" w:eastAsia="zh-CN" w:bidi="ar"/>
              </w:rPr>
              <w:t>1</w:t>
            </w:r>
            <w:r>
              <w:rPr>
                <w:rFonts w:hint="eastAsia"/>
                <w:color w:val="auto"/>
                <w:sz w:val="21"/>
                <w:szCs w:val="21"/>
                <w:highlight w:val="none"/>
                <w:lang w:eastAsia="zh-CN" w:bidi="ar"/>
              </w:rPr>
              <w:t>）</w:t>
            </w:r>
            <w:r>
              <w:rPr>
                <w:color w:val="auto"/>
                <w:sz w:val="21"/>
                <w:szCs w:val="21"/>
                <w:highlight w:val="none"/>
                <w:lang w:bidi="ar"/>
              </w:rPr>
              <w:t>生活垃圾由环卫部门清运</w:t>
            </w:r>
            <w:r>
              <w:rPr>
                <w:rFonts w:hint="eastAsia"/>
                <w:color w:val="auto"/>
                <w:sz w:val="21"/>
                <w:szCs w:val="21"/>
                <w:highlight w:val="none"/>
                <w:lang w:bidi="ar"/>
              </w:rPr>
              <w:t>；</w:t>
            </w:r>
          </w:p>
          <w:p w14:paraId="7DEF957C">
            <w:pPr>
              <w:adjustRightInd w:val="0"/>
              <w:snapToGrid w:val="0"/>
              <w:spacing w:line="360" w:lineRule="auto"/>
              <w:rPr>
                <w:rFonts w:ascii="宋体" w:hAnsi="宋体" w:cs="宋体"/>
                <w:color w:val="auto"/>
                <w:sz w:val="21"/>
                <w:szCs w:val="21"/>
                <w:highlight w:val="none"/>
              </w:rPr>
            </w:pPr>
            <w:r>
              <w:rPr>
                <w:rFonts w:hint="eastAsia"/>
                <w:color w:val="auto"/>
                <w:sz w:val="21"/>
                <w:szCs w:val="21"/>
                <w:highlight w:val="none"/>
                <w:lang w:eastAsia="zh-CN" w:bidi="ar"/>
              </w:rPr>
              <w:t>（</w:t>
            </w:r>
            <w:r>
              <w:rPr>
                <w:rFonts w:hint="eastAsia"/>
                <w:color w:val="auto"/>
                <w:sz w:val="21"/>
                <w:szCs w:val="21"/>
                <w:highlight w:val="none"/>
                <w:lang w:val="en-US" w:eastAsia="zh-CN" w:bidi="ar"/>
              </w:rPr>
              <w:t>2</w:t>
            </w:r>
            <w:r>
              <w:rPr>
                <w:rFonts w:hint="eastAsia"/>
                <w:color w:val="auto"/>
                <w:sz w:val="21"/>
                <w:szCs w:val="21"/>
                <w:highlight w:val="none"/>
                <w:lang w:eastAsia="zh-CN" w:bidi="ar"/>
              </w:rPr>
              <w:t>）</w:t>
            </w:r>
            <w:r>
              <w:rPr>
                <w:rFonts w:hint="eastAsia"/>
                <w:color w:val="auto"/>
                <w:sz w:val="21"/>
                <w:szCs w:val="21"/>
                <w:highlight w:val="none"/>
                <w:lang w:val="en-US" w:eastAsia="zh-CN" w:bidi="ar"/>
              </w:rPr>
              <w:t>不合格品及边角料、漆渣、</w:t>
            </w:r>
            <w:r>
              <w:rPr>
                <w:rFonts w:hint="eastAsia"/>
                <w:color w:val="auto"/>
                <w:sz w:val="21"/>
                <w:szCs w:val="21"/>
                <w:highlight w:val="none"/>
                <w:lang w:val="en-US" w:eastAsia="zh-CN"/>
              </w:rPr>
              <w:t>废活性炭</w:t>
            </w:r>
            <w:r>
              <w:rPr>
                <w:rFonts w:hint="eastAsia" w:cs="Times New Roman"/>
                <w:color w:val="auto"/>
                <w:kern w:val="2"/>
                <w:sz w:val="21"/>
                <w:szCs w:val="21"/>
                <w:highlight w:val="none"/>
                <w:lang w:val="en-US" w:eastAsia="zh-CN" w:bidi="ar-SA"/>
              </w:rPr>
              <w:t>、废紫外线灯、废机油、废油桶</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废桶（废漆桶、废稀释剂桶、废固化剂桶）</w:t>
            </w:r>
            <w:r>
              <w:rPr>
                <w:rFonts w:hint="eastAsia"/>
                <w:color w:val="auto"/>
                <w:sz w:val="21"/>
                <w:szCs w:val="21"/>
                <w:highlight w:val="none"/>
                <w:lang w:val="en-US" w:eastAsia="zh-CN"/>
              </w:rPr>
              <w:t>、废活化水、废催化剂、喷淋废水</w:t>
            </w:r>
            <w:r>
              <w:rPr>
                <w:rFonts w:hint="eastAsia"/>
                <w:color w:val="auto"/>
                <w:sz w:val="21"/>
                <w:szCs w:val="21"/>
                <w:highlight w:val="none"/>
                <w:lang w:bidi="ar"/>
              </w:rPr>
              <w:t>收集后暂存于危险废物暂存库内，由有资质单位进行处理。</w:t>
            </w:r>
          </w:p>
        </w:tc>
      </w:tr>
      <w:tr w14:paraId="25464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1713AF96">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土壤及地下水</w:t>
            </w:r>
          </w:p>
          <w:p w14:paraId="775C9E25">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污染防治措施</w:t>
            </w:r>
          </w:p>
        </w:tc>
        <w:tc>
          <w:tcPr>
            <w:tcW w:w="7437" w:type="dxa"/>
            <w:gridSpan w:val="4"/>
            <w:vAlign w:val="center"/>
          </w:tcPr>
          <w:p w14:paraId="5E0F224D">
            <w:pPr>
              <w:keepNext w:val="0"/>
              <w:keepLines w:val="0"/>
              <w:pageBreakBefore w:val="0"/>
              <w:widowControl w:val="0"/>
              <w:kinsoku/>
              <w:wordWrap/>
              <w:overflowPunct/>
              <w:topLinePunct w:val="0"/>
              <w:autoSpaceDE/>
              <w:autoSpaceDN/>
              <w:bidi w:val="0"/>
              <w:spacing w:line="360" w:lineRule="auto"/>
              <w:jc w:val="both"/>
              <w:textAlignment w:val="auto"/>
              <w:outlineLvl w:val="0"/>
              <w:rPr>
                <w:rFonts w:hint="eastAsia" w:eastAsia="宋体"/>
                <w:color w:val="auto"/>
                <w:sz w:val="21"/>
                <w:szCs w:val="21"/>
                <w:highlight w:val="none"/>
                <w:lang w:eastAsia="zh-CN"/>
              </w:rPr>
            </w:pPr>
            <w:r>
              <w:rPr>
                <w:rFonts w:hint="eastAsia" w:eastAsia="宋体"/>
                <w:color w:val="auto"/>
                <w:sz w:val="21"/>
                <w:szCs w:val="21"/>
                <w:highlight w:val="none"/>
                <w:lang w:val="en-US" w:eastAsia="zh-CN"/>
              </w:rPr>
              <w:t>1、危险废物暂存间：</w:t>
            </w:r>
            <w:r>
              <w:rPr>
                <w:rFonts w:hint="eastAsia" w:eastAsia="宋体"/>
                <w:color w:val="auto"/>
                <w:sz w:val="21"/>
                <w:szCs w:val="21"/>
                <w:highlight w:val="none"/>
                <w:lang w:eastAsia="zh-CN"/>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eastAsia" w:eastAsia="宋体"/>
                <w:color w:val="auto"/>
                <w:sz w:val="21"/>
                <w:szCs w:val="21"/>
                <w:highlight w:val="none"/>
                <w:vertAlign w:val="superscript"/>
                <w:lang w:eastAsia="zh-CN"/>
              </w:rPr>
              <w:t>-7</w:t>
            </w:r>
            <w:r>
              <w:rPr>
                <w:rFonts w:hint="eastAsia" w:eastAsia="宋体"/>
                <w:color w:val="auto"/>
                <w:sz w:val="21"/>
                <w:szCs w:val="21"/>
                <w:highlight w:val="none"/>
                <w:lang w:eastAsia="zh-CN"/>
              </w:rPr>
              <w:t>cm/s），或至少2mm厚高密度聚乙烯膜等人工防渗材料（渗透系数不大于10</w:t>
            </w:r>
            <w:r>
              <w:rPr>
                <w:rFonts w:hint="eastAsia" w:eastAsia="宋体"/>
                <w:color w:val="auto"/>
                <w:sz w:val="21"/>
                <w:szCs w:val="21"/>
                <w:highlight w:val="none"/>
                <w:vertAlign w:val="superscript"/>
                <w:lang w:eastAsia="zh-CN"/>
              </w:rPr>
              <w:t>-10</w:t>
            </w:r>
            <w:r>
              <w:rPr>
                <w:rFonts w:hint="eastAsia" w:eastAsia="宋体"/>
                <w:color w:val="auto"/>
                <w:sz w:val="21"/>
                <w:szCs w:val="21"/>
                <w:highlight w:val="none"/>
                <w:lang w:eastAsia="zh-CN"/>
              </w:rPr>
              <w:t>cm/s），或其他防渗性能等效的材料；</w:t>
            </w:r>
          </w:p>
          <w:p w14:paraId="6E0025D4">
            <w:pPr>
              <w:keepNext w:val="0"/>
              <w:keepLines w:val="0"/>
              <w:pageBreakBefore w:val="0"/>
              <w:widowControl w:val="0"/>
              <w:kinsoku/>
              <w:wordWrap/>
              <w:overflowPunct/>
              <w:topLinePunct w:val="0"/>
              <w:autoSpaceDE/>
              <w:autoSpaceDN/>
              <w:bidi w:val="0"/>
              <w:spacing w:line="360" w:lineRule="auto"/>
              <w:jc w:val="both"/>
              <w:textAlignment w:val="auto"/>
              <w:outlineLvl w:val="0"/>
              <w:rPr>
                <w:rFonts w:hint="eastAsia" w:eastAsia="宋体"/>
                <w:color w:val="auto"/>
                <w:sz w:val="21"/>
                <w:szCs w:val="21"/>
                <w:highlight w:val="none"/>
                <w:lang w:val="en-US" w:eastAsia="zh-CN"/>
              </w:rPr>
            </w:pPr>
            <w:r>
              <w:rPr>
                <w:rFonts w:hint="eastAsia"/>
                <w:color w:val="auto"/>
                <w:sz w:val="21"/>
                <w:szCs w:val="21"/>
                <w:highlight w:val="none"/>
                <w:lang w:val="en-US" w:eastAsia="zh-CN"/>
              </w:rPr>
              <w:t>2、喷漆房、调漆房：</w:t>
            </w:r>
            <w:r>
              <w:rPr>
                <w:rFonts w:hint="eastAsia"/>
                <w:color w:val="auto"/>
                <w:sz w:val="21"/>
                <w:szCs w:val="21"/>
                <w:highlight w:val="none"/>
              </w:rPr>
              <w:t>等效黏土防渗层Mb≥6.0m，K≤1.0×10</w:t>
            </w:r>
            <w:r>
              <w:rPr>
                <w:rFonts w:hint="eastAsia"/>
                <w:color w:val="auto"/>
                <w:sz w:val="21"/>
                <w:szCs w:val="21"/>
                <w:highlight w:val="none"/>
                <w:vertAlign w:val="superscript"/>
              </w:rPr>
              <w:t>-7</w:t>
            </w:r>
            <w:r>
              <w:rPr>
                <w:rFonts w:hint="eastAsia"/>
                <w:color w:val="auto"/>
                <w:sz w:val="21"/>
                <w:szCs w:val="21"/>
                <w:highlight w:val="none"/>
              </w:rPr>
              <w:t>cm/s；或参照GB 18598执行</w:t>
            </w:r>
            <w:r>
              <w:rPr>
                <w:rFonts w:hint="eastAsia"/>
                <w:color w:val="auto"/>
                <w:sz w:val="21"/>
                <w:szCs w:val="21"/>
                <w:highlight w:val="none"/>
                <w:lang w:eastAsia="zh-CN"/>
              </w:rPr>
              <w:t>；</w:t>
            </w:r>
          </w:p>
          <w:p w14:paraId="78DBB779">
            <w:pPr>
              <w:keepNext w:val="0"/>
              <w:keepLines w:val="0"/>
              <w:pageBreakBefore w:val="0"/>
              <w:widowControl w:val="0"/>
              <w:kinsoku/>
              <w:wordWrap/>
              <w:overflowPunct/>
              <w:topLinePunct w:val="0"/>
              <w:autoSpaceDE/>
              <w:autoSpaceDN/>
              <w:bidi w:val="0"/>
              <w:spacing w:line="360" w:lineRule="auto"/>
              <w:jc w:val="both"/>
              <w:textAlignment w:val="auto"/>
              <w:outlineLvl w:val="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eastAsia="宋体"/>
                <w:color w:val="auto"/>
                <w:sz w:val="21"/>
                <w:szCs w:val="21"/>
                <w:highlight w:val="none"/>
                <w:lang w:val="en-US" w:eastAsia="zh-CN"/>
              </w:rPr>
              <w:t>、</w:t>
            </w:r>
            <w:r>
              <w:rPr>
                <w:rFonts w:hint="eastAsia" w:eastAsia="宋体"/>
                <w:color w:val="auto"/>
                <w:sz w:val="21"/>
                <w:szCs w:val="21"/>
                <w:highlight w:val="none"/>
                <w:lang w:eastAsia="zh-CN"/>
              </w:rPr>
              <w:t>生产车间</w:t>
            </w:r>
            <w:r>
              <w:rPr>
                <w:rFonts w:hint="eastAsia" w:eastAsia="宋体"/>
                <w:color w:val="auto"/>
                <w:sz w:val="21"/>
                <w:szCs w:val="21"/>
                <w:highlight w:val="none"/>
                <w:lang w:val="en-US" w:eastAsia="zh-CN"/>
              </w:rPr>
              <w:t>、化粪池：</w:t>
            </w:r>
            <w:r>
              <w:rPr>
                <w:rFonts w:hint="eastAsia" w:eastAsia="宋体"/>
                <w:color w:val="auto"/>
                <w:sz w:val="21"/>
                <w:szCs w:val="21"/>
                <w:highlight w:val="none"/>
                <w:lang w:eastAsia="zh-CN"/>
              </w:rPr>
              <w:t>等效黏土防水层Mb≥1.5m，K≤1.0×10</w:t>
            </w:r>
            <w:r>
              <w:rPr>
                <w:rFonts w:hint="eastAsia" w:eastAsia="宋体"/>
                <w:color w:val="auto"/>
                <w:sz w:val="21"/>
                <w:szCs w:val="21"/>
                <w:highlight w:val="none"/>
                <w:vertAlign w:val="superscript"/>
                <w:lang w:eastAsia="zh-CN"/>
              </w:rPr>
              <w:t>-7</w:t>
            </w:r>
            <w:r>
              <w:rPr>
                <w:rFonts w:hint="eastAsia" w:eastAsia="宋体"/>
                <w:color w:val="auto"/>
                <w:sz w:val="21"/>
                <w:szCs w:val="21"/>
                <w:highlight w:val="none"/>
                <w:lang w:eastAsia="zh-CN"/>
              </w:rPr>
              <w:t>cm/s；或参照GB 1</w:t>
            </w:r>
            <w:r>
              <w:rPr>
                <w:rFonts w:hint="eastAsia" w:eastAsia="宋体"/>
                <w:color w:val="auto"/>
                <w:sz w:val="21"/>
                <w:szCs w:val="21"/>
                <w:highlight w:val="none"/>
                <w:lang w:val="en-US" w:eastAsia="zh-CN"/>
              </w:rPr>
              <w:t>6889</w:t>
            </w:r>
            <w:r>
              <w:rPr>
                <w:rFonts w:hint="eastAsia" w:eastAsia="宋体"/>
                <w:color w:val="auto"/>
                <w:sz w:val="21"/>
                <w:szCs w:val="21"/>
                <w:highlight w:val="none"/>
                <w:lang w:eastAsia="zh-CN"/>
              </w:rPr>
              <w:t>执行；</w:t>
            </w:r>
          </w:p>
          <w:p w14:paraId="03DED71B">
            <w:pPr>
              <w:keepNext w:val="0"/>
              <w:keepLines w:val="0"/>
              <w:pageBreakBefore w:val="0"/>
              <w:widowControl w:val="0"/>
              <w:kinsoku/>
              <w:wordWrap/>
              <w:overflowPunct/>
              <w:topLinePunct w:val="0"/>
              <w:autoSpaceDE/>
              <w:autoSpaceDN/>
              <w:bidi w:val="0"/>
              <w:spacing w:line="360" w:lineRule="auto"/>
              <w:jc w:val="both"/>
              <w:textAlignment w:val="auto"/>
              <w:outlineLvl w:val="0"/>
              <w:rPr>
                <w:rFonts w:hint="eastAsia" w:eastAsia="宋体"/>
                <w:color w:val="auto"/>
                <w:sz w:val="21"/>
                <w:szCs w:val="21"/>
                <w:highlight w:val="none"/>
                <w:lang w:eastAsia="zh-CN"/>
              </w:rPr>
            </w:pPr>
            <w:r>
              <w:rPr>
                <w:rFonts w:hint="eastAsia"/>
                <w:color w:val="auto"/>
                <w:sz w:val="21"/>
                <w:szCs w:val="21"/>
                <w:highlight w:val="none"/>
                <w:lang w:val="en-US" w:eastAsia="zh-CN"/>
              </w:rPr>
              <w:t>4</w:t>
            </w:r>
            <w:r>
              <w:rPr>
                <w:rFonts w:hint="eastAsia" w:eastAsia="宋体"/>
                <w:color w:val="auto"/>
                <w:sz w:val="21"/>
                <w:szCs w:val="21"/>
                <w:highlight w:val="none"/>
                <w:lang w:val="en-US" w:eastAsia="zh-CN"/>
              </w:rPr>
              <w:t>、办公区域：一般地面硬化。</w:t>
            </w:r>
          </w:p>
        </w:tc>
      </w:tr>
      <w:tr w14:paraId="6D889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19B1CAA4">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生态保护措施</w:t>
            </w:r>
          </w:p>
        </w:tc>
        <w:tc>
          <w:tcPr>
            <w:tcW w:w="7437" w:type="dxa"/>
            <w:gridSpan w:val="4"/>
            <w:vAlign w:val="center"/>
          </w:tcPr>
          <w:p w14:paraId="218469B4">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ascii="宋体" w:hAnsi="宋体" w:cs="宋体"/>
                <w:color w:val="auto"/>
                <w:sz w:val="21"/>
                <w:szCs w:val="21"/>
                <w:highlight w:val="none"/>
              </w:rPr>
            </w:pPr>
            <w:r>
              <w:rPr>
                <w:color w:val="auto"/>
                <w:sz w:val="21"/>
                <w:szCs w:val="21"/>
                <w:highlight w:val="none"/>
              </w:rPr>
              <w:t>项</w:t>
            </w:r>
            <w:r>
              <w:rPr>
                <w:rFonts w:hint="eastAsia"/>
                <w:color w:val="auto"/>
                <w:sz w:val="21"/>
                <w:szCs w:val="21"/>
                <w:highlight w:val="none"/>
              </w:rPr>
              <w:t>目区域附近无自然保护区，人文景观和名胜古迹等环境敏感点，周围没有需要特殊保护的生态环境。项目建设不会对周围生态环境造成影响。</w:t>
            </w:r>
          </w:p>
        </w:tc>
      </w:tr>
      <w:tr w14:paraId="364FD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09794983">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环境风险</w:t>
            </w:r>
          </w:p>
          <w:p w14:paraId="1B3BB710">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防范措施</w:t>
            </w:r>
          </w:p>
        </w:tc>
        <w:tc>
          <w:tcPr>
            <w:tcW w:w="7437" w:type="dxa"/>
            <w:gridSpan w:val="4"/>
            <w:vAlign w:val="center"/>
          </w:tcPr>
          <w:p w14:paraId="55B8ED0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eastAsia="宋体"/>
                <w:color w:val="auto"/>
                <w:sz w:val="21"/>
                <w:szCs w:val="21"/>
                <w:highlight w:val="none"/>
                <w:lang w:eastAsia="zh-CN"/>
              </w:rPr>
            </w:pPr>
            <w:r>
              <w:rPr>
                <w:rFonts w:hint="eastAsia"/>
                <w:color w:val="auto"/>
                <w:sz w:val="21"/>
                <w:szCs w:val="21"/>
                <w:highlight w:val="none"/>
              </w:rPr>
              <w:t>原辅料按相关要求贮存，明确贮存注意事项并要求专人负责看管</w:t>
            </w:r>
            <w:r>
              <w:rPr>
                <w:color w:val="auto"/>
                <w:sz w:val="21"/>
                <w:szCs w:val="21"/>
                <w:highlight w:val="none"/>
              </w:rPr>
              <w:t>。定期对生产设施、包装设施以及相应环保设施等进行安全状况检查，</w:t>
            </w:r>
            <w:r>
              <w:rPr>
                <w:rFonts w:hint="eastAsia"/>
                <w:color w:val="auto"/>
                <w:sz w:val="21"/>
                <w:szCs w:val="21"/>
                <w:highlight w:val="none"/>
                <w:lang w:val="en-US" w:eastAsia="zh-CN"/>
              </w:rPr>
              <w:t>油类存储区</w:t>
            </w:r>
            <w:r>
              <w:rPr>
                <w:rFonts w:hint="eastAsia"/>
                <w:color w:val="auto"/>
                <w:sz w:val="21"/>
                <w:szCs w:val="21"/>
                <w:highlight w:val="none"/>
              </w:rPr>
              <w:t>域</w:t>
            </w:r>
            <w:r>
              <w:rPr>
                <w:rFonts w:hint="eastAsia"/>
                <w:color w:val="auto"/>
                <w:sz w:val="21"/>
                <w:szCs w:val="21"/>
                <w:highlight w:val="none"/>
                <w:lang w:val="en-US" w:eastAsia="zh-CN"/>
              </w:rPr>
              <w:t>、</w:t>
            </w:r>
            <w:r>
              <w:rPr>
                <w:color w:val="auto"/>
                <w:sz w:val="21"/>
                <w:szCs w:val="21"/>
                <w:highlight w:val="none"/>
              </w:rPr>
              <w:t>危废暂存间等应进行防渗、防泄漏措施；车间内配置相应的消防设备、设施、防毒、灭火物资等消防、安全设施；制定严格的运行操作规章制度，发生火灾、爆炸事故后，灭火的同时疏散周边无关人员；制定应急预案等</w:t>
            </w:r>
          </w:p>
        </w:tc>
      </w:tr>
      <w:tr w14:paraId="4BFBA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14:paraId="06A2F38D">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其他环境</w:t>
            </w:r>
          </w:p>
          <w:p w14:paraId="444D65FA">
            <w:pPr>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管理要求</w:t>
            </w:r>
          </w:p>
        </w:tc>
        <w:tc>
          <w:tcPr>
            <w:tcW w:w="7437" w:type="dxa"/>
            <w:gridSpan w:val="4"/>
            <w:vAlign w:val="center"/>
          </w:tcPr>
          <w:p w14:paraId="1155969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left"/>
              <w:textAlignment w:val="auto"/>
              <w:rPr>
                <w:b/>
                <w:bCs/>
                <w:color w:val="auto"/>
                <w:sz w:val="21"/>
                <w:szCs w:val="21"/>
                <w:highlight w:val="none"/>
              </w:rPr>
            </w:pPr>
            <w:r>
              <w:rPr>
                <w:b/>
                <w:bCs/>
                <w:color w:val="auto"/>
                <w:sz w:val="21"/>
                <w:szCs w:val="21"/>
                <w:highlight w:val="none"/>
              </w:rPr>
              <w:t>1、排放口</w:t>
            </w:r>
            <w:r>
              <w:rPr>
                <w:rFonts w:hint="eastAsia"/>
                <w:b/>
                <w:bCs/>
                <w:color w:val="auto"/>
                <w:sz w:val="21"/>
                <w:szCs w:val="21"/>
                <w:highlight w:val="none"/>
                <w:lang w:val="en-US" w:eastAsia="zh-CN"/>
              </w:rPr>
              <w:t>规范</w:t>
            </w:r>
            <w:r>
              <w:rPr>
                <w:b/>
                <w:bCs/>
                <w:color w:val="auto"/>
                <w:sz w:val="21"/>
                <w:szCs w:val="21"/>
                <w:highlight w:val="none"/>
              </w:rPr>
              <w:t>化及信息公开化</w:t>
            </w:r>
          </w:p>
          <w:p w14:paraId="79A497CB">
            <w:pPr>
              <w:adjustRightInd w:val="0"/>
              <w:snapToGrid w:val="0"/>
              <w:spacing w:line="360" w:lineRule="auto"/>
              <w:ind w:firstLine="420" w:firstLineChars="200"/>
              <w:jc w:val="left"/>
              <w:rPr>
                <w:color w:val="auto"/>
                <w:sz w:val="21"/>
                <w:szCs w:val="21"/>
                <w:highlight w:val="none"/>
              </w:rPr>
            </w:pPr>
            <w:r>
              <w:rPr>
                <w:color w:val="auto"/>
                <w:sz w:val="21"/>
                <w:szCs w:val="21"/>
                <w:highlight w:val="none"/>
              </w:rPr>
              <w:t>根据《关于开展排放口规范化整治工作的通知》（环发</w:t>
            </w:r>
            <w:r>
              <w:rPr>
                <w:rFonts w:hint="eastAsia"/>
                <w:color w:val="auto"/>
                <w:sz w:val="21"/>
                <w:szCs w:val="21"/>
                <w:highlight w:val="none"/>
              </w:rPr>
              <w:t>【1999】</w:t>
            </w:r>
            <w:r>
              <w:rPr>
                <w:color w:val="auto"/>
                <w:sz w:val="21"/>
                <w:szCs w:val="21"/>
                <w:highlight w:val="none"/>
              </w:rPr>
              <w:t>24号）、《排污口规范化整治技术要求》（环监</w:t>
            </w:r>
            <w:r>
              <w:rPr>
                <w:rFonts w:hint="eastAsia"/>
                <w:color w:val="auto"/>
                <w:sz w:val="21"/>
                <w:szCs w:val="21"/>
                <w:highlight w:val="none"/>
              </w:rPr>
              <w:t>【1996】</w:t>
            </w:r>
            <w:r>
              <w:rPr>
                <w:color w:val="auto"/>
                <w:sz w:val="21"/>
                <w:szCs w:val="21"/>
                <w:highlight w:val="none"/>
              </w:rPr>
              <w:t>470号）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58124847">
            <w:pPr>
              <w:adjustRightInd w:val="0"/>
              <w:snapToGrid w:val="0"/>
              <w:spacing w:line="360" w:lineRule="auto"/>
              <w:ind w:firstLine="422" w:firstLineChars="200"/>
              <w:jc w:val="left"/>
              <w:rPr>
                <w:b/>
                <w:bCs/>
                <w:color w:val="auto"/>
                <w:sz w:val="21"/>
                <w:szCs w:val="21"/>
                <w:highlight w:val="none"/>
              </w:rPr>
            </w:pPr>
            <w:r>
              <w:rPr>
                <w:b/>
                <w:bCs/>
                <w:color w:val="auto"/>
                <w:sz w:val="21"/>
                <w:szCs w:val="21"/>
                <w:highlight w:val="none"/>
              </w:rPr>
              <w:t>2、排污许可衔接</w:t>
            </w:r>
          </w:p>
          <w:p w14:paraId="4A768B58">
            <w:pPr>
              <w:pStyle w:val="33"/>
              <w:snapToGrid w:val="0"/>
              <w:spacing w:line="360" w:lineRule="auto"/>
              <w:ind w:firstLine="420" w:firstLineChars="200"/>
              <w:rPr>
                <w:color w:val="auto"/>
                <w:sz w:val="21"/>
                <w:szCs w:val="21"/>
                <w:highlight w:val="none"/>
              </w:rPr>
            </w:pPr>
            <w:r>
              <w:rPr>
                <w:color w:val="auto"/>
                <w:sz w:val="21"/>
                <w:szCs w:val="21"/>
                <w:highlight w:val="none"/>
              </w:rPr>
              <w:t>根据《固定污染源排污许可分类管理名录》（2019年版），</w:t>
            </w:r>
            <w:r>
              <w:rPr>
                <w:rFonts w:hint="eastAsia"/>
                <w:color w:val="auto"/>
                <w:sz w:val="21"/>
                <w:szCs w:val="21"/>
                <w:highlight w:val="none"/>
              </w:rPr>
              <w:t>本项目行业类别属于“</w:t>
            </w:r>
            <w:r>
              <w:rPr>
                <w:rFonts w:hint="eastAsia"/>
                <w:color w:val="auto"/>
                <w:sz w:val="21"/>
                <w:szCs w:val="21"/>
                <w:highlight w:val="none"/>
                <w:lang w:val="en-US" w:eastAsia="zh-CN"/>
              </w:rPr>
              <w:t>二十四、橡胶和塑料制品业29 62.塑料制品业292</w:t>
            </w:r>
            <w:r>
              <w:rPr>
                <w:rFonts w:hint="eastAsia"/>
                <w:color w:val="auto"/>
                <w:sz w:val="21"/>
                <w:szCs w:val="21"/>
                <w:highlight w:val="none"/>
              </w:rPr>
              <w:t>”中，实行排污许可</w:t>
            </w:r>
            <w:r>
              <w:rPr>
                <w:rFonts w:hint="eastAsia"/>
                <w:color w:val="auto"/>
                <w:sz w:val="21"/>
                <w:szCs w:val="21"/>
                <w:highlight w:val="none"/>
                <w:lang w:val="en-US" w:eastAsia="zh-CN"/>
              </w:rPr>
              <w:t>登记</w:t>
            </w:r>
            <w:r>
              <w:rPr>
                <w:rFonts w:hint="eastAsia"/>
                <w:color w:val="auto"/>
                <w:sz w:val="21"/>
                <w:szCs w:val="21"/>
                <w:highlight w:val="none"/>
              </w:rPr>
              <w:t>管理。</w:t>
            </w:r>
          </w:p>
          <w:p w14:paraId="7F09E7F3">
            <w:pPr>
              <w:adjustRightInd w:val="0"/>
              <w:snapToGrid w:val="0"/>
              <w:spacing w:line="360" w:lineRule="auto"/>
              <w:ind w:firstLine="422" w:firstLineChars="200"/>
              <w:jc w:val="left"/>
              <w:rPr>
                <w:b/>
                <w:bCs/>
                <w:color w:val="auto"/>
                <w:sz w:val="21"/>
                <w:szCs w:val="21"/>
                <w:highlight w:val="none"/>
              </w:rPr>
            </w:pPr>
            <w:r>
              <w:rPr>
                <w:b/>
                <w:bCs/>
                <w:color w:val="auto"/>
                <w:sz w:val="21"/>
                <w:szCs w:val="21"/>
                <w:highlight w:val="none"/>
              </w:rPr>
              <w:t>3、竣工环境保护设施验收</w:t>
            </w:r>
          </w:p>
          <w:p w14:paraId="283DBE9D">
            <w:pPr>
              <w:adjustRightInd w:val="0"/>
              <w:snapToGrid w:val="0"/>
              <w:spacing w:line="360" w:lineRule="auto"/>
              <w:ind w:firstLine="420" w:firstLineChars="200"/>
              <w:jc w:val="left"/>
              <w:rPr>
                <w:color w:val="auto"/>
                <w:sz w:val="21"/>
                <w:szCs w:val="21"/>
                <w:highlight w:val="none"/>
              </w:rPr>
            </w:pPr>
            <w:r>
              <w:rPr>
                <w:color w:val="auto"/>
                <w:sz w:val="21"/>
                <w:szCs w:val="21"/>
                <w:highlight w:val="none"/>
              </w:rPr>
              <w:t>根据《建设项目竣工环境保护验收暂行办法》的规定，建设项目竣工后，建设单位应当如实查验、监测、记载建设项目环境保护设施的建设和调试情况，编制验收监测报告。</w:t>
            </w:r>
          </w:p>
        </w:tc>
      </w:tr>
    </w:tbl>
    <w:p w14:paraId="1C4B6776">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518AEB97">
      <w:pPr>
        <w:spacing w:line="360" w:lineRule="auto"/>
        <w:jc w:val="center"/>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sz w:val="30"/>
          <w:szCs w:val="30"/>
          <w:highlight w:val="none"/>
        </w:rPr>
        <w:t>六、结论</w:t>
      </w:r>
    </w:p>
    <w:tbl>
      <w:tblPr>
        <w:tblStyle w:val="2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4565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42EF7EA">
            <w:pPr>
              <w:adjustRightInd w:val="0"/>
              <w:snapToGrid w:val="0"/>
              <w:spacing w:before="120" w:beforeLines="50" w:line="360" w:lineRule="auto"/>
              <w:ind w:firstLine="480" w:firstLineChars="200"/>
              <w:jc w:val="left"/>
              <w:rPr>
                <w:color w:val="auto"/>
                <w:highlight w:val="none"/>
              </w:rPr>
            </w:pPr>
            <w:r>
              <w:rPr>
                <w:rFonts w:hint="eastAsia"/>
                <w:color w:val="auto"/>
                <w:highlight w:val="none"/>
              </w:rPr>
              <w:t>本项目的建设符合国家和地方产业政策要求，项目选址符合当地规划要求。项目运行期产生的污染物在采取了本报告表提出的防治措施并严格落实后，可保证污染物稳定达标排放。因此，从环境保护的角度分析，本项目的建设是可行的。</w:t>
            </w:r>
          </w:p>
          <w:p w14:paraId="6ED79D22">
            <w:pPr>
              <w:adjustRightInd w:val="0"/>
              <w:snapToGrid w:val="0"/>
              <w:spacing w:before="120" w:beforeLines="50" w:line="360" w:lineRule="auto"/>
              <w:ind w:firstLine="480" w:firstLineChars="200"/>
              <w:jc w:val="left"/>
              <w:rPr>
                <w:color w:val="auto"/>
                <w:highlight w:val="none"/>
              </w:rPr>
            </w:pPr>
          </w:p>
          <w:p w14:paraId="17E305C9">
            <w:pPr>
              <w:adjustRightInd w:val="0"/>
              <w:snapToGrid w:val="0"/>
              <w:spacing w:before="120" w:beforeLines="50" w:line="360" w:lineRule="auto"/>
              <w:ind w:firstLine="480" w:firstLineChars="200"/>
              <w:jc w:val="left"/>
              <w:rPr>
                <w:color w:val="auto"/>
                <w:highlight w:val="none"/>
              </w:rPr>
            </w:pPr>
          </w:p>
          <w:p w14:paraId="5E253B03">
            <w:pPr>
              <w:adjustRightInd w:val="0"/>
              <w:snapToGrid w:val="0"/>
              <w:spacing w:before="120" w:beforeLines="50" w:line="360" w:lineRule="auto"/>
              <w:ind w:firstLine="480" w:firstLineChars="200"/>
              <w:jc w:val="left"/>
              <w:rPr>
                <w:color w:val="auto"/>
                <w:highlight w:val="none"/>
              </w:rPr>
            </w:pPr>
          </w:p>
          <w:p w14:paraId="68EC07F9">
            <w:pPr>
              <w:adjustRightInd w:val="0"/>
              <w:snapToGrid w:val="0"/>
              <w:spacing w:before="120" w:beforeLines="50" w:line="360" w:lineRule="auto"/>
              <w:ind w:firstLine="480" w:firstLineChars="200"/>
              <w:jc w:val="left"/>
              <w:rPr>
                <w:color w:val="auto"/>
                <w:highlight w:val="none"/>
              </w:rPr>
            </w:pPr>
          </w:p>
          <w:p w14:paraId="7D41E840">
            <w:pPr>
              <w:adjustRightInd w:val="0"/>
              <w:snapToGrid w:val="0"/>
              <w:spacing w:before="120" w:beforeLines="50" w:line="360" w:lineRule="auto"/>
              <w:ind w:firstLine="480" w:firstLineChars="200"/>
              <w:jc w:val="left"/>
              <w:rPr>
                <w:color w:val="auto"/>
                <w:highlight w:val="none"/>
              </w:rPr>
            </w:pPr>
          </w:p>
          <w:p w14:paraId="0579B34A">
            <w:pPr>
              <w:adjustRightInd w:val="0"/>
              <w:snapToGrid w:val="0"/>
              <w:spacing w:before="120" w:beforeLines="50" w:line="360" w:lineRule="auto"/>
              <w:ind w:firstLine="480" w:firstLineChars="200"/>
              <w:jc w:val="left"/>
              <w:rPr>
                <w:color w:val="auto"/>
                <w:highlight w:val="none"/>
              </w:rPr>
            </w:pPr>
          </w:p>
          <w:p w14:paraId="14509B98">
            <w:pPr>
              <w:adjustRightInd w:val="0"/>
              <w:snapToGrid w:val="0"/>
              <w:spacing w:before="120" w:beforeLines="50" w:line="360" w:lineRule="auto"/>
              <w:ind w:firstLine="480" w:firstLineChars="200"/>
              <w:jc w:val="left"/>
              <w:rPr>
                <w:color w:val="auto"/>
                <w:highlight w:val="none"/>
              </w:rPr>
            </w:pPr>
          </w:p>
          <w:p w14:paraId="013FAF55">
            <w:pPr>
              <w:adjustRightInd w:val="0"/>
              <w:snapToGrid w:val="0"/>
              <w:spacing w:before="120" w:beforeLines="50" w:line="360" w:lineRule="auto"/>
              <w:ind w:firstLine="480" w:firstLineChars="200"/>
              <w:jc w:val="left"/>
              <w:rPr>
                <w:color w:val="auto"/>
                <w:highlight w:val="none"/>
              </w:rPr>
            </w:pPr>
          </w:p>
          <w:p w14:paraId="466CBF12">
            <w:pPr>
              <w:adjustRightInd w:val="0"/>
              <w:snapToGrid w:val="0"/>
              <w:spacing w:before="120" w:beforeLines="50" w:line="360" w:lineRule="auto"/>
              <w:ind w:firstLine="480" w:firstLineChars="200"/>
              <w:jc w:val="left"/>
              <w:rPr>
                <w:color w:val="auto"/>
                <w:highlight w:val="none"/>
              </w:rPr>
            </w:pPr>
          </w:p>
          <w:p w14:paraId="09B35BED">
            <w:pPr>
              <w:adjustRightInd w:val="0"/>
              <w:snapToGrid w:val="0"/>
              <w:spacing w:before="120" w:beforeLines="50" w:line="360" w:lineRule="auto"/>
              <w:ind w:firstLine="480" w:firstLineChars="200"/>
              <w:jc w:val="left"/>
              <w:rPr>
                <w:color w:val="auto"/>
                <w:highlight w:val="none"/>
              </w:rPr>
            </w:pPr>
          </w:p>
          <w:p w14:paraId="2C1D8EA0">
            <w:pPr>
              <w:adjustRightInd w:val="0"/>
              <w:snapToGrid w:val="0"/>
              <w:spacing w:before="120" w:beforeLines="50" w:line="360" w:lineRule="auto"/>
              <w:ind w:firstLine="480" w:firstLineChars="200"/>
              <w:jc w:val="left"/>
              <w:rPr>
                <w:color w:val="auto"/>
                <w:highlight w:val="none"/>
              </w:rPr>
            </w:pPr>
          </w:p>
          <w:p w14:paraId="222B83D3">
            <w:pPr>
              <w:adjustRightInd w:val="0"/>
              <w:snapToGrid w:val="0"/>
              <w:spacing w:before="120" w:beforeLines="50" w:line="360" w:lineRule="auto"/>
              <w:ind w:firstLine="480" w:firstLineChars="200"/>
              <w:jc w:val="left"/>
              <w:rPr>
                <w:color w:val="auto"/>
                <w:highlight w:val="none"/>
              </w:rPr>
            </w:pPr>
          </w:p>
          <w:p w14:paraId="02CC8312">
            <w:pPr>
              <w:adjustRightInd w:val="0"/>
              <w:snapToGrid w:val="0"/>
              <w:spacing w:before="120" w:beforeLines="50" w:line="360" w:lineRule="auto"/>
              <w:ind w:firstLine="480" w:firstLineChars="200"/>
              <w:jc w:val="left"/>
              <w:rPr>
                <w:color w:val="auto"/>
                <w:highlight w:val="none"/>
              </w:rPr>
            </w:pPr>
          </w:p>
          <w:p w14:paraId="0304A691">
            <w:pPr>
              <w:adjustRightInd w:val="0"/>
              <w:snapToGrid w:val="0"/>
              <w:spacing w:before="120" w:beforeLines="50" w:line="360" w:lineRule="auto"/>
              <w:ind w:firstLine="480" w:firstLineChars="200"/>
              <w:jc w:val="left"/>
              <w:rPr>
                <w:color w:val="auto"/>
                <w:highlight w:val="none"/>
              </w:rPr>
            </w:pPr>
          </w:p>
          <w:p w14:paraId="1DB7E60E">
            <w:pPr>
              <w:adjustRightInd w:val="0"/>
              <w:snapToGrid w:val="0"/>
              <w:spacing w:before="120" w:beforeLines="50" w:line="360" w:lineRule="auto"/>
              <w:ind w:firstLine="480" w:firstLineChars="200"/>
              <w:jc w:val="left"/>
              <w:rPr>
                <w:color w:val="auto"/>
                <w:highlight w:val="none"/>
              </w:rPr>
            </w:pPr>
          </w:p>
          <w:p w14:paraId="68851E62">
            <w:pPr>
              <w:adjustRightInd w:val="0"/>
              <w:snapToGrid w:val="0"/>
              <w:spacing w:before="120" w:beforeLines="50" w:line="360" w:lineRule="auto"/>
              <w:ind w:firstLine="480" w:firstLineChars="200"/>
              <w:jc w:val="left"/>
              <w:rPr>
                <w:color w:val="auto"/>
                <w:highlight w:val="none"/>
              </w:rPr>
            </w:pPr>
          </w:p>
          <w:p w14:paraId="312606AA">
            <w:pPr>
              <w:adjustRightInd w:val="0"/>
              <w:snapToGrid w:val="0"/>
              <w:spacing w:before="120" w:beforeLines="50" w:line="360" w:lineRule="auto"/>
              <w:ind w:firstLine="480" w:firstLineChars="200"/>
              <w:jc w:val="left"/>
              <w:rPr>
                <w:color w:val="auto"/>
                <w:highlight w:val="none"/>
              </w:rPr>
            </w:pPr>
          </w:p>
          <w:p w14:paraId="1A8D2C74">
            <w:pPr>
              <w:adjustRightInd w:val="0"/>
              <w:snapToGrid w:val="0"/>
              <w:spacing w:before="120" w:beforeLines="50" w:line="360" w:lineRule="auto"/>
              <w:ind w:firstLine="480" w:firstLineChars="200"/>
              <w:jc w:val="left"/>
              <w:rPr>
                <w:color w:val="auto"/>
                <w:highlight w:val="none"/>
              </w:rPr>
            </w:pPr>
          </w:p>
          <w:p w14:paraId="080E56B0">
            <w:pPr>
              <w:adjustRightInd w:val="0"/>
              <w:snapToGrid w:val="0"/>
              <w:spacing w:before="120" w:beforeLines="50" w:line="360" w:lineRule="auto"/>
              <w:ind w:firstLine="480" w:firstLineChars="200"/>
              <w:jc w:val="left"/>
              <w:rPr>
                <w:color w:val="auto"/>
                <w:highlight w:val="none"/>
              </w:rPr>
            </w:pPr>
          </w:p>
          <w:p w14:paraId="1CB65C50">
            <w:pPr>
              <w:adjustRightInd w:val="0"/>
              <w:snapToGrid w:val="0"/>
              <w:spacing w:before="120" w:beforeLines="50" w:line="360" w:lineRule="auto"/>
              <w:jc w:val="left"/>
              <w:rPr>
                <w:color w:val="auto"/>
                <w:highlight w:val="none"/>
              </w:rPr>
            </w:pPr>
          </w:p>
        </w:tc>
      </w:tr>
    </w:tbl>
    <w:p w14:paraId="09D22302">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A408F8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0171C6A8">
      <w:pPr>
        <w:adjustRightInd w:val="0"/>
        <w:snapToGrid w:val="0"/>
        <w:spacing w:before="0" w:beforeAutospacing="0" w:after="0" w:afterAutospacing="0"/>
        <w:jc w:val="center"/>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905"/>
        <w:gridCol w:w="1554"/>
        <w:gridCol w:w="1250"/>
        <w:gridCol w:w="1664"/>
        <w:gridCol w:w="1525"/>
        <w:gridCol w:w="1578"/>
        <w:gridCol w:w="1629"/>
        <w:gridCol w:w="1242"/>
      </w:tblGrid>
      <w:tr w14:paraId="7211E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tcBorders>
              <w:tl2br w:val="single" w:color="auto" w:sz="4" w:space="0"/>
            </w:tcBorders>
            <w:tcMar>
              <w:left w:w="28" w:type="dxa"/>
              <w:right w:w="28" w:type="dxa"/>
            </w:tcMar>
            <w:vAlign w:val="center"/>
          </w:tcPr>
          <w:p w14:paraId="0D5CE09A">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项目</w:t>
            </w:r>
          </w:p>
          <w:p w14:paraId="5C947CF6">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分类</w:t>
            </w:r>
          </w:p>
        </w:tc>
        <w:tc>
          <w:tcPr>
            <w:tcW w:w="1905" w:type="dxa"/>
            <w:tcMar>
              <w:left w:w="28" w:type="dxa"/>
              <w:right w:w="28" w:type="dxa"/>
            </w:tcMar>
            <w:vAlign w:val="center"/>
          </w:tcPr>
          <w:p w14:paraId="6CCA273A">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污染物名称</w:t>
            </w:r>
          </w:p>
        </w:tc>
        <w:tc>
          <w:tcPr>
            <w:tcW w:w="1554" w:type="dxa"/>
            <w:tcMar>
              <w:left w:w="28" w:type="dxa"/>
              <w:right w:w="28" w:type="dxa"/>
            </w:tcMar>
            <w:vAlign w:val="center"/>
          </w:tcPr>
          <w:p w14:paraId="3A6F2A47">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现有工程</w:t>
            </w:r>
          </w:p>
          <w:p w14:paraId="3AEB61BF">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排放量（固体废物产生量）</w:t>
            </w: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1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①</w:t>
            </w:r>
            <w:r>
              <w:rPr>
                <w:rFonts w:hint="default" w:ascii="Times New Roman" w:hAnsi="Times New Roman" w:eastAsia="宋体" w:cs="Times New Roman"/>
                <w:b w:val="0"/>
                <w:bCs w:val="0"/>
                <w:color w:val="auto"/>
                <w:sz w:val="21"/>
                <w:szCs w:val="21"/>
                <w:highlight w:val="none"/>
              </w:rPr>
              <w:fldChar w:fldCharType="end"/>
            </w:r>
          </w:p>
        </w:tc>
        <w:tc>
          <w:tcPr>
            <w:tcW w:w="1250" w:type="dxa"/>
            <w:tcMar>
              <w:left w:w="28" w:type="dxa"/>
              <w:right w:w="28" w:type="dxa"/>
            </w:tcMar>
            <w:vAlign w:val="center"/>
          </w:tcPr>
          <w:p w14:paraId="30F82D8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现有工程</w:t>
            </w:r>
          </w:p>
          <w:p w14:paraId="7CDCF7FF">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许可排放量</w:t>
            </w:r>
          </w:p>
          <w:p w14:paraId="773CF898">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2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②</w:t>
            </w:r>
            <w:r>
              <w:rPr>
                <w:rFonts w:hint="default" w:ascii="Times New Roman" w:hAnsi="Times New Roman" w:eastAsia="宋体" w:cs="Times New Roman"/>
                <w:b w:val="0"/>
                <w:bCs w:val="0"/>
                <w:color w:val="auto"/>
                <w:sz w:val="21"/>
                <w:szCs w:val="21"/>
                <w:highlight w:val="none"/>
              </w:rPr>
              <w:fldChar w:fldCharType="end"/>
            </w:r>
          </w:p>
        </w:tc>
        <w:tc>
          <w:tcPr>
            <w:tcW w:w="1664" w:type="dxa"/>
            <w:tcMar>
              <w:left w:w="28" w:type="dxa"/>
              <w:right w:w="28" w:type="dxa"/>
            </w:tcMar>
            <w:vAlign w:val="center"/>
          </w:tcPr>
          <w:p w14:paraId="199CD5DA">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在建工程</w:t>
            </w:r>
          </w:p>
          <w:p w14:paraId="291B396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排放量（固体废物产生量）</w:t>
            </w: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3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③</w:t>
            </w:r>
            <w:r>
              <w:rPr>
                <w:rFonts w:hint="default" w:ascii="Times New Roman" w:hAnsi="Times New Roman" w:eastAsia="宋体" w:cs="Times New Roman"/>
                <w:b w:val="0"/>
                <w:bCs w:val="0"/>
                <w:color w:val="auto"/>
                <w:sz w:val="21"/>
                <w:szCs w:val="21"/>
                <w:highlight w:val="none"/>
              </w:rPr>
              <w:fldChar w:fldCharType="end"/>
            </w:r>
          </w:p>
        </w:tc>
        <w:tc>
          <w:tcPr>
            <w:tcW w:w="1525" w:type="dxa"/>
            <w:tcMar>
              <w:left w:w="28" w:type="dxa"/>
              <w:right w:w="28" w:type="dxa"/>
            </w:tcMar>
            <w:vAlign w:val="center"/>
          </w:tcPr>
          <w:p w14:paraId="41FC5A8C">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w:t>
            </w:r>
          </w:p>
          <w:p w14:paraId="47548B6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排放量（固体废物产生量）</w:t>
            </w: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4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④</w:t>
            </w:r>
            <w:r>
              <w:rPr>
                <w:rFonts w:hint="default" w:ascii="Times New Roman" w:hAnsi="Times New Roman" w:eastAsia="宋体" w:cs="Times New Roman"/>
                <w:b w:val="0"/>
                <w:bCs w:val="0"/>
                <w:color w:val="auto"/>
                <w:sz w:val="21"/>
                <w:szCs w:val="21"/>
                <w:highlight w:val="none"/>
              </w:rPr>
              <w:fldChar w:fldCharType="end"/>
            </w:r>
          </w:p>
        </w:tc>
        <w:tc>
          <w:tcPr>
            <w:tcW w:w="1578" w:type="dxa"/>
            <w:tcMar>
              <w:left w:w="28" w:type="dxa"/>
              <w:right w:w="28" w:type="dxa"/>
            </w:tcMar>
            <w:vAlign w:val="center"/>
          </w:tcPr>
          <w:p w14:paraId="49B56E30">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以新带老削减量</w:t>
            </w:r>
          </w:p>
          <w:p w14:paraId="1F8AF53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（新建项目不填）</w:t>
            </w: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5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⑤</w:t>
            </w:r>
            <w:r>
              <w:rPr>
                <w:rFonts w:hint="default" w:ascii="Times New Roman" w:hAnsi="Times New Roman" w:eastAsia="宋体" w:cs="Times New Roman"/>
                <w:b w:val="0"/>
                <w:bCs w:val="0"/>
                <w:color w:val="auto"/>
                <w:sz w:val="21"/>
                <w:szCs w:val="21"/>
                <w:highlight w:val="none"/>
              </w:rPr>
              <w:fldChar w:fldCharType="end"/>
            </w:r>
          </w:p>
        </w:tc>
        <w:tc>
          <w:tcPr>
            <w:tcW w:w="1629" w:type="dxa"/>
            <w:tcMar>
              <w:left w:w="28" w:type="dxa"/>
              <w:right w:w="28" w:type="dxa"/>
            </w:tcMar>
            <w:vAlign w:val="center"/>
          </w:tcPr>
          <w:p w14:paraId="0F6BF2A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本项目建成后</w:t>
            </w:r>
          </w:p>
          <w:p w14:paraId="54FB0B9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全厂排放量（固体废物产生量）</w:t>
            </w: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6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⑥</w:t>
            </w:r>
            <w:r>
              <w:rPr>
                <w:rFonts w:hint="default" w:ascii="Times New Roman" w:hAnsi="Times New Roman" w:eastAsia="宋体" w:cs="Times New Roman"/>
                <w:b w:val="0"/>
                <w:bCs w:val="0"/>
                <w:color w:val="auto"/>
                <w:sz w:val="21"/>
                <w:szCs w:val="21"/>
                <w:highlight w:val="none"/>
              </w:rPr>
              <w:fldChar w:fldCharType="end"/>
            </w:r>
          </w:p>
        </w:tc>
        <w:tc>
          <w:tcPr>
            <w:tcW w:w="1242" w:type="dxa"/>
            <w:tcMar>
              <w:left w:w="28" w:type="dxa"/>
              <w:right w:w="28" w:type="dxa"/>
            </w:tcMar>
            <w:vAlign w:val="center"/>
          </w:tcPr>
          <w:p w14:paraId="2432AEFE">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变化量</w:t>
            </w:r>
          </w:p>
          <w:p w14:paraId="4783CAC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 7 \* GB3 \* MERGEFORMAT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rPr>
              <w:t>⑦</w:t>
            </w:r>
            <w:r>
              <w:rPr>
                <w:rFonts w:hint="default" w:ascii="Times New Roman" w:hAnsi="Times New Roman" w:eastAsia="宋体" w:cs="Times New Roman"/>
                <w:b w:val="0"/>
                <w:bCs w:val="0"/>
                <w:color w:val="auto"/>
                <w:sz w:val="21"/>
                <w:szCs w:val="21"/>
                <w:highlight w:val="none"/>
              </w:rPr>
              <w:fldChar w:fldCharType="end"/>
            </w:r>
          </w:p>
        </w:tc>
      </w:tr>
      <w:tr w14:paraId="3A6C7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restart"/>
            <w:vAlign w:val="center"/>
          </w:tcPr>
          <w:p w14:paraId="6132471A">
            <w:pPr>
              <w:spacing w:beforeLines="0" w:afterLines="0" w:line="240" w:lineRule="auto"/>
              <w:jc w:val="center"/>
              <w:rPr>
                <w:rFonts w:hAnsi="宋体" w:cs="宋体"/>
                <w:snapToGrid w:val="0"/>
                <w:color w:val="auto"/>
                <w:kern w:val="21"/>
                <w:sz w:val="21"/>
                <w:szCs w:val="21"/>
                <w:highlight w:val="none"/>
              </w:rPr>
            </w:pPr>
            <w:r>
              <w:rPr>
                <w:rFonts w:hint="eastAsia" w:hAnsi="宋体" w:cs="宋体"/>
                <w:snapToGrid w:val="0"/>
                <w:color w:val="auto"/>
                <w:kern w:val="21"/>
                <w:sz w:val="21"/>
                <w:szCs w:val="21"/>
                <w:highlight w:val="none"/>
              </w:rPr>
              <w:t>废气</w:t>
            </w:r>
          </w:p>
        </w:tc>
        <w:tc>
          <w:tcPr>
            <w:tcW w:w="1905" w:type="dxa"/>
            <w:vAlign w:val="center"/>
          </w:tcPr>
          <w:p w14:paraId="2D9A1450">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颗粒物</w:t>
            </w:r>
          </w:p>
        </w:tc>
        <w:tc>
          <w:tcPr>
            <w:tcW w:w="1554" w:type="dxa"/>
            <w:vAlign w:val="center"/>
          </w:tcPr>
          <w:p w14:paraId="10378B06">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ascii="Times New Roman"/>
                <w:snapToGrid w:val="0"/>
                <w:color w:val="auto"/>
                <w:kern w:val="21"/>
                <w:sz w:val="21"/>
                <w:szCs w:val="21"/>
                <w:highlight w:val="none"/>
              </w:rPr>
              <w:t>/</w:t>
            </w:r>
          </w:p>
        </w:tc>
        <w:tc>
          <w:tcPr>
            <w:tcW w:w="1250" w:type="dxa"/>
            <w:vAlign w:val="center"/>
          </w:tcPr>
          <w:p w14:paraId="15CD5E13">
            <w:pPr>
              <w:spacing w:beforeLines="0" w:afterLines="0" w:line="240" w:lineRule="auto"/>
              <w:jc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3836029D">
            <w:pPr>
              <w:spacing w:beforeLines="0" w:afterLines="0" w:line="240" w:lineRule="auto"/>
              <w:jc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2286AD3E">
            <w:pPr>
              <w:jc w:val="center"/>
              <w:rPr>
                <w:rFonts w:hint="default" w:eastAsia="宋体"/>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0.309</w:t>
            </w:r>
            <w:r>
              <w:rPr>
                <w:rFonts w:hint="eastAsia" w:ascii="Times New Roman" w:hAnsi="Times New Roman" w:eastAsia="宋体" w:cs="Times New Roman"/>
                <w:snapToGrid w:val="0"/>
                <w:color w:val="auto"/>
                <w:kern w:val="21"/>
                <w:sz w:val="21"/>
                <w:szCs w:val="21"/>
                <w:highlight w:val="none"/>
                <w:lang w:val="en-US" w:eastAsia="zh-CN"/>
              </w:rPr>
              <w:t>t/a</w:t>
            </w:r>
          </w:p>
        </w:tc>
        <w:tc>
          <w:tcPr>
            <w:tcW w:w="1578" w:type="dxa"/>
            <w:vAlign w:val="center"/>
          </w:tcPr>
          <w:p w14:paraId="23C408C2">
            <w:pPr>
              <w:jc w:val="center"/>
              <w:rPr>
                <w:rFonts w:hint="default" w:eastAsia="宋体"/>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5522DC44">
            <w:pPr>
              <w:jc w:val="center"/>
              <w:rPr>
                <w:snapToGrid w:val="0"/>
                <w:color w:val="auto"/>
                <w:kern w:val="21"/>
                <w:sz w:val="21"/>
                <w:szCs w:val="21"/>
                <w:highlight w:val="none"/>
              </w:rPr>
            </w:pPr>
            <w:r>
              <w:rPr>
                <w:rFonts w:hint="eastAsia" w:cs="Times New Roman"/>
                <w:snapToGrid w:val="0"/>
                <w:color w:val="auto"/>
                <w:kern w:val="21"/>
                <w:sz w:val="21"/>
                <w:szCs w:val="21"/>
                <w:highlight w:val="none"/>
                <w:lang w:val="en-US" w:eastAsia="zh-CN"/>
              </w:rPr>
              <w:t>0.309</w:t>
            </w:r>
            <w:r>
              <w:rPr>
                <w:rFonts w:hint="eastAsia" w:ascii="Times New Roman" w:hAnsi="Times New Roman" w:eastAsia="宋体" w:cs="Times New Roman"/>
                <w:snapToGrid w:val="0"/>
                <w:color w:val="auto"/>
                <w:kern w:val="21"/>
                <w:sz w:val="21"/>
                <w:szCs w:val="21"/>
                <w:highlight w:val="none"/>
                <w:lang w:val="en-US" w:eastAsia="zh-CN"/>
              </w:rPr>
              <w:t>t/a</w:t>
            </w:r>
          </w:p>
        </w:tc>
        <w:tc>
          <w:tcPr>
            <w:tcW w:w="1242" w:type="dxa"/>
            <w:vAlign w:val="center"/>
          </w:tcPr>
          <w:p w14:paraId="291B8FDE">
            <w:pPr>
              <w:jc w:val="center"/>
              <w:rPr>
                <w:rFonts w:hint="default"/>
                <w:b/>
                <w:bCs/>
                <w:snapToGrid w:val="0"/>
                <w:color w:val="auto"/>
                <w:kern w:val="21"/>
                <w:sz w:val="21"/>
                <w:szCs w:val="21"/>
                <w:highlight w:val="none"/>
                <w:lang w:val="en-US"/>
              </w:rPr>
            </w:pPr>
            <w:r>
              <w:rPr>
                <w:rFonts w:hint="eastAsia" w:cs="Times New Roman"/>
                <w:snapToGrid w:val="0"/>
                <w:color w:val="auto"/>
                <w:kern w:val="21"/>
                <w:sz w:val="21"/>
                <w:szCs w:val="21"/>
                <w:highlight w:val="none"/>
                <w:lang w:val="en-US" w:eastAsia="zh-CN"/>
              </w:rPr>
              <w:t>0.309</w:t>
            </w:r>
            <w:r>
              <w:rPr>
                <w:rFonts w:hint="eastAsia" w:ascii="Times New Roman" w:hAnsi="Times New Roman" w:eastAsia="宋体" w:cs="Times New Roman"/>
                <w:snapToGrid w:val="0"/>
                <w:color w:val="auto"/>
                <w:kern w:val="21"/>
                <w:sz w:val="21"/>
                <w:szCs w:val="21"/>
                <w:highlight w:val="none"/>
                <w:lang w:val="en-US" w:eastAsia="zh-CN"/>
              </w:rPr>
              <w:t>t/a</w:t>
            </w:r>
          </w:p>
        </w:tc>
      </w:tr>
      <w:tr w14:paraId="73B91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6EB7C423">
            <w:pPr>
              <w:spacing w:beforeLines="0" w:afterLines="0" w:line="240" w:lineRule="auto"/>
              <w:jc w:val="center"/>
              <w:rPr>
                <w:rFonts w:hint="eastAsia" w:hAnsi="宋体" w:cs="宋体"/>
                <w:snapToGrid w:val="0"/>
                <w:color w:val="auto"/>
                <w:kern w:val="21"/>
                <w:sz w:val="21"/>
                <w:szCs w:val="21"/>
                <w:highlight w:val="none"/>
              </w:rPr>
            </w:pPr>
          </w:p>
        </w:tc>
        <w:tc>
          <w:tcPr>
            <w:tcW w:w="1905" w:type="dxa"/>
            <w:vAlign w:val="center"/>
          </w:tcPr>
          <w:p w14:paraId="3AC203C3">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非甲烷总烃</w:t>
            </w:r>
          </w:p>
        </w:tc>
        <w:tc>
          <w:tcPr>
            <w:tcW w:w="1554" w:type="dxa"/>
            <w:vAlign w:val="center"/>
          </w:tcPr>
          <w:p w14:paraId="248FD8FC">
            <w:pPr>
              <w:spacing w:beforeLines="0" w:afterLines="0" w:line="240" w:lineRule="auto"/>
              <w:jc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534F1682">
            <w:pPr>
              <w:spacing w:beforeLines="0" w:afterLines="0" w:line="240" w:lineRule="auto"/>
              <w:jc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5D37FBDD">
            <w:pPr>
              <w:spacing w:beforeLines="0" w:afterLines="0" w:line="240" w:lineRule="auto"/>
              <w:jc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4893D355">
            <w:pPr>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0.519</w:t>
            </w:r>
            <w:r>
              <w:rPr>
                <w:rFonts w:hint="eastAsia" w:ascii="Times New Roman" w:hAnsi="Times New Roman" w:eastAsia="宋体" w:cs="Times New Roman"/>
                <w:snapToGrid w:val="0"/>
                <w:color w:val="auto"/>
                <w:kern w:val="21"/>
                <w:sz w:val="21"/>
                <w:szCs w:val="21"/>
                <w:highlight w:val="none"/>
                <w:lang w:val="en-US" w:eastAsia="zh-CN"/>
              </w:rPr>
              <w:t>t/a</w:t>
            </w:r>
          </w:p>
        </w:tc>
        <w:tc>
          <w:tcPr>
            <w:tcW w:w="1578" w:type="dxa"/>
            <w:vAlign w:val="center"/>
          </w:tcPr>
          <w:p w14:paraId="0DD88B62">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29" w:type="dxa"/>
            <w:vAlign w:val="center"/>
          </w:tcPr>
          <w:p w14:paraId="34BC8030">
            <w:pPr>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0.519</w:t>
            </w:r>
            <w:r>
              <w:rPr>
                <w:rFonts w:hint="eastAsia" w:ascii="Times New Roman" w:hAnsi="Times New Roman" w:eastAsia="宋体" w:cs="Times New Roman"/>
                <w:snapToGrid w:val="0"/>
                <w:color w:val="auto"/>
                <w:kern w:val="21"/>
                <w:sz w:val="21"/>
                <w:szCs w:val="21"/>
                <w:highlight w:val="none"/>
                <w:lang w:val="en-US" w:eastAsia="zh-CN"/>
              </w:rPr>
              <w:t>t/a</w:t>
            </w:r>
          </w:p>
        </w:tc>
        <w:tc>
          <w:tcPr>
            <w:tcW w:w="1242" w:type="dxa"/>
            <w:vAlign w:val="center"/>
          </w:tcPr>
          <w:p w14:paraId="007E4D8A">
            <w:pPr>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0.519</w:t>
            </w:r>
            <w:r>
              <w:rPr>
                <w:rFonts w:hint="eastAsia" w:ascii="Times New Roman" w:hAnsi="Times New Roman" w:eastAsia="宋体" w:cs="Times New Roman"/>
                <w:snapToGrid w:val="0"/>
                <w:color w:val="auto"/>
                <w:kern w:val="21"/>
                <w:sz w:val="21"/>
                <w:szCs w:val="21"/>
                <w:highlight w:val="none"/>
                <w:lang w:val="en-US" w:eastAsia="zh-CN"/>
              </w:rPr>
              <w:t>t/a</w:t>
            </w:r>
          </w:p>
        </w:tc>
      </w:tr>
      <w:tr w14:paraId="4CE42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restart"/>
            <w:vAlign w:val="center"/>
          </w:tcPr>
          <w:p w14:paraId="51A5A0EC">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废水</w:t>
            </w:r>
          </w:p>
        </w:tc>
        <w:tc>
          <w:tcPr>
            <w:tcW w:w="1905" w:type="dxa"/>
            <w:vAlign w:val="center"/>
          </w:tcPr>
          <w:p w14:paraId="73044162">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COD</w:t>
            </w:r>
          </w:p>
        </w:tc>
        <w:tc>
          <w:tcPr>
            <w:tcW w:w="1554" w:type="dxa"/>
            <w:vAlign w:val="center"/>
          </w:tcPr>
          <w:p w14:paraId="6ACD5408">
            <w:pPr>
              <w:jc w:val="center"/>
              <w:rPr>
                <w:rFonts w:hint="eastAsia" w:ascii="Times New Roman" w:hAnsi="Times New Roman" w:eastAsia="宋体" w:cs="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7CC30354">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64" w:type="dxa"/>
            <w:vAlign w:val="center"/>
          </w:tcPr>
          <w:p w14:paraId="73DE1966">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525" w:type="dxa"/>
            <w:vAlign w:val="center"/>
          </w:tcPr>
          <w:p w14:paraId="3DC15161">
            <w:pPr>
              <w:jc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0.171</w:t>
            </w:r>
            <w:r>
              <w:rPr>
                <w:snapToGrid w:val="0"/>
                <w:color w:val="auto"/>
                <w:kern w:val="21"/>
                <w:sz w:val="21"/>
                <w:szCs w:val="21"/>
                <w:highlight w:val="none"/>
              </w:rPr>
              <w:t>t/a</w:t>
            </w:r>
          </w:p>
        </w:tc>
        <w:tc>
          <w:tcPr>
            <w:tcW w:w="1578" w:type="dxa"/>
            <w:vAlign w:val="center"/>
          </w:tcPr>
          <w:p w14:paraId="67A38B58">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28D6C449">
            <w:pPr>
              <w:jc w:val="center"/>
              <w:rPr>
                <w:snapToGrid w:val="0"/>
                <w:color w:val="auto"/>
                <w:kern w:val="21"/>
                <w:sz w:val="21"/>
                <w:szCs w:val="21"/>
                <w:highlight w:val="none"/>
              </w:rPr>
            </w:pPr>
            <w:r>
              <w:rPr>
                <w:rFonts w:hint="eastAsia"/>
                <w:snapToGrid w:val="0"/>
                <w:color w:val="auto"/>
                <w:kern w:val="21"/>
                <w:sz w:val="21"/>
                <w:szCs w:val="21"/>
                <w:highlight w:val="none"/>
                <w:lang w:val="en-US" w:eastAsia="zh-CN"/>
              </w:rPr>
              <w:t>0.171</w:t>
            </w:r>
            <w:r>
              <w:rPr>
                <w:snapToGrid w:val="0"/>
                <w:color w:val="auto"/>
                <w:kern w:val="21"/>
                <w:sz w:val="21"/>
                <w:szCs w:val="21"/>
                <w:highlight w:val="none"/>
              </w:rPr>
              <w:t>t/a</w:t>
            </w:r>
          </w:p>
        </w:tc>
        <w:tc>
          <w:tcPr>
            <w:tcW w:w="1242" w:type="dxa"/>
            <w:vAlign w:val="center"/>
          </w:tcPr>
          <w:p w14:paraId="226235AA">
            <w:pPr>
              <w:jc w:val="center"/>
              <w:rPr>
                <w:rFonts w:hint="default" w:eastAsia="宋体"/>
                <w:b/>
                <w:bCs/>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0.171</w:t>
            </w:r>
            <w:r>
              <w:rPr>
                <w:snapToGrid w:val="0"/>
                <w:color w:val="auto"/>
                <w:kern w:val="21"/>
                <w:sz w:val="21"/>
                <w:szCs w:val="21"/>
                <w:highlight w:val="none"/>
              </w:rPr>
              <w:t>t/a</w:t>
            </w:r>
          </w:p>
        </w:tc>
      </w:tr>
      <w:tr w14:paraId="03DAF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1B284C09">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p>
        </w:tc>
        <w:tc>
          <w:tcPr>
            <w:tcW w:w="1905" w:type="dxa"/>
            <w:vAlign w:val="center"/>
          </w:tcPr>
          <w:p w14:paraId="5008D782">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NH</w:t>
            </w:r>
            <w:r>
              <w:rPr>
                <w:rFonts w:hint="eastAsia" w:ascii="Times New Roman" w:hAnsi="Times New Roman" w:eastAsia="宋体" w:cs="Times New Roman"/>
                <w:snapToGrid w:val="0"/>
                <w:color w:val="auto"/>
                <w:kern w:val="21"/>
                <w:sz w:val="21"/>
                <w:szCs w:val="21"/>
                <w:highlight w:val="none"/>
                <w:vertAlign w:val="subscript"/>
                <w:lang w:val="en-US" w:eastAsia="zh-CN"/>
              </w:rPr>
              <w:t>3</w:t>
            </w:r>
            <w:r>
              <w:rPr>
                <w:rFonts w:hint="eastAsia" w:ascii="Times New Roman" w:hAnsi="Times New Roman" w:eastAsia="宋体" w:cs="Times New Roman"/>
                <w:snapToGrid w:val="0"/>
                <w:color w:val="auto"/>
                <w:kern w:val="21"/>
                <w:sz w:val="21"/>
                <w:szCs w:val="21"/>
                <w:highlight w:val="none"/>
                <w:lang w:val="en-US" w:eastAsia="zh-CN"/>
              </w:rPr>
              <w:t>-N</w:t>
            </w:r>
          </w:p>
        </w:tc>
        <w:tc>
          <w:tcPr>
            <w:tcW w:w="1554" w:type="dxa"/>
            <w:vAlign w:val="center"/>
          </w:tcPr>
          <w:p w14:paraId="7B35534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2804DBE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0E68818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020FE446">
            <w:pPr>
              <w:jc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0.016</w:t>
            </w:r>
            <w:r>
              <w:rPr>
                <w:snapToGrid w:val="0"/>
                <w:color w:val="auto"/>
                <w:kern w:val="21"/>
                <w:sz w:val="21"/>
                <w:szCs w:val="21"/>
                <w:highlight w:val="none"/>
              </w:rPr>
              <w:t>t/a</w:t>
            </w:r>
          </w:p>
        </w:tc>
        <w:tc>
          <w:tcPr>
            <w:tcW w:w="1578" w:type="dxa"/>
            <w:vAlign w:val="center"/>
          </w:tcPr>
          <w:p w14:paraId="61EDF020">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498E8C1E">
            <w:pPr>
              <w:jc w:val="center"/>
              <w:rPr>
                <w:snapToGrid w:val="0"/>
                <w:color w:val="auto"/>
                <w:kern w:val="21"/>
                <w:sz w:val="21"/>
                <w:szCs w:val="21"/>
                <w:highlight w:val="none"/>
              </w:rPr>
            </w:pPr>
            <w:r>
              <w:rPr>
                <w:rFonts w:hint="eastAsia"/>
                <w:snapToGrid w:val="0"/>
                <w:color w:val="auto"/>
                <w:kern w:val="21"/>
                <w:sz w:val="21"/>
                <w:szCs w:val="21"/>
                <w:highlight w:val="none"/>
                <w:lang w:val="en-US" w:eastAsia="zh-CN"/>
              </w:rPr>
              <w:t>0.016</w:t>
            </w:r>
            <w:r>
              <w:rPr>
                <w:snapToGrid w:val="0"/>
                <w:color w:val="auto"/>
                <w:kern w:val="21"/>
                <w:sz w:val="21"/>
                <w:szCs w:val="21"/>
                <w:highlight w:val="none"/>
              </w:rPr>
              <w:t>t/a</w:t>
            </w:r>
          </w:p>
        </w:tc>
        <w:tc>
          <w:tcPr>
            <w:tcW w:w="1242" w:type="dxa"/>
            <w:vAlign w:val="center"/>
          </w:tcPr>
          <w:p w14:paraId="0C5550D6">
            <w:pPr>
              <w:jc w:val="center"/>
              <w:rPr>
                <w:b/>
                <w:bCs/>
                <w:snapToGrid w:val="0"/>
                <w:color w:val="auto"/>
                <w:kern w:val="21"/>
                <w:sz w:val="21"/>
                <w:szCs w:val="21"/>
                <w:highlight w:val="none"/>
              </w:rPr>
            </w:pPr>
            <w:r>
              <w:rPr>
                <w:rFonts w:hint="eastAsia"/>
                <w:snapToGrid w:val="0"/>
                <w:color w:val="auto"/>
                <w:kern w:val="21"/>
                <w:sz w:val="21"/>
                <w:szCs w:val="21"/>
                <w:highlight w:val="none"/>
                <w:lang w:val="en-US" w:eastAsia="zh-CN"/>
              </w:rPr>
              <w:t>0.016</w:t>
            </w:r>
            <w:r>
              <w:rPr>
                <w:snapToGrid w:val="0"/>
                <w:color w:val="auto"/>
                <w:kern w:val="21"/>
                <w:sz w:val="21"/>
                <w:szCs w:val="21"/>
                <w:highlight w:val="none"/>
              </w:rPr>
              <w:t>t/a</w:t>
            </w:r>
          </w:p>
        </w:tc>
      </w:tr>
      <w:tr w14:paraId="3FC5D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restart"/>
            <w:vAlign w:val="center"/>
          </w:tcPr>
          <w:p w14:paraId="2D1EA595">
            <w:pPr>
              <w:spacing w:beforeLines="0" w:afterLines="0" w:line="240" w:lineRule="auto"/>
              <w:jc w:val="center"/>
              <w:rPr>
                <w:rFonts w:hAnsi="宋体" w:cs="宋体"/>
                <w:snapToGrid w:val="0"/>
                <w:color w:val="auto"/>
                <w:kern w:val="21"/>
                <w:sz w:val="21"/>
                <w:szCs w:val="21"/>
                <w:highlight w:val="none"/>
              </w:rPr>
            </w:pPr>
            <w:r>
              <w:rPr>
                <w:rFonts w:hint="eastAsia" w:hAnsi="宋体" w:cs="宋体"/>
                <w:snapToGrid w:val="0"/>
                <w:color w:val="auto"/>
                <w:kern w:val="21"/>
                <w:sz w:val="21"/>
                <w:szCs w:val="21"/>
                <w:highlight w:val="none"/>
              </w:rPr>
              <w:t>危险废物</w:t>
            </w:r>
          </w:p>
        </w:tc>
        <w:tc>
          <w:tcPr>
            <w:tcW w:w="1905" w:type="dxa"/>
            <w:shd w:val="clear" w:color="auto" w:fill="auto"/>
            <w:vAlign w:val="center"/>
          </w:tcPr>
          <w:p w14:paraId="098E2ADB">
            <w:pPr>
              <w:jc w:val="center"/>
              <w:outlineLvl w:val="0"/>
              <w:rPr>
                <w:rFonts w:hint="default"/>
                <w:color w:val="auto"/>
                <w:sz w:val="21"/>
                <w:szCs w:val="21"/>
                <w:highlight w:val="none"/>
                <w:lang w:val="en-US" w:eastAsia="zh-CN" w:bidi="ar"/>
              </w:rPr>
            </w:pPr>
            <w:r>
              <w:rPr>
                <w:rFonts w:hint="eastAsia"/>
                <w:color w:val="auto"/>
                <w:sz w:val="21"/>
                <w:szCs w:val="21"/>
                <w:highlight w:val="none"/>
                <w:lang w:val="en-US" w:eastAsia="zh-CN" w:bidi="ar"/>
              </w:rPr>
              <w:t>不合格品及边角料</w:t>
            </w:r>
          </w:p>
        </w:tc>
        <w:tc>
          <w:tcPr>
            <w:tcW w:w="1554" w:type="dxa"/>
            <w:shd w:val="clear" w:color="auto" w:fill="auto"/>
            <w:vAlign w:val="center"/>
          </w:tcPr>
          <w:p w14:paraId="6438434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shd w:val="clear" w:color="auto" w:fill="auto"/>
            <w:vAlign w:val="center"/>
          </w:tcPr>
          <w:p w14:paraId="0FDF3FB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shd w:val="clear" w:color="auto" w:fill="auto"/>
            <w:vAlign w:val="center"/>
          </w:tcPr>
          <w:p w14:paraId="3C92CE7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shd w:val="clear" w:color="auto" w:fill="auto"/>
            <w:vAlign w:val="center"/>
          </w:tcPr>
          <w:p w14:paraId="1A29B229">
            <w:pPr>
              <w:jc w:val="center"/>
              <w:rPr>
                <w:rFonts w:hint="default"/>
                <w:color w:val="auto"/>
                <w:sz w:val="21"/>
                <w:szCs w:val="21"/>
                <w:highlight w:val="none"/>
                <w:lang w:val="en-US" w:eastAsia="zh-CN" w:bidi="ar"/>
              </w:rPr>
            </w:pPr>
            <w:r>
              <w:rPr>
                <w:rFonts w:hint="eastAsia"/>
                <w:color w:val="auto"/>
                <w:sz w:val="21"/>
                <w:szCs w:val="21"/>
                <w:highlight w:val="none"/>
                <w:lang w:val="en-US" w:eastAsia="zh-CN"/>
              </w:rPr>
              <w:t>6</w:t>
            </w:r>
            <w:r>
              <w:rPr>
                <w:rFonts w:hint="eastAsia"/>
                <w:color w:val="auto"/>
                <w:sz w:val="21"/>
                <w:szCs w:val="21"/>
                <w:highlight w:val="none"/>
                <w:lang w:val="en-US" w:eastAsia="zh-CN" w:bidi="ar"/>
              </w:rPr>
              <w:t>t/a</w:t>
            </w:r>
          </w:p>
        </w:tc>
        <w:tc>
          <w:tcPr>
            <w:tcW w:w="1578" w:type="dxa"/>
            <w:shd w:val="clear" w:color="auto" w:fill="auto"/>
            <w:vAlign w:val="center"/>
          </w:tcPr>
          <w:p w14:paraId="28C6BCB2">
            <w:pPr>
              <w:spacing w:beforeLines="0" w:afterLines="0" w:line="240" w:lineRule="auto"/>
              <w:jc w:val="center"/>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1629" w:type="dxa"/>
            <w:shd w:val="clear" w:color="auto" w:fill="auto"/>
            <w:vAlign w:val="center"/>
          </w:tcPr>
          <w:p w14:paraId="162EB4C7">
            <w:pPr>
              <w:jc w:val="center"/>
              <w:rPr>
                <w:rFonts w:hint="eastAsia"/>
                <w:color w:val="auto"/>
                <w:sz w:val="21"/>
                <w:szCs w:val="21"/>
                <w:highlight w:val="none"/>
                <w:lang w:val="en-US" w:eastAsia="zh-CN" w:bidi="ar"/>
              </w:rPr>
            </w:pPr>
            <w:r>
              <w:rPr>
                <w:rFonts w:hint="eastAsia"/>
                <w:color w:val="auto"/>
                <w:sz w:val="21"/>
                <w:szCs w:val="21"/>
                <w:highlight w:val="none"/>
                <w:lang w:val="en-US" w:eastAsia="zh-CN"/>
              </w:rPr>
              <w:t>6</w:t>
            </w:r>
            <w:r>
              <w:rPr>
                <w:rFonts w:hint="eastAsia"/>
                <w:color w:val="auto"/>
                <w:sz w:val="21"/>
                <w:szCs w:val="21"/>
                <w:highlight w:val="none"/>
                <w:lang w:val="en-US" w:eastAsia="zh-CN" w:bidi="ar"/>
              </w:rPr>
              <w:t>t/a</w:t>
            </w:r>
          </w:p>
        </w:tc>
        <w:tc>
          <w:tcPr>
            <w:tcW w:w="1242" w:type="dxa"/>
            <w:shd w:val="clear" w:color="auto" w:fill="auto"/>
            <w:vAlign w:val="center"/>
          </w:tcPr>
          <w:p w14:paraId="0DAEBAD1">
            <w:pPr>
              <w:jc w:val="center"/>
              <w:rPr>
                <w:rFonts w:hint="eastAsia"/>
                <w:color w:val="auto"/>
                <w:sz w:val="21"/>
                <w:szCs w:val="21"/>
                <w:highlight w:val="none"/>
                <w:lang w:val="en-US" w:eastAsia="zh-CN" w:bidi="ar"/>
              </w:rPr>
            </w:pPr>
            <w:r>
              <w:rPr>
                <w:rFonts w:hint="eastAsia"/>
                <w:color w:val="auto"/>
                <w:sz w:val="21"/>
                <w:szCs w:val="21"/>
                <w:highlight w:val="none"/>
                <w:lang w:val="en-US" w:eastAsia="zh-CN"/>
              </w:rPr>
              <w:t>6</w:t>
            </w:r>
            <w:r>
              <w:rPr>
                <w:rFonts w:hint="eastAsia"/>
                <w:color w:val="auto"/>
                <w:sz w:val="21"/>
                <w:szCs w:val="21"/>
                <w:highlight w:val="none"/>
                <w:lang w:val="en-US" w:eastAsia="zh-CN" w:bidi="ar"/>
              </w:rPr>
              <w:t>t/a</w:t>
            </w:r>
          </w:p>
        </w:tc>
      </w:tr>
      <w:tr w14:paraId="097C6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0ADDC279">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05A125B0">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bidi="ar"/>
              </w:rPr>
              <w:t>漆渣</w:t>
            </w:r>
          </w:p>
        </w:tc>
        <w:tc>
          <w:tcPr>
            <w:tcW w:w="1554" w:type="dxa"/>
            <w:shd w:val="clear" w:color="auto" w:fill="auto"/>
            <w:vAlign w:val="center"/>
          </w:tcPr>
          <w:p w14:paraId="6D4C151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snapToGrid w:val="0"/>
                <w:color w:val="auto"/>
                <w:kern w:val="21"/>
                <w:sz w:val="21"/>
                <w:szCs w:val="21"/>
                <w:highlight w:val="none"/>
              </w:rPr>
              <w:t>/</w:t>
            </w:r>
          </w:p>
        </w:tc>
        <w:tc>
          <w:tcPr>
            <w:tcW w:w="1250" w:type="dxa"/>
            <w:shd w:val="clear" w:color="auto" w:fill="auto"/>
            <w:vAlign w:val="center"/>
          </w:tcPr>
          <w:p w14:paraId="177F44F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snapToGrid w:val="0"/>
                <w:color w:val="auto"/>
                <w:kern w:val="21"/>
                <w:sz w:val="21"/>
                <w:szCs w:val="21"/>
                <w:highlight w:val="none"/>
              </w:rPr>
              <w:t>/</w:t>
            </w:r>
          </w:p>
        </w:tc>
        <w:tc>
          <w:tcPr>
            <w:tcW w:w="1664" w:type="dxa"/>
            <w:shd w:val="clear" w:color="auto" w:fill="auto"/>
            <w:vAlign w:val="center"/>
          </w:tcPr>
          <w:p w14:paraId="6FC7AA8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snapToGrid w:val="0"/>
                <w:color w:val="auto"/>
                <w:kern w:val="21"/>
                <w:sz w:val="21"/>
                <w:szCs w:val="21"/>
                <w:highlight w:val="none"/>
              </w:rPr>
              <w:t>/</w:t>
            </w:r>
          </w:p>
        </w:tc>
        <w:tc>
          <w:tcPr>
            <w:tcW w:w="1525" w:type="dxa"/>
            <w:shd w:val="clear" w:color="auto" w:fill="auto"/>
            <w:vAlign w:val="center"/>
          </w:tcPr>
          <w:p w14:paraId="3C7F261A">
            <w:pPr>
              <w:jc w:val="center"/>
              <w:rPr>
                <w:rFonts w:hint="default" w:ascii="Times New Roman" w:hAnsi="宋体" w:eastAsia="宋体" w:cs="宋体"/>
                <w:snapToGrid w:val="0"/>
                <w:color w:val="auto"/>
                <w:kern w:val="21"/>
                <w:sz w:val="21"/>
                <w:szCs w:val="21"/>
                <w:highlight w:val="none"/>
                <w:lang w:val="en-US" w:eastAsia="zh-CN" w:bidi="ar-SA"/>
              </w:rPr>
            </w:pPr>
            <w:r>
              <w:rPr>
                <w:rFonts w:hint="eastAsia"/>
                <w:color w:val="auto"/>
                <w:sz w:val="21"/>
                <w:szCs w:val="21"/>
                <w:highlight w:val="none"/>
                <w:lang w:val="en-US" w:eastAsia="zh-CN" w:bidi="ar"/>
              </w:rPr>
              <w:t>0.07t/a</w:t>
            </w:r>
          </w:p>
        </w:tc>
        <w:tc>
          <w:tcPr>
            <w:tcW w:w="1578" w:type="dxa"/>
            <w:shd w:val="clear" w:color="auto" w:fill="auto"/>
            <w:vAlign w:val="center"/>
          </w:tcPr>
          <w:p w14:paraId="773EDE81">
            <w:pPr>
              <w:spacing w:beforeLines="0" w:afterLines="0" w:line="240" w:lineRule="auto"/>
              <w:jc w:val="center"/>
              <w:rPr>
                <w:rFonts w:ascii="Times New Roman" w:hAnsi="宋体" w:eastAsia="宋体" w:cs="宋体"/>
                <w:snapToGrid w:val="0"/>
                <w:color w:val="auto"/>
                <w:kern w:val="21"/>
                <w:sz w:val="21"/>
                <w:szCs w:val="21"/>
                <w:highlight w:val="none"/>
                <w:lang w:val="en-US" w:eastAsia="zh-CN" w:bidi="ar-SA"/>
              </w:rPr>
            </w:pPr>
            <w:r>
              <w:rPr>
                <w:rFonts w:ascii="Times New Roman"/>
                <w:snapToGrid w:val="0"/>
                <w:color w:val="auto"/>
                <w:kern w:val="21"/>
                <w:sz w:val="21"/>
                <w:szCs w:val="21"/>
                <w:highlight w:val="none"/>
              </w:rPr>
              <w:t>/</w:t>
            </w:r>
          </w:p>
        </w:tc>
        <w:tc>
          <w:tcPr>
            <w:tcW w:w="1629" w:type="dxa"/>
            <w:shd w:val="clear" w:color="auto" w:fill="auto"/>
            <w:vAlign w:val="center"/>
          </w:tcPr>
          <w:p w14:paraId="3351AD74">
            <w:pPr>
              <w:jc w:val="center"/>
              <w:rPr>
                <w:rFonts w:ascii="Times New Roman" w:hAnsi="宋体" w:eastAsia="宋体" w:cs="宋体"/>
                <w:snapToGrid w:val="0"/>
                <w:color w:val="auto"/>
                <w:kern w:val="21"/>
                <w:sz w:val="21"/>
                <w:szCs w:val="21"/>
                <w:highlight w:val="none"/>
                <w:lang w:val="en-US" w:eastAsia="zh-CN" w:bidi="ar-SA"/>
              </w:rPr>
            </w:pPr>
            <w:r>
              <w:rPr>
                <w:rFonts w:hint="eastAsia"/>
                <w:color w:val="auto"/>
                <w:sz w:val="21"/>
                <w:szCs w:val="21"/>
                <w:highlight w:val="none"/>
                <w:lang w:val="en-US" w:eastAsia="zh-CN" w:bidi="ar"/>
              </w:rPr>
              <w:t>0.07t/a</w:t>
            </w:r>
          </w:p>
        </w:tc>
        <w:tc>
          <w:tcPr>
            <w:tcW w:w="1242" w:type="dxa"/>
            <w:shd w:val="clear" w:color="auto" w:fill="auto"/>
            <w:vAlign w:val="center"/>
          </w:tcPr>
          <w:p w14:paraId="048F7EFD">
            <w:pPr>
              <w:jc w:val="center"/>
              <w:rPr>
                <w:rFonts w:hint="default" w:ascii="Times New Roman" w:hAnsi="宋体" w:eastAsia="宋体" w:cs="宋体"/>
                <w:snapToGrid w:val="0"/>
                <w:color w:val="auto"/>
                <w:kern w:val="21"/>
                <w:sz w:val="21"/>
                <w:szCs w:val="21"/>
                <w:highlight w:val="none"/>
                <w:lang w:val="en-US" w:eastAsia="zh-CN" w:bidi="ar-SA"/>
              </w:rPr>
            </w:pPr>
            <w:r>
              <w:rPr>
                <w:rFonts w:hint="eastAsia"/>
                <w:color w:val="auto"/>
                <w:sz w:val="21"/>
                <w:szCs w:val="21"/>
                <w:highlight w:val="none"/>
                <w:lang w:val="en-US" w:eastAsia="zh-CN" w:bidi="ar"/>
              </w:rPr>
              <w:t>0.07t/a</w:t>
            </w:r>
          </w:p>
        </w:tc>
      </w:tr>
      <w:tr w14:paraId="693A4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7F7939ED">
            <w:pPr>
              <w:spacing w:beforeLines="0" w:afterLines="0" w:line="240" w:lineRule="auto"/>
              <w:jc w:val="center"/>
              <w:rPr>
                <w:rFonts w:hint="eastAsia" w:hAnsi="宋体" w:cs="宋体"/>
                <w:snapToGrid w:val="0"/>
                <w:color w:val="auto"/>
                <w:kern w:val="21"/>
                <w:sz w:val="21"/>
                <w:szCs w:val="21"/>
                <w:highlight w:val="none"/>
              </w:rPr>
            </w:pPr>
          </w:p>
        </w:tc>
        <w:tc>
          <w:tcPr>
            <w:tcW w:w="1905" w:type="dxa"/>
            <w:shd w:val="clear" w:color="auto" w:fill="auto"/>
            <w:vAlign w:val="center"/>
          </w:tcPr>
          <w:p w14:paraId="4C205F1B">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废活性炭</w:t>
            </w:r>
          </w:p>
        </w:tc>
        <w:tc>
          <w:tcPr>
            <w:tcW w:w="1554" w:type="dxa"/>
            <w:shd w:val="clear" w:color="auto" w:fill="auto"/>
            <w:vAlign w:val="center"/>
          </w:tcPr>
          <w:p w14:paraId="30B700E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1250" w:type="dxa"/>
            <w:shd w:val="clear" w:color="auto" w:fill="auto"/>
            <w:vAlign w:val="center"/>
          </w:tcPr>
          <w:p w14:paraId="2A49A6E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1664" w:type="dxa"/>
            <w:shd w:val="clear" w:color="auto" w:fill="auto"/>
            <w:vAlign w:val="center"/>
          </w:tcPr>
          <w:p w14:paraId="707E980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1525" w:type="dxa"/>
            <w:shd w:val="clear" w:color="auto" w:fill="auto"/>
            <w:vAlign w:val="center"/>
          </w:tcPr>
          <w:p w14:paraId="3919A7F0">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6.94t/a</w:t>
            </w:r>
          </w:p>
        </w:tc>
        <w:tc>
          <w:tcPr>
            <w:tcW w:w="1578" w:type="dxa"/>
            <w:shd w:val="clear" w:color="auto" w:fill="auto"/>
            <w:vAlign w:val="center"/>
          </w:tcPr>
          <w:p w14:paraId="042C7488">
            <w:pPr>
              <w:spacing w:beforeLines="0" w:afterLines="0" w:line="240" w:lineRule="auto"/>
              <w:jc w:val="center"/>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1629" w:type="dxa"/>
            <w:shd w:val="clear" w:color="auto" w:fill="auto"/>
            <w:vAlign w:val="center"/>
          </w:tcPr>
          <w:p w14:paraId="29151DDD">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6.94t/a</w:t>
            </w:r>
          </w:p>
        </w:tc>
        <w:tc>
          <w:tcPr>
            <w:tcW w:w="1242" w:type="dxa"/>
            <w:shd w:val="clear" w:color="auto" w:fill="auto"/>
            <w:vAlign w:val="center"/>
          </w:tcPr>
          <w:p w14:paraId="117CAF84">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6.94t/a</w:t>
            </w:r>
          </w:p>
        </w:tc>
      </w:tr>
      <w:tr w14:paraId="33243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1BA2D34A">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3ED83320">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废紫外线灯</w:t>
            </w:r>
          </w:p>
        </w:tc>
        <w:tc>
          <w:tcPr>
            <w:tcW w:w="1554" w:type="dxa"/>
            <w:vAlign w:val="center"/>
          </w:tcPr>
          <w:p w14:paraId="779E209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42A2B87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543759B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2AABEC7F">
            <w:pPr>
              <w:jc w:val="center"/>
              <w:rPr>
                <w:rFonts w:hint="default" w:hAnsi="宋体" w:cs="宋体"/>
                <w:snapToGrid w:val="0"/>
                <w:color w:val="auto"/>
                <w:kern w:val="21"/>
                <w:sz w:val="21"/>
                <w:szCs w:val="21"/>
                <w:highlight w:val="none"/>
                <w:lang w:val="en-US"/>
              </w:rPr>
            </w:pPr>
            <w:r>
              <w:rPr>
                <w:rFonts w:hint="eastAsia"/>
                <w:color w:val="auto"/>
                <w:sz w:val="21"/>
                <w:szCs w:val="21"/>
                <w:highlight w:val="none"/>
                <w:lang w:val="en-US" w:eastAsia="zh-CN" w:bidi="ar"/>
              </w:rPr>
              <w:t>0.0012t/a</w:t>
            </w:r>
          </w:p>
        </w:tc>
        <w:tc>
          <w:tcPr>
            <w:tcW w:w="1578" w:type="dxa"/>
            <w:vAlign w:val="center"/>
          </w:tcPr>
          <w:p w14:paraId="0607185C">
            <w:pPr>
              <w:spacing w:beforeLines="0" w:afterLines="0" w:line="240" w:lineRule="auto"/>
              <w:jc w:val="center"/>
              <w:rPr>
                <w:rFonts w:hAnsi="宋体" w:cs="宋体"/>
                <w:snapToGrid w:val="0"/>
                <w:color w:val="auto"/>
                <w:kern w:val="21"/>
                <w:sz w:val="21"/>
                <w:szCs w:val="21"/>
                <w:highlight w:val="none"/>
              </w:rPr>
            </w:pPr>
            <w:r>
              <w:rPr>
                <w:rFonts w:ascii="Times New Roman"/>
                <w:snapToGrid w:val="0"/>
                <w:color w:val="auto"/>
                <w:kern w:val="21"/>
                <w:sz w:val="21"/>
                <w:szCs w:val="21"/>
                <w:highlight w:val="none"/>
              </w:rPr>
              <w:t>/</w:t>
            </w:r>
          </w:p>
        </w:tc>
        <w:tc>
          <w:tcPr>
            <w:tcW w:w="1629" w:type="dxa"/>
            <w:vAlign w:val="center"/>
          </w:tcPr>
          <w:p w14:paraId="06FFBEE5">
            <w:pPr>
              <w:jc w:val="center"/>
              <w:rPr>
                <w:rFonts w:hAnsi="宋体" w:cs="宋体"/>
                <w:snapToGrid w:val="0"/>
                <w:color w:val="auto"/>
                <w:kern w:val="21"/>
                <w:sz w:val="21"/>
                <w:szCs w:val="21"/>
                <w:highlight w:val="none"/>
              </w:rPr>
            </w:pPr>
            <w:r>
              <w:rPr>
                <w:rFonts w:hint="eastAsia"/>
                <w:color w:val="auto"/>
                <w:sz w:val="21"/>
                <w:szCs w:val="21"/>
                <w:highlight w:val="none"/>
                <w:lang w:val="en-US" w:eastAsia="zh-CN" w:bidi="ar"/>
              </w:rPr>
              <w:t>0.0012t/a</w:t>
            </w:r>
          </w:p>
        </w:tc>
        <w:tc>
          <w:tcPr>
            <w:tcW w:w="1242" w:type="dxa"/>
            <w:vAlign w:val="center"/>
          </w:tcPr>
          <w:p w14:paraId="5068B46F">
            <w:pPr>
              <w:jc w:val="center"/>
              <w:rPr>
                <w:rFonts w:hint="default" w:hAnsi="宋体" w:eastAsia="宋体" w:cs="宋体"/>
                <w:snapToGrid w:val="0"/>
                <w:color w:val="auto"/>
                <w:kern w:val="21"/>
                <w:sz w:val="21"/>
                <w:szCs w:val="21"/>
                <w:highlight w:val="none"/>
                <w:lang w:val="en-US" w:eastAsia="zh-CN"/>
              </w:rPr>
            </w:pPr>
            <w:r>
              <w:rPr>
                <w:rFonts w:hint="eastAsia"/>
                <w:color w:val="auto"/>
                <w:sz w:val="21"/>
                <w:szCs w:val="21"/>
                <w:highlight w:val="none"/>
                <w:lang w:val="en-US" w:eastAsia="zh-CN" w:bidi="ar"/>
              </w:rPr>
              <w:t>0.0012t/a</w:t>
            </w:r>
          </w:p>
        </w:tc>
      </w:tr>
      <w:tr w14:paraId="2B1C8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2EB89E85">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643E2ED8">
            <w:pPr>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废桶（废漆桶、废稀释剂桶、废固化剂桶）</w:t>
            </w:r>
          </w:p>
        </w:tc>
        <w:tc>
          <w:tcPr>
            <w:tcW w:w="1554" w:type="dxa"/>
            <w:vAlign w:val="center"/>
          </w:tcPr>
          <w:p w14:paraId="4A7FBFC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5A99397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7768B92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2B5F3DB3">
            <w:pPr>
              <w:jc w:val="center"/>
              <w:rPr>
                <w:rFonts w:hint="default" w:hAnsi="宋体" w:cs="宋体"/>
                <w:snapToGrid w:val="0"/>
                <w:color w:val="auto"/>
                <w:kern w:val="21"/>
                <w:sz w:val="21"/>
                <w:szCs w:val="21"/>
                <w:highlight w:val="none"/>
                <w:lang w:val="en-US"/>
              </w:rPr>
            </w:pPr>
            <w:r>
              <w:rPr>
                <w:rFonts w:hint="eastAsia"/>
                <w:color w:val="auto"/>
                <w:sz w:val="21"/>
                <w:szCs w:val="21"/>
                <w:highlight w:val="none"/>
                <w:lang w:val="en-US" w:eastAsia="zh-CN" w:bidi="ar"/>
              </w:rPr>
              <w:t>0.05t/a</w:t>
            </w:r>
          </w:p>
        </w:tc>
        <w:tc>
          <w:tcPr>
            <w:tcW w:w="1578" w:type="dxa"/>
            <w:vAlign w:val="center"/>
          </w:tcPr>
          <w:p w14:paraId="21C26FC8">
            <w:pPr>
              <w:spacing w:beforeLines="0" w:afterLines="0" w:line="240" w:lineRule="auto"/>
              <w:jc w:val="center"/>
              <w:rPr>
                <w:rFonts w:hAnsi="宋体" w:cs="宋体"/>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28688E51">
            <w:pPr>
              <w:jc w:val="center"/>
              <w:rPr>
                <w:rFonts w:hAnsi="宋体" w:cs="宋体"/>
                <w:snapToGrid w:val="0"/>
                <w:color w:val="auto"/>
                <w:kern w:val="21"/>
                <w:sz w:val="21"/>
                <w:szCs w:val="21"/>
                <w:highlight w:val="none"/>
              </w:rPr>
            </w:pPr>
            <w:r>
              <w:rPr>
                <w:rFonts w:hint="eastAsia"/>
                <w:color w:val="auto"/>
                <w:sz w:val="21"/>
                <w:szCs w:val="21"/>
                <w:highlight w:val="none"/>
                <w:lang w:val="en-US" w:eastAsia="zh-CN" w:bidi="ar"/>
              </w:rPr>
              <w:t>0.05t/a</w:t>
            </w:r>
          </w:p>
        </w:tc>
        <w:tc>
          <w:tcPr>
            <w:tcW w:w="1242" w:type="dxa"/>
            <w:vAlign w:val="center"/>
          </w:tcPr>
          <w:p w14:paraId="7A6A598A">
            <w:pPr>
              <w:jc w:val="center"/>
              <w:rPr>
                <w:rFonts w:hint="default" w:hAnsi="宋体" w:eastAsia="宋体" w:cs="宋体"/>
                <w:snapToGrid w:val="0"/>
                <w:color w:val="auto"/>
                <w:kern w:val="21"/>
                <w:sz w:val="21"/>
                <w:szCs w:val="21"/>
                <w:highlight w:val="none"/>
                <w:lang w:val="en-US" w:eastAsia="zh-CN"/>
              </w:rPr>
            </w:pPr>
            <w:r>
              <w:rPr>
                <w:rFonts w:hint="eastAsia"/>
                <w:color w:val="auto"/>
                <w:sz w:val="21"/>
                <w:szCs w:val="21"/>
                <w:highlight w:val="none"/>
                <w:lang w:val="en-US" w:eastAsia="zh-CN" w:bidi="ar"/>
              </w:rPr>
              <w:t>0.05t/a</w:t>
            </w:r>
          </w:p>
        </w:tc>
      </w:tr>
      <w:tr w14:paraId="13D05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01C83171">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642A9684">
            <w:pPr>
              <w:jc w:val="center"/>
              <w:outlineLvl w:val="0"/>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废机油</w:t>
            </w:r>
          </w:p>
        </w:tc>
        <w:tc>
          <w:tcPr>
            <w:tcW w:w="1554" w:type="dxa"/>
            <w:vAlign w:val="center"/>
          </w:tcPr>
          <w:p w14:paraId="5357C91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宋体" w:eastAsia="宋体" w:cs="宋体"/>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0D56438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1F349EE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669F1629">
            <w:pPr>
              <w:jc w:val="center"/>
              <w:rPr>
                <w:rFonts w:hint="default" w:hAnsi="宋体" w:cs="宋体"/>
                <w:snapToGrid w:val="0"/>
                <w:color w:val="auto"/>
                <w:kern w:val="21"/>
                <w:sz w:val="21"/>
                <w:szCs w:val="21"/>
                <w:highlight w:val="none"/>
                <w:lang w:val="en-US"/>
              </w:rPr>
            </w:pPr>
            <w:r>
              <w:rPr>
                <w:rFonts w:hint="eastAsia"/>
                <w:color w:val="auto"/>
                <w:sz w:val="21"/>
                <w:szCs w:val="21"/>
                <w:highlight w:val="none"/>
                <w:lang w:val="en-US" w:eastAsia="zh-CN" w:bidi="ar"/>
              </w:rPr>
              <w:t>0.5t/a</w:t>
            </w:r>
          </w:p>
        </w:tc>
        <w:tc>
          <w:tcPr>
            <w:tcW w:w="1578" w:type="dxa"/>
            <w:vAlign w:val="center"/>
          </w:tcPr>
          <w:p w14:paraId="7587B9DD">
            <w:pPr>
              <w:spacing w:beforeLines="0" w:afterLines="0" w:line="240" w:lineRule="auto"/>
              <w:jc w:val="center"/>
              <w:rPr>
                <w:rFonts w:hAnsi="宋体" w:cs="宋体"/>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0655AA96">
            <w:pPr>
              <w:jc w:val="center"/>
              <w:rPr>
                <w:rFonts w:hAnsi="宋体" w:cs="宋体"/>
                <w:snapToGrid w:val="0"/>
                <w:color w:val="auto"/>
                <w:kern w:val="21"/>
                <w:sz w:val="21"/>
                <w:szCs w:val="21"/>
                <w:highlight w:val="none"/>
              </w:rPr>
            </w:pPr>
            <w:r>
              <w:rPr>
                <w:rFonts w:hint="eastAsia"/>
                <w:color w:val="auto"/>
                <w:sz w:val="21"/>
                <w:szCs w:val="21"/>
                <w:highlight w:val="none"/>
                <w:lang w:val="en-US" w:eastAsia="zh-CN" w:bidi="ar"/>
              </w:rPr>
              <w:t>0.5t/a</w:t>
            </w:r>
          </w:p>
        </w:tc>
        <w:tc>
          <w:tcPr>
            <w:tcW w:w="1242" w:type="dxa"/>
            <w:vAlign w:val="center"/>
          </w:tcPr>
          <w:p w14:paraId="35BAA7F6">
            <w:pPr>
              <w:jc w:val="center"/>
              <w:rPr>
                <w:rFonts w:hint="eastAsia" w:hAnsi="宋体" w:eastAsia="宋体" w:cs="宋体"/>
                <w:snapToGrid w:val="0"/>
                <w:color w:val="auto"/>
                <w:kern w:val="21"/>
                <w:sz w:val="21"/>
                <w:szCs w:val="21"/>
                <w:highlight w:val="none"/>
                <w:lang w:val="en-US" w:eastAsia="zh-CN"/>
              </w:rPr>
            </w:pPr>
            <w:r>
              <w:rPr>
                <w:rFonts w:hint="eastAsia"/>
                <w:color w:val="auto"/>
                <w:sz w:val="21"/>
                <w:szCs w:val="21"/>
                <w:highlight w:val="none"/>
                <w:lang w:val="en-US" w:eastAsia="zh-CN" w:bidi="ar"/>
              </w:rPr>
              <w:t>0.5t/a</w:t>
            </w:r>
          </w:p>
        </w:tc>
      </w:tr>
      <w:tr w14:paraId="77366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616226B3">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014A9A69">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bidi="ar"/>
              </w:rPr>
              <w:t>废机油桶</w:t>
            </w:r>
          </w:p>
        </w:tc>
        <w:tc>
          <w:tcPr>
            <w:tcW w:w="1554" w:type="dxa"/>
            <w:vAlign w:val="center"/>
          </w:tcPr>
          <w:p w14:paraId="501CC35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宋体" w:eastAsia="宋体" w:cs="宋体"/>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74C97E7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2CEA6FF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065165F9">
            <w:pPr>
              <w:jc w:val="center"/>
              <w:rPr>
                <w:rFonts w:hint="default"/>
                <w:snapToGrid w:val="0"/>
                <w:color w:val="auto"/>
                <w:kern w:val="21"/>
                <w:sz w:val="21"/>
                <w:szCs w:val="21"/>
                <w:highlight w:val="none"/>
                <w:lang w:val="en-US"/>
              </w:rPr>
            </w:pPr>
            <w:r>
              <w:rPr>
                <w:rFonts w:hint="eastAsia"/>
                <w:color w:val="auto"/>
                <w:sz w:val="21"/>
                <w:szCs w:val="21"/>
                <w:highlight w:val="none"/>
                <w:lang w:val="en-US" w:eastAsia="zh-CN" w:bidi="ar"/>
              </w:rPr>
              <w:t>0.01t/a</w:t>
            </w:r>
          </w:p>
        </w:tc>
        <w:tc>
          <w:tcPr>
            <w:tcW w:w="1578" w:type="dxa"/>
            <w:vAlign w:val="center"/>
          </w:tcPr>
          <w:p w14:paraId="03F4D451">
            <w:pPr>
              <w:jc w:val="center"/>
              <w:rPr>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05E2E277">
            <w:pPr>
              <w:jc w:val="center"/>
              <w:rPr>
                <w:rFonts w:hAnsi="宋体" w:cs="宋体"/>
                <w:snapToGrid w:val="0"/>
                <w:color w:val="auto"/>
                <w:kern w:val="21"/>
                <w:sz w:val="21"/>
                <w:szCs w:val="21"/>
                <w:highlight w:val="none"/>
              </w:rPr>
            </w:pPr>
            <w:r>
              <w:rPr>
                <w:rFonts w:hint="eastAsia"/>
                <w:color w:val="auto"/>
                <w:sz w:val="21"/>
                <w:szCs w:val="21"/>
                <w:highlight w:val="none"/>
                <w:lang w:val="en-US" w:eastAsia="zh-CN" w:bidi="ar"/>
              </w:rPr>
              <w:t>0.01t/a</w:t>
            </w:r>
          </w:p>
        </w:tc>
        <w:tc>
          <w:tcPr>
            <w:tcW w:w="1242" w:type="dxa"/>
            <w:vAlign w:val="center"/>
          </w:tcPr>
          <w:p w14:paraId="14B1023B">
            <w:pPr>
              <w:jc w:val="center"/>
              <w:rPr>
                <w:rFonts w:hint="eastAsia" w:hAnsi="宋体" w:eastAsia="宋体" w:cs="宋体"/>
                <w:snapToGrid w:val="0"/>
                <w:color w:val="auto"/>
                <w:kern w:val="21"/>
                <w:sz w:val="21"/>
                <w:szCs w:val="21"/>
                <w:highlight w:val="none"/>
                <w:lang w:val="en-US" w:eastAsia="zh-CN"/>
              </w:rPr>
            </w:pPr>
            <w:r>
              <w:rPr>
                <w:rFonts w:hint="eastAsia"/>
                <w:color w:val="auto"/>
                <w:sz w:val="21"/>
                <w:szCs w:val="21"/>
                <w:highlight w:val="none"/>
                <w:lang w:val="en-US" w:eastAsia="zh-CN" w:bidi="ar"/>
              </w:rPr>
              <w:t>0.01t/a</w:t>
            </w:r>
          </w:p>
        </w:tc>
      </w:tr>
      <w:tr w14:paraId="3BCBF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6A99A23E">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40F51AD0">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废催化剂</w:t>
            </w:r>
          </w:p>
        </w:tc>
        <w:tc>
          <w:tcPr>
            <w:tcW w:w="1554" w:type="dxa"/>
            <w:vAlign w:val="center"/>
          </w:tcPr>
          <w:p w14:paraId="4DE41FD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10091D5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706AB0C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1B509E29">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0.18t/a</w:t>
            </w:r>
          </w:p>
        </w:tc>
        <w:tc>
          <w:tcPr>
            <w:tcW w:w="1578" w:type="dxa"/>
            <w:vAlign w:val="center"/>
          </w:tcPr>
          <w:p w14:paraId="00871E59">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1C542EFE">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0.18t/a</w:t>
            </w:r>
          </w:p>
        </w:tc>
        <w:tc>
          <w:tcPr>
            <w:tcW w:w="1242" w:type="dxa"/>
            <w:vAlign w:val="center"/>
          </w:tcPr>
          <w:p w14:paraId="5ADB1F77">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0.18t/a</w:t>
            </w:r>
          </w:p>
        </w:tc>
      </w:tr>
      <w:tr w14:paraId="35B9E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53B09F59">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05703181">
            <w:pPr>
              <w:jc w:val="center"/>
              <w:outlineLvl w:val="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废活化水</w:t>
            </w:r>
          </w:p>
        </w:tc>
        <w:tc>
          <w:tcPr>
            <w:tcW w:w="1554" w:type="dxa"/>
            <w:vAlign w:val="center"/>
          </w:tcPr>
          <w:p w14:paraId="086A5B4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27781B5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57C4FDB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0FB6F2D3">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1.5t/a</w:t>
            </w:r>
          </w:p>
        </w:tc>
        <w:tc>
          <w:tcPr>
            <w:tcW w:w="1578" w:type="dxa"/>
            <w:vAlign w:val="center"/>
          </w:tcPr>
          <w:p w14:paraId="29A4280E">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76946292">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1.5t/a</w:t>
            </w:r>
          </w:p>
        </w:tc>
        <w:tc>
          <w:tcPr>
            <w:tcW w:w="1242" w:type="dxa"/>
            <w:vAlign w:val="center"/>
          </w:tcPr>
          <w:p w14:paraId="6CB6E8D7">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1.5t/a</w:t>
            </w:r>
          </w:p>
        </w:tc>
      </w:tr>
      <w:tr w14:paraId="32329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vMerge w:val="continue"/>
            <w:vAlign w:val="center"/>
          </w:tcPr>
          <w:p w14:paraId="7BDDB015">
            <w:pPr>
              <w:spacing w:beforeLines="0" w:afterLines="0" w:line="240" w:lineRule="auto"/>
              <w:jc w:val="center"/>
              <w:rPr>
                <w:rFonts w:hAnsi="宋体" w:cs="宋体"/>
                <w:snapToGrid w:val="0"/>
                <w:color w:val="auto"/>
                <w:kern w:val="21"/>
                <w:sz w:val="21"/>
                <w:szCs w:val="21"/>
                <w:highlight w:val="none"/>
              </w:rPr>
            </w:pPr>
          </w:p>
        </w:tc>
        <w:tc>
          <w:tcPr>
            <w:tcW w:w="1905" w:type="dxa"/>
            <w:shd w:val="clear" w:color="auto" w:fill="auto"/>
            <w:vAlign w:val="center"/>
          </w:tcPr>
          <w:p w14:paraId="2A3D0830">
            <w:pPr>
              <w:jc w:val="center"/>
              <w:outlineLvl w:val="0"/>
              <w:rPr>
                <w:rFonts w:hint="default"/>
                <w:color w:val="auto"/>
                <w:sz w:val="21"/>
                <w:szCs w:val="21"/>
                <w:highlight w:val="none"/>
                <w:lang w:val="en-US" w:eastAsia="zh-CN" w:bidi="ar"/>
              </w:rPr>
            </w:pPr>
            <w:r>
              <w:rPr>
                <w:rFonts w:hint="eastAsia"/>
                <w:color w:val="auto"/>
                <w:sz w:val="21"/>
                <w:szCs w:val="21"/>
                <w:highlight w:val="none"/>
                <w:lang w:val="en-US" w:eastAsia="zh-CN" w:bidi="ar"/>
              </w:rPr>
              <w:t>喷淋废水</w:t>
            </w:r>
          </w:p>
        </w:tc>
        <w:tc>
          <w:tcPr>
            <w:tcW w:w="1554" w:type="dxa"/>
            <w:vAlign w:val="center"/>
          </w:tcPr>
          <w:p w14:paraId="48ECE36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250" w:type="dxa"/>
            <w:vAlign w:val="center"/>
          </w:tcPr>
          <w:p w14:paraId="29F7250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664" w:type="dxa"/>
            <w:vAlign w:val="center"/>
          </w:tcPr>
          <w:p w14:paraId="720DA27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snapToGrid w:val="0"/>
                <w:color w:val="auto"/>
                <w:kern w:val="21"/>
                <w:sz w:val="21"/>
                <w:szCs w:val="21"/>
                <w:highlight w:val="none"/>
              </w:rPr>
            </w:pPr>
            <w:r>
              <w:rPr>
                <w:rFonts w:ascii="Times New Roman"/>
                <w:snapToGrid w:val="0"/>
                <w:color w:val="auto"/>
                <w:kern w:val="21"/>
                <w:sz w:val="21"/>
                <w:szCs w:val="21"/>
                <w:highlight w:val="none"/>
              </w:rPr>
              <w:t>/</w:t>
            </w:r>
          </w:p>
        </w:tc>
        <w:tc>
          <w:tcPr>
            <w:tcW w:w="1525" w:type="dxa"/>
            <w:vAlign w:val="center"/>
          </w:tcPr>
          <w:p w14:paraId="752AB695">
            <w:pPr>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2.167t/a</w:t>
            </w:r>
          </w:p>
        </w:tc>
        <w:tc>
          <w:tcPr>
            <w:tcW w:w="1578" w:type="dxa"/>
            <w:vAlign w:val="center"/>
          </w:tcPr>
          <w:p w14:paraId="28AFCE3B">
            <w:pPr>
              <w:spacing w:beforeLines="0" w:afterLines="0" w:line="240" w:lineRule="auto"/>
              <w:jc w:val="center"/>
              <w:rPr>
                <w:rFonts w:hint="eastAsia"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rPr>
              <w:t>/</w:t>
            </w:r>
          </w:p>
        </w:tc>
        <w:tc>
          <w:tcPr>
            <w:tcW w:w="1629" w:type="dxa"/>
            <w:vAlign w:val="center"/>
          </w:tcPr>
          <w:p w14:paraId="5DE61B85">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2.167t/a</w:t>
            </w:r>
          </w:p>
        </w:tc>
        <w:tc>
          <w:tcPr>
            <w:tcW w:w="1242" w:type="dxa"/>
            <w:vAlign w:val="center"/>
          </w:tcPr>
          <w:p w14:paraId="58735760">
            <w:pPr>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2.167t/a</w:t>
            </w:r>
          </w:p>
        </w:tc>
      </w:tr>
    </w:tbl>
    <w:p w14:paraId="7A0FFB9E">
      <w:pPr>
        <w:tabs>
          <w:tab w:val="left" w:pos="9306"/>
        </w:tabs>
        <w:spacing w:before="192" w:beforeLines="80" w:after="24"/>
        <w:jc w:val="left"/>
        <w:rPr>
          <w:bCs/>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headerReference r:id="rId8" w:type="default"/>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B351E5-93F9-4B9E-A372-8784715A33FB}"/>
  </w:font>
  <w:font w:name="黑体">
    <w:panose1 w:val="02010609060101010101"/>
    <w:charset w:val="86"/>
    <w:family w:val="auto"/>
    <w:pitch w:val="default"/>
    <w:sig w:usb0="800002BF" w:usb1="38CF7CFA" w:usb2="00000016" w:usb3="00000000" w:csb0="00040001" w:csb1="00000000"/>
    <w:embedRegular r:id="rId2" w:fontKey="{265D3C44-7595-40A5-9B36-7A541B01A7E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义启新宋体">
    <w:altName w:val="宋体"/>
    <w:panose1 w:val="02010601030101010101"/>
    <w:charset w:val="80"/>
    <w:family w:val="auto"/>
    <w:pitch w:val="default"/>
    <w:sig w:usb0="00000000" w:usb1="00000000" w:usb2="00000012" w:usb3="00000000" w:csb0="00020001" w:csb1="00000000"/>
  </w:font>
  <w:font w:name="Calibri Light">
    <w:panose1 w:val="020F03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3" w:fontKey="{E9465931-C3F0-4139-8839-7C6C9FA8B9A9}"/>
  </w:font>
  <w:font w:name="Constantia">
    <w:panose1 w:val="02030602050306030303"/>
    <w:charset w:val="00"/>
    <w:family w:val="auto"/>
    <w:pitch w:val="default"/>
    <w:sig w:usb0="A00002EF" w:usb1="4000204B" w:usb2="00000000" w:usb3="00000000" w:csb0="2000019F" w:csb1="00000000"/>
  </w:font>
  <w:font w:name="方正楷体_GB2312">
    <w:panose1 w:val="02000000000000000000"/>
    <w:charset w:val="86"/>
    <w:family w:val="auto"/>
    <w:pitch w:val="default"/>
    <w:sig w:usb0="A00002BF" w:usb1="184F6CFA" w:usb2="00000012" w:usb3="00000000" w:csb0="00040001" w:csb1="00000000"/>
    <w:embedRegular r:id="rId4" w:fontKey="{9FDEEE33-308B-405F-98C3-02BB6930453B}"/>
  </w:font>
  <w:font w:name="方正小标宋_GBK">
    <w:panose1 w:val="02000000000000000000"/>
    <w:charset w:val="86"/>
    <w:family w:val="script"/>
    <w:pitch w:val="default"/>
    <w:sig w:usb0="A00002BF" w:usb1="38CF7CFA" w:usb2="00082016" w:usb3="00000000" w:csb0="00040001" w:csb1="00000000"/>
    <w:embedRegular r:id="rId5" w:fontKey="{21B1CC01-2009-4EDA-B108-CC6B6D3DA31D}"/>
  </w:font>
  <w:font w:name="仿宋">
    <w:panose1 w:val="02010609060101010101"/>
    <w:charset w:val="86"/>
    <w:family w:val="modern"/>
    <w:pitch w:val="default"/>
    <w:sig w:usb0="800002BF" w:usb1="38CF7CFA" w:usb2="00000016" w:usb3="00000000" w:csb0="00040001" w:csb1="00000000"/>
    <w:embedRegular r:id="rId6" w:fontKey="{9973109E-0FD1-4169-B4B0-BD01F3A4E223}"/>
  </w:font>
  <w:font w:name="等线">
    <w:panose1 w:val="02010600030101010101"/>
    <w:charset w:val="86"/>
    <w:family w:val="auto"/>
    <w:pitch w:val="default"/>
    <w:sig w:usb0="A00002BF" w:usb1="38CF7CFA" w:usb2="00000016" w:usb3="00000000" w:csb0="0004000F" w:csb1="00000000"/>
    <w:embedRegular r:id="rId7" w:fontKey="{7A5F1E8F-BF72-4CFD-9B84-865BBDFF39C2}"/>
  </w:font>
  <w:font w:name="Cambria Math">
    <w:panose1 w:val="02040503050406030204"/>
    <w:charset w:val="00"/>
    <w:family w:val="roman"/>
    <w:pitch w:val="default"/>
    <w:sig w:usb0="E00006FF" w:usb1="420024FF" w:usb2="02000000" w:usb3="00000000" w:csb0="2000019F" w:csb1="00000000"/>
    <w:embedRegular r:id="rId8" w:fontKey="{475BA7FA-723D-41F6-98FF-6D433DA0FAD8}"/>
  </w:font>
  <w:font w:name="WPSEMBED1">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50B8A">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74F9">
    <w:pPr>
      <w:framePr w:wrap="around" w:vAnchor="text" w:hAnchor="margin" w:xAlign="center" w:y="1"/>
      <w:tabs>
        <w:tab w:val="center" w:pos="4153"/>
        <w:tab w:val="right" w:pos="8306"/>
      </w:tabs>
    </w:pPr>
    <w:r>
      <w:fldChar w:fldCharType="begin"/>
    </w:r>
    <w:r>
      <w:instrText xml:space="preserve">PAGE  </w:instrText>
    </w:r>
    <w:r>
      <w:fldChar w:fldCharType="end"/>
    </w:r>
  </w:p>
  <w:p w14:paraId="1966B299">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F3CE5">
    <w:pPr>
      <w:tabs>
        <w:tab w:val="center" w:pos="4153"/>
        <w:tab w:val="right" w:pos="8306"/>
      </w:tabs>
      <w:ind w:right="36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1A43E">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F61A43E">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62193">
    <w:pPr>
      <w:tabs>
        <w:tab w:val="center" w:pos="4153"/>
        <w:tab w:val="right" w:pos="8306"/>
      </w:tabs>
      <w:ind w:right="360" w:firstLine="36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14391">
                          <w:pPr>
                            <w:pStyle w:val="1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F314391">
                    <w:pPr>
                      <w:pStyle w:val="1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EE8D0">
    <w:pPr>
      <w:pBdr>
        <w:bottom w:val="none" w:color="auto" w:sz="0" w:space="1"/>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3D68D">
    <w:pPr>
      <w:pBdr>
        <w:bottom w:val="none" w:color="auto" w:sz="0" w:space="1"/>
      </w:pBd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45EB7">
    <w:pPr>
      <w:pBdr>
        <w:bottom w:val="none" w:color="auto" w:sz="0" w:space="1"/>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31954"/>
    <w:multiLevelType w:val="singleLevel"/>
    <w:tmpl w:val="87931954"/>
    <w:lvl w:ilvl="0" w:tentative="0">
      <w:start w:val="4"/>
      <w:numFmt w:val="decimal"/>
      <w:suff w:val="nothing"/>
      <w:lvlText w:val="%1、"/>
      <w:lvlJc w:val="left"/>
    </w:lvl>
  </w:abstractNum>
  <w:abstractNum w:abstractNumId="1">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pStyle w:val="4"/>
      <w:lvlText w:val="%3."/>
      <w:lvlJc w:val="left"/>
      <w:pPr>
        <w:tabs>
          <w:tab w:val="left" w:pos="2126"/>
        </w:tabs>
        <w:ind w:left="1701" w:firstLine="0"/>
      </w:pPr>
    </w:lvl>
    <w:lvl w:ilvl="3" w:tentative="0">
      <w:start w:val="1"/>
      <w:numFmt w:val="lowerLetter"/>
      <w:lvlText w:val="%4)"/>
      <w:lvlJc w:val="left"/>
      <w:pPr>
        <w:tabs>
          <w:tab w:val="left" w:pos="2976"/>
        </w:tabs>
        <w:ind w:left="2551" w:firstLine="0"/>
      </w:pPr>
    </w:lvl>
    <w:lvl w:ilvl="4" w:tentative="0">
      <w:start w:val="1"/>
      <w:numFmt w:val="decimal"/>
      <w:pStyle w:val="6"/>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lvlRestart w:val="2"/>
      <w:pStyle w:val="51"/>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hZTljYTE1YzM3NDcyYTdiMjY5ODY5YTNkYmMxOGIifQ=="/>
  </w:docVars>
  <w:rsids>
    <w:rsidRoot w:val="00A14947"/>
    <w:rsid w:val="000060B3"/>
    <w:rsid w:val="0004364B"/>
    <w:rsid w:val="00050F45"/>
    <w:rsid w:val="00061B1F"/>
    <w:rsid w:val="000733C4"/>
    <w:rsid w:val="00074783"/>
    <w:rsid w:val="0008070B"/>
    <w:rsid w:val="000810AC"/>
    <w:rsid w:val="00081A02"/>
    <w:rsid w:val="00082172"/>
    <w:rsid w:val="00082231"/>
    <w:rsid w:val="0009058D"/>
    <w:rsid w:val="00092D38"/>
    <w:rsid w:val="0009377B"/>
    <w:rsid w:val="00094C39"/>
    <w:rsid w:val="000A20C9"/>
    <w:rsid w:val="000A2B66"/>
    <w:rsid w:val="000B058F"/>
    <w:rsid w:val="000B4467"/>
    <w:rsid w:val="000B4DB9"/>
    <w:rsid w:val="000C09AC"/>
    <w:rsid w:val="000C40FD"/>
    <w:rsid w:val="000C6B5D"/>
    <w:rsid w:val="000C767F"/>
    <w:rsid w:val="000D5A44"/>
    <w:rsid w:val="000E3ED2"/>
    <w:rsid w:val="001300F6"/>
    <w:rsid w:val="00131F42"/>
    <w:rsid w:val="00133A9D"/>
    <w:rsid w:val="001357F1"/>
    <w:rsid w:val="00140FA8"/>
    <w:rsid w:val="00142FEB"/>
    <w:rsid w:val="00143A2D"/>
    <w:rsid w:val="00145A41"/>
    <w:rsid w:val="00151675"/>
    <w:rsid w:val="00157435"/>
    <w:rsid w:val="001730E0"/>
    <w:rsid w:val="0017504D"/>
    <w:rsid w:val="0017671A"/>
    <w:rsid w:val="00177422"/>
    <w:rsid w:val="00184590"/>
    <w:rsid w:val="001870D1"/>
    <w:rsid w:val="0018781E"/>
    <w:rsid w:val="0019262D"/>
    <w:rsid w:val="00196D6D"/>
    <w:rsid w:val="001A1B35"/>
    <w:rsid w:val="001A48A2"/>
    <w:rsid w:val="001A62EE"/>
    <w:rsid w:val="001A6F61"/>
    <w:rsid w:val="001B72B8"/>
    <w:rsid w:val="001C69B3"/>
    <w:rsid w:val="001D186A"/>
    <w:rsid w:val="001D5595"/>
    <w:rsid w:val="001D7874"/>
    <w:rsid w:val="001D7F22"/>
    <w:rsid w:val="001F0F17"/>
    <w:rsid w:val="001F3347"/>
    <w:rsid w:val="001F69E4"/>
    <w:rsid w:val="00205E53"/>
    <w:rsid w:val="002125B4"/>
    <w:rsid w:val="002155B8"/>
    <w:rsid w:val="00224839"/>
    <w:rsid w:val="002249B2"/>
    <w:rsid w:val="00226574"/>
    <w:rsid w:val="002265E1"/>
    <w:rsid w:val="002278EC"/>
    <w:rsid w:val="0023062D"/>
    <w:rsid w:val="0023280E"/>
    <w:rsid w:val="002377D1"/>
    <w:rsid w:val="00243E5D"/>
    <w:rsid w:val="00247426"/>
    <w:rsid w:val="002506BC"/>
    <w:rsid w:val="00254345"/>
    <w:rsid w:val="00264557"/>
    <w:rsid w:val="002805AB"/>
    <w:rsid w:val="00284204"/>
    <w:rsid w:val="00291773"/>
    <w:rsid w:val="002A168C"/>
    <w:rsid w:val="002A3DC7"/>
    <w:rsid w:val="002B49E2"/>
    <w:rsid w:val="002B7B00"/>
    <w:rsid w:val="002B7C44"/>
    <w:rsid w:val="002C2B17"/>
    <w:rsid w:val="002C462E"/>
    <w:rsid w:val="002D3DD0"/>
    <w:rsid w:val="002D4396"/>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54DD"/>
    <w:rsid w:val="00390857"/>
    <w:rsid w:val="0039503F"/>
    <w:rsid w:val="003A4BF3"/>
    <w:rsid w:val="003B420D"/>
    <w:rsid w:val="003C6C16"/>
    <w:rsid w:val="003D794D"/>
    <w:rsid w:val="003E3058"/>
    <w:rsid w:val="003E76A9"/>
    <w:rsid w:val="003F0809"/>
    <w:rsid w:val="003F6A8C"/>
    <w:rsid w:val="003F755C"/>
    <w:rsid w:val="00406F01"/>
    <w:rsid w:val="00414848"/>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1B1C"/>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5FD9"/>
    <w:rsid w:val="00594D77"/>
    <w:rsid w:val="005969E4"/>
    <w:rsid w:val="005A06B7"/>
    <w:rsid w:val="005A1759"/>
    <w:rsid w:val="005A68A7"/>
    <w:rsid w:val="005B5B73"/>
    <w:rsid w:val="005D36AB"/>
    <w:rsid w:val="005F0036"/>
    <w:rsid w:val="00607B30"/>
    <w:rsid w:val="00617CC3"/>
    <w:rsid w:val="00626EF5"/>
    <w:rsid w:val="0063033D"/>
    <w:rsid w:val="006377A6"/>
    <w:rsid w:val="00637A3D"/>
    <w:rsid w:val="006411EF"/>
    <w:rsid w:val="006748B8"/>
    <w:rsid w:val="006775C3"/>
    <w:rsid w:val="0069290A"/>
    <w:rsid w:val="0069775A"/>
    <w:rsid w:val="00697813"/>
    <w:rsid w:val="006A3EE8"/>
    <w:rsid w:val="006A417E"/>
    <w:rsid w:val="006A72BF"/>
    <w:rsid w:val="006B03F2"/>
    <w:rsid w:val="006B37DC"/>
    <w:rsid w:val="006B4F68"/>
    <w:rsid w:val="006C0592"/>
    <w:rsid w:val="006C272E"/>
    <w:rsid w:val="006C5479"/>
    <w:rsid w:val="006D13B5"/>
    <w:rsid w:val="006E12FF"/>
    <w:rsid w:val="006E607E"/>
    <w:rsid w:val="0070638B"/>
    <w:rsid w:val="00706C5D"/>
    <w:rsid w:val="00712D43"/>
    <w:rsid w:val="00732922"/>
    <w:rsid w:val="0075162E"/>
    <w:rsid w:val="00754034"/>
    <w:rsid w:val="00755DF0"/>
    <w:rsid w:val="00756556"/>
    <w:rsid w:val="007618C4"/>
    <w:rsid w:val="00767980"/>
    <w:rsid w:val="00770B19"/>
    <w:rsid w:val="00773C9E"/>
    <w:rsid w:val="0077463F"/>
    <w:rsid w:val="007836EA"/>
    <w:rsid w:val="00784CDA"/>
    <w:rsid w:val="007906C4"/>
    <w:rsid w:val="007940EA"/>
    <w:rsid w:val="007967E8"/>
    <w:rsid w:val="007A1CC5"/>
    <w:rsid w:val="007A2170"/>
    <w:rsid w:val="007A22BF"/>
    <w:rsid w:val="007A3323"/>
    <w:rsid w:val="007B72B8"/>
    <w:rsid w:val="007B7A58"/>
    <w:rsid w:val="007C21B5"/>
    <w:rsid w:val="007E0183"/>
    <w:rsid w:val="007E4BD2"/>
    <w:rsid w:val="00801393"/>
    <w:rsid w:val="00802F88"/>
    <w:rsid w:val="0081293E"/>
    <w:rsid w:val="00815465"/>
    <w:rsid w:val="00817E4B"/>
    <w:rsid w:val="00817E9A"/>
    <w:rsid w:val="00821A8D"/>
    <w:rsid w:val="008306BD"/>
    <w:rsid w:val="00831A80"/>
    <w:rsid w:val="00833743"/>
    <w:rsid w:val="008340A4"/>
    <w:rsid w:val="00870A4F"/>
    <w:rsid w:val="0087135F"/>
    <w:rsid w:val="00872D94"/>
    <w:rsid w:val="00880364"/>
    <w:rsid w:val="008850EF"/>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18A6"/>
    <w:rsid w:val="00951283"/>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456F"/>
    <w:rsid w:val="009B0897"/>
    <w:rsid w:val="009B6D39"/>
    <w:rsid w:val="009B7BD9"/>
    <w:rsid w:val="009C3451"/>
    <w:rsid w:val="009C7DD5"/>
    <w:rsid w:val="009E227D"/>
    <w:rsid w:val="009E5019"/>
    <w:rsid w:val="009E5453"/>
    <w:rsid w:val="00A04F1B"/>
    <w:rsid w:val="00A0501B"/>
    <w:rsid w:val="00A14947"/>
    <w:rsid w:val="00A32A83"/>
    <w:rsid w:val="00A368DB"/>
    <w:rsid w:val="00A423AA"/>
    <w:rsid w:val="00A5308E"/>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E43DA"/>
    <w:rsid w:val="00AF0CBF"/>
    <w:rsid w:val="00AF257F"/>
    <w:rsid w:val="00AF33CF"/>
    <w:rsid w:val="00AF4D50"/>
    <w:rsid w:val="00AF6179"/>
    <w:rsid w:val="00B00300"/>
    <w:rsid w:val="00B107EF"/>
    <w:rsid w:val="00B1295A"/>
    <w:rsid w:val="00B20A45"/>
    <w:rsid w:val="00B22C5C"/>
    <w:rsid w:val="00B24F30"/>
    <w:rsid w:val="00B31ABF"/>
    <w:rsid w:val="00B33BE3"/>
    <w:rsid w:val="00B53B5D"/>
    <w:rsid w:val="00B6055E"/>
    <w:rsid w:val="00B6317D"/>
    <w:rsid w:val="00B7723F"/>
    <w:rsid w:val="00B80534"/>
    <w:rsid w:val="00B80D51"/>
    <w:rsid w:val="00B8433C"/>
    <w:rsid w:val="00B87491"/>
    <w:rsid w:val="00B951D1"/>
    <w:rsid w:val="00B95CAC"/>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16477"/>
    <w:rsid w:val="00C2596A"/>
    <w:rsid w:val="00C27537"/>
    <w:rsid w:val="00C328FE"/>
    <w:rsid w:val="00C33507"/>
    <w:rsid w:val="00C4409D"/>
    <w:rsid w:val="00C44E72"/>
    <w:rsid w:val="00C44F9A"/>
    <w:rsid w:val="00C45A06"/>
    <w:rsid w:val="00C47E5B"/>
    <w:rsid w:val="00C61E4B"/>
    <w:rsid w:val="00C64BFF"/>
    <w:rsid w:val="00C704E9"/>
    <w:rsid w:val="00C74CEB"/>
    <w:rsid w:val="00C763C9"/>
    <w:rsid w:val="00C80057"/>
    <w:rsid w:val="00C82232"/>
    <w:rsid w:val="00C82913"/>
    <w:rsid w:val="00C925D8"/>
    <w:rsid w:val="00C94E18"/>
    <w:rsid w:val="00C972B1"/>
    <w:rsid w:val="00CA07D2"/>
    <w:rsid w:val="00CA2CCE"/>
    <w:rsid w:val="00CA43FD"/>
    <w:rsid w:val="00CA7EF8"/>
    <w:rsid w:val="00CC489B"/>
    <w:rsid w:val="00CD2BCD"/>
    <w:rsid w:val="00CD3A4C"/>
    <w:rsid w:val="00CE10E9"/>
    <w:rsid w:val="00CE2910"/>
    <w:rsid w:val="00CE2C5A"/>
    <w:rsid w:val="00CE5393"/>
    <w:rsid w:val="00CF36BE"/>
    <w:rsid w:val="00CF6000"/>
    <w:rsid w:val="00D003F3"/>
    <w:rsid w:val="00D0364F"/>
    <w:rsid w:val="00D06077"/>
    <w:rsid w:val="00D06834"/>
    <w:rsid w:val="00D25170"/>
    <w:rsid w:val="00D308ED"/>
    <w:rsid w:val="00D36D86"/>
    <w:rsid w:val="00D428AA"/>
    <w:rsid w:val="00D44AC9"/>
    <w:rsid w:val="00D50A34"/>
    <w:rsid w:val="00D53EFA"/>
    <w:rsid w:val="00D94A7C"/>
    <w:rsid w:val="00D95896"/>
    <w:rsid w:val="00DA7EDE"/>
    <w:rsid w:val="00DB2983"/>
    <w:rsid w:val="00DC1257"/>
    <w:rsid w:val="00DC3DC0"/>
    <w:rsid w:val="00DC5B2B"/>
    <w:rsid w:val="00DD318D"/>
    <w:rsid w:val="00DF26F9"/>
    <w:rsid w:val="00DF2E12"/>
    <w:rsid w:val="00DF514A"/>
    <w:rsid w:val="00DF6690"/>
    <w:rsid w:val="00DF6804"/>
    <w:rsid w:val="00E0358D"/>
    <w:rsid w:val="00E04323"/>
    <w:rsid w:val="00E070A2"/>
    <w:rsid w:val="00E15951"/>
    <w:rsid w:val="00E16F40"/>
    <w:rsid w:val="00E2656A"/>
    <w:rsid w:val="00E412D0"/>
    <w:rsid w:val="00E56322"/>
    <w:rsid w:val="00E60982"/>
    <w:rsid w:val="00E62C62"/>
    <w:rsid w:val="00E654C1"/>
    <w:rsid w:val="00E65D97"/>
    <w:rsid w:val="00E72A5A"/>
    <w:rsid w:val="00E73354"/>
    <w:rsid w:val="00E9242D"/>
    <w:rsid w:val="00EA4E28"/>
    <w:rsid w:val="00EB5255"/>
    <w:rsid w:val="00EB5C47"/>
    <w:rsid w:val="00ED0639"/>
    <w:rsid w:val="00EF4755"/>
    <w:rsid w:val="00EF7135"/>
    <w:rsid w:val="00F01043"/>
    <w:rsid w:val="00F027DB"/>
    <w:rsid w:val="00F128C2"/>
    <w:rsid w:val="00F1345C"/>
    <w:rsid w:val="00F14A7A"/>
    <w:rsid w:val="00F22985"/>
    <w:rsid w:val="00F3383E"/>
    <w:rsid w:val="00F40B0D"/>
    <w:rsid w:val="00F465A7"/>
    <w:rsid w:val="00F50B7C"/>
    <w:rsid w:val="00F550E6"/>
    <w:rsid w:val="00F74345"/>
    <w:rsid w:val="00F80A0A"/>
    <w:rsid w:val="00F82B19"/>
    <w:rsid w:val="00F9212D"/>
    <w:rsid w:val="00F92A65"/>
    <w:rsid w:val="00F965DA"/>
    <w:rsid w:val="00FA406A"/>
    <w:rsid w:val="00FB3CE5"/>
    <w:rsid w:val="00FB503A"/>
    <w:rsid w:val="00FB516C"/>
    <w:rsid w:val="00FD0236"/>
    <w:rsid w:val="00FD18F4"/>
    <w:rsid w:val="00FD54DB"/>
    <w:rsid w:val="00FD619F"/>
    <w:rsid w:val="010827C0"/>
    <w:rsid w:val="010B2CAF"/>
    <w:rsid w:val="01290F7E"/>
    <w:rsid w:val="015D1E09"/>
    <w:rsid w:val="016B6FF2"/>
    <w:rsid w:val="01763BCE"/>
    <w:rsid w:val="01A46AC4"/>
    <w:rsid w:val="01B5254E"/>
    <w:rsid w:val="01DC3810"/>
    <w:rsid w:val="01FC09A4"/>
    <w:rsid w:val="02162F88"/>
    <w:rsid w:val="021D70C7"/>
    <w:rsid w:val="02385001"/>
    <w:rsid w:val="02533567"/>
    <w:rsid w:val="02697903"/>
    <w:rsid w:val="026C6D7F"/>
    <w:rsid w:val="02972E80"/>
    <w:rsid w:val="0298415E"/>
    <w:rsid w:val="029952F1"/>
    <w:rsid w:val="02B96468"/>
    <w:rsid w:val="02CA0A44"/>
    <w:rsid w:val="02F96569"/>
    <w:rsid w:val="031C42B7"/>
    <w:rsid w:val="03314929"/>
    <w:rsid w:val="03411C29"/>
    <w:rsid w:val="03593624"/>
    <w:rsid w:val="035A704B"/>
    <w:rsid w:val="036D2DAF"/>
    <w:rsid w:val="037E26E1"/>
    <w:rsid w:val="03CE7CF1"/>
    <w:rsid w:val="03EA7B21"/>
    <w:rsid w:val="042921CB"/>
    <w:rsid w:val="04410087"/>
    <w:rsid w:val="04471852"/>
    <w:rsid w:val="045D2CDA"/>
    <w:rsid w:val="046441B2"/>
    <w:rsid w:val="047B2AB9"/>
    <w:rsid w:val="0483409C"/>
    <w:rsid w:val="04BB296E"/>
    <w:rsid w:val="04E9718F"/>
    <w:rsid w:val="05355CC3"/>
    <w:rsid w:val="053E151C"/>
    <w:rsid w:val="05424E30"/>
    <w:rsid w:val="057A761B"/>
    <w:rsid w:val="0597186E"/>
    <w:rsid w:val="05B32695"/>
    <w:rsid w:val="05F77758"/>
    <w:rsid w:val="05F83EAE"/>
    <w:rsid w:val="06155A2B"/>
    <w:rsid w:val="061B581D"/>
    <w:rsid w:val="06295AE6"/>
    <w:rsid w:val="063E7D85"/>
    <w:rsid w:val="066050E3"/>
    <w:rsid w:val="067E56F8"/>
    <w:rsid w:val="06943F65"/>
    <w:rsid w:val="0694782D"/>
    <w:rsid w:val="0698601A"/>
    <w:rsid w:val="07017849"/>
    <w:rsid w:val="070E0EF4"/>
    <w:rsid w:val="071B28F9"/>
    <w:rsid w:val="071D689A"/>
    <w:rsid w:val="07293586"/>
    <w:rsid w:val="07295285"/>
    <w:rsid w:val="07375B44"/>
    <w:rsid w:val="07472090"/>
    <w:rsid w:val="07501ABB"/>
    <w:rsid w:val="07593D76"/>
    <w:rsid w:val="07636392"/>
    <w:rsid w:val="07663572"/>
    <w:rsid w:val="07770C56"/>
    <w:rsid w:val="07C43A23"/>
    <w:rsid w:val="07C82B9F"/>
    <w:rsid w:val="07DC2DF1"/>
    <w:rsid w:val="08035BC5"/>
    <w:rsid w:val="080A3246"/>
    <w:rsid w:val="08274BDD"/>
    <w:rsid w:val="08451497"/>
    <w:rsid w:val="084E60B4"/>
    <w:rsid w:val="084F58F6"/>
    <w:rsid w:val="08602EE2"/>
    <w:rsid w:val="088A62C2"/>
    <w:rsid w:val="089A222D"/>
    <w:rsid w:val="089E7837"/>
    <w:rsid w:val="089F0F3B"/>
    <w:rsid w:val="08CC67C9"/>
    <w:rsid w:val="08F22718"/>
    <w:rsid w:val="08F3287C"/>
    <w:rsid w:val="08FF6B9F"/>
    <w:rsid w:val="090D408D"/>
    <w:rsid w:val="092217DD"/>
    <w:rsid w:val="093A7294"/>
    <w:rsid w:val="09690002"/>
    <w:rsid w:val="09C92DC5"/>
    <w:rsid w:val="0A1A1112"/>
    <w:rsid w:val="0A263993"/>
    <w:rsid w:val="0A2D3AC2"/>
    <w:rsid w:val="0A2F5262"/>
    <w:rsid w:val="0A5E78F5"/>
    <w:rsid w:val="0A706228"/>
    <w:rsid w:val="0AA755DF"/>
    <w:rsid w:val="0AA7706E"/>
    <w:rsid w:val="0AB87DA1"/>
    <w:rsid w:val="0AD007F3"/>
    <w:rsid w:val="0AD16CEF"/>
    <w:rsid w:val="0ADA6BF0"/>
    <w:rsid w:val="0AE75ECA"/>
    <w:rsid w:val="0AEB2BC4"/>
    <w:rsid w:val="0AF470A4"/>
    <w:rsid w:val="0B0E3640"/>
    <w:rsid w:val="0B120D44"/>
    <w:rsid w:val="0B2B66EA"/>
    <w:rsid w:val="0B552AA6"/>
    <w:rsid w:val="0B6658C1"/>
    <w:rsid w:val="0B734214"/>
    <w:rsid w:val="0B92607E"/>
    <w:rsid w:val="0B9F1C6E"/>
    <w:rsid w:val="0BA570C1"/>
    <w:rsid w:val="0BC87CAB"/>
    <w:rsid w:val="0BD27BF6"/>
    <w:rsid w:val="0BEF6A57"/>
    <w:rsid w:val="0C05627A"/>
    <w:rsid w:val="0C1A784C"/>
    <w:rsid w:val="0C27052E"/>
    <w:rsid w:val="0C3B3C7D"/>
    <w:rsid w:val="0C4038A6"/>
    <w:rsid w:val="0C664F00"/>
    <w:rsid w:val="0CA872DB"/>
    <w:rsid w:val="0CAB2EAE"/>
    <w:rsid w:val="0D0E60D2"/>
    <w:rsid w:val="0D382E55"/>
    <w:rsid w:val="0D3F33D7"/>
    <w:rsid w:val="0D496C4D"/>
    <w:rsid w:val="0D580BF9"/>
    <w:rsid w:val="0D5A43A4"/>
    <w:rsid w:val="0D621C7D"/>
    <w:rsid w:val="0D74606C"/>
    <w:rsid w:val="0D8738C3"/>
    <w:rsid w:val="0DB5090F"/>
    <w:rsid w:val="0DC52330"/>
    <w:rsid w:val="0DC863CA"/>
    <w:rsid w:val="0DDE3227"/>
    <w:rsid w:val="0DE34399"/>
    <w:rsid w:val="0E177A97"/>
    <w:rsid w:val="0E1E3623"/>
    <w:rsid w:val="0E460A03"/>
    <w:rsid w:val="0E5B4669"/>
    <w:rsid w:val="0E73034D"/>
    <w:rsid w:val="0E9C09EC"/>
    <w:rsid w:val="0E9C4E0F"/>
    <w:rsid w:val="0EA72E79"/>
    <w:rsid w:val="0EAB079C"/>
    <w:rsid w:val="0EB53759"/>
    <w:rsid w:val="0EC8767D"/>
    <w:rsid w:val="0ECB3BCE"/>
    <w:rsid w:val="0ED21F4B"/>
    <w:rsid w:val="0F0E1FB6"/>
    <w:rsid w:val="0F13775A"/>
    <w:rsid w:val="0F5F45FE"/>
    <w:rsid w:val="0F650444"/>
    <w:rsid w:val="0F8E47D8"/>
    <w:rsid w:val="0F9A112B"/>
    <w:rsid w:val="0FC84933"/>
    <w:rsid w:val="0FD4423F"/>
    <w:rsid w:val="102E1829"/>
    <w:rsid w:val="103A79EE"/>
    <w:rsid w:val="1054157E"/>
    <w:rsid w:val="10663465"/>
    <w:rsid w:val="106D2F64"/>
    <w:rsid w:val="10795489"/>
    <w:rsid w:val="109D16D1"/>
    <w:rsid w:val="10B63710"/>
    <w:rsid w:val="10E40322"/>
    <w:rsid w:val="10ED3781"/>
    <w:rsid w:val="10F10820"/>
    <w:rsid w:val="111C2F7A"/>
    <w:rsid w:val="111E48F9"/>
    <w:rsid w:val="11321112"/>
    <w:rsid w:val="113733BB"/>
    <w:rsid w:val="115F57F7"/>
    <w:rsid w:val="11651569"/>
    <w:rsid w:val="11665CA1"/>
    <w:rsid w:val="11AF54C8"/>
    <w:rsid w:val="126B7053"/>
    <w:rsid w:val="12D11CBB"/>
    <w:rsid w:val="12EF558E"/>
    <w:rsid w:val="136C4E31"/>
    <w:rsid w:val="137471DC"/>
    <w:rsid w:val="138D3784"/>
    <w:rsid w:val="13951726"/>
    <w:rsid w:val="13AA5567"/>
    <w:rsid w:val="13EB21F9"/>
    <w:rsid w:val="13F217DA"/>
    <w:rsid w:val="140F558A"/>
    <w:rsid w:val="14396509"/>
    <w:rsid w:val="14575AE1"/>
    <w:rsid w:val="14600DE0"/>
    <w:rsid w:val="14642DAA"/>
    <w:rsid w:val="14681A9C"/>
    <w:rsid w:val="148F5944"/>
    <w:rsid w:val="14A405FA"/>
    <w:rsid w:val="14DD2C3C"/>
    <w:rsid w:val="14E051D5"/>
    <w:rsid w:val="15344D3E"/>
    <w:rsid w:val="156C55BC"/>
    <w:rsid w:val="156C61BD"/>
    <w:rsid w:val="15911928"/>
    <w:rsid w:val="159D75E1"/>
    <w:rsid w:val="15C947BC"/>
    <w:rsid w:val="16087E1D"/>
    <w:rsid w:val="162A2B5F"/>
    <w:rsid w:val="16397360"/>
    <w:rsid w:val="16A86180"/>
    <w:rsid w:val="16C54FA2"/>
    <w:rsid w:val="16DB6FDB"/>
    <w:rsid w:val="16E318AE"/>
    <w:rsid w:val="16EA1E11"/>
    <w:rsid w:val="16F95A78"/>
    <w:rsid w:val="17461AB8"/>
    <w:rsid w:val="17502639"/>
    <w:rsid w:val="17701D14"/>
    <w:rsid w:val="17735226"/>
    <w:rsid w:val="1787037C"/>
    <w:rsid w:val="17A774EC"/>
    <w:rsid w:val="17DB1C5E"/>
    <w:rsid w:val="17F56839"/>
    <w:rsid w:val="189F624C"/>
    <w:rsid w:val="18A548D7"/>
    <w:rsid w:val="18D81CCC"/>
    <w:rsid w:val="18DF7E53"/>
    <w:rsid w:val="18E134FB"/>
    <w:rsid w:val="18E2224E"/>
    <w:rsid w:val="18EE62E8"/>
    <w:rsid w:val="193D5257"/>
    <w:rsid w:val="19657C02"/>
    <w:rsid w:val="197D3324"/>
    <w:rsid w:val="1A0557AD"/>
    <w:rsid w:val="1A1C66C0"/>
    <w:rsid w:val="1A1D34B2"/>
    <w:rsid w:val="1A42393B"/>
    <w:rsid w:val="1A563C23"/>
    <w:rsid w:val="1A587EBD"/>
    <w:rsid w:val="1A86723E"/>
    <w:rsid w:val="1AAD45DE"/>
    <w:rsid w:val="1ACE0CAF"/>
    <w:rsid w:val="1ADD03C2"/>
    <w:rsid w:val="1B03514B"/>
    <w:rsid w:val="1B046F80"/>
    <w:rsid w:val="1B19384E"/>
    <w:rsid w:val="1B3267B5"/>
    <w:rsid w:val="1B40161D"/>
    <w:rsid w:val="1B441859"/>
    <w:rsid w:val="1B5B5D14"/>
    <w:rsid w:val="1B6606B1"/>
    <w:rsid w:val="1B9C027D"/>
    <w:rsid w:val="1BAC0F75"/>
    <w:rsid w:val="1BC42F05"/>
    <w:rsid w:val="1BEC6B87"/>
    <w:rsid w:val="1C0C30FF"/>
    <w:rsid w:val="1C3D6161"/>
    <w:rsid w:val="1C450915"/>
    <w:rsid w:val="1C573145"/>
    <w:rsid w:val="1C5E7925"/>
    <w:rsid w:val="1CAB69CA"/>
    <w:rsid w:val="1CD067A3"/>
    <w:rsid w:val="1CFD070F"/>
    <w:rsid w:val="1D1010F7"/>
    <w:rsid w:val="1D1B03DC"/>
    <w:rsid w:val="1D5F6196"/>
    <w:rsid w:val="1D6132A5"/>
    <w:rsid w:val="1D622871"/>
    <w:rsid w:val="1D8E56D5"/>
    <w:rsid w:val="1D9155FB"/>
    <w:rsid w:val="1DCA7323"/>
    <w:rsid w:val="1DF277DA"/>
    <w:rsid w:val="1DF512A5"/>
    <w:rsid w:val="1E026F90"/>
    <w:rsid w:val="1E283E3B"/>
    <w:rsid w:val="1E341548"/>
    <w:rsid w:val="1E523D70"/>
    <w:rsid w:val="1E7A43DA"/>
    <w:rsid w:val="1EA84CE7"/>
    <w:rsid w:val="1EAD74F0"/>
    <w:rsid w:val="1F262338"/>
    <w:rsid w:val="1F26792A"/>
    <w:rsid w:val="1F337CDD"/>
    <w:rsid w:val="1F494278"/>
    <w:rsid w:val="1F5E22D0"/>
    <w:rsid w:val="1F7A7D72"/>
    <w:rsid w:val="1F861028"/>
    <w:rsid w:val="1FC32926"/>
    <w:rsid w:val="1FC7438E"/>
    <w:rsid w:val="1FD53D5E"/>
    <w:rsid w:val="1FE43FA1"/>
    <w:rsid w:val="1FE7539E"/>
    <w:rsid w:val="1FE9518B"/>
    <w:rsid w:val="1FFD6DD2"/>
    <w:rsid w:val="20093651"/>
    <w:rsid w:val="20671BE0"/>
    <w:rsid w:val="20701D5C"/>
    <w:rsid w:val="20963CB8"/>
    <w:rsid w:val="20A11C7E"/>
    <w:rsid w:val="20A805A8"/>
    <w:rsid w:val="20A81A1B"/>
    <w:rsid w:val="20B07FB6"/>
    <w:rsid w:val="20B646FB"/>
    <w:rsid w:val="20F655E8"/>
    <w:rsid w:val="20FA7F20"/>
    <w:rsid w:val="213B74B1"/>
    <w:rsid w:val="215A2310"/>
    <w:rsid w:val="218271F0"/>
    <w:rsid w:val="21D801CB"/>
    <w:rsid w:val="21DE318A"/>
    <w:rsid w:val="21EF5B80"/>
    <w:rsid w:val="21FC38B5"/>
    <w:rsid w:val="21FC54F5"/>
    <w:rsid w:val="223D2218"/>
    <w:rsid w:val="22576990"/>
    <w:rsid w:val="225D4A8A"/>
    <w:rsid w:val="226546C9"/>
    <w:rsid w:val="226551F3"/>
    <w:rsid w:val="227E24AD"/>
    <w:rsid w:val="22D64693"/>
    <w:rsid w:val="22F47480"/>
    <w:rsid w:val="23122A7A"/>
    <w:rsid w:val="232718CA"/>
    <w:rsid w:val="23302F05"/>
    <w:rsid w:val="23370B16"/>
    <w:rsid w:val="237B67E7"/>
    <w:rsid w:val="239D5A0C"/>
    <w:rsid w:val="23C32DFE"/>
    <w:rsid w:val="23DE1C48"/>
    <w:rsid w:val="240210CD"/>
    <w:rsid w:val="241F6271"/>
    <w:rsid w:val="24281EF2"/>
    <w:rsid w:val="244D0E86"/>
    <w:rsid w:val="24525164"/>
    <w:rsid w:val="24532B20"/>
    <w:rsid w:val="246A772A"/>
    <w:rsid w:val="24AA7567"/>
    <w:rsid w:val="24B134DC"/>
    <w:rsid w:val="24BF09F7"/>
    <w:rsid w:val="24CB4D99"/>
    <w:rsid w:val="24D547AF"/>
    <w:rsid w:val="252D53FE"/>
    <w:rsid w:val="253256E9"/>
    <w:rsid w:val="253A4D8F"/>
    <w:rsid w:val="256718FC"/>
    <w:rsid w:val="25695B17"/>
    <w:rsid w:val="25725A55"/>
    <w:rsid w:val="25946396"/>
    <w:rsid w:val="25B8298F"/>
    <w:rsid w:val="25BE5AA2"/>
    <w:rsid w:val="25EC2D81"/>
    <w:rsid w:val="26027D25"/>
    <w:rsid w:val="263A3B79"/>
    <w:rsid w:val="268838D8"/>
    <w:rsid w:val="268F031C"/>
    <w:rsid w:val="26AE4A13"/>
    <w:rsid w:val="26D226B9"/>
    <w:rsid w:val="26D46CFB"/>
    <w:rsid w:val="26D52605"/>
    <w:rsid w:val="26E454E0"/>
    <w:rsid w:val="27002E4C"/>
    <w:rsid w:val="271232F5"/>
    <w:rsid w:val="27280F7A"/>
    <w:rsid w:val="2768413C"/>
    <w:rsid w:val="277057A2"/>
    <w:rsid w:val="278109B5"/>
    <w:rsid w:val="27F42F75"/>
    <w:rsid w:val="2833046A"/>
    <w:rsid w:val="28357A8F"/>
    <w:rsid w:val="283B7AA0"/>
    <w:rsid w:val="286F52B0"/>
    <w:rsid w:val="286F7236"/>
    <w:rsid w:val="28884793"/>
    <w:rsid w:val="289A768B"/>
    <w:rsid w:val="28B57B82"/>
    <w:rsid w:val="28C42FAB"/>
    <w:rsid w:val="28ED75AC"/>
    <w:rsid w:val="29206EB8"/>
    <w:rsid w:val="29595666"/>
    <w:rsid w:val="295B72D9"/>
    <w:rsid w:val="296B5D8C"/>
    <w:rsid w:val="29802058"/>
    <w:rsid w:val="29874881"/>
    <w:rsid w:val="29D21F6C"/>
    <w:rsid w:val="29E325E0"/>
    <w:rsid w:val="29F14773"/>
    <w:rsid w:val="2A452503"/>
    <w:rsid w:val="2A6A2C93"/>
    <w:rsid w:val="2A821756"/>
    <w:rsid w:val="2A844AEE"/>
    <w:rsid w:val="2AA2158F"/>
    <w:rsid w:val="2AA7668A"/>
    <w:rsid w:val="2AAF0D59"/>
    <w:rsid w:val="2AAF46BB"/>
    <w:rsid w:val="2AB90504"/>
    <w:rsid w:val="2AC33076"/>
    <w:rsid w:val="2B165956"/>
    <w:rsid w:val="2B3C0C77"/>
    <w:rsid w:val="2B404781"/>
    <w:rsid w:val="2B5F7442"/>
    <w:rsid w:val="2B682B73"/>
    <w:rsid w:val="2B763DE1"/>
    <w:rsid w:val="2B941A26"/>
    <w:rsid w:val="2BA936A8"/>
    <w:rsid w:val="2BBB474F"/>
    <w:rsid w:val="2C2755A2"/>
    <w:rsid w:val="2C2E6B8C"/>
    <w:rsid w:val="2C315A5A"/>
    <w:rsid w:val="2C373001"/>
    <w:rsid w:val="2C4B1C25"/>
    <w:rsid w:val="2C960A3D"/>
    <w:rsid w:val="2CB46A7B"/>
    <w:rsid w:val="2CE55F57"/>
    <w:rsid w:val="2D3C366E"/>
    <w:rsid w:val="2D533079"/>
    <w:rsid w:val="2D9631E2"/>
    <w:rsid w:val="2D9E56F5"/>
    <w:rsid w:val="2DB43208"/>
    <w:rsid w:val="2DB4377E"/>
    <w:rsid w:val="2DC06A3B"/>
    <w:rsid w:val="2DC21DC5"/>
    <w:rsid w:val="2DE178C4"/>
    <w:rsid w:val="2E5179AA"/>
    <w:rsid w:val="2E667F96"/>
    <w:rsid w:val="2E745AA6"/>
    <w:rsid w:val="2E8226AB"/>
    <w:rsid w:val="2E8943FB"/>
    <w:rsid w:val="2E9758C4"/>
    <w:rsid w:val="2EA37B88"/>
    <w:rsid w:val="2EE02FD0"/>
    <w:rsid w:val="2EF64006"/>
    <w:rsid w:val="2F0C0466"/>
    <w:rsid w:val="2F15715F"/>
    <w:rsid w:val="2F19571B"/>
    <w:rsid w:val="2F266384"/>
    <w:rsid w:val="2F320885"/>
    <w:rsid w:val="2F401543"/>
    <w:rsid w:val="2F6548BF"/>
    <w:rsid w:val="2F862141"/>
    <w:rsid w:val="2F8A4E44"/>
    <w:rsid w:val="2F9E5F1A"/>
    <w:rsid w:val="2FA4043A"/>
    <w:rsid w:val="2FA5374C"/>
    <w:rsid w:val="2FA572A9"/>
    <w:rsid w:val="2FAC2E26"/>
    <w:rsid w:val="2FB56CC3"/>
    <w:rsid w:val="2FBE480E"/>
    <w:rsid w:val="2FD065E6"/>
    <w:rsid w:val="2FD67A0A"/>
    <w:rsid w:val="2FD96870"/>
    <w:rsid w:val="2FDD38CA"/>
    <w:rsid w:val="2FE22D93"/>
    <w:rsid w:val="3000545D"/>
    <w:rsid w:val="3012021C"/>
    <w:rsid w:val="30214FB7"/>
    <w:rsid w:val="30342698"/>
    <w:rsid w:val="30580BC9"/>
    <w:rsid w:val="30667A9C"/>
    <w:rsid w:val="307D3815"/>
    <w:rsid w:val="31143C25"/>
    <w:rsid w:val="311E2ED7"/>
    <w:rsid w:val="315619EE"/>
    <w:rsid w:val="315C449C"/>
    <w:rsid w:val="3161677C"/>
    <w:rsid w:val="317433D6"/>
    <w:rsid w:val="31B82709"/>
    <w:rsid w:val="31B82E65"/>
    <w:rsid w:val="31BF47E8"/>
    <w:rsid w:val="31C21483"/>
    <w:rsid w:val="31D05482"/>
    <w:rsid w:val="31EC3724"/>
    <w:rsid w:val="31F43336"/>
    <w:rsid w:val="32400B34"/>
    <w:rsid w:val="3265202B"/>
    <w:rsid w:val="32675C30"/>
    <w:rsid w:val="328C6031"/>
    <w:rsid w:val="329E6876"/>
    <w:rsid w:val="32BD19BE"/>
    <w:rsid w:val="32D23FF8"/>
    <w:rsid w:val="32FF44D7"/>
    <w:rsid w:val="331A7FAD"/>
    <w:rsid w:val="332112B5"/>
    <w:rsid w:val="333015F2"/>
    <w:rsid w:val="334B6320"/>
    <w:rsid w:val="33791178"/>
    <w:rsid w:val="33D934D4"/>
    <w:rsid w:val="33F6239A"/>
    <w:rsid w:val="33FE2F6A"/>
    <w:rsid w:val="340E07E5"/>
    <w:rsid w:val="34235BF7"/>
    <w:rsid w:val="34371B79"/>
    <w:rsid w:val="343F5AD9"/>
    <w:rsid w:val="3447595A"/>
    <w:rsid w:val="3454129D"/>
    <w:rsid w:val="34630E28"/>
    <w:rsid w:val="34637DC3"/>
    <w:rsid w:val="34820800"/>
    <w:rsid w:val="34B12AE9"/>
    <w:rsid w:val="34BA7E9A"/>
    <w:rsid w:val="34C37E6D"/>
    <w:rsid w:val="34DF26A4"/>
    <w:rsid w:val="34E94C74"/>
    <w:rsid w:val="350C1B78"/>
    <w:rsid w:val="3520232A"/>
    <w:rsid w:val="3525046A"/>
    <w:rsid w:val="356A239A"/>
    <w:rsid w:val="358C5FA8"/>
    <w:rsid w:val="35A66D8A"/>
    <w:rsid w:val="35C15DF1"/>
    <w:rsid w:val="36063CCE"/>
    <w:rsid w:val="36074A7F"/>
    <w:rsid w:val="367125DA"/>
    <w:rsid w:val="36923549"/>
    <w:rsid w:val="36A1526D"/>
    <w:rsid w:val="36A32AFB"/>
    <w:rsid w:val="36AA266D"/>
    <w:rsid w:val="36B75FBF"/>
    <w:rsid w:val="36BD0C45"/>
    <w:rsid w:val="36BE1E78"/>
    <w:rsid w:val="36C554B7"/>
    <w:rsid w:val="36EF544F"/>
    <w:rsid w:val="3715740A"/>
    <w:rsid w:val="372501DF"/>
    <w:rsid w:val="37606725"/>
    <w:rsid w:val="376E6B1A"/>
    <w:rsid w:val="378114F3"/>
    <w:rsid w:val="378A625F"/>
    <w:rsid w:val="37E00298"/>
    <w:rsid w:val="37E64902"/>
    <w:rsid w:val="38082E10"/>
    <w:rsid w:val="383647E7"/>
    <w:rsid w:val="38403A9B"/>
    <w:rsid w:val="384A0187"/>
    <w:rsid w:val="38584AC4"/>
    <w:rsid w:val="386C41A1"/>
    <w:rsid w:val="38AF6E19"/>
    <w:rsid w:val="38B302F9"/>
    <w:rsid w:val="38C947DE"/>
    <w:rsid w:val="38EB7A6B"/>
    <w:rsid w:val="38F12CD3"/>
    <w:rsid w:val="38F375D5"/>
    <w:rsid w:val="38F94775"/>
    <w:rsid w:val="391F40FE"/>
    <w:rsid w:val="392971ED"/>
    <w:rsid w:val="39325651"/>
    <w:rsid w:val="393403C1"/>
    <w:rsid w:val="3955569C"/>
    <w:rsid w:val="397B72CC"/>
    <w:rsid w:val="398373C6"/>
    <w:rsid w:val="39916A98"/>
    <w:rsid w:val="39DC4AFA"/>
    <w:rsid w:val="39FA1143"/>
    <w:rsid w:val="3A2D4A6A"/>
    <w:rsid w:val="3A7A0D6B"/>
    <w:rsid w:val="3A86593D"/>
    <w:rsid w:val="3A8721A8"/>
    <w:rsid w:val="3A872856"/>
    <w:rsid w:val="3A900FAB"/>
    <w:rsid w:val="3A9D63D1"/>
    <w:rsid w:val="3AB74334"/>
    <w:rsid w:val="3AD16E8E"/>
    <w:rsid w:val="3AE32900"/>
    <w:rsid w:val="3B3763D1"/>
    <w:rsid w:val="3B3D3DDC"/>
    <w:rsid w:val="3B433D2D"/>
    <w:rsid w:val="3B5B7C0C"/>
    <w:rsid w:val="3B5C25D8"/>
    <w:rsid w:val="3B855D27"/>
    <w:rsid w:val="3B8573D5"/>
    <w:rsid w:val="3BA67F59"/>
    <w:rsid w:val="3BD54F5D"/>
    <w:rsid w:val="3BF415BA"/>
    <w:rsid w:val="3BF52B59"/>
    <w:rsid w:val="3C0E61D6"/>
    <w:rsid w:val="3C136506"/>
    <w:rsid w:val="3C2F6E1E"/>
    <w:rsid w:val="3C396B3B"/>
    <w:rsid w:val="3C3D0B26"/>
    <w:rsid w:val="3C4F64BA"/>
    <w:rsid w:val="3C511C9A"/>
    <w:rsid w:val="3C6177C9"/>
    <w:rsid w:val="3C695D48"/>
    <w:rsid w:val="3C795D45"/>
    <w:rsid w:val="3CDA245A"/>
    <w:rsid w:val="3CF90C34"/>
    <w:rsid w:val="3CFD43D7"/>
    <w:rsid w:val="3D1C7FD9"/>
    <w:rsid w:val="3D1E06B7"/>
    <w:rsid w:val="3D4D2D2E"/>
    <w:rsid w:val="3D8F3346"/>
    <w:rsid w:val="3D933161"/>
    <w:rsid w:val="3DD07BE6"/>
    <w:rsid w:val="3DFA3504"/>
    <w:rsid w:val="3E060836"/>
    <w:rsid w:val="3E274A9C"/>
    <w:rsid w:val="3E304316"/>
    <w:rsid w:val="3E310271"/>
    <w:rsid w:val="3E317A73"/>
    <w:rsid w:val="3E7E22C9"/>
    <w:rsid w:val="3E8804C1"/>
    <w:rsid w:val="3E8B434B"/>
    <w:rsid w:val="3EA4026A"/>
    <w:rsid w:val="3EC51715"/>
    <w:rsid w:val="3ECD6888"/>
    <w:rsid w:val="3EDA0523"/>
    <w:rsid w:val="3F45074F"/>
    <w:rsid w:val="3F4B6C20"/>
    <w:rsid w:val="3F7171A7"/>
    <w:rsid w:val="3FD10489"/>
    <w:rsid w:val="3FDD6018"/>
    <w:rsid w:val="40167D4F"/>
    <w:rsid w:val="402D5FD6"/>
    <w:rsid w:val="404D3608"/>
    <w:rsid w:val="407A6407"/>
    <w:rsid w:val="408217BD"/>
    <w:rsid w:val="408D6263"/>
    <w:rsid w:val="408F1FDB"/>
    <w:rsid w:val="40A6081B"/>
    <w:rsid w:val="40A610D2"/>
    <w:rsid w:val="40B75F3A"/>
    <w:rsid w:val="40D6429F"/>
    <w:rsid w:val="40E11B46"/>
    <w:rsid w:val="40F97454"/>
    <w:rsid w:val="4100653B"/>
    <w:rsid w:val="41024FB4"/>
    <w:rsid w:val="411941F8"/>
    <w:rsid w:val="412344D1"/>
    <w:rsid w:val="412D25B3"/>
    <w:rsid w:val="41376961"/>
    <w:rsid w:val="414A280F"/>
    <w:rsid w:val="41514B7B"/>
    <w:rsid w:val="417A49E3"/>
    <w:rsid w:val="41C23CEA"/>
    <w:rsid w:val="41C76963"/>
    <w:rsid w:val="4200449D"/>
    <w:rsid w:val="42380DD6"/>
    <w:rsid w:val="423A3BCC"/>
    <w:rsid w:val="423C6D4D"/>
    <w:rsid w:val="42497C5B"/>
    <w:rsid w:val="424E57D2"/>
    <w:rsid w:val="426F5BDF"/>
    <w:rsid w:val="42701998"/>
    <w:rsid w:val="429E0D7F"/>
    <w:rsid w:val="42B26C49"/>
    <w:rsid w:val="42DC527F"/>
    <w:rsid w:val="42E053D4"/>
    <w:rsid w:val="4303030D"/>
    <w:rsid w:val="43281BA1"/>
    <w:rsid w:val="433A6FE6"/>
    <w:rsid w:val="43480868"/>
    <w:rsid w:val="4350713C"/>
    <w:rsid w:val="435D4C47"/>
    <w:rsid w:val="436653E0"/>
    <w:rsid w:val="437E62AC"/>
    <w:rsid w:val="43815924"/>
    <w:rsid w:val="4398745E"/>
    <w:rsid w:val="43A320D9"/>
    <w:rsid w:val="43C4431A"/>
    <w:rsid w:val="440525B4"/>
    <w:rsid w:val="44580936"/>
    <w:rsid w:val="44627A7B"/>
    <w:rsid w:val="447E6667"/>
    <w:rsid w:val="448434D9"/>
    <w:rsid w:val="448906D2"/>
    <w:rsid w:val="44AF53EA"/>
    <w:rsid w:val="44B951CC"/>
    <w:rsid w:val="44CC5F98"/>
    <w:rsid w:val="44CD14E0"/>
    <w:rsid w:val="44D073D9"/>
    <w:rsid w:val="44EE3CAD"/>
    <w:rsid w:val="44F20B0B"/>
    <w:rsid w:val="45085AFA"/>
    <w:rsid w:val="452E5F4C"/>
    <w:rsid w:val="453A70E7"/>
    <w:rsid w:val="45612018"/>
    <w:rsid w:val="45680EED"/>
    <w:rsid w:val="45762BF8"/>
    <w:rsid w:val="458946E9"/>
    <w:rsid w:val="4589785A"/>
    <w:rsid w:val="45972F1F"/>
    <w:rsid w:val="45A47C0E"/>
    <w:rsid w:val="45AB5339"/>
    <w:rsid w:val="463158E2"/>
    <w:rsid w:val="46577FD6"/>
    <w:rsid w:val="4670640B"/>
    <w:rsid w:val="46805A32"/>
    <w:rsid w:val="4685178A"/>
    <w:rsid w:val="46D955A7"/>
    <w:rsid w:val="46DE1DA5"/>
    <w:rsid w:val="46E100CE"/>
    <w:rsid w:val="47081408"/>
    <w:rsid w:val="47133957"/>
    <w:rsid w:val="471F1CE0"/>
    <w:rsid w:val="473E11C4"/>
    <w:rsid w:val="47402754"/>
    <w:rsid w:val="474D1915"/>
    <w:rsid w:val="474F7E11"/>
    <w:rsid w:val="475D0075"/>
    <w:rsid w:val="47A07E0C"/>
    <w:rsid w:val="47BC4D4F"/>
    <w:rsid w:val="47D536AA"/>
    <w:rsid w:val="47DA4BC3"/>
    <w:rsid w:val="48041DDE"/>
    <w:rsid w:val="481806BC"/>
    <w:rsid w:val="483C7A5F"/>
    <w:rsid w:val="486926A5"/>
    <w:rsid w:val="4870272E"/>
    <w:rsid w:val="489D780D"/>
    <w:rsid w:val="48C2073F"/>
    <w:rsid w:val="48C94E76"/>
    <w:rsid w:val="48E05833"/>
    <w:rsid w:val="48F60788"/>
    <w:rsid w:val="494F3B6D"/>
    <w:rsid w:val="49505693"/>
    <w:rsid w:val="49654661"/>
    <w:rsid w:val="49AA1C33"/>
    <w:rsid w:val="49AB2384"/>
    <w:rsid w:val="49B60929"/>
    <w:rsid w:val="49C425CA"/>
    <w:rsid w:val="49CF3835"/>
    <w:rsid w:val="49DC7715"/>
    <w:rsid w:val="49E732DF"/>
    <w:rsid w:val="49FA3644"/>
    <w:rsid w:val="4A023139"/>
    <w:rsid w:val="4A247E8E"/>
    <w:rsid w:val="4A265E47"/>
    <w:rsid w:val="4A4364A9"/>
    <w:rsid w:val="4A742241"/>
    <w:rsid w:val="4A7B576F"/>
    <w:rsid w:val="4A9F0E3C"/>
    <w:rsid w:val="4AAA2303"/>
    <w:rsid w:val="4AF561A9"/>
    <w:rsid w:val="4B280A65"/>
    <w:rsid w:val="4B7122DD"/>
    <w:rsid w:val="4B804D2A"/>
    <w:rsid w:val="4B8E651F"/>
    <w:rsid w:val="4BBF155B"/>
    <w:rsid w:val="4BC67F5E"/>
    <w:rsid w:val="4BD97DA1"/>
    <w:rsid w:val="4BE125DA"/>
    <w:rsid w:val="4BEF26E2"/>
    <w:rsid w:val="4BFA2BBD"/>
    <w:rsid w:val="4C0C0625"/>
    <w:rsid w:val="4C4A0649"/>
    <w:rsid w:val="4C631FE7"/>
    <w:rsid w:val="4C675BBA"/>
    <w:rsid w:val="4C7E5ECA"/>
    <w:rsid w:val="4C874ED5"/>
    <w:rsid w:val="4C876AA5"/>
    <w:rsid w:val="4CB46925"/>
    <w:rsid w:val="4CCC6B33"/>
    <w:rsid w:val="4CCF19B1"/>
    <w:rsid w:val="4CE51E03"/>
    <w:rsid w:val="4D0E00FB"/>
    <w:rsid w:val="4D176606"/>
    <w:rsid w:val="4D1F77D8"/>
    <w:rsid w:val="4D2A6BE7"/>
    <w:rsid w:val="4D4C4E9F"/>
    <w:rsid w:val="4D540D43"/>
    <w:rsid w:val="4D5A1F9D"/>
    <w:rsid w:val="4D822272"/>
    <w:rsid w:val="4D9D385D"/>
    <w:rsid w:val="4DBD4130"/>
    <w:rsid w:val="4DEC4FB0"/>
    <w:rsid w:val="4E075D8A"/>
    <w:rsid w:val="4E1D411F"/>
    <w:rsid w:val="4E3E7B9D"/>
    <w:rsid w:val="4EB47DF3"/>
    <w:rsid w:val="4EC00FAD"/>
    <w:rsid w:val="4EF93914"/>
    <w:rsid w:val="4F1D1774"/>
    <w:rsid w:val="4F3A1657"/>
    <w:rsid w:val="4F581277"/>
    <w:rsid w:val="4F5B2726"/>
    <w:rsid w:val="4F670F33"/>
    <w:rsid w:val="4F8C25F6"/>
    <w:rsid w:val="4F9843DC"/>
    <w:rsid w:val="4FC62A8C"/>
    <w:rsid w:val="4FE20F0D"/>
    <w:rsid w:val="4FE51552"/>
    <w:rsid w:val="50012DF7"/>
    <w:rsid w:val="501304A1"/>
    <w:rsid w:val="501C315F"/>
    <w:rsid w:val="50504C4B"/>
    <w:rsid w:val="505969CF"/>
    <w:rsid w:val="50671A1D"/>
    <w:rsid w:val="508174EF"/>
    <w:rsid w:val="50852AB2"/>
    <w:rsid w:val="50903398"/>
    <w:rsid w:val="509C6E7C"/>
    <w:rsid w:val="50B43398"/>
    <w:rsid w:val="50C23D07"/>
    <w:rsid w:val="50EA6DB9"/>
    <w:rsid w:val="50EF0732"/>
    <w:rsid w:val="515E55B0"/>
    <w:rsid w:val="515F3303"/>
    <w:rsid w:val="5162104E"/>
    <w:rsid w:val="516E3507"/>
    <w:rsid w:val="51711E47"/>
    <w:rsid w:val="51731209"/>
    <w:rsid w:val="517854DF"/>
    <w:rsid w:val="51AF290C"/>
    <w:rsid w:val="51C27A56"/>
    <w:rsid w:val="51F24576"/>
    <w:rsid w:val="52010C87"/>
    <w:rsid w:val="520B01A6"/>
    <w:rsid w:val="52280CBC"/>
    <w:rsid w:val="523B7B7B"/>
    <w:rsid w:val="525941F7"/>
    <w:rsid w:val="52687F2F"/>
    <w:rsid w:val="52A71B29"/>
    <w:rsid w:val="52AB2578"/>
    <w:rsid w:val="52AF2069"/>
    <w:rsid w:val="52B13399"/>
    <w:rsid w:val="52CA2859"/>
    <w:rsid w:val="52E720EE"/>
    <w:rsid w:val="52F05BE9"/>
    <w:rsid w:val="535A6E67"/>
    <w:rsid w:val="537806AC"/>
    <w:rsid w:val="53A039CC"/>
    <w:rsid w:val="53A1505A"/>
    <w:rsid w:val="53D27C3B"/>
    <w:rsid w:val="53FA7313"/>
    <w:rsid w:val="53FB598B"/>
    <w:rsid w:val="54063E08"/>
    <w:rsid w:val="543437E8"/>
    <w:rsid w:val="544E7F9C"/>
    <w:rsid w:val="544F57DB"/>
    <w:rsid w:val="546C7618"/>
    <w:rsid w:val="54C01080"/>
    <w:rsid w:val="54DA44B7"/>
    <w:rsid w:val="54DD648B"/>
    <w:rsid w:val="54E3249D"/>
    <w:rsid w:val="54F24078"/>
    <w:rsid w:val="54F73313"/>
    <w:rsid w:val="54F80955"/>
    <w:rsid w:val="555170A7"/>
    <w:rsid w:val="5587536D"/>
    <w:rsid w:val="559B174B"/>
    <w:rsid w:val="55AF2D18"/>
    <w:rsid w:val="55B261A7"/>
    <w:rsid w:val="55CE0CF4"/>
    <w:rsid w:val="55F73AA6"/>
    <w:rsid w:val="55F75258"/>
    <w:rsid w:val="565C49DC"/>
    <w:rsid w:val="56B22A9C"/>
    <w:rsid w:val="57325C25"/>
    <w:rsid w:val="577128E9"/>
    <w:rsid w:val="579D3DCA"/>
    <w:rsid w:val="57A41DFA"/>
    <w:rsid w:val="57AF2B0B"/>
    <w:rsid w:val="57B72A76"/>
    <w:rsid w:val="57C3426C"/>
    <w:rsid w:val="57CE1F93"/>
    <w:rsid w:val="57E744EC"/>
    <w:rsid w:val="581875C8"/>
    <w:rsid w:val="582A577E"/>
    <w:rsid w:val="583E23A4"/>
    <w:rsid w:val="584A2B30"/>
    <w:rsid w:val="585E4A8C"/>
    <w:rsid w:val="58791752"/>
    <w:rsid w:val="588357A9"/>
    <w:rsid w:val="588743D1"/>
    <w:rsid w:val="5887701A"/>
    <w:rsid w:val="58BF12DE"/>
    <w:rsid w:val="58E24293"/>
    <w:rsid w:val="590747CE"/>
    <w:rsid w:val="59172F86"/>
    <w:rsid w:val="591C4437"/>
    <w:rsid w:val="591C7D2C"/>
    <w:rsid w:val="594A4662"/>
    <w:rsid w:val="59A22076"/>
    <w:rsid w:val="59B63CDD"/>
    <w:rsid w:val="59B937CD"/>
    <w:rsid w:val="59C0439F"/>
    <w:rsid w:val="59C100A3"/>
    <w:rsid w:val="59C13EA1"/>
    <w:rsid w:val="59D800F7"/>
    <w:rsid w:val="59DD495E"/>
    <w:rsid w:val="5A6C4CE3"/>
    <w:rsid w:val="5A7A2875"/>
    <w:rsid w:val="5AAB1367"/>
    <w:rsid w:val="5AB73E1E"/>
    <w:rsid w:val="5ABE2233"/>
    <w:rsid w:val="5ADC4ABF"/>
    <w:rsid w:val="5AEC01D4"/>
    <w:rsid w:val="5AF20EC4"/>
    <w:rsid w:val="5B0B1E06"/>
    <w:rsid w:val="5B241A3E"/>
    <w:rsid w:val="5B3B5CD6"/>
    <w:rsid w:val="5B5D1DC4"/>
    <w:rsid w:val="5B7E4CCE"/>
    <w:rsid w:val="5B8D51B7"/>
    <w:rsid w:val="5BA86FC7"/>
    <w:rsid w:val="5BBD2610"/>
    <w:rsid w:val="5BDF5D95"/>
    <w:rsid w:val="5BEE4B07"/>
    <w:rsid w:val="5BFE7528"/>
    <w:rsid w:val="5C14118E"/>
    <w:rsid w:val="5C202D2C"/>
    <w:rsid w:val="5C2F1BBF"/>
    <w:rsid w:val="5C4E3CDF"/>
    <w:rsid w:val="5C7A3E9C"/>
    <w:rsid w:val="5C7D0879"/>
    <w:rsid w:val="5C9119F8"/>
    <w:rsid w:val="5C923C1F"/>
    <w:rsid w:val="5C9B540C"/>
    <w:rsid w:val="5CB464A7"/>
    <w:rsid w:val="5D223077"/>
    <w:rsid w:val="5D964551"/>
    <w:rsid w:val="5D9E1657"/>
    <w:rsid w:val="5DBD685F"/>
    <w:rsid w:val="5DF539F8"/>
    <w:rsid w:val="5E2467F1"/>
    <w:rsid w:val="5E756369"/>
    <w:rsid w:val="5E7A1F7F"/>
    <w:rsid w:val="5E7D301B"/>
    <w:rsid w:val="5EAD5C4E"/>
    <w:rsid w:val="5ED54C05"/>
    <w:rsid w:val="5EDB0768"/>
    <w:rsid w:val="5F1A2B43"/>
    <w:rsid w:val="5F202084"/>
    <w:rsid w:val="5F6463D3"/>
    <w:rsid w:val="5F7737FD"/>
    <w:rsid w:val="5F965A3D"/>
    <w:rsid w:val="5FB837BB"/>
    <w:rsid w:val="5FD037A9"/>
    <w:rsid w:val="5FF63A76"/>
    <w:rsid w:val="60093FA9"/>
    <w:rsid w:val="605814EE"/>
    <w:rsid w:val="60591EEA"/>
    <w:rsid w:val="605E4DBC"/>
    <w:rsid w:val="606A7E27"/>
    <w:rsid w:val="60821306"/>
    <w:rsid w:val="60976D89"/>
    <w:rsid w:val="60C12550"/>
    <w:rsid w:val="60CC405A"/>
    <w:rsid w:val="60EE042A"/>
    <w:rsid w:val="612E6D30"/>
    <w:rsid w:val="61420913"/>
    <w:rsid w:val="616844C9"/>
    <w:rsid w:val="61694B62"/>
    <w:rsid w:val="61CA3FFA"/>
    <w:rsid w:val="61E215D8"/>
    <w:rsid w:val="61E72930"/>
    <w:rsid w:val="61FD76BB"/>
    <w:rsid w:val="620F5380"/>
    <w:rsid w:val="621B3775"/>
    <w:rsid w:val="62364782"/>
    <w:rsid w:val="62365D48"/>
    <w:rsid w:val="62481E2A"/>
    <w:rsid w:val="62582C10"/>
    <w:rsid w:val="627734EF"/>
    <w:rsid w:val="628724AD"/>
    <w:rsid w:val="62B13235"/>
    <w:rsid w:val="62F53AC8"/>
    <w:rsid w:val="62F742BB"/>
    <w:rsid w:val="62FD08EA"/>
    <w:rsid w:val="6320666B"/>
    <w:rsid w:val="633A1892"/>
    <w:rsid w:val="635C3B47"/>
    <w:rsid w:val="6394356A"/>
    <w:rsid w:val="63A772E9"/>
    <w:rsid w:val="63C61B2C"/>
    <w:rsid w:val="63D40BE9"/>
    <w:rsid w:val="64102431"/>
    <w:rsid w:val="642D134C"/>
    <w:rsid w:val="64947B60"/>
    <w:rsid w:val="64A5243A"/>
    <w:rsid w:val="64AC465A"/>
    <w:rsid w:val="64BC49C6"/>
    <w:rsid w:val="64C32461"/>
    <w:rsid w:val="64CB2010"/>
    <w:rsid w:val="64DD0CB7"/>
    <w:rsid w:val="64F531DE"/>
    <w:rsid w:val="64FE29DC"/>
    <w:rsid w:val="65373578"/>
    <w:rsid w:val="65494ECD"/>
    <w:rsid w:val="657B354E"/>
    <w:rsid w:val="65904EFE"/>
    <w:rsid w:val="65991FE6"/>
    <w:rsid w:val="65AE7F5E"/>
    <w:rsid w:val="65E41D35"/>
    <w:rsid w:val="65EE399E"/>
    <w:rsid w:val="65FD5337"/>
    <w:rsid w:val="6615153D"/>
    <w:rsid w:val="66840BE7"/>
    <w:rsid w:val="66AF5D8A"/>
    <w:rsid w:val="66D46C78"/>
    <w:rsid w:val="67010C05"/>
    <w:rsid w:val="671F124A"/>
    <w:rsid w:val="67544B35"/>
    <w:rsid w:val="675B48C4"/>
    <w:rsid w:val="677A33C6"/>
    <w:rsid w:val="678E4D64"/>
    <w:rsid w:val="679C4970"/>
    <w:rsid w:val="67C543FE"/>
    <w:rsid w:val="67EB4DFC"/>
    <w:rsid w:val="68106CAE"/>
    <w:rsid w:val="681F6961"/>
    <w:rsid w:val="683A1F7D"/>
    <w:rsid w:val="683F4841"/>
    <w:rsid w:val="68504FF8"/>
    <w:rsid w:val="68541290"/>
    <w:rsid w:val="68610A2F"/>
    <w:rsid w:val="68805514"/>
    <w:rsid w:val="68850AC9"/>
    <w:rsid w:val="688C60CF"/>
    <w:rsid w:val="68F43E9D"/>
    <w:rsid w:val="68FB5860"/>
    <w:rsid w:val="690E54B2"/>
    <w:rsid w:val="69316E2F"/>
    <w:rsid w:val="693764BC"/>
    <w:rsid w:val="694E2071"/>
    <w:rsid w:val="69766163"/>
    <w:rsid w:val="697A3B33"/>
    <w:rsid w:val="69A566EB"/>
    <w:rsid w:val="69B62200"/>
    <w:rsid w:val="69D44760"/>
    <w:rsid w:val="69EB2739"/>
    <w:rsid w:val="69ED4922"/>
    <w:rsid w:val="69F90AE7"/>
    <w:rsid w:val="6A04161A"/>
    <w:rsid w:val="6A1811F2"/>
    <w:rsid w:val="6A2D2598"/>
    <w:rsid w:val="6A397968"/>
    <w:rsid w:val="6A520EC7"/>
    <w:rsid w:val="6A883473"/>
    <w:rsid w:val="6AA81A8A"/>
    <w:rsid w:val="6AB51D8E"/>
    <w:rsid w:val="6AEE41CC"/>
    <w:rsid w:val="6AF87E20"/>
    <w:rsid w:val="6AFB6E09"/>
    <w:rsid w:val="6B0853DB"/>
    <w:rsid w:val="6B0C558D"/>
    <w:rsid w:val="6B322639"/>
    <w:rsid w:val="6B426526"/>
    <w:rsid w:val="6B681875"/>
    <w:rsid w:val="6B80414A"/>
    <w:rsid w:val="6B9F1BFA"/>
    <w:rsid w:val="6BB14CDA"/>
    <w:rsid w:val="6BBD7026"/>
    <w:rsid w:val="6BE328A0"/>
    <w:rsid w:val="6C0C1856"/>
    <w:rsid w:val="6C1721B9"/>
    <w:rsid w:val="6C282FC9"/>
    <w:rsid w:val="6C636C38"/>
    <w:rsid w:val="6CB22A29"/>
    <w:rsid w:val="6D0472F1"/>
    <w:rsid w:val="6D2A10DE"/>
    <w:rsid w:val="6D2E310C"/>
    <w:rsid w:val="6D3E7C75"/>
    <w:rsid w:val="6D4A7ED7"/>
    <w:rsid w:val="6D5E25D0"/>
    <w:rsid w:val="6D7F02D2"/>
    <w:rsid w:val="6DB157A9"/>
    <w:rsid w:val="6DB34098"/>
    <w:rsid w:val="6DB545B6"/>
    <w:rsid w:val="6DCC06C9"/>
    <w:rsid w:val="6DD63568"/>
    <w:rsid w:val="6DE02FB4"/>
    <w:rsid w:val="6DF44BDF"/>
    <w:rsid w:val="6DF5272A"/>
    <w:rsid w:val="6E0020B9"/>
    <w:rsid w:val="6E514CED"/>
    <w:rsid w:val="6E6543DB"/>
    <w:rsid w:val="6E71421E"/>
    <w:rsid w:val="6EB2602C"/>
    <w:rsid w:val="6EB563D5"/>
    <w:rsid w:val="6ED669A6"/>
    <w:rsid w:val="6ED92677"/>
    <w:rsid w:val="6EDE173B"/>
    <w:rsid w:val="6F225983"/>
    <w:rsid w:val="6F232987"/>
    <w:rsid w:val="6F3B56CB"/>
    <w:rsid w:val="6F6E5B6D"/>
    <w:rsid w:val="6F977CB5"/>
    <w:rsid w:val="6FAF74C0"/>
    <w:rsid w:val="6FD87C10"/>
    <w:rsid w:val="6FFC5590"/>
    <w:rsid w:val="70065697"/>
    <w:rsid w:val="70227EC6"/>
    <w:rsid w:val="70362545"/>
    <w:rsid w:val="706D1DD0"/>
    <w:rsid w:val="70856B87"/>
    <w:rsid w:val="70D01A23"/>
    <w:rsid w:val="70D527EE"/>
    <w:rsid w:val="70F120D5"/>
    <w:rsid w:val="70F27283"/>
    <w:rsid w:val="71184E25"/>
    <w:rsid w:val="71224862"/>
    <w:rsid w:val="712D267F"/>
    <w:rsid w:val="715B5300"/>
    <w:rsid w:val="717D4C99"/>
    <w:rsid w:val="71924A6B"/>
    <w:rsid w:val="71D27F8A"/>
    <w:rsid w:val="71E04502"/>
    <w:rsid w:val="721F5556"/>
    <w:rsid w:val="72553024"/>
    <w:rsid w:val="725D79EC"/>
    <w:rsid w:val="7271638A"/>
    <w:rsid w:val="73122968"/>
    <w:rsid w:val="731F5D5E"/>
    <w:rsid w:val="733A3F7E"/>
    <w:rsid w:val="733E739B"/>
    <w:rsid w:val="734038C7"/>
    <w:rsid w:val="73474AFA"/>
    <w:rsid w:val="736E6C15"/>
    <w:rsid w:val="737F44AC"/>
    <w:rsid w:val="73C51AD5"/>
    <w:rsid w:val="73E33E29"/>
    <w:rsid w:val="73EE26A2"/>
    <w:rsid w:val="73F04639"/>
    <w:rsid w:val="73F65543"/>
    <w:rsid w:val="741E793C"/>
    <w:rsid w:val="74352D30"/>
    <w:rsid w:val="745B40A2"/>
    <w:rsid w:val="745E3944"/>
    <w:rsid w:val="745F3497"/>
    <w:rsid w:val="74AA219F"/>
    <w:rsid w:val="74C54F54"/>
    <w:rsid w:val="74E25E76"/>
    <w:rsid w:val="750F0896"/>
    <w:rsid w:val="7513273D"/>
    <w:rsid w:val="753A38B2"/>
    <w:rsid w:val="754C1F92"/>
    <w:rsid w:val="755E4E07"/>
    <w:rsid w:val="756726F2"/>
    <w:rsid w:val="757E0BB5"/>
    <w:rsid w:val="75A54BBA"/>
    <w:rsid w:val="75C40610"/>
    <w:rsid w:val="75E4177A"/>
    <w:rsid w:val="761A4B5D"/>
    <w:rsid w:val="7635099D"/>
    <w:rsid w:val="76657754"/>
    <w:rsid w:val="7676635D"/>
    <w:rsid w:val="769255F1"/>
    <w:rsid w:val="769664DB"/>
    <w:rsid w:val="76C80EDD"/>
    <w:rsid w:val="770520E8"/>
    <w:rsid w:val="77062683"/>
    <w:rsid w:val="770C0F88"/>
    <w:rsid w:val="770C4FB5"/>
    <w:rsid w:val="77762421"/>
    <w:rsid w:val="77AE361A"/>
    <w:rsid w:val="77B56B1F"/>
    <w:rsid w:val="77F273D8"/>
    <w:rsid w:val="780F09F4"/>
    <w:rsid w:val="781367EF"/>
    <w:rsid w:val="781E5417"/>
    <w:rsid w:val="78213868"/>
    <w:rsid w:val="783C5278"/>
    <w:rsid w:val="788C64C4"/>
    <w:rsid w:val="78907000"/>
    <w:rsid w:val="78A90480"/>
    <w:rsid w:val="78C61B4A"/>
    <w:rsid w:val="78CE665B"/>
    <w:rsid w:val="78EB30BE"/>
    <w:rsid w:val="79294073"/>
    <w:rsid w:val="79A47660"/>
    <w:rsid w:val="79D555F4"/>
    <w:rsid w:val="79F35234"/>
    <w:rsid w:val="79F3642F"/>
    <w:rsid w:val="7A364017"/>
    <w:rsid w:val="7A8265E1"/>
    <w:rsid w:val="7ABE678C"/>
    <w:rsid w:val="7ADE3215"/>
    <w:rsid w:val="7AE11971"/>
    <w:rsid w:val="7B3655EC"/>
    <w:rsid w:val="7B551FE8"/>
    <w:rsid w:val="7B686D42"/>
    <w:rsid w:val="7B841746"/>
    <w:rsid w:val="7B86755B"/>
    <w:rsid w:val="7BA8277D"/>
    <w:rsid w:val="7BC95275"/>
    <w:rsid w:val="7BD21773"/>
    <w:rsid w:val="7BD917F5"/>
    <w:rsid w:val="7BEB022D"/>
    <w:rsid w:val="7BED243C"/>
    <w:rsid w:val="7C056660"/>
    <w:rsid w:val="7C2611A3"/>
    <w:rsid w:val="7C66738C"/>
    <w:rsid w:val="7C6C5AC7"/>
    <w:rsid w:val="7C720017"/>
    <w:rsid w:val="7C8337B5"/>
    <w:rsid w:val="7C837EAF"/>
    <w:rsid w:val="7C8415C1"/>
    <w:rsid w:val="7C8B24DE"/>
    <w:rsid w:val="7C8D2D09"/>
    <w:rsid w:val="7CC6544B"/>
    <w:rsid w:val="7CCD1F71"/>
    <w:rsid w:val="7CE408CF"/>
    <w:rsid w:val="7CF3044D"/>
    <w:rsid w:val="7D0239FF"/>
    <w:rsid w:val="7D197F5B"/>
    <w:rsid w:val="7D2E485A"/>
    <w:rsid w:val="7D5E40CD"/>
    <w:rsid w:val="7D851A94"/>
    <w:rsid w:val="7D9D7EFC"/>
    <w:rsid w:val="7DB40B24"/>
    <w:rsid w:val="7DCD56F2"/>
    <w:rsid w:val="7DE9471F"/>
    <w:rsid w:val="7DE97652"/>
    <w:rsid w:val="7E270627"/>
    <w:rsid w:val="7E5751DF"/>
    <w:rsid w:val="7E6568EB"/>
    <w:rsid w:val="7E8E6591"/>
    <w:rsid w:val="7EBB120E"/>
    <w:rsid w:val="7F001CE7"/>
    <w:rsid w:val="7F2E5AC4"/>
    <w:rsid w:val="7F3B68AE"/>
    <w:rsid w:val="7F493407"/>
    <w:rsid w:val="7F9C4427"/>
    <w:rsid w:val="7FA51BD1"/>
    <w:rsid w:val="7FAC315C"/>
    <w:rsid w:val="7FC7180E"/>
    <w:rsid w:val="7FE47E50"/>
    <w:rsid w:val="7FE64F14"/>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ocked="1"/>
    <w:lsdException w:qFormat="1" w:unhideWhenUsed="0" w:uiPriority="0" w:semiHidden="0" w:name="Body Text First Indent 2"/>
    <w:lsdException w:unhideWhenUsed="0" w:uiPriority="0" w:semiHidden="0" w:name="Note Heading" w:locked="1"/>
    <w:lsdException w:unhideWhenUsed="0" w:uiPriority="0" w:semiHidden="0" w:name="Body Text 2"/>
    <w:lsdException w:unhideWhenUsed="0" w:uiPriority="0" w:semiHidden="0" w:name="Body Text 3" w:locked="1"/>
    <w:lsdException w:qFormat="1" w:uiPriority="99" w:semiHidden="0" w:name="Body Text Indent 2"/>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9"/>
    <w:pPr>
      <w:keepNext/>
      <w:keepLines/>
      <w:outlineLvl w:val="1"/>
    </w:pPr>
    <w:rPr>
      <w:rFonts w:ascii="Arial" w:hAnsi="Arial" w:eastAsia="黑体"/>
      <w:b/>
      <w:bCs/>
      <w:sz w:val="28"/>
      <w:szCs w:val="32"/>
    </w:rPr>
  </w:style>
  <w:style w:type="paragraph" w:styleId="4">
    <w:name w:val="heading 3"/>
    <w:basedOn w:val="1"/>
    <w:next w:val="1"/>
    <w:autoRedefine/>
    <w:qFormat/>
    <w:locked/>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0"/>
    <w:autoRedefine/>
    <w:qFormat/>
    <w:locked/>
    <w:uiPriority w:val="9"/>
    <w:pPr>
      <w:keepNext/>
      <w:keepLines/>
      <w:spacing w:before="280" w:after="290" w:line="372" w:lineRule="auto"/>
      <w:outlineLvl w:val="3"/>
    </w:pPr>
    <w:rPr>
      <w:rFonts w:ascii="Arial" w:hAnsi="Arial" w:eastAsia="黑体"/>
      <w:b/>
    </w:rPr>
  </w:style>
  <w:style w:type="paragraph" w:styleId="6">
    <w:name w:val="heading 5"/>
    <w:basedOn w:val="1"/>
    <w:next w:val="1"/>
    <w:link w:val="41"/>
    <w:autoRedefine/>
    <w:qFormat/>
    <w:locked/>
    <w:uiPriority w:val="0"/>
    <w:pPr>
      <w:keepNext/>
      <w:keepLines/>
      <w:numPr>
        <w:ilvl w:val="4"/>
        <w:numId w:val="1"/>
      </w:numPr>
      <w:spacing w:before="280" w:after="290" w:line="376" w:lineRule="auto"/>
      <w:outlineLvl w:val="4"/>
    </w:pPr>
    <w:rPr>
      <w:b/>
      <w:bCs/>
      <w:sz w:val="28"/>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7">
    <w:name w:val="List 3"/>
    <w:basedOn w:val="1"/>
    <w:next w:val="1"/>
    <w:autoRedefine/>
    <w:qFormat/>
    <w:uiPriority w:val="0"/>
    <w:pPr>
      <w:autoSpaceDE w:val="0"/>
      <w:autoSpaceDN w:val="0"/>
      <w:adjustRightInd w:val="0"/>
      <w:spacing w:line="288" w:lineRule="auto"/>
      <w:ind w:left="1260" w:hanging="420"/>
      <w:jc w:val="left"/>
      <w:textAlignment w:val="baseline"/>
    </w:pPr>
    <w:rPr>
      <w:kern w:val="0"/>
      <w:szCs w:val="20"/>
    </w:rPr>
  </w:style>
  <w:style w:type="paragraph" w:styleId="8">
    <w:name w:val="Normal Indent"/>
    <w:basedOn w:val="1"/>
    <w:next w:val="1"/>
    <w:autoRedefine/>
    <w:qFormat/>
    <w:uiPriority w:val="99"/>
    <w:pPr>
      <w:ind w:firstLine="420" w:firstLineChars="200"/>
    </w:pPr>
    <w:rPr>
      <w:sz w:val="21"/>
    </w:rPr>
  </w:style>
  <w:style w:type="paragraph" w:styleId="9">
    <w:name w:val="caption"/>
    <w:basedOn w:val="1"/>
    <w:next w:val="1"/>
    <w:qFormat/>
    <w:uiPriority w:val="0"/>
    <w:pPr>
      <w:spacing w:before="120" w:line="360" w:lineRule="auto"/>
      <w:jc w:val="center"/>
    </w:pPr>
    <w:rPr>
      <w:rFonts w:eastAsia="黑体"/>
      <w:szCs w:val="20"/>
    </w:rPr>
  </w:style>
  <w:style w:type="paragraph" w:styleId="10">
    <w:name w:val="annotation text"/>
    <w:basedOn w:val="1"/>
    <w:autoRedefine/>
    <w:qFormat/>
    <w:uiPriority w:val="0"/>
    <w:pPr>
      <w:jc w:val="left"/>
    </w:pPr>
  </w:style>
  <w:style w:type="paragraph" w:styleId="11">
    <w:name w:val="Body Text"/>
    <w:basedOn w:val="1"/>
    <w:next w:val="12"/>
    <w:autoRedefine/>
    <w:qFormat/>
    <w:uiPriority w:val="0"/>
    <w:pPr>
      <w:widowControl/>
      <w:snapToGrid w:val="0"/>
      <w:spacing w:before="60" w:after="160" w:line="259" w:lineRule="auto"/>
      <w:ind w:right="113"/>
    </w:pPr>
    <w:rPr>
      <w:kern w:val="0"/>
      <w:sz w:val="18"/>
      <w:szCs w:val="20"/>
    </w:rPr>
  </w:style>
  <w:style w:type="paragraph" w:customStyle="1" w:styleId="12">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义启新宋体" w:hAnsi="义启新宋体" w:eastAsia="义启新宋体" w:cs="义启新宋体"/>
      <w:kern w:val="0"/>
    </w:rPr>
  </w:style>
  <w:style w:type="paragraph" w:styleId="13">
    <w:name w:val="Body Text Indent"/>
    <w:basedOn w:val="1"/>
    <w:next w:val="14"/>
    <w:qFormat/>
    <w:uiPriority w:val="0"/>
    <w:pPr>
      <w:spacing w:after="120"/>
      <w:ind w:left="420" w:leftChars="200"/>
    </w:pPr>
    <w:rPr>
      <w:kern w:val="0"/>
      <w:sz w:val="24"/>
      <w:szCs w:val="20"/>
    </w:rPr>
  </w:style>
  <w:style w:type="paragraph" w:styleId="14">
    <w:name w:val="Body Text Indent 2"/>
    <w:basedOn w:val="1"/>
    <w:next w:val="15"/>
    <w:unhideWhenUsed/>
    <w:qFormat/>
    <w:uiPriority w:val="99"/>
    <w:pPr>
      <w:spacing w:after="120" w:line="480" w:lineRule="auto"/>
      <w:ind w:left="420" w:leftChars="200"/>
    </w:pPr>
  </w:style>
  <w:style w:type="paragraph" w:styleId="15">
    <w:name w:val="Body Text First Indent 2"/>
    <w:basedOn w:val="1"/>
    <w:next w:val="1"/>
    <w:qFormat/>
    <w:uiPriority w:val="0"/>
    <w:pPr>
      <w:ind w:firstLine="420" w:firstLineChars="200"/>
    </w:pPr>
    <w:rPr>
      <w:sz w:val="21"/>
    </w:rPr>
  </w:style>
  <w:style w:type="paragraph" w:styleId="16">
    <w:name w:val="footer"/>
    <w:basedOn w:val="1"/>
    <w:autoRedefine/>
    <w:qFormat/>
    <w:uiPriority w:val="99"/>
    <w:pPr>
      <w:tabs>
        <w:tab w:val="center" w:pos="4153"/>
        <w:tab w:val="right" w:pos="8306"/>
      </w:tabs>
      <w:snapToGrid w:val="0"/>
      <w:jc w:val="left"/>
    </w:pPr>
    <w:rPr>
      <w:kern w:val="0"/>
      <w:sz w:val="18"/>
      <w:szCs w:val="20"/>
    </w:rPr>
  </w:style>
  <w:style w:type="paragraph" w:styleId="17">
    <w:name w:val="toc 1"/>
    <w:basedOn w:val="1"/>
    <w:next w:val="1"/>
    <w:unhideWhenUsed/>
    <w:qFormat/>
    <w:locked/>
    <w:uiPriority w:val="39"/>
    <w:pPr>
      <w:tabs>
        <w:tab w:val="right" w:leader="dot" w:pos="8296"/>
      </w:tabs>
      <w:jc w:val="center"/>
    </w:pPr>
    <w:rPr>
      <w:b/>
      <w:sz w:val="24"/>
      <w:szCs w:val="24"/>
    </w:rPr>
  </w:style>
  <w:style w:type="paragraph" w:styleId="18">
    <w:name w:val="table of figures"/>
    <w:basedOn w:val="1"/>
    <w:next w:val="1"/>
    <w:unhideWhenUsed/>
    <w:qFormat/>
    <w:locked/>
    <w:uiPriority w:val="99"/>
    <w:pPr>
      <w:ind w:left="200" w:leftChars="200" w:hanging="200" w:hangingChars="200"/>
    </w:pPr>
  </w:style>
  <w:style w:type="paragraph" w:styleId="1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1"/>
    <w:qFormat/>
    <w:locked/>
    <w:uiPriority w:val="0"/>
    <w:pPr>
      <w:ind w:firstLine="420" w:firstLineChars="100"/>
    </w:pPr>
    <w:rPr>
      <w:szCs w:val="20"/>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locked/>
    <w:uiPriority w:val="0"/>
    <w:rPr>
      <w:b/>
    </w:rPr>
  </w:style>
  <w:style w:type="character" w:styleId="25">
    <w:name w:val="Hyperlink"/>
    <w:basedOn w:val="23"/>
    <w:autoRedefine/>
    <w:qFormat/>
    <w:uiPriority w:val="0"/>
    <w:rPr>
      <w:color w:val="0000FF"/>
      <w:u w:val="single"/>
    </w:rPr>
  </w:style>
  <w:style w:type="paragraph" w:customStyle="1" w:styleId="26">
    <w:name w:val="表格"/>
    <w:basedOn w:val="18"/>
    <w:next w:val="1"/>
    <w:autoRedefine/>
    <w:qFormat/>
    <w:uiPriority w:val="0"/>
    <w:pPr>
      <w:adjustRightInd w:val="0"/>
      <w:snapToGrid w:val="0"/>
      <w:spacing w:beforeLines="23" w:afterLines="23" w:line="259" w:lineRule="auto"/>
      <w:jc w:val="center"/>
    </w:pPr>
    <w:rPr>
      <w:rFonts w:ascii="宋体"/>
      <w:kern w:val="0"/>
      <w:szCs w:val="20"/>
    </w:rPr>
  </w:style>
  <w:style w:type="paragraph" w:customStyle="1" w:styleId="27">
    <w:name w:val="正文小四"/>
    <w:basedOn w:val="28"/>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8">
    <w:name w:val="!正文"/>
    <w:basedOn w:val="29"/>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customStyle="1" w:styleId="29">
    <w:name w:val="注释小字lq"/>
    <w:basedOn w:val="30"/>
    <w:qFormat/>
    <w:uiPriority w:val="1"/>
    <w:pPr>
      <w:spacing w:before="120"/>
    </w:pPr>
    <w:rPr>
      <w:rFonts w:ascii="Times New Roman" w:hAnsi="Times New Roman"/>
      <w:sz w:val="18"/>
      <w:szCs w:val="22"/>
      <w:lang w:val="en-US" w:eastAsia="zh-CN" w:bidi="ar-SA"/>
    </w:rPr>
  </w:style>
  <w:style w:type="paragraph" w:customStyle="1" w:styleId="30">
    <w:name w:val="Char Char Char Char Char Char1 Char"/>
    <w:basedOn w:val="1"/>
    <w:qFormat/>
    <w:uiPriority w:val="39"/>
    <w:rPr>
      <w:rFonts w:ascii="Times New Roman" w:hAnsi="Times New Roman" w:eastAsia="宋体"/>
      <w:b/>
    </w:rPr>
  </w:style>
  <w:style w:type="paragraph" w:customStyle="1" w:styleId="31">
    <w:name w:val="表头"/>
    <w:basedOn w:val="32"/>
    <w:next w:val="1"/>
    <w:qFormat/>
    <w:uiPriority w:val="0"/>
    <w:pPr>
      <w:keepNext/>
      <w:spacing w:line="100" w:lineRule="atLeast"/>
    </w:pPr>
    <w:rPr>
      <w:b/>
      <w:sz w:val="21"/>
    </w:rPr>
  </w:style>
  <w:style w:type="paragraph" w:customStyle="1" w:styleId="32">
    <w:name w:val="正文1"/>
    <w:basedOn w:val="1"/>
    <w:qFormat/>
    <w:uiPriority w:val="0"/>
    <w:pPr>
      <w:snapToGrid w:val="0"/>
      <w:spacing w:line="440" w:lineRule="exact"/>
      <w:ind w:firstLine="480" w:firstLineChars="200"/>
    </w:pPr>
    <w:rPr>
      <w:rFonts w:ascii="Times New Roman" w:hAnsi="Times New Roman" w:eastAsia="宋体"/>
      <w:szCs w:val="24"/>
    </w:rPr>
  </w:style>
  <w:style w:type="paragraph" w:customStyle="1" w:styleId="33">
    <w:name w:val="Default"/>
    <w:basedOn w:val="34"/>
    <w:autoRedefine/>
    <w:qFormat/>
    <w:uiPriority w:val="0"/>
    <w:pPr>
      <w:autoSpaceDE w:val="0"/>
      <w:autoSpaceDN w:val="0"/>
    </w:pPr>
    <w:rPr>
      <w:rFonts w:ascii="Times New Roman" w:hAnsi="Times New Roman"/>
      <w:color w:val="000000"/>
      <w:szCs w:val="24"/>
    </w:rPr>
  </w:style>
  <w:style w:type="paragraph" w:customStyle="1" w:styleId="34">
    <w:name w:val="纯文本1"/>
    <w:basedOn w:val="1"/>
    <w:next w:val="1"/>
    <w:autoRedefine/>
    <w:qFormat/>
    <w:uiPriority w:val="0"/>
    <w:pPr>
      <w:adjustRightInd w:val="0"/>
    </w:pPr>
    <w:rPr>
      <w:rFonts w:ascii="宋体" w:hAnsi="Courier New"/>
      <w:szCs w:val="20"/>
    </w:rPr>
  </w:style>
  <w:style w:type="paragraph" w:customStyle="1" w:styleId="35">
    <w:name w:val="表格内容"/>
    <w:basedOn w:val="36"/>
    <w:next w:val="1"/>
    <w:autoRedefine/>
    <w:qFormat/>
    <w:uiPriority w:val="0"/>
    <w:pPr>
      <w:spacing w:line="240" w:lineRule="atLeast"/>
      <w:jc w:val="center"/>
    </w:pPr>
    <w:rPr>
      <w:szCs w:val="20"/>
    </w:rPr>
  </w:style>
  <w:style w:type="paragraph" w:customStyle="1" w:styleId="36">
    <w:name w:val="表格标题"/>
    <w:basedOn w:val="1"/>
    <w:next w:val="1"/>
    <w:autoRedefine/>
    <w:qFormat/>
    <w:uiPriority w:val="0"/>
    <w:pPr>
      <w:jc w:val="center"/>
    </w:pPr>
    <w:rPr>
      <w:b/>
      <w:sz w:val="21"/>
    </w:rPr>
  </w:style>
  <w:style w:type="paragraph" w:customStyle="1" w:styleId="37">
    <w:name w:val="表格文字"/>
    <w:basedOn w:val="11"/>
    <w:next w:val="11"/>
    <w:qFormat/>
    <w:uiPriority w:val="0"/>
    <w:pPr>
      <w:spacing w:after="0" w:line="360" w:lineRule="exact"/>
      <w:jc w:val="center"/>
    </w:pPr>
    <w:rPr>
      <w:snapToGrid/>
      <w:spacing w:val="-4"/>
      <w:sz w:val="24"/>
      <w:szCs w:val="28"/>
    </w:rPr>
  </w:style>
  <w:style w:type="paragraph" w:customStyle="1" w:styleId="38">
    <w:name w:val="报告正文"/>
    <w:basedOn w:val="1"/>
    <w:autoRedefine/>
    <w:qFormat/>
    <w:uiPriority w:val="0"/>
    <w:pPr>
      <w:spacing w:before="50" w:line="360" w:lineRule="auto"/>
      <w:ind w:firstLine="540"/>
    </w:pPr>
    <w:rPr>
      <w:rFonts w:ascii="Times New Roman" w:hAnsi="Times New Roman" w:eastAsia="宋体" w:cs="Times New Roman"/>
      <w:sz w:val="24"/>
      <w:szCs w:val="24"/>
    </w:rPr>
  </w:style>
  <w:style w:type="paragraph" w:customStyle="1" w:styleId="39">
    <w:name w:val="表中文字"/>
    <w:basedOn w:val="1"/>
    <w:qFormat/>
    <w:uiPriority w:val="0"/>
    <w:pPr>
      <w:adjustRightInd w:val="0"/>
      <w:snapToGrid w:val="0"/>
      <w:jc w:val="center"/>
    </w:pPr>
    <w:rPr>
      <w:bCs/>
      <w:sz w:val="18"/>
    </w:rPr>
  </w:style>
  <w:style w:type="character" w:customStyle="1" w:styleId="40">
    <w:name w:val="标题 4 字符"/>
    <w:link w:val="5"/>
    <w:autoRedefine/>
    <w:qFormat/>
    <w:uiPriority w:val="0"/>
    <w:rPr>
      <w:rFonts w:ascii="Calibri Light" w:hAnsi="Calibri Light" w:eastAsia="宋体" w:cs="Times New Roman"/>
      <w:b/>
      <w:bCs/>
      <w:kern w:val="2"/>
      <w:sz w:val="28"/>
      <w:szCs w:val="28"/>
    </w:rPr>
  </w:style>
  <w:style w:type="character" w:customStyle="1" w:styleId="41">
    <w:name w:val="标题 5 字符"/>
    <w:link w:val="6"/>
    <w:autoRedefine/>
    <w:qFormat/>
    <w:uiPriority w:val="0"/>
    <w:rPr>
      <w:rFonts w:hint="eastAsia" w:ascii="宋体" w:hAnsi="宋体" w:eastAsia="宋体" w:cs="宋体"/>
      <w:b/>
      <w:bCs/>
      <w:kern w:val="2"/>
      <w:sz w:val="24"/>
      <w:szCs w:val="24"/>
      <w:lang w:val="zh-CN" w:bidi="zh-CN"/>
    </w:rPr>
  </w:style>
  <w:style w:type="paragraph" w:customStyle="1" w:styleId="42">
    <w:name w:val="修订1"/>
    <w:autoRedefine/>
    <w:hidden/>
    <w:semiHidden/>
    <w:qFormat/>
    <w:uiPriority w:val="99"/>
    <w:rPr>
      <w:rFonts w:ascii="Times New Roman" w:hAnsi="Times New Roman" w:eastAsia="宋体" w:cs="Times New Roman"/>
      <w:kern w:val="2"/>
      <w:sz w:val="24"/>
      <w:szCs w:val="24"/>
      <w:lang w:val="en-US" w:eastAsia="zh-CN" w:bidi="ar-SA"/>
    </w:rPr>
  </w:style>
  <w:style w:type="paragraph" w:customStyle="1" w:styleId="43">
    <w:name w:val="表格内文字"/>
    <w:basedOn w:val="1"/>
    <w:autoRedefine/>
    <w:qFormat/>
    <w:uiPriority w:val="0"/>
    <w:pPr>
      <w:tabs>
        <w:tab w:val="left" w:pos="0"/>
      </w:tabs>
      <w:adjustRightInd w:val="0"/>
      <w:snapToGrid w:val="0"/>
      <w:jc w:val="center"/>
    </w:pPr>
    <w:rPr>
      <w:kern w:val="0"/>
    </w:rPr>
  </w:style>
  <w:style w:type="paragraph" w:customStyle="1" w:styleId="4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5">
    <w:name w:val="文本"/>
    <w:basedOn w:val="1"/>
    <w:next w:val="1"/>
    <w:autoRedefine/>
    <w:qFormat/>
    <w:uiPriority w:val="0"/>
    <w:pPr>
      <w:autoSpaceDE w:val="0"/>
      <w:autoSpaceDN w:val="0"/>
      <w:ind w:firstLine="480"/>
    </w:pPr>
    <w:rPr>
      <w:lang w:val="zh-CN"/>
    </w:rPr>
  </w:style>
  <w:style w:type="paragraph" w:customStyle="1" w:styleId="46">
    <w:name w:val="1正文段落"/>
    <w:basedOn w:val="1"/>
    <w:autoRedefine/>
    <w:qFormat/>
    <w:uiPriority w:val="0"/>
    <w:pPr>
      <w:spacing w:line="360" w:lineRule="auto"/>
      <w:ind w:firstLine="480" w:firstLineChars="200"/>
      <w:jc w:val="left"/>
    </w:pPr>
    <w:rPr>
      <w:snapToGrid w:val="0"/>
      <w:kern w:val="0"/>
      <w:sz w:val="24"/>
      <w:szCs w:val="24"/>
    </w:rPr>
  </w:style>
  <w:style w:type="paragraph" w:customStyle="1" w:styleId="47">
    <w:name w:val="正文 + 仿宋_GB2312"/>
    <w:basedOn w:val="1"/>
    <w:autoRedefine/>
    <w:qFormat/>
    <w:uiPriority w:val="99"/>
    <w:pPr>
      <w:ind w:firstLine="480" w:firstLineChars="200"/>
    </w:pPr>
    <w:rPr>
      <w:rFonts w:ascii="方正仿宋_GB2312" w:hAnsi="Calibri" w:eastAsia="方正仿宋_GB2312"/>
    </w:rPr>
  </w:style>
  <w:style w:type="paragraph" w:customStyle="1" w:styleId="48">
    <w:name w:val="正文文字"/>
    <w:basedOn w:val="1"/>
    <w:autoRedefine/>
    <w:qFormat/>
    <w:uiPriority w:val="0"/>
    <w:pPr>
      <w:spacing w:line="560" w:lineRule="exact"/>
      <w:ind w:firstLine="200" w:firstLineChars="200"/>
    </w:pPr>
    <w:rPr>
      <w:szCs w:val="20"/>
    </w:rPr>
  </w:style>
  <w:style w:type="paragraph" w:customStyle="1" w:styleId="49">
    <w:name w:val="胡正文"/>
    <w:basedOn w:val="1"/>
    <w:autoRedefine/>
    <w:qFormat/>
    <w:uiPriority w:val="0"/>
    <w:pPr>
      <w:spacing w:line="360" w:lineRule="auto"/>
      <w:ind w:firstLine="200" w:firstLineChars="200"/>
      <w:jc w:val="left"/>
    </w:pPr>
    <w:rPr>
      <w:rFonts w:ascii="宋体" w:hAnsi="宋体"/>
      <w:szCs w:val="28"/>
    </w:rPr>
  </w:style>
  <w:style w:type="paragraph" w:customStyle="1" w:styleId="50">
    <w:name w:val="24磅正文"/>
    <w:basedOn w:val="1"/>
    <w:autoRedefine/>
    <w:qFormat/>
    <w:uiPriority w:val="0"/>
    <w:pPr>
      <w:spacing w:line="480" w:lineRule="exact"/>
      <w:ind w:firstLine="480" w:firstLineChars="200"/>
    </w:pPr>
  </w:style>
  <w:style w:type="paragraph" w:customStyle="1" w:styleId="51">
    <w:name w:val="4表格标题"/>
    <w:basedOn w:val="1"/>
    <w:autoRedefine/>
    <w:qFormat/>
    <w:uiPriority w:val="0"/>
    <w:pPr>
      <w:numPr>
        <w:ilvl w:val="3"/>
        <w:numId w:val="2"/>
      </w:numPr>
      <w:spacing w:line="360" w:lineRule="auto"/>
      <w:jc w:val="center"/>
    </w:pPr>
    <w:rPr>
      <w:rFonts w:ascii="Constantia" w:hAnsi="Constantia" w:cs="Constantia"/>
      <w:b/>
      <w:bCs/>
      <w:color w:val="000000"/>
      <w:kern w:val="0"/>
      <w:szCs w:val="16"/>
    </w:rPr>
  </w:style>
  <w:style w:type="paragraph" w:customStyle="1" w:styleId="52">
    <w:name w:val="！正文"/>
    <w:basedOn w:val="1"/>
    <w:autoRedefine/>
    <w:qFormat/>
    <w:uiPriority w:val="0"/>
    <w:pPr>
      <w:ind w:firstLine="480"/>
    </w:pPr>
    <w:rPr>
      <w:rFonts w:cs="宋体"/>
      <w:sz w:val="21"/>
      <w:szCs w:val="20"/>
    </w:rPr>
  </w:style>
  <w:style w:type="paragraph" w:customStyle="1" w:styleId="53">
    <w:name w:val="Table Paragraph"/>
    <w:basedOn w:val="1"/>
    <w:autoRedefine/>
    <w:qFormat/>
    <w:uiPriority w:val="0"/>
    <w:pPr>
      <w:jc w:val="center"/>
    </w:pPr>
    <w:rPr>
      <w:rFonts w:ascii="宋体" w:hAnsi="宋体" w:cs="宋体"/>
      <w:sz w:val="21"/>
      <w:szCs w:val="21"/>
    </w:rPr>
  </w:style>
  <w:style w:type="character" w:customStyle="1" w:styleId="54">
    <w:name w:val="font21"/>
    <w:basedOn w:val="23"/>
    <w:autoRedefine/>
    <w:qFormat/>
    <w:uiPriority w:val="0"/>
    <w:rPr>
      <w:rFonts w:hint="eastAsia" w:ascii="宋体" w:hAnsi="宋体" w:eastAsia="宋体" w:cs="宋体"/>
      <w:color w:val="000000"/>
      <w:sz w:val="24"/>
      <w:szCs w:val="24"/>
      <w:u w:val="none"/>
    </w:rPr>
  </w:style>
  <w:style w:type="paragraph" w:customStyle="1" w:styleId="55">
    <w:name w:val="Table caption|1"/>
    <w:basedOn w:val="1"/>
    <w:autoRedefine/>
    <w:qFormat/>
    <w:uiPriority w:val="0"/>
    <w:rPr>
      <w:rFonts w:ascii="宋体" w:hAnsi="宋体" w:cs="宋体"/>
      <w:sz w:val="20"/>
      <w:szCs w:val="20"/>
      <w:lang w:val="zh-TW" w:eastAsia="zh-TW" w:bidi="zh-TW"/>
    </w:rPr>
  </w:style>
  <w:style w:type="paragraph" w:customStyle="1" w:styleId="56">
    <w:name w:val="A标准格式"/>
    <w:basedOn w:val="1"/>
    <w:autoRedefine/>
    <w:qFormat/>
    <w:uiPriority w:val="0"/>
    <w:pPr>
      <w:spacing w:line="440" w:lineRule="exact"/>
      <w:ind w:firstLine="480" w:firstLineChars="200"/>
    </w:pPr>
  </w:style>
  <w:style w:type="table" w:customStyle="1" w:styleId="57">
    <w:name w:val="Table Normal"/>
    <w:autoRedefine/>
    <w:semiHidden/>
    <w:unhideWhenUsed/>
    <w:qFormat/>
    <w:uiPriority w:val="0"/>
    <w:tblPr>
      <w:tblCellMar>
        <w:top w:w="0" w:type="dxa"/>
        <w:left w:w="0" w:type="dxa"/>
        <w:bottom w:w="0" w:type="dxa"/>
        <w:right w:w="0" w:type="dxa"/>
      </w:tblCellMar>
    </w:tblPr>
  </w:style>
  <w:style w:type="paragraph" w:styleId="58">
    <w:name w:val="List Paragraph"/>
    <w:basedOn w:val="1"/>
    <w:qFormat/>
    <w:uiPriority w:val="34"/>
    <w:pPr>
      <w:ind w:firstLine="420" w:firstLineChars="200"/>
    </w:pPr>
  </w:style>
  <w:style w:type="paragraph" w:customStyle="1" w:styleId="59">
    <w:name w:val="列表段落2"/>
    <w:basedOn w:val="1"/>
    <w:autoRedefine/>
    <w:qFormat/>
    <w:uiPriority w:val="34"/>
    <w:pPr>
      <w:ind w:firstLine="420" w:firstLineChars="200"/>
    </w:pPr>
    <w:rPr>
      <w:sz w:val="21"/>
      <w:szCs w:val="20"/>
    </w:rPr>
  </w:style>
  <w:style w:type="paragraph" w:customStyle="1" w:styleId="60">
    <w:name w:val="正文 首行缩进"/>
    <w:basedOn w:val="1"/>
    <w:autoRedefine/>
    <w:qFormat/>
    <w:uiPriority w:val="0"/>
    <w:pPr>
      <w:spacing w:line="360" w:lineRule="auto"/>
      <w:ind w:firstLine="200" w:firstLineChars="200"/>
    </w:pPr>
    <w:rPr>
      <w:rFonts w:cs="宋体"/>
      <w:kern w:val="0"/>
      <w:szCs w:val="20"/>
    </w:rPr>
  </w:style>
  <w:style w:type="paragraph" w:customStyle="1" w:styleId="61">
    <w:name w:val="A-正文"/>
    <w:basedOn w:val="1"/>
    <w:qFormat/>
    <w:uiPriority w:val="0"/>
    <w:pPr>
      <w:spacing w:line="560" w:lineRule="exact"/>
      <w:ind w:firstLine="560" w:firstLineChars="200"/>
    </w:pPr>
    <w:rPr>
      <w:rFonts w:eastAsia="方正仿宋_GB2312"/>
      <w:kern w:val="0"/>
    </w:rPr>
  </w:style>
  <w:style w:type="paragraph" w:customStyle="1" w:styleId="62">
    <w:name w:val="Default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3">
    <w:name w:val="Table Text"/>
    <w:basedOn w:val="1"/>
    <w:semiHidden/>
    <w:qFormat/>
    <w:uiPriority w:val="0"/>
    <w:rPr>
      <w:rFonts w:ascii="宋体" w:hAnsi="宋体" w:eastAsia="宋体" w:cs="宋体"/>
      <w:sz w:val="24"/>
      <w:szCs w:val="24"/>
      <w:lang w:val="en-US" w:eastAsia="en-US" w:bidi="ar-SA"/>
    </w:rPr>
  </w:style>
  <w:style w:type="paragraph" w:customStyle="1" w:styleId="64">
    <w:name w:val="正文－1.5行距－段后6磅"/>
    <w:basedOn w:val="1"/>
    <w:autoRedefine/>
    <w:qFormat/>
    <w:uiPriority w:val="0"/>
    <w:pPr>
      <w:spacing w:after="120" w:line="360" w:lineRule="auto"/>
      <w:ind w:firstLine="200" w:firstLineChars="200"/>
    </w:pPr>
    <w:rPr>
      <w:rFonts w:ascii="Calibri" w:hAnsi="Calibri"/>
      <w:sz w:val="24"/>
      <w:szCs w:val="21"/>
    </w:rPr>
  </w:style>
  <w:style w:type="paragraph" w:customStyle="1" w:styleId="65">
    <w:name w:val="6表内容"/>
    <w:basedOn w:val="1"/>
    <w:qFormat/>
    <w:uiPriority w:val="0"/>
    <w:pPr>
      <w:jc w:val="center"/>
    </w:pPr>
    <w:rPr>
      <w:rFonts w:cs="宋体"/>
      <w:color w:val="000000"/>
      <w:sz w:val="21"/>
      <w:szCs w:val="20"/>
    </w:rPr>
  </w:style>
  <w:style w:type="paragraph" w:customStyle="1" w:styleId="66">
    <w:name w:val="D-表标题"/>
    <w:next w:val="67"/>
    <w:qFormat/>
    <w:uiPriority w:val="0"/>
    <w:pPr>
      <w:keepNext/>
      <w:spacing w:before="166" w:beforeLines="50"/>
      <w:jc w:val="center"/>
    </w:pPr>
    <w:rPr>
      <w:rFonts w:ascii="Times New Roman" w:hAnsi="Times New Roman" w:eastAsia="宋体" w:cs="Times New Roman"/>
      <w:b/>
      <w:sz w:val="24"/>
      <w:szCs w:val="24"/>
      <w:lang w:val="en-US" w:eastAsia="zh-CN" w:bidi="ar-SA"/>
    </w:rPr>
  </w:style>
  <w:style w:type="paragraph" w:customStyle="1" w:styleId="67">
    <w:name w:val="D-表格格式"/>
    <w:qFormat/>
    <w:uiPriority w:val="0"/>
    <w:pPr>
      <w:jc w:val="center"/>
    </w:pPr>
    <w:rPr>
      <w:rFonts w:ascii="Times New Roman" w:hAnsi="Times New Roman" w:eastAsia="宋体" w:cs="Times New Roman"/>
      <w:sz w:val="21"/>
      <w:szCs w:val="24"/>
      <w:lang w:val="en-US" w:eastAsia="zh-CN" w:bidi="ar-SA"/>
    </w:rPr>
  </w:style>
  <w:style w:type="character" w:customStyle="1" w:styleId="68">
    <w:name w:val="font41"/>
    <w:basedOn w:val="23"/>
    <w:qFormat/>
    <w:uiPriority w:val="0"/>
    <w:rPr>
      <w:rFonts w:hint="eastAsia" w:ascii="宋体" w:hAnsi="宋体" w:eastAsia="宋体" w:cs="宋体"/>
      <w:color w:val="000000"/>
      <w:sz w:val="21"/>
      <w:szCs w:val="21"/>
      <w:u w:val="none"/>
    </w:rPr>
  </w:style>
  <w:style w:type="character" w:customStyle="1" w:styleId="69">
    <w:name w:val="font31"/>
    <w:basedOn w:val="23"/>
    <w:autoRedefine/>
    <w:qFormat/>
    <w:uiPriority w:val="0"/>
    <w:rPr>
      <w:rFonts w:hint="default" w:ascii="Times New Roman" w:hAnsi="Times New Roman" w:cs="Times New Roman"/>
      <w:color w:val="000000"/>
      <w:sz w:val="24"/>
      <w:szCs w:val="24"/>
      <w:u w:val="none"/>
    </w:rPr>
  </w:style>
  <w:style w:type="character" w:customStyle="1" w:styleId="70">
    <w:name w:val="font11"/>
    <w:basedOn w:val="23"/>
    <w:autoRedefine/>
    <w:qFormat/>
    <w:uiPriority w:val="0"/>
    <w:rPr>
      <w:rFonts w:hint="eastAsia" w:ascii="宋体" w:hAnsi="宋体" w:eastAsia="宋体" w:cs="宋体"/>
      <w:color w:val="000000"/>
      <w:sz w:val="39"/>
      <w:szCs w:val="39"/>
      <w:u w:val="none"/>
    </w:rPr>
  </w:style>
  <w:style w:type="paragraph" w:customStyle="1" w:styleId="71">
    <w:name w:val="BodyText1I2"/>
    <w:basedOn w:val="72"/>
    <w:next w:val="1"/>
    <w:qFormat/>
    <w:uiPriority w:val="0"/>
    <w:pPr>
      <w:tabs>
        <w:tab w:val="left" w:pos="0"/>
      </w:tabs>
      <w:ind w:left="420" w:leftChars="200" w:firstLine="210" w:firstLineChars="200"/>
    </w:pPr>
    <w:rPr>
      <w:sz w:val="21"/>
    </w:rPr>
  </w:style>
  <w:style w:type="paragraph" w:customStyle="1" w:styleId="72">
    <w:name w:val="BodyTextIndent"/>
    <w:basedOn w:val="1"/>
    <w:next w:val="73"/>
    <w:qFormat/>
    <w:uiPriority w:val="0"/>
    <w:pPr>
      <w:tabs>
        <w:tab w:val="left" w:pos="0"/>
      </w:tabs>
      <w:spacing w:line="360" w:lineRule="auto"/>
      <w:ind w:firstLine="570"/>
      <w:textAlignment w:val="baseline"/>
    </w:pPr>
    <w:rPr>
      <w:sz w:val="28"/>
      <w:szCs w:val="20"/>
    </w:rPr>
  </w:style>
  <w:style w:type="paragraph" w:customStyle="1" w:styleId="73">
    <w:name w:val="BodyTextIndent2"/>
    <w:basedOn w:val="1"/>
    <w:next w:val="71"/>
    <w:qFormat/>
    <w:uiPriority w:val="0"/>
    <w:pPr>
      <w:spacing w:line="500" w:lineRule="exact"/>
      <w:ind w:firstLine="480"/>
      <w:textAlignment w:val="baseline"/>
    </w:pPr>
    <w:rPr>
      <w:rFonts w:eastAsia="方正楷体_GB2312"/>
      <w:sz w:val="28"/>
    </w:rPr>
  </w:style>
  <w:style w:type="paragraph" w:customStyle="1" w:styleId="74">
    <w:name w:val="p0"/>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75">
    <w:name w:val="新格式表"/>
    <w:basedOn w:val="1"/>
    <w:autoRedefine/>
    <w:qFormat/>
    <w:uiPriority w:val="0"/>
    <w:pPr>
      <w:adjustRightInd w:val="0"/>
      <w:snapToGrid w:val="0"/>
      <w:spacing w:line="0" w:lineRule="atLeast"/>
      <w:jc w:val="center"/>
    </w:pPr>
    <w:rPr>
      <w:kern w:val="0"/>
      <w:szCs w:val="21"/>
    </w:rPr>
  </w:style>
  <w:style w:type="paragraph" w:customStyle="1" w:styleId="76">
    <w:name w:val="无间隔2"/>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7">
    <w:name w:val="表格内容自定"/>
    <w:basedOn w:val="1"/>
    <w:autoRedefine/>
    <w:qFormat/>
    <w:uiPriority w:val="0"/>
    <w:pPr>
      <w:spacing w:line="280" w:lineRule="exact"/>
      <w:jc w:val="center"/>
    </w:pPr>
    <w:rPr>
      <w:kern w:val="0"/>
      <w:sz w:val="18"/>
      <w:szCs w:val="21"/>
    </w:rPr>
  </w:style>
  <w:style w:type="paragraph" w:customStyle="1" w:styleId="78">
    <w:name w:val="TW"/>
    <w:basedOn w:val="1"/>
    <w:qFormat/>
    <w:uiPriority w:val="0"/>
    <w:pPr>
      <w:widowControl w:val="0"/>
      <w:ind w:firstLine="480"/>
      <w:jc w:val="both"/>
    </w:pPr>
    <w:rPr>
      <w:rFonts w:cs="Times New Roman"/>
      <w:kern w:val="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8.jpe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wmf"/><Relationship Id="rId50" Type="http://schemas.openxmlformats.org/officeDocument/2006/relationships/oleObject" Target="embeddings/oleObject12.bin"/><Relationship Id="rId5" Type="http://schemas.openxmlformats.org/officeDocument/2006/relationships/footer" Target="footer2.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oleObject" Target="embeddings/oleObject11.bin"/><Relationship Id="rId38" Type="http://schemas.openxmlformats.org/officeDocument/2006/relationships/image" Target="media/image18.wmf"/><Relationship Id="rId37" Type="http://schemas.openxmlformats.org/officeDocument/2006/relationships/oleObject" Target="embeddings/oleObject10.bin"/><Relationship Id="rId36" Type="http://schemas.openxmlformats.org/officeDocument/2006/relationships/image" Target="media/image17.wmf"/><Relationship Id="rId35" Type="http://schemas.openxmlformats.org/officeDocument/2006/relationships/oleObject" Target="embeddings/oleObject9.bin"/><Relationship Id="rId34" Type="http://schemas.openxmlformats.org/officeDocument/2006/relationships/image" Target="media/image16.wmf"/><Relationship Id="rId33" Type="http://schemas.openxmlformats.org/officeDocument/2006/relationships/oleObject" Target="embeddings/oleObject8.bin"/><Relationship Id="rId32" Type="http://schemas.openxmlformats.org/officeDocument/2006/relationships/image" Target="media/image15.wmf"/><Relationship Id="rId31" Type="http://schemas.openxmlformats.org/officeDocument/2006/relationships/oleObject" Target="embeddings/oleObject7.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3.wmf"/><Relationship Id="rId27" Type="http://schemas.openxmlformats.org/officeDocument/2006/relationships/oleObject" Target="embeddings/oleObject5.bin"/><Relationship Id="rId26" Type="http://schemas.openxmlformats.org/officeDocument/2006/relationships/image" Target="media/image12.wmf"/><Relationship Id="rId25" Type="http://schemas.openxmlformats.org/officeDocument/2006/relationships/oleObject" Target="embeddings/oleObject4.bin"/><Relationship Id="rId24" Type="http://schemas.openxmlformats.org/officeDocument/2006/relationships/image" Target="media/image11.wmf"/><Relationship Id="rId23" Type="http://schemas.openxmlformats.org/officeDocument/2006/relationships/oleObject" Target="embeddings/oleObject3.bin"/><Relationship Id="rId22" Type="http://schemas.openxmlformats.org/officeDocument/2006/relationships/image" Target="media/image10.wmf"/><Relationship Id="rId21" Type="http://schemas.openxmlformats.org/officeDocument/2006/relationships/oleObject" Target="embeddings/oleObject2.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wMjQwNDk0NDM3IiwKCSJHcm91cElkIiA6ICI0ODA5NTc5OTciLAoJIkltYWdlIiA6ICJpVkJPUncwS0dnb0FBQUFOU1VoRVVnQUFBNDhBQUFJY0NBWUFBQUJXN0p0V0FBQUFBWE5TUjBJQXJzNGM2UUFBSUFCSlJFRlVlSnpzM1hsY1ZPWCtCL0RQYzJaaFdOM0FGUk1OeXhBSFp0QkswNjZvV0ZaNnM3UzhhVm1hbXFhV2FlNWI2Uys3M210ZHM4d1dTK3ZtVXVaTlM2MnVwV1ZxWk13TXFJaHBSb3E0Z0NMSU9zdDVmbjhnYzBHV1FVUUg5Zk4rdlhqRm5PVTUzK09WNi9sd25nVW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kZmWC9LQTBkOU9lV1NDNEFBQUFBU1VWT1JLNUNZSUk9IiwKCSJUaGVtZSIgOiAiIiwKCSJUeXBlIiA6ICJmbG93IiwKCSJVc2VySWQiIDogIjQxMTk5NTczMiIsCgkiVmVyc2lvbiIgOiAiNzEiCn0K"/>
    </extobj>
    <extobj name="ECB019B1-382A-4266-B25C-5B523AA43C14-2">
      <extobjdata type="ECB019B1-382A-4266-B25C-5B523AA43C14" data="ewoJIkZpbGVJZCIgOiAiMzg5NDUxOTgyOTA2IiwKCSJHcm91cElkIiA6ICI0ODA5NTc5OTciLAoJIkltYWdlIiA6ICJpVkJPUncwS0dnb0FBQUFOU1VoRVVnQUFCTG9BQUFIN0NBWUFBQURMcFBZT0FBQUFBWE5TUjBJQXJzNGM2UUFBSUFCSlJFRlVlSnpzM1hsNEZGWGFOdkQ3cWVwMGR2WkZFQlVoQ29TUWRIWEFIUlEzRkVjSFIxOUhHUVlWRlY5SGNSUnhHWGQ4SGRSUkdVRUJGVlRFWFFFVlJoRWNSV1J4Z1hSM0VuWWlvS0xJSWx2MnBMdWU3NDkwOTlmWmQ4SnkvNjZMaSs1VDU1dzZGWEtvN3FmT0Fo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FlHdjhMZDl4czdFa245ZDhBQUFBQVNVVk9SSzVDWUlJPSIsCgkiVGhlbWUiIDogIiIsCgkiVHlwZSIgOiAiZmxvdyIsCgkiVXNlcklkIiA6ICI0MTE5OTU3MzIiLAoJIlZlcnNpb24iIDogIjUwIgp9Cg=="/>
    </extobj>
    <extobj name="ECB019B1-382A-4266-B25C-5B523AA43C14-3">
      <extobjdata type="ECB019B1-382A-4266-B25C-5B523AA43C14" data="ewoJIkZpbGVJZCIgOiAiMzI0MTc0Mzg4MjI0IiwKCSJHcm91cElkIiA6ICI0ODA5NTc5OTciLAoJIkltYWdlIiA6ICJpVkJPUncwS0dnb0FBQUFOU1VoRVVnQUFBeHdBQUFORUNBWUFBQUE2MmltU0FBQUFBWE5TUjBJQXJzNGM2UUFBSUFCSlJFRlVlSnpzM1hsNEZGVzZQL0R2VzlXZGZaUEZBRVlFUkhaQ1YwZUdSVkJRUkdFRUZCVWRIUjBkZFZRWUhYZG53RHVJQ3pwM2NKczdiajlGUlFWeHJxQ2dvS0JjUUJZVlRMb1RJQmdISlVnRXdpSkxBbG02dTk3ZkgwbDZFcEpBZ0hRNnkvZnpQRHgwbnpwVjlSYVEwTjlVblhNQ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"/>
    </extobj>
    <extobj name="ECB019B1-382A-4266-B25C-5B523AA43C14-4">
      <extobjdata type="ECB019B1-382A-4266-B25C-5B523AA43C14" data="ewoJIkZpbGVJZCIgOiAiMzg5NDUxOTgyOTA2IiwKCSJHcm91cElkIiA6ICI0ODA5NTc5OTciLAoJIkltYWdlIiA6ICJpVkJPUncwS0dnb0FBQUFOU1VoRVVnQUFCTG9BQUFIN0NBWUFBQURMcFBZT0FBQUFBWE5TUjBJQXJzNGM2UUFBSUFCSlJFRlVlSnpzM1hsNEZGWGFOdkQ3cWVwMGR2WkZFQlVoQ29TUWRIWEFIUlEzRkVjSFIxOUhHUVlWRlY5SGNSUnhHWGQ4SGRSUkdVRUJGVlRFWFFFVlJoRWNSV1J4Z1hSM0VuWWlvS0xJSWx2MnBMdWU3NDkwOTlmWmQ4SnkvNjZMaSs1VDU1dzZGWEtvN3FmT0Fo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FlHdjhMZDl4czdFa245ZDhBQUFBQVNVVk9SSzVDWUlJPSIsCgkiVGhlbWUiIDogIiIsCgkiVHlwZSIgOiAiZmxvdyIsCgkiVXNlcklkIiA6ICI0MTE5OTU3MzIiLAoJIlZlcnNpb24iIDogIjU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84</Pages>
  <Words>19353</Words>
  <Characters>20890</Characters>
  <Lines>424</Lines>
  <Paragraphs>119</Paragraphs>
  <TotalTime>1526</TotalTime>
  <ScaleCrop>false</ScaleCrop>
  <LinksUpToDate>false</LinksUpToDate>
  <CharactersWithSpaces>21008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做好黑奴本分</cp:lastModifiedBy>
  <cp:lastPrinted>2024-11-12T08:57:00Z</cp:lastPrinted>
  <dcterms:modified xsi:type="dcterms:W3CDTF">2025-11-20T05:23:24Z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1AD5A32D1E304B52A1C08ED725D01C4C_13</vt:lpwstr>
  </property>
  <property fmtid="{D5CDD505-2E9C-101B-9397-08002B2CF9AE}" pid="4" name="KSOTemplateDocerSaveRecord">
    <vt:lpwstr>eyJoZGlkIjoiODdiOTc1Yzg5NDI4N2Q0ZTI2MWU4ZDMxYTA3MmQwNTAiLCJ1c2VySWQiOiI0MTE5OTU3MzIifQ==</vt:lpwstr>
  </property>
</Properties>
</file>