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sz w:val="44"/>
          <w:szCs w:val="44"/>
          <w:lang w:eastAsia="zh-CN"/>
        </w:rPr>
        <w:t>泗县审计局</w:t>
      </w:r>
      <w:r>
        <w:rPr>
          <w:rFonts w:hint="eastAsia" w:ascii="方正小标宋简体" w:hAnsi="方正小标宋简体" w:eastAsia="方正小标宋简体" w:cs="方正小标宋简体"/>
          <w:b w:val="0"/>
          <w:bCs/>
          <w:sz w:val="44"/>
          <w:szCs w:val="44"/>
        </w:rPr>
        <w:t>关于安徽泗州面粉有限公司</w:t>
      </w:r>
      <w:r>
        <w:rPr>
          <w:rFonts w:hint="eastAsia" w:ascii="方正小标宋简体" w:hAnsi="方正小标宋简体" w:eastAsia="方正小标宋简体" w:cs="方正小标宋简体"/>
          <w:b w:val="0"/>
          <w:bCs/>
          <w:sz w:val="44"/>
          <w:szCs w:val="44"/>
          <w:lang w:val="en-US" w:eastAsia="zh-CN"/>
        </w:rPr>
        <w:t>第二批</w:t>
      </w:r>
      <w:r>
        <w:rPr>
          <w:rStyle w:val="10"/>
          <w:rFonts w:hint="eastAsia" w:ascii="方正小标宋简体" w:hAnsi="方正小标宋简体" w:eastAsia="方正小标宋简体" w:cs="方正小标宋简体"/>
          <w:b w:val="0"/>
          <w:bCs/>
          <w:lang w:val="en-US" w:eastAsia="zh-CN"/>
        </w:rPr>
        <w:t>“中国好粮油”项目财政补助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Style w:val="10"/>
          <w:rFonts w:hint="eastAsia" w:ascii="方正小标宋简体" w:hAnsi="方正小标宋简体" w:eastAsia="方正小标宋简体" w:cs="方正小标宋简体"/>
          <w:b w:val="0"/>
          <w:bCs/>
          <w:lang w:val="en-US" w:eastAsia="zh-CN"/>
        </w:rPr>
        <w:t>资金</w:t>
      </w:r>
      <w:r>
        <w:rPr>
          <w:rFonts w:hint="eastAsia" w:ascii="方正小标宋简体" w:hAnsi="方正小标宋简体" w:eastAsia="方正小标宋简体" w:cs="方正小标宋简体"/>
          <w:b w:val="0"/>
          <w:bCs/>
          <w:sz w:val="44"/>
          <w:szCs w:val="44"/>
        </w:rPr>
        <w:t>审核</w:t>
      </w:r>
      <w:r>
        <w:rPr>
          <w:rFonts w:hint="eastAsia" w:ascii="方正小标宋简体" w:hAnsi="方正小标宋简体" w:eastAsia="方正小标宋简体" w:cs="方正小标宋简体"/>
          <w:b w:val="0"/>
          <w:bCs/>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泗县</w:t>
      </w:r>
      <w:r>
        <w:rPr>
          <w:rFonts w:hint="eastAsia" w:ascii="仿宋_GB2312" w:hAnsi="仿宋_GB2312" w:eastAsia="仿宋_GB2312" w:cs="仿宋_GB2312"/>
          <w:sz w:val="32"/>
          <w:szCs w:val="32"/>
          <w:lang w:val="en-US" w:eastAsia="zh-CN"/>
        </w:rPr>
        <w:t>粮食和物资储备局: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按照县政府安排，我局组织人员，</w:t>
      </w:r>
      <w:r>
        <w:rPr>
          <w:rFonts w:hint="eastAsia" w:ascii="仿宋_GB2312" w:hAnsi="仿宋_GB2312" w:eastAsia="仿宋_GB2312" w:cs="仿宋_GB2312"/>
          <w:sz w:val="32"/>
          <w:szCs w:val="32"/>
          <w:lang w:val="en-US" w:eastAsia="zh-CN"/>
        </w:rPr>
        <w:t>自2020年10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泗县</w:t>
      </w:r>
      <w:r>
        <w:rPr>
          <w:rFonts w:hint="eastAsia" w:ascii="仿宋_GB2312" w:hAnsi="仿宋_GB2312" w:eastAsia="仿宋_GB2312" w:cs="仿宋_GB2312"/>
          <w:sz w:val="32"/>
          <w:szCs w:val="32"/>
          <w:lang w:val="en-US" w:eastAsia="zh-CN"/>
        </w:rPr>
        <w:t>粮食和物资储备局</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的安徽泗州面粉有限公司（以下简称泗州面粉公司）</w:t>
      </w:r>
      <w:r>
        <w:rPr>
          <w:rStyle w:val="10"/>
          <w:rFonts w:hint="eastAsia" w:ascii="仿宋_GB2312" w:hAnsi="仿宋_GB2312" w:eastAsia="仿宋_GB2312" w:cs="仿宋_GB2312"/>
          <w:b w:val="0"/>
          <w:bCs/>
          <w:sz w:val="32"/>
          <w:szCs w:val="32"/>
          <w:lang w:val="en-US" w:eastAsia="zh-CN"/>
        </w:rPr>
        <w:t>第二批泗县“中国好粮油”项目财政拨付资金</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进行了审核，</w:t>
      </w:r>
      <w:r>
        <w:rPr>
          <w:rFonts w:hint="eastAsia" w:ascii="仿宋_GB2312" w:hAnsi="仿宋_GB2312" w:eastAsia="仿宋_GB2312" w:cs="仿宋_GB2312"/>
          <w:sz w:val="32"/>
          <w:szCs w:val="32"/>
          <w:lang w:val="en-US" w:eastAsia="zh-CN"/>
        </w:rPr>
        <w:t>泗州面粉公司</w:t>
      </w:r>
      <w:r>
        <w:rPr>
          <w:rStyle w:val="10"/>
          <w:rFonts w:hint="eastAsia" w:ascii="仿宋_GB2312" w:hAnsi="仿宋_GB2312" w:eastAsia="仿宋_GB2312" w:cs="仿宋_GB2312"/>
          <w:b w:val="0"/>
          <w:bCs/>
          <w:sz w:val="32"/>
          <w:szCs w:val="32"/>
          <w:lang w:val="en-US" w:eastAsia="zh-CN"/>
        </w:rPr>
        <w:t>对其提供的优粮优、加优粮优购、优粮优储、优粮优销投资</w:t>
      </w:r>
      <w:r>
        <w:rPr>
          <w:rFonts w:hint="eastAsia" w:ascii="仿宋_GB2312" w:hAnsi="仿宋_GB2312" w:eastAsia="仿宋_GB2312" w:cs="仿宋_GB2312"/>
          <w:sz w:val="32"/>
          <w:szCs w:val="32"/>
          <w:lang w:val="en-US" w:eastAsia="zh-CN"/>
        </w:rPr>
        <w:t>的项目及金额</w:t>
      </w:r>
      <w:r>
        <w:rPr>
          <w:rStyle w:val="10"/>
          <w:rFonts w:hint="eastAsia" w:ascii="仿宋_GB2312" w:hAnsi="仿宋_GB2312" w:eastAsia="仿宋_GB2312" w:cs="仿宋_GB2312"/>
          <w:b w:val="0"/>
          <w:bCs/>
          <w:sz w:val="32"/>
          <w:szCs w:val="32"/>
          <w:lang w:val="en-US" w:eastAsia="zh-CN"/>
        </w:rPr>
        <w:t>等资料的真实性、完整性负责，并对此作出书面承诺,现将</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结果报告</w:t>
      </w:r>
      <w:r>
        <w:rPr>
          <w:rFonts w:hint="eastAsia" w:ascii="仿宋_GB2312" w:hAnsi="仿宋_GB2312" w:eastAsia="仿宋_GB2312" w:cs="仿宋_GB2312"/>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州面粉公司法定代表人为周红，住所位于安徽省宿州市泗县南二环东段北侧，开户银行为中国农业发展银行泗县支行，账号为20334132400100000218601，经营范围为粮食收购、加工、销售、储存、小麦粉及其制品、副产品加工、销售、仓储租赁、装卸（依法须经批准的项目，经有关部门批准后方可开展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二、审核依据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本次审核依据为安徽省粮食局 安徽省财政厅关于印发《安徽省“中国好粮油”行动计划项目及资金管理办法（试行）》的通知（皖粮行联〔2018〕100号）第四章第十五条</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lang w:val="en-US" w:eastAsia="zh-CN"/>
        </w:rPr>
        <w:t>中国好粮油</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lang w:val="en-US" w:eastAsia="zh-CN"/>
        </w:rPr>
        <w:t>行动计划建设项目以企业投资为主，省以上财政给予补助，补助金额不高于总投资额的30%”。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三、审核范围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泗州面粉公司</w:t>
      </w:r>
      <w:r>
        <w:rPr>
          <w:rFonts w:hint="eastAsia" w:ascii="仿宋_GB2312" w:hAnsi="仿宋_GB2312" w:eastAsia="仿宋_GB2312" w:cs="仿宋_GB2312"/>
          <w:b w:val="0"/>
          <w:bCs w:val="0"/>
          <w:sz w:val="32"/>
          <w:szCs w:val="32"/>
          <w:lang w:val="en-US" w:eastAsia="zh-CN"/>
        </w:rPr>
        <w:t>申报的</w:t>
      </w:r>
      <w:r>
        <w:rPr>
          <w:rFonts w:hint="eastAsia" w:ascii="仿宋_GB2312" w:hAnsi="仿宋_GB2312" w:eastAsia="仿宋_GB2312" w:cs="仿宋_GB2312"/>
          <w:sz w:val="32"/>
          <w:szCs w:val="32"/>
          <w:lang w:val="en-US" w:eastAsia="zh-CN"/>
        </w:rPr>
        <w:t>第二批泗县“中国好粮油”项目2019年8月-2020年9月优粮优加、至2020年优粮优购、投资项目资金补助。</w:t>
      </w:r>
    </w:p>
    <w:p>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四、审核过程</w:t>
      </w:r>
      <w:r>
        <w:rPr>
          <w:rFonts w:hint="eastAsia" w:ascii="仿宋_GB2312" w:hAnsi="仿宋_GB2312" w:eastAsia="仿宋_GB2312" w:cs="仿宋_GB2312"/>
          <w:sz w:val="32"/>
          <w:szCs w:val="32"/>
          <w:lang w:val="en-US" w:eastAsia="zh-CN"/>
        </w:rPr>
        <w:t xml:space="preserve"> </w:t>
      </w:r>
    </w:p>
    <w:p>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审计组对泗州面粉公司申报的优粮优加投资项目所购设备的购买合同、发票及汇款凭证逐一核对，并进行实地盘点，发现部分设备无汇款凭证，只有生产厂家现金收款证明，视同未付款，本次审核予以审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泗州面粉公司申报的优粮优购补助差价，2019年10月参照第一批“中国好粮油”市场价，2019年12月、2020年1月、2020年3月依据粮食部门审核参照安徽省泗县旭峰面粉有限公司和泗县金丰面业有限公司差价计算补助，2020年9月参照安徽省泗县旭峰面粉有限公司和泗县金丰面业有限公司市场价2.36元/公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（三）审计组对泗州面粉公司优粮优储建设项目施工合同、发票及汇款凭证逐一核对，并进行实地取证。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（四）审计组对泗州面粉公司申报的优粮优销项目，标牌及材料打印费未能反映为“中国好粮油”所用，以上两项支出予以审减。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五、审核结果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财政补助资金申报208.31万元，审定200.95万元，审减7.36万元。</w:t>
      </w:r>
    </w:p>
    <w:tbl>
      <w:tblPr>
        <w:tblStyle w:val="6"/>
        <w:tblpPr w:leftFromText="180" w:rightFromText="180" w:vertAnchor="text" w:horzAnchor="page" w:tblpXSpec="center" w:tblpY="448"/>
        <w:tblOverlap w:val="never"/>
        <w:tblW w:w="8640" w:type="dxa"/>
        <w:jc w:val="center"/>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tblPrEx>
          <w:tblCellMar>
            <w:top w:w="0" w:type="dxa"/>
            <w:left w:w="0" w:type="dxa"/>
            <w:bottom w:w="0" w:type="dxa"/>
            <w:right w:w="0" w:type="dxa"/>
          </w:tblCellMar>
        </w:tblPrEx>
        <w:trPr>
          <w:trHeight w:val="300" w:hRule="atLeast"/>
          <w:jc w:val="center"/>
        </w:trPr>
        <w:tc>
          <w:tcPr>
            <w:tcW w:w="1080" w:type="dxa"/>
            <w:tcBorders>
              <w:top w:val="nil"/>
              <w:left w:val="nil"/>
              <w:bottom w:val="nil"/>
              <w:right w:val="nil"/>
            </w:tcBorders>
            <w:noWrap/>
            <w:tcMar>
              <w:top w:w="12" w:type="dxa"/>
              <w:left w:w="12" w:type="dxa"/>
              <w:right w:w="12" w:type="dxa"/>
            </w:tcMar>
            <w:vAlign w:val="center"/>
          </w:tcPr>
          <w:p>
            <w:pPr>
              <w:jc w:val="both"/>
              <w:rPr>
                <w:rFonts w:hint="eastAsia" w:ascii="微软雅黑" w:hAnsi="微软雅黑" w:eastAsia="微软雅黑" w:cs="微软雅黑"/>
                <w:i w:val="0"/>
                <w:color w:val="000000"/>
                <w:sz w:val="18"/>
                <w:szCs w:val="18"/>
                <w:u w:val="none"/>
              </w:rPr>
            </w:pPr>
          </w:p>
        </w:tc>
        <w:tc>
          <w:tcPr>
            <w:tcW w:w="1080" w:type="dxa"/>
            <w:tcBorders>
              <w:top w:val="nil"/>
              <w:left w:val="nil"/>
              <w:bottom w:val="nil"/>
              <w:right w:val="nil"/>
            </w:tcBorders>
            <w:noWrap/>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nil"/>
              <w:left w:val="nil"/>
              <w:bottom w:val="nil"/>
              <w:right w:val="nil"/>
            </w:tcBorders>
            <w:noWrap/>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nil"/>
              <w:left w:val="nil"/>
              <w:bottom w:val="nil"/>
              <w:right w:val="nil"/>
            </w:tcBorders>
            <w:noWrap/>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nil"/>
              <w:left w:val="nil"/>
              <w:bottom w:val="nil"/>
              <w:right w:val="nil"/>
            </w:tcBorders>
            <w:noWrap/>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nil"/>
              <w:left w:val="nil"/>
              <w:bottom w:val="nil"/>
              <w:right w:val="nil"/>
            </w:tcBorders>
            <w:noWrap/>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2160" w:type="dxa"/>
            <w:gridSpan w:val="2"/>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6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补助项目</w:t>
            </w:r>
          </w:p>
        </w:tc>
        <w:tc>
          <w:tcPr>
            <w:tcW w:w="216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申报</w:t>
            </w:r>
          </w:p>
        </w:tc>
        <w:tc>
          <w:tcPr>
            <w:tcW w:w="216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审定</w:t>
            </w:r>
          </w:p>
        </w:tc>
        <w:tc>
          <w:tcPr>
            <w:tcW w:w="216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审减</w:t>
            </w:r>
          </w:p>
        </w:tc>
      </w:tr>
      <w:tr>
        <w:tblPrEx>
          <w:tblCellMar>
            <w:top w:w="0" w:type="dxa"/>
            <w:left w:w="0" w:type="dxa"/>
            <w:bottom w:w="0" w:type="dxa"/>
            <w:right w:w="0"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实付（差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价）金额</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财政补助</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实付（差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价）金额</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财政补助</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实付（差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价）金额</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财政补助</w:t>
            </w:r>
          </w:p>
        </w:tc>
      </w:tr>
      <w:tr>
        <w:tblPrEx>
          <w:tblCellMar>
            <w:top w:w="0" w:type="dxa"/>
            <w:left w:w="0" w:type="dxa"/>
            <w:bottom w:w="0" w:type="dxa"/>
            <w:right w:w="0"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优粮优加</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524.82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157.45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520.34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156.10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4.48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1.34 </w:t>
            </w:r>
          </w:p>
        </w:tc>
      </w:tr>
      <w:tr>
        <w:tblPrEx>
          <w:tblCellMar>
            <w:top w:w="0" w:type="dxa"/>
            <w:left w:w="0" w:type="dxa"/>
            <w:bottom w:w="0" w:type="dxa"/>
            <w:right w:w="0"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优粮优购</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87.29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26.19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72.81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21.84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14.48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4.34 </w:t>
            </w:r>
          </w:p>
        </w:tc>
      </w:tr>
      <w:tr>
        <w:tblPrEx>
          <w:tblCellMar>
            <w:top w:w="0" w:type="dxa"/>
            <w:left w:w="0" w:type="dxa"/>
            <w:bottom w:w="0" w:type="dxa"/>
            <w:right w:w="0"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优粮优储</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76.68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23.00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76.68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23.00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   </w:t>
            </w:r>
          </w:p>
        </w:tc>
      </w:tr>
      <w:tr>
        <w:tblPrEx>
          <w:tblCellMar>
            <w:top w:w="0" w:type="dxa"/>
            <w:left w:w="0" w:type="dxa"/>
            <w:bottom w:w="0" w:type="dxa"/>
            <w:right w:w="0"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优粮优销</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5.57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1.67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5.57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1.67 </w:t>
            </w:r>
          </w:p>
        </w:tc>
      </w:tr>
      <w:tr>
        <w:tblPrEx>
          <w:tblCellMar>
            <w:top w:w="0" w:type="dxa"/>
            <w:left w:w="0" w:type="dxa"/>
            <w:bottom w:w="0" w:type="dxa"/>
            <w:right w:w="0" w:type="dxa"/>
          </w:tblCellMar>
        </w:tblPrEx>
        <w:trPr>
          <w:trHeight w:val="500" w:hRule="atLeast"/>
          <w:jc w:val="center"/>
        </w:trPr>
        <w:tc>
          <w:tcPr>
            <w:tcW w:w="2160" w:type="dxa"/>
            <w:gridSpan w:val="2"/>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694.36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208.31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669.83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200.95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24.53 </w:t>
            </w:r>
          </w:p>
        </w:tc>
        <w:tc>
          <w:tcPr>
            <w:tcW w:w="1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7.36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numPr>
          <w:ilvl w:val="0"/>
          <w:numId w:val="0"/>
        </w:numPr>
        <w:bidi w:val="0"/>
        <w:rPr>
          <w:rFonts w:hint="default" w:ascii="仿宋_GB2312" w:hAnsi="仿宋_GB2312" w:eastAsia="仿宋_GB2312" w:cs="仿宋_GB2312"/>
          <w:sz w:val="32"/>
          <w:szCs w:val="32"/>
          <w:lang w:val="en-US" w:eastAsia="zh-CN"/>
        </w:rPr>
      </w:pPr>
      <w:bookmarkStart w:id="0" w:name="_GoBack"/>
      <w:bookmarkEnd w:id="0"/>
    </w:p>
    <w:p>
      <w:pPr>
        <w:bidi w:val="0"/>
        <w:ind w:left="6065" w:leftChars="2888"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泗县审计局</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bidi w:val="0"/>
        <w:rPr>
          <w:rFonts w:hint="eastAsia" w:ascii="仿宋_GB2312" w:hAnsi="仿宋_GB2312" w:eastAsia="仿宋_GB2312" w:cs="仿宋_GB2312"/>
          <w:sz w:val="32"/>
          <w:szCs w:val="32"/>
          <w:lang w:val="en-US" w:eastAsia="zh-CN"/>
        </w:rPr>
      </w:pPr>
    </w:p>
    <w:p>
      <w:pPr>
        <w:jc w:val="both"/>
        <w:rPr>
          <w:rFonts w:hint="eastAsia"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79"/>
    <w:rsid w:val="000361F3"/>
    <w:rsid w:val="000C12B4"/>
    <w:rsid w:val="000C2564"/>
    <w:rsid w:val="000E1317"/>
    <w:rsid w:val="000E3FFC"/>
    <w:rsid w:val="0015261C"/>
    <w:rsid w:val="00156AEA"/>
    <w:rsid w:val="00161D3D"/>
    <w:rsid w:val="0019135D"/>
    <w:rsid w:val="001B6B9A"/>
    <w:rsid w:val="001B7865"/>
    <w:rsid w:val="001F51B4"/>
    <w:rsid w:val="002429D8"/>
    <w:rsid w:val="002839A2"/>
    <w:rsid w:val="002D126F"/>
    <w:rsid w:val="002E25E3"/>
    <w:rsid w:val="00325937"/>
    <w:rsid w:val="00333FE7"/>
    <w:rsid w:val="0034474F"/>
    <w:rsid w:val="003668FF"/>
    <w:rsid w:val="003751B6"/>
    <w:rsid w:val="003C5F23"/>
    <w:rsid w:val="00435479"/>
    <w:rsid w:val="00467A6B"/>
    <w:rsid w:val="00477B64"/>
    <w:rsid w:val="0048148D"/>
    <w:rsid w:val="004957F2"/>
    <w:rsid w:val="004D2BD1"/>
    <w:rsid w:val="004D4AA5"/>
    <w:rsid w:val="004E0D74"/>
    <w:rsid w:val="004F7463"/>
    <w:rsid w:val="00542EBF"/>
    <w:rsid w:val="00554A79"/>
    <w:rsid w:val="0055732E"/>
    <w:rsid w:val="00565F5E"/>
    <w:rsid w:val="005971E2"/>
    <w:rsid w:val="005C2084"/>
    <w:rsid w:val="005C5153"/>
    <w:rsid w:val="005E2331"/>
    <w:rsid w:val="00683DA7"/>
    <w:rsid w:val="006B30D2"/>
    <w:rsid w:val="006F5E08"/>
    <w:rsid w:val="007C7586"/>
    <w:rsid w:val="007F0C20"/>
    <w:rsid w:val="00844A79"/>
    <w:rsid w:val="0086554A"/>
    <w:rsid w:val="00893338"/>
    <w:rsid w:val="008A76C9"/>
    <w:rsid w:val="008F1EA9"/>
    <w:rsid w:val="00906CB0"/>
    <w:rsid w:val="00932224"/>
    <w:rsid w:val="00952A57"/>
    <w:rsid w:val="009B14CD"/>
    <w:rsid w:val="00A0449D"/>
    <w:rsid w:val="00A26213"/>
    <w:rsid w:val="00A36A9E"/>
    <w:rsid w:val="00A749D9"/>
    <w:rsid w:val="00A84767"/>
    <w:rsid w:val="00AC5056"/>
    <w:rsid w:val="00AD12AA"/>
    <w:rsid w:val="00AD2E9F"/>
    <w:rsid w:val="00B06B5E"/>
    <w:rsid w:val="00B7637A"/>
    <w:rsid w:val="00BC163C"/>
    <w:rsid w:val="00C0376C"/>
    <w:rsid w:val="00C14E32"/>
    <w:rsid w:val="00C37C7A"/>
    <w:rsid w:val="00C37F6C"/>
    <w:rsid w:val="00C72CAD"/>
    <w:rsid w:val="00CF56AC"/>
    <w:rsid w:val="00D12356"/>
    <w:rsid w:val="00D54AB7"/>
    <w:rsid w:val="00D808FF"/>
    <w:rsid w:val="00DC2E82"/>
    <w:rsid w:val="00DC67C7"/>
    <w:rsid w:val="00DE47B7"/>
    <w:rsid w:val="00DE7070"/>
    <w:rsid w:val="00E0146A"/>
    <w:rsid w:val="00E104D1"/>
    <w:rsid w:val="00E3305F"/>
    <w:rsid w:val="00E41063"/>
    <w:rsid w:val="00E41982"/>
    <w:rsid w:val="00EB12BF"/>
    <w:rsid w:val="00EB6DBA"/>
    <w:rsid w:val="00ED56A3"/>
    <w:rsid w:val="00ED65BB"/>
    <w:rsid w:val="00F14313"/>
    <w:rsid w:val="00F76B69"/>
    <w:rsid w:val="0379701F"/>
    <w:rsid w:val="03927246"/>
    <w:rsid w:val="0470164F"/>
    <w:rsid w:val="0483764C"/>
    <w:rsid w:val="06A154F7"/>
    <w:rsid w:val="07504EC9"/>
    <w:rsid w:val="07DF11F6"/>
    <w:rsid w:val="07FD58AC"/>
    <w:rsid w:val="0959796F"/>
    <w:rsid w:val="096A02A9"/>
    <w:rsid w:val="09E73BBD"/>
    <w:rsid w:val="0A293F36"/>
    <w:rsid w:val="0BEB183C"/>
    <w:rsid w:val="0C9D5565"/>
    <w:rsid w:val="0CB1661E"/>
    <w:rsid w:val="0CBE6674"/>
    <w:rsid w:val="0D1D6724"/>
    <w:rsid w:val="0DA24744"/>
    <w:rsid w:val="0ED5474D"/>
    <w:rsid w:val="0F3D0F9F"/>
    <w:rsid w:val="10D6269A"/>
    <w:rsid w:val="10FA4876"/>
    <w:rsid w:val="120E3CAB"/>
    <w:rsid w:val="122874A7"/>
    <w:rsid w:val="12C31362"/>
    <w:rsid w:val="13277BB1"/>
    <w:rsid w:val="1345669F"/>
    <w:rsid w:val="14AB41DC"/>
    <w:rsid w:val="14E600CC"/>
    <w:rsid w:val="14EF59B5"/>
    <w:rsid w:val="15192BDE"/>
    <w:rsid w:val="16463A93"/>
    <w:rsid w:val="16FB351F"/>
    <w:rsid w:val="173E4020"/>
    <w:rsid w:val="18824EF4"/>
    <w:rsid w:val="18C926FF"/>
    <w:rsid w:val="19146CFA"/>
    <w:rsid w:val="1A57566C"/>
    <w:rsid w:val="1A686B8C"/>
    <w:rsid w:val="1AB32753"/>
    <w:rsid w:val="1B971A70"/>
    <w:rsid w:val="1B9728B5"/>
    <w:rsid w:val="1C043CEA"/>
    <w:rsid w:val="1C1E219F"/>
    <w:rsid w:val="1C706ABB"/>
    <w:rsid w:val="1DC7174D"/>
    <w:rsid w:val="1F511F59"/>
    <w:rsid w:val="20822FAB"/>
    <w:rsid w:val="211F222C"/>
    <w:rsid w:val="215A58D8"/>
    <w:rsid w:val="21A2032F"/>
    <w:rsid w:val="225117AB"/>
    <w:rsid w:val="233B7218"/>
    <w:rsid w:val="255C405F"/>
    <w:rsid w:val="25FD2291"/>
    <w:rsid w:val="262943E5"/>
    <w:rsid w:val="26F51A1A"/>
    <w:rsid w:val="277E32C8"/>
    <w:rsid w:val="27906FE2"/>
    <w:rsid w:val="282238E7"/>
    <w:rsid w:val="28B14FCF"/>
    <w:rsid w:val="298C2EC0"/>
    <w:rsid w:val="29FD524F"/>
    <w:rsid w:val="2A485B3B"/>
    <w:rsid w:val="2B3758A2"/>
    <w:rsid w:val="2BAC2933"/>
    <w:rsid w:val="2BDC5C42"/>
    <w:rsid w:val="2BF66352"/>
    <w:rsid w:val="2C6A5E47"/>
    <w:rsid w:val="311545DA"/>
    <w:rsid w:val="32C81046"/>
    <w:rsid w:val="34343CD5"/>
    <w:rsid w:val="34D4536B"/>
    <w:rsid w:val="35635BE9"/>
    <w:rsid w:val="35FC1BF4"/>
    <w:rsid w:val="367249F9"/>
    <w:rsid w:val="36867A31"/>
    <w:rsid w:val="374B56FC"/>
    <w:rsid w:val="381823B1"/>
    <w:rsid w:val="38A053A5"/>
    <w:rsid w:val="38B36C54"/>
    <w:rsid w:val="392237C7"/>
    <w:rsid w:val="3A626511"/>
    <w:rsid w:val="3B445666"/>
    <w:rsid w:val="3B632266"/>
    <w:rsid w:val="3BEF6BE5"/>
    <w:rsid w:val="3C3A26B1"/>
    <w:rsid w:val="3C464CC1"/>
    <w:rsid w:val="3C824B17"/>
    <w:rsid w:val="3CB721AD"/>
    <w:rsid w:val="3CC879C6"/>
    <w:rsid w:val="3CEA0F38"/>
    <w:rsid w:val="3CEC2513"/>
    <w:rsid w:val="3E2D0A6E"/>
    <w:rsid w:val="3F113171"/>
    <w:rsid w:val="3FFE37A4"/>
    <w:rsid w:val="40895C7A"/>
    <w:rsid w:val="42983843"/>
    <w:rsid w:val="432A2CC7"/>
    <w:rsid w:val="440D1A18"/>
    <w:rsid w:val="467049EA"/>
    <w:rsid w:val="481C10E7"/>
    <w:rsid w:val="49636C6D"/>
    <w:rsid w:val="4BC6381B"/>
    <w:rsid w:val="4D0B5291"/>
    <w:rsid w:val="4F414167"/>
    <w:rsid w:val="4F9E3808"/>
    <w:rsid w:val="50BC1136"/>
    <w:rsid w:val="51D31FAA"/>
    <w:rsid w:val="520C5E21"/>
    <w:rsid w:val="53D07584"/>
    <w:rsid w:val="55450D3B"/>
    <w:rsid w:val="56D27551"/>
    <w:rsid w:val="57F46729"/>
    <w:rsid w:val="5A646FB8"/>
    <w:rsid w:val="5A7D1EE8"/>
    <w:rsid w:val="5A9D3A56"/>
    <w:rsid w:val="5AE43064"/>
    <w:rsid w:val="5B084039"/>
    <w:rsid w:val="5C5F0073"/>
    <w:rsid w:val="5C621B47"/>
    <w:rsid w:val="5D6F1DB7"/>
    <w:rsid w:val="5DC0764F"/>
    <w:rsid w:val="5EC14088"/>
    <w:rsid w:val="5F101220"/>
    <w:rsid w:val="5F7344ED"/>
    <w:rsid w:val="5F735CCF"/>
    <w:rsid w:val="60EB0A45"/>
    <w:rsid w:val="61095EB6"/>
    <w:rsid w:val="61D57AA1"/>
    <w:rsid w:val="61ED2515"/>
    <w:rsid w:val="6223571D"/>
    <w:rsid w:val="6294462F"/>
    <w:rsid w:val="63CC01DC"/>
    <w:rsid w:val="67241C47"/>
    <w:rsid w:val="67406846"/>
    <w:rsid w:val="68183EFC"/>
    <w:rsid w:val="687B1525"/>
    <w:rsid w:val="699020A6"/>
    <w:rsid w:val="69E85924"/>
    <w:rsid w:val="6B211973"/>
    <w:rsid w:val="6BD80FDD"/>
    <w:rsid w:val="6BF10EDE"/>
    <w:rsid w:val="6C253D22"/>
    <w:rsid w:val="6D097D38"/>
    <w:rsid w:val="6DD82BF8"/>
    <w:rsid w:val="6E262D38"/>
    <w:rsid w:val="6E273CD3"/>
    <w:rsid w:val="6E7E2CB7"/>
    <w:rsid w:val="6EE27393"/>
    <w:rsid w:val="6FAB3367"/>
    <w:rsid w:val="703F3B80"/>
    <w:rsid w:val="705017A6"/>
    <w:rsid w:val="71066661"/>
    <w:rsid w:val="737F7F8C"/>
    <w:rsid w:val="73E277FE"/>
    <w:rsid w:val="74E80EB6"/>
    <w:rsid w:val="75454710"/>
    <w:rsid w:val="76A75239"/>
    <w:rsid w:val="770C2705"/>
    <w:rsid w:val="77EA57B4"/>
    <w:rsid w:val="78120BA5"/>
    <w:rsid w:val="7A8258CD"/>
    <w:rsid w:val="7B603621"/>
    <w:rsid w:val="7BE93D87"/>
    <w:rsid w:val="7CD821D0"/>
    <w:rsid w:val="7DE96D39"/>
    <w:rsid w:val="7F21472D"/>
    <w:rsid w:val="7F7C0F80"/>
    <w:rsid w:val="7FA578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9"/>
    <w:unhideWhenUsed/>
    <w:uiPriority w:val="99"/>
    <w:pPr>
      <w:ind w:left="100" w:leftChars="2500"/>
    </w:p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link w:val="3"/>
    <w:semiHidden/>
    <w:uiPriority w:val="99"/>
    <w:rPr>
      <w:kern w:val="2"/>
      <w:sz w:val="21"/>
      <w:szCs w:val="22"/>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1038</Words>
  <Characters>1232</Characters>
  <Lines>13</Lines>
  <Paragraphs>3</Paragraphs>
  <TotalTime>1</TotalTime>
  <ScaleCrop>false</ScaleCrop>
  <LinksUpToDate>false</LinksUpToDate>
  <CharactersWithSpaces>1357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2019-08-21T00:47:00Z</dcterms:created>
  <dc:creator>Administrator</dc:creator>
  <cp:lastModifiedBy>汤达人</cp:lastModifiedBy>
  <cp:lastPrinted>2020-11-17T01:32:00Z</cp:lastPrinted>
  <dcterms:modified xsi:type="dcterms:W3CDTF">2020-12-18T03:58:03Z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