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03976">
      <w:pPr>
        <w:rPr>
          <w:rFonts w:hint="eastAsia" w:eastAsia="宋体"/>
          <w:color w:val="000000" w:themeColor="text1"/>
          <w:sz w:val="36"/>
          <w:szCs w:val="36"/>
          <w:lang w:val="en-US" w:eastAsia="zh-CN"/>
          <w14:textFill>
            <w14:solidFill>
              <w14:schemeClr w14:val="tx1"/>
            </w14:solidFill>
          </w14:textFill>
        </w:rPr>
      </w:pPr>
    </w:p>
    <w:p w14:paraId="4AC7B232">
      <w:pPr>
        <w:rPr>
          <w:color w:val="000000" w:themeColor="text1"/>
          <w:sz w:val="36"/>
          <w:szCs w:val="36"/>
          <w14:textFill>
            <w14:solidFill>
              <w14:schemeClr w14:val="tx1"/>
            </w14:solidFill>
          </w14:textFill>
        </w:rPr>
      </w:pPr>
    </w:p>
    <w:p w14:paraId="51C8748B">
      <w:pPr>
        <w:rPr>
          <w:color w:val="000000" w:themeColor="text1"/>
          <w:sz w:val="36"/>
          <w:szCs w:val="36"/>
          <w14:textFill>
            <w14:solidFill>
              <w14:schemeClr w14:val="tx1"/>
            </w14:solidFill>
          </w14:textFill>
        </w:rPr>
      </w:pPr>
    </w:p>
    <w:p w14:paraId="4D43F91E">
      <w:pPr>
        <w:adjustRightInd w:val="0"/>
        <w:snapToGrid w:val="0"/>
        <w:jc w:val="center"/>
        <w:rPr>
          <w:b/>
          <w:color w:val="000000" w:themeColor="text1"/>
          <w:sz w:val="72"/>
          <w:szCs w:val="72"/>
          <w14:textFill>
            <w14:solidFill>
              <w14:schemeClr w14:val="tx1"/>
            </w14:solidFill>
          </w14:textFill>
        </w:rPr>
      </w:pPr>
      <w:r>
        <w:rPr>
          <w:b/>
          <w:color w:val="000000" w:themeColor="text1"/>
          <w:sz w:val="72"/>
          <w:szCs w:val="72"/>
          <w14:textFill>
            <w14:solidFill>
              <w14:schemeClr w14:val="tx1"/>
            </w14:solidFill>
          </w14:textFill>
        </w:rPr>
        <w:t>建设项目环境影响报告表</w:t>
      </w:r>
    </w:p>
    <w:p w14:paraId="49C16B49">
      <w:pPr>
        <w:adjustRightInd w:val="0"/>
        <w:snapToGrid w:val="0"/>
        <w:spacing w:before="192" w:beforeLines="80"/>
        <w:jc w:val="center"/>
        <w:rPr>
          <w:rFonts w:ascii="楷体" w:hAnsi="楷体" w:eastAsia="楷体"/>
          <w:bCs/>
          <w:color w:val="000000" w:themeColor="text1"/>
          <w:sz w:val="48"/>
          <w:szCs w:val="48"/>
          <w14:textFill>
            <w14:solidFill>
              <w14:schemeClr w14:val="tx1"/>
            </w14:solidFill>
          </w14:textFill>
        </w:rPr>
      </w:pPr>
      <w:r>
        <w:rPr>
          <w:rFonts w:ascii="楷体" w:hAnsi="楷体" w:eastAsia="楷体"/>
          <w:bCs/>
          <w:color w:val="000000" w:themeColor="text1"/>
          <w:sz w:val="48"/>
          <w:szCs w:val="48"/>
          <w14:textFill>
            <w14:solidFill>
              <w14:schemeClr w14:val="tx1"/>
            </w14:solidFill>
          </w14:textFill>
        </w:rPr>
        <w:t>（污染影响类）</w:t>
      </w:r>
    </w:p>
    <w:p w14:paraId="31B8E56F">
      <w:pPr>
        <w:rPr>
          <w:b/>
          <w:color w:val="000000" w:themeColor="text1"/>
          <w14:textFill>
            <w14:solidFill>
              <w14:schemeClr w14:val="tx1"/>
            </w14:solidFill>
          </w14:textFill>
        </w:rPr>
      </w:pPr>
    </w:p>
    <w:p w14:paraId="5015606C">
      <w:pPr>
        <w:jc w:val="center"/>
        <w:rPr>
          <w:color w:val="000000" w:themeColor="text1"/>
          <w:sz w:val="52"/>
          <w:szCs w:val="52"/>
          <w14:textFill>
            <w14:solidFill>
              <w14:schemeClr w14:val="tx1"/>
            </w14:solidFill>
          </w14:textFill>
        </w:rPr>
      </w:pPr>
    </w:p>
    <w:p w14:paraId="5956DFD6">
      <w:pPr>
        <w:ind w:firstLine="1040"/>
        <w:rPr>
          <w:color w:val="000000" w:themeColor="text1"/>
          <w:sz w:val="44"/>
          <w:szCs w:val="44"/>
          <w14:textFill>
            <w14:solidFill>
              <w14:schemeClr w14:val="tx1"/>
            </w14:solidFill>
          </w14:textFill>
        </w:rPr>
      </w:pPr>
    </w:p>
    <w:p w14:paraId="67CCF7B2">
      <w:pPr>
        <w:ind w:firstLine="1040"/>
        <w:rPr>
          <w:color w:val="000000" w:themeColor="text1"/>
          <w:sz w:val="44"/>
          <w:szCs w:val="44"/>
          <w14:textFill>
            <w14:solidFill>
              <w14:schemeClr w14:val="tx1"/>
            </w14:solidFill>
          </w14:textFill>
        </w:rPr>
      </w:pPr>
    </w:p>
    <w:p w14:paraId="40E2484A">
      <w:pPr>
        <w:ind w:firstLine="1040"/>
        <w:rPr>
          <w:color w:val="000000" w:themeColor="text1"/>
          <w:sz w:val="44"/>
          <w:szCs w:val="44"/>
          <w14:textFill>
            <w14:solidFill>
              <w14:schemeClr w14:val="tx1"/>
            </w14:solidFill>
          </w14:textFill>
        </w:rPr>
      </w:pPr>
    </w:p>
    <w:p w14:paraId="102D44E7">
      <w:pPr>
        <w:adjustRightInd w:val="0"/>
        <w:snapToGrid w:val="0"/>
        <w:spacing w:line="288" w:lineRule="auto"/>
        <w:jc w:val="left"/>
        <w:rPr>
          <w:rFonts w:ascii="仿宋" w:hAnsi="仿宋" w:eastAsia="仿宋"/>
          <w:color w:val="000000" w:themeColor="text1"/>
          <w:sz w:val="36"/>
          <w:szCs w:val="36"/>
          <w14:textFill>
            <w14:solidFill>
              <w14:schemeClr w14:val="tx1"/>
            </w14:solidFill>
          </w14:textFill>
        </w:rPr>
      </w:pPr>
      <w:bookmarkStart w:id="0" w:name="_Hlk57884087"/>
    </w:p>
    <w:p w14:paraId="11DF9A89">
      <w:pPr>
        <w:adjustRightInd w:val="0"/>
        <w:snapToGrid w:val="0"/>
        <w:spacing w:line="288" w:lineRule="auto"/>
        <w:ind w:firstLine="720" w:firstLineChars="200"/>
        <w:jc w:val="both"/>
        <w:rPr>
          <w:rFonts w:hint="default" w:ascii="仿宋" w:hAnsi="仿宋" w:eastAsia="仿宋"/>
          <w:color w:val="000000" w:themeColor="text1"/>
          <w:sz w:val="36"/>
          <w:szCs w:val="36"/>
          <w:u w:val="single"/>
          <w:lang w:val="en-US" w:eastAsia="zh-CN"/>
          <w14:textFill>
            <w14:solidFill>
              <w14:schemeClr w14:val="tx1"/>
            </w14:solidFill>
          </w14:textFill>
        </w:rPr>
      </w:pPr>
      <w:r>
        <w:rPr>
          <w:rFonts w:ascii="仿宋" w:hAnsi="仿宋" w:eastAsia="仿宋"/>
          <w:color w:val="000000" w:themeColor="text1"/>
          <w:sz w:val="36"/>
          <w:szCs w:val="36"/>
          <w14:textFill>
            <w14:solidFill>
              <w14:schemeClr w14:val="tx1"/>
            </w14:solidFill>
          </w14:textFill>
        </w:rPr>
        <w:t>项目名称：</w:t>
      </w:r>
      <w:r>
        <w:rPr>
          <w:rFonts w:hint="eastAsia" w:ascii="仿宋" w:hAnsi="仿宋" w:eastAsia="仿宋"/>
          <w:color w:val="000000" w:themeColor="text1"/>
          <w:sz w:val="36"/>
          <w:szCs w:val="36"/>
          <w:u w:val="single"/>
          <w:lang w:val="en-US" w:eastAsia="zh-CN"/>
          <w14:textFill>
            <w14:solidFill>
              <w14:schemeClr w14:val="tx1"/>
            </w14:solidFill>
          </w14:textFill>
        </w:rPr>
        <w:t xml:space="preserve">  年产</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100</w:t>
      </w:r>
      <w:r>
        <w:rPr>
          <w:rFonts w:hint="eastAsia" w:ascii="仿宋" w:hAnsi="仿宋" w:eastAsia="仿宋"/>
          <w:color w:val="000000" w:themeColor="text1"/>
          <w:sz w:val="36"/>
          <w:szCs w:val="36"/>
          <w:u w:val="single"/>
          <w:lang w:val="en-US" w:eastAsia="zh-CN"/>
          <w14:textFill>
            <w14:solidFill>
              <w14:schemeClr w14:val="tx1"/>
            </w14:solidFill>
          </w14:textFill>
        </w:rPr>
        <w:t xml:space="preserve">万套麻将机配件生产项目 </w:t>
      </w:r>
    </w:p>
    <w:p w14:paraId="1F935E6F">
      <w:pPr>
        <w:adjustRightInd w:val="0"/>
        <w:snapToGrid w:val="0"/>
        <w:spacing w:line="288" w:lineRule="auto"/>
        <w:ind w:firstLine="720" w:firstLineChars="200"/>
        <w:jc w:val="left"/>
        <w:rPr>
          <w:rFonts w:hint="default" w:ascii="仿宋" w:hAnsi="仿宋" w:eastAsia="仿宋"/>
          <w:color w:val="000000" w:themeColor="text1"/>
          <w:sz w:val="36"/>
          <w:szCs w:val="36"/>
          <w:u w:val="single"/>
          <w:lang w:val="en-US"/>
          <w14:textFill>
            <w14:solidFill>
              <w14:schemeClr w14:val="tx1"/>
            </w14:solidFill>
          </w14:textFill>
        </w:rPr>
      </w:pPr>
      <w:r>
        <w:rPr>
          <w:rFonts w:ascii="仿宋" w:hAnsi="仿宋" w:eastAsia="仿宋"/>
          <w:color w:val="000000" w:themeColor="text1"/>
          <w:sz w:val="36"/>
          <w:szCs w:val="36"/>
          <w14:textFill>
            <w14:solidFill>
              <w14:schemeClr w14:val="tx1"/>
            </w14:solidFill>
          </w14:textFill>
        </w:rPr>
        <w:t>建设单位（盖章）：</w:t>
      </w:r>
      <w:r>
        <w:rPr>
          <w:rFonts w:hint="eastAsia" w:ascii="仿宋" w:hAnsi="仿宋" w:eastAsia="仿宋"/>
          <w:color w:val="000000" w:themeColor="text1"/>
          <w:sz w:val="36"/>
          <w:szCs w:val="36"/>
          <w:u w:val="single"/>
          <w:lang w:val="en-US" w:eastAsia="zh-CN"/>
          <w14:textFill>
            <w14:solidFill>
              <w14:schemeClr w14:val="tx1"/>
            </w14:solidFill>
          </w14:textFill>
        </w:rPr>
        <w:t xml:space="preserve">泗县盛源金属科技有限公司 </w:t>
      </w:r>
    </w:p>
    <w:p w14:paraId="6E1CB16F">
      <w:pPr>
        <w:adjustRightInd w:val="0"/>
        <w:snapToGrid w:val="0"/>
        <w:spacing w:line="288" w:lineRule="auto"/>
        <w:ind w:firstLine="720" w:firstLineChars="200"/>
        <w:jc w:val="left"/>
        <w:rPr>
          <w:rFonts w:hint="default" w:ascii="仿宋" w:hAnsi="仿宋" w:eastAsia="仿宋"/>
          <w:color w:val="000000" w:themeColor="text1"/>
          <w:sz w:val="36"/>
          <w:szCs w:val="36"/>
          <w:u w:val="single"/>
          <w:lang w:val="en-US" w:eastAsia="zh-CN"/>
          <w14:textFill>
            <w14:solidFill>
              <w14:schemeClr w14:val="tx1"/>
            </w14:solidFill>
          </w14:textFill>
        </w:rPr>
      </w:pPr>
      <w:r>
        <w:rPr>
          <w:rFonts w:ascii="仿宋" w:hAnsi="仿宋" w:eastAsia="仿宋"/>
          <w:color w:val="000000" w:themeColor="text1"/>
          <w:sz w:val="36"/>
          <w:szCs w:val="36"/>
          <w14:textFill>
            <w14:solidFill>
              <w14:schemeClr w14:val="tx1"/>
            </w14:solidFill>
          </w14:textFill>
        </w:rPr>
        <w:t>编制日期：</w:t>
      </w:r>
      <w:r>
        <w:rPr>
          <w:rFonts w:hint="eastAsia" w:ascii="仿宋" w:hAnsi="仿宋" w:eastAsia="仿宋"/>
          <w:color w:val="000000" w:themeColor="text1"/>
          <w:sz w:val="36"/>
          <w:szCs w:val="36"/>
          <w:u w:val="single"/>
          <w:lang w:val="en-US" w:eastAsia="zh-CN"/>
          <w14:textFill>
            <w14:solidFill>
              <w14:schemeClr w14:val="tx1"/>
            </w14:solidFill>
          </w14:textFill>
        </w:rPr>
        <w:t xml:space="preserve">        </w:t>
      </w:r>
      <w:r>
        <w:rPr>
          <w:rFonts w:ascii="仿宋" w:hAnsi="仿宋" w:eastAsia="仿宋"/>
          <w:color w:val="000000" w:themeColor="text1"/>
          <w:sz w:val="36"/>
          <w:szCs w:val="36"/>
          <w:u w:val="single"/>
          <w14:textFill>
            <w14:solidFill>
              <w14:schemeClr w14:val="tx1"/>
            </w14:solidFill>
          </w14:textFill>
        </w:rPr>
        <w:t>二〇二</w:t>
      </w:r>
      <w:r>
        <w:rPr>
          <w:rFonts w:hint="eastAsia" w:ascii="仿宋" w:hAnsi="仿宋" w:eastAsia="仿宋"/>
          <w:color w:val="000000" w:themeColor="text1"/>
          <w:sz w:val="36"/>
          <w:szCs w:val="36"/>
          <w:u w:val="single"/>
          <w:lang w:val="en-US" w:eastAsia="zh-CN"/>
          <w14:textFill>
            <w14:solidFill>
              <w14:schemeClr w14:val="tx1"/>
            </w14:solidFill>
          </w14:textFill>
        </w:rPr>
        <w:t>五</w:t>
      </w:r>
      <w:r>
        <w:rPr>
          <w:rFonts w:ascii="仿宋" w:hAnsi="仿宋" w:eastAsia="仿宋"/>
          <w:color w:val="000000" w:themeColor="text1"/>
          <w:sz w:val="36"/>
          <w:szCs w:val="36"/>
          <w:u w:val="single"/>
          <w14:textFill>
            <w14:solidFill>
              <w14:schemeClr w14:val="tx1"/>
            </w14:solidFill>
          </w14:textFill>
        </w:rPr>
        <w:t>年</w:t>
      </w:r>
      <w:r>
        <w:rPr>
          <w:rFonts w:hint="eastAsia" w:ascii="仿宋" w:hAnsi="仿宋" w:eastAsia="仿宋"/>
          <w:color w:val="000000" w:themeColor="text1"/>
          <w:sz w:val="36"/>
          <w:szCs w:val="36"/>
          <w:u w:val="single"/>
          <w:lang w:val="en-US" w:eastAsia="zh-CN"/>
          <w14:textFill>
            <w14:solidFill>
              <w14:schemeClr w14:val="tx1"/>
            </w14:solidFill>
          </w14:textFill>
        </w:rPr>
        <w:t>九</w:t>
      </w:r>
      <w:r>
        <w:rPr>
          <w:rFonts w:ascii="仿宋" w:hAnsi="仿宋" w:eastAsia="仿宋"/>
          <w:color w:val="000000" w:themeColor="text1"/>
          <w:sz w:val="36"/>
          <w:szCs w:val="36"/>
          <w:u w:val="single"/>
          <w14:textFill>
            <w14:solidFill>
              <w14:schemeClr w14:val="tx1"/>
            </w14:solidFill>
          </w14:textFill>
        </w:rPr>
        <w:t>月</w:t>
      </w:r>
      <w:r>
        <w:rPr>
          <w:rFonts w:hint="eastAsia" w:ascii="仿宋" w:hAnsi="仿宋" w:eastAsia="仿宋"/>
          <w:color w:val="000000" w:themeColor="text1"/>
          <w:sz w:val="36"/>
          <w:szCs w:val="36"/>
          <w:u w:val="single"/>
          <w:lang w:val="en-US" w:eastAsia="zh-CN"/>
          <w14:textFill>
            <w14:solidFill>
              <w14:schemeClr w14:val="tx1"/>
            </w14:solidFill>
          </w14:textFill>
        </w:rPr>
        <w:t xml:space="preserve">           </w:t>
      </w:r>
    </w:p>
    <w:p w14:paraId="49C1465C">
      <w:pPr>
        <w:adjustRightInd w:val="0"/>
        <w:snapToGrid w:val="0"/>
        <w:spacing w:line="288" w:lineRule="auto"/>
        <w:ind w:firstLine="1040"/>
        <w:rPr>
          <w:rFonts w:ascii="仿宋" w:hAnsi="仿宋" w:eastAsia="仿宋"/>
          <w:color w:val="000000" w:themeColor="text1"/>
          <w:sz w:val="36"/>
          <w:szCs w:val="36"/>
          <w:u w:val="single"/>
          <w14:textFill>
            <w14:solidFill>
              <w14:schemeClr w14:val="tx1"/>
            </w14:solidFill>
          </w14:textFill>
        </w:rPr>
      </w:pPr>
    </w:p>
    <w:p w14:paraId="30D5AFB2">
      <w:pPr>
        <w:adjustRightInd w:val="0"/>
        <w:snapToGrid w:val="0"/>
        <w:spacing w:line="288" w:lineRule="auto"/>
        <w:ind w:firstLine="1040"/>
        <w:rPr>
          <w:color w:val="000000" w:themeColor="text1"/>
          <w:sz w:val="36"/>
          <w:szCs w:val="36"/>
          <w14:textFill>
            <w14:solidFill>
              <w14:schemeClr w14:val="tx1"/>
            </w14:solidFill>
          </w14:textFill>
        </w:rPr>
      </w:pPr>
    </w:p>
    <w:p w14:paraId="591DFC45">
      <w:pPr>
        <w:adjustRightInd w:val="0"/>
        <w:snapToGrid w:val="0"/>
        <w:spacing w:line="288" w:lineRule="auto"/>
        <w:rPr>
          <w:color w:val="000000" w:themeColor="text1"/>
          <w:sz w:val="36"/>
          <w:szCs w:val="36"/>
          <w14:textFill>
            <w14:solidFill>
              <w14:schemeClr w14:val="tx1"/>
            </w14:solidFill>
          </w14:textFill>
        </w:rPr>
      </w:pPr>
    </w:p>
    <w:bookmarkEnd w:id="0"/>
    <w:p w14:paraId="750808E4">
      <w:pPr>
        <w:adjustRightInd w:val="0"/>
        <w:snapToGrid w:val="0"/>
        <w:spacing w:line="288" w:lineRule="auto"/>
        <w:jc w:val="center"/>
        <w:rPr>
          <w:color w:val="000000" w:themeColor="text1"/>
          <w:sz w:val="36"/>
          <w:szCs w:val="36"/>
          <w14:textFill>
            <w14:solidFill>
              <w14:schemeClr w14:val="tx1"/>
            </w14:solidFill>
          </w14:textFill>
        </w:rPr>
      </w:pPr>
    </w:p>
    <w:p w14:paraId="510DD7A5">
      <w:pPr>
        <w:adjustRightInd w:val="0"/>
        <w:snapToGrid w:val="0"/>
        <w:spacing w:line="288" w:lineRule="auto"/>
        <w:jc w:val="center"/>
        <w:rPr>
          <w:rFonts w:ascii="楷体" w:hAnsi="楷体" w:eastAsia="楷体"/>
          <w:color w:val="000000" w:themeColor="text1"/>
          <w:sz w:val="36"/>
          <w:szCs w:val="36"/>
          <w14:textFill>
            <w14:solidFill>
              <w14:schemeClr w14:val="tx1"/>
            </w14:solidFill>
          </w14:textFill>
        </w:rPr>
      </w:pPr>
    </w:p>
    <w:p w14:paraId="559EAFA9">
      <w:pPr>
        <w:adjustRightInd w:val="0"/>
        <w:snapToGrid w:val="0"/>
        <w:spacing w:line="288" w:lineRule="auto"/>
        <w:jc w:val="center"/>
        <w:rPr>
          <w:rFonts w:ascii="楷体" w:hAnsi="楷体" w:eastAsia="楷体"/>
          <w:color w:val="000000" w:themeColor="text1"/>
          <w:sz w:val="36"/>
          <w:szCs w:val="36"/>
          <w14:textFill>
            <w14:solidFill>
              <w14:schemeClr w14:val="tx1"/>
            </w14:solidFill>
          </w14:textFill>
        </w:rPr>
      </w:pPr>
    </w:p>
    <w:p w14:paraId="149D7F4D">
      <w:pPr>
        <w:adjustRightInd w:val="0"/>
        <w:snapToGrid w:val="0"/>
        <w:spacing w:line="288" w:lineRule="auto"/>
        <w:jc w:val="center"/>
        <w:rPr>
          <w:rFonts w:ascii="楷体" w:hAnsi="楷体" w:eastAsia="楷体"/>
          <w:color w:val="000000" w:themeColor="text1"/>
          <w:sz w:val="36"/>
          <w:szCs w:val="36"/>
          <w14:textFill>
            <w14:solidFill>
              <w14:schemeClr w14:val="tx1"/>
            </w14:solidFill>
          </w14:textFill>
        </w:rPr>
      </w:pPr>
      <w:r>
        <w:rPr>
          <w:rFonts w:ascii="楷体" w:hAnsi="楷体" w:eastAsia="楷体"/>
          <w:color w:val="000000" w:themeColor="text1"/>
          <w:sz w:val="36"/>
          <w:szCs w:val="36"/>
          <w14:textFill>
            <w14:solidFill>
              <w14:schemeClr w14:val="tx1"/>
            </w14:solidFill>
          </w14:textFill>
        </w:rPr>
        <w:t>中华人民共和国生态环境部制</w:t>
      </w:r>
    </w:p>
    <w:p w14:paraId="5A070482">
      <w:pPr>
        <w:adjustRightInd w:val="0"/>
        <w:snapToGrid w:val="0"/>
        <w:spacing w:line="288" w:lineRule="auto"/>
        <w:ind w:firstLine="1040"/>
        <w:rPr>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14:paraId="0CACFE56">
      <w:pPr>
        <w:pStyle w:val="26"/>
        <w:jc w:val="center"/>
        <w:outlineLvl w:val="0"/>
        <w:rPr>
          <w:rFonts w:hint="eastAsia" w:ascii="宋体" w:hAnsi="宋体" w:eastAsia="宋体" w:cs="宋体"/>
          <w:b/>
          <w:bCs/>
          <w:snapToGrid w:val="0"/>
          <w:color w:val="000000" w:themeColor="text1"/>
          <w:sz w:val="30"/>
          <w:szCs w:val="30"/>
          <w14:textFill>
            <w14:solidFill>
              <w14:schemeClr w14:val="tx1"/>
            </w14:solidFill>
          </w14:textFill>
        </w:rPr>
      </w:pPr>
      <w:r>
        <w:rPr>
          <w:rFonts w:hint="eastAsia" w:ascii="宋体" w:hAnsi="宋体" w:eastAsia="宋体" w:cs="宋体"/>
          <w:b/>
          <w:bCs/>
          <w:snapToGrid w:val="0"/>
          <w:color w:val="000000" w:themeColor="text1"/>
          <w:sz w:val="30"/>
          <w:szCs w:val="30"/>
          <w14:textFill>
            <w14:solidFill>
              <w14:schemeClr w14:val="tx1"/>
            </w14:solidFill>
          </w14:textFill>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18"/>
        <w:gridCol w:w="2100"/>
        <w:gridCol w:w="2190"/>
        <w:gridCol w:w="2962"/>
      </w:tblGrid>
      <w:tr w14:paraId="44407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8" w:type="dxa"/>
            <w:tcMar>
              <w:top w:w="16" w:type="dxa"/>
              <w:left w:w="16" w:type="dxa"/>
              <w:right w:w="16" w:type="dxa"/>
            </w:tcMar>
            <w:vAlign w:val="center"/>
          </w:tcPr>
          <w:p w14:paraId="57007A1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7252" w:type="dxa"/>
            <w:gridSpan w:val="3"/>
            <w:vAlign w:val="center"/>
          </w:tcPr>
          <w:p w14:paraId="5BB9C3A1">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年产100万套麻将机配件生产项目</w:t>
            </w:r>
          </w:p>
        </w:tc>
      </w:tr>
      <w:tr w14:paraId="46B08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8" w:type="dxa"/>
            <w:tcMar>
              <w:top w:w="16" w:type="dxa"/>
              <w:left w:w="16" w:type="dxa"/>
              <w:right w:w="16" w:type="dxa"/>
            </w:tcMar>
            <w:vAlign w:val="center"/>
          </w:tcPr>
          <w:p w14:paraId="7233B083">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项目代码</w:t>
            </w:r>
          </w:p>
        </w:tc>
        <w:tc>
          <w:tcPr>
            <w:tcW w:w="7252" w:type="dxa"/>
            <w:gridSpan w:val="3"/>
            <w:vAlign w:val="center"/>
          </w:tcPr>
          <w:p w14:paraId="253256A7">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2504</w:t>
            </w:r>
            <w:r>
              <w:rPr>
                <w:rFonts w:hint="eastAsia" w:eastAsia="宋体"/>
                <w:color w:val="000000" w:themeColor="text1"/>
                <w:lang w:eastAsia="zh-CN"/>
                <w14:textFill>
                  <w14:solidFill>
                    <w14:schemeClr w14:val="tx1"/>
                  </w14:solidFill>
                </w14:textFill>
              </w:rPr>
              <w:t>-341324-04-0</w:t>
            </w:r>
            <w:r>
              <w:rPr>
                <w:rFonts w:hint="eastAsia"/>
                <w:color w:val="000000" w:themeColor="text1"/>
                <w:lang w:val="en-US" w:eastAsia="zh-CN"/>
                <w14:textFill>
                  <w14:solidFill>
                    <w14:schemeClr w14:val="tx1"/>
                  </w14:solidFill>
                </w14:textFill>
              </w:rPr>
              <w:t>3</w:t>
            </w:r>
            <w:r>
              <w:rPr>
                <w:rFonts w:hint="eastAsia" w:eastAsia="宋体"/>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200630</w:t>
            </w:r>
          </w:p>
        </w:tc>
      </w:tr>
      <w:tr w14:paraId="1AAD1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8" w:type="dxa"/>
            <w:tcMar>
              <w:top w:w="16" w:type="dxa"/>
              <w:left w:w="16" w:type="dxa"/>
              <w:right w:w="16" w:type="dxa"/>
            </w:tcMar>
            <w:vAlign w:val="center"/>
          </w:tcPr>
          <w:p w14:paraId="1CD0EA6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建设单位</w:t>
            </w:r>
          </w:p>
          <w:p w14:paraId="4F22CEF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联系人</w:t>
            </w:r>
          </w:p>
        </w:tc>
        <w:tc>
          <w:tcPr>
            <w:tcW w:w="2100" w:type="dxa"/>
            <w:vAlign w:val="center"/>
          </w:tcPr>
          <w:p w14:paraId="3F09A69A">
            <w:pPr>
              <w:adjustRightInd w:val="0"/>
              <w:snapToGrid w:val="0"/>
              <w:jc w:val="center"/>
              <w:rPr>
                <w:rFonts w:hint="default" w:eastAsia="宋体"/>
                <w:color w:val="000000" w:themeColor="text1"/>
                <w:lang w:val="en-US" w:eastAsia="zh-CN"/>
                <w14:textFill>
                  <w14:solidFill>
                    <w14:schemeClr w14:val="tx1"/>
                  </w14:solidFill>
                </w14:textFill>
              </w:rPr>
            </w:pPr>
          </w:p>
        </w:tc>
        <w:tc>
          <w:tcPr>
            <w:tcW w:w="2190" w:type="dxa"/>
            <w:vAlign w:val="center"/>
          </w:tcPr>
          <w:p w14:paraId="36696069">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2962" w:type="dxa"/>
            <w:vAlign w:val="center"/>
          </w:tcPr>
          <w:p w14:paraId="018899FD">
            <w:pPr>
              <w:widowControl/>
              <w:jc w:val="center"/>
              <w:rPr>
                <w:rFonts w:hint="default"/>
                <w:color w:val="000000" w:themeColor="text1"/>
                <w:lang w:val="en-US"/>
                <w14:textFill>
                  <w14:solidFill>
                    <w14:schemeClr w14:val="tx1"/>
                  </w14:solidFill>
                </w14:textFill>
              </w:rPr>
            </w:pPr>
          </w:p>
        </w:tc>
      </w:tr>
      <w:tr w14:paraId="2C744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8" w:type="dxa"/>
            <w:tcMar>
              <w:top w:w="16" w:type="dxa"/>
              <w:left w:w="16" w:type="dxa"/>
              <w:right w:w="16" w:type="dxa"/>
            </w:tcMar>
            <w:vAlign w:val="center"/>
          </w:tcPr>
          <w:p w14:paraId="4E2EA31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7252" w:type="dxa"/>
            <w:gridSpan w:val="3"/>
            <w:vAlign w:val="center"/>
          </w:tcPr>
          <w:p w14:paraId="73684925">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安徽省宿州市泗县经济开发区</w:t>
            </w:r>
            <w:r>
              <w:rPr>
                <w:rFonts w:hint="eastAsia"/>
                <w:color w:val="auto"/>
                <w:lang w:val="en-US" w:eastAsia="zh-CN"/>
              </w:rPr>
              <w:t>潼河路6号</w:t>
            </w:r>
            <w:r>
              <w:rPr>
                <w:rFonts w:hint="eastAsia"/>
                <w:color w:val="000000" w:themeColor="text1"/>
                <w:lang w:val="en-US" w:eastAsia="zh-CN"/>
                <w14:textFill>
                  <w14:solidFill>
                    <w14:schemeClr w14:val="tx1"/>
                  </w14:solidFill>
                </w14:textFill>
              </w:rPr>
              <w:t>泗县强宇体育设施公司2#厂房</w:t>
            </w:r>
          </w:p>
        </w:tc>
      </w:tr>
      <w:tr w14:paraId="4C50A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18" w:type="dxa"/>
            <w:tcMar>
              <w:top w:w="16" w:type="dxa"/>
              <w:left w:w="16" w:type="dxa"/>
              <w:right w:w="16" w:type="dxa"/>
            </w:tcMar>
            <w:vAlign w:val="center"/>
          </w:tcPr>
          <w:p w14:paraId="44A5DF70">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7252" w:type="dxa"/>
            <w:gridSpan w:val="3"/>
            <w:vAlign w:val="center"/>
          </w:tcPr>
          <w:p w14:paraId="10CAF018">
            <w:pPr>
              <w:pStyle w:val="10"/>
              <w:jc w:val="center"/>
              <w:rPr>
                <w:color w:val="000000" w:themeColor="text1"/>
                <w14:textFill>
                  <w14:solidFill>
                    <w14:schemeClr w14:val="tx1"/>
                  </w14:solidFill>
                </w14:textFill>
              </w:rPr>
            </w:pPr>
            <w:r>
              <w:rPr>
                <w:color w:val="000000" w:themeColor="text1"/>
                <w14:textFill>
                  <w14:solidFill>
                    <w14:schemeClr w14:val="tx1"/>
                  </w14:solidFill>
                </w14:textFill>
              </w:rPr>
              <w:t>（东经</w:t>
            </w:r>
            <w:r>
              <w:rPr>
                <w:color w:val="000000" w:themeColor="text1"/>
                <w:u w:val="single"/>
                <w14:textFill>
                  <w14:solidFill>
                    <w14:schemeClr w14:val="tx1"/>
                  </w14:solidFill>
                </w14:textFill>
              </w:rPr>
              <w:t>11</w:t>
            </w:r>
            <w:r>
              <w:rPr>
                <w:rFonts w:hint="eastAsia"/>
                <w:color w:val="000000" w:themeColor="text1"/>
                <w:u w:val="single"/>
                <w:lang w:val="en-US" w:eastAsia="zh-CN"/>
                <w14:textFill>
                  <w14:solidFill>
                    <w14:schemeClr w14:val="tx1"/>
                  </w14:solidFill>
                </w14:textFill>
              </w:rPr>
              <w:t>7</w:t>
            </w:r>
            <w:r>
              <w:rPr>
                <w:color w:val="000000" w:themeColor="text1"/>
                <w14:textFill>
                  <w14:solidFill>
                    <w14:schemeClr w14:val="tx1"/>
                  </w14:solidFill>
                </w14:textFill>
              </w:rPr>
              <w:t>度</w:t>
            </w:r>
            <w:r>
              <w:rPr>
                <w:rFonts w:hint="eastAsia"/>
                <w:color w:val="000000" w:themeColor="text1"/>
                <w:u w:val="single"/>
                <w:lang w:val="en-US" w:eastAsia="zh-CN"/>
                <w14:textFill>
                  <w14:solidFill>
                    <w14:schemeClr w14:val="tx1"/>
                  </w14:solidFill>
                </w14:textFill>
              </w:rPr>
              <w:t>55</w:t>
            </w:r>
            <w:r>
              <w:rPr>
                <w:color w:val="000000" w:themeColor="text1"/>
                <w14:textFill>
                  <w14:solidFill>
                    <w14:schemeClr w14:val="tx1"/>
                  </w14:solidFill>
                </w14:textFill>
              </w:rPr>
              <w:t>分</w:t>
            </w:r>
            <w:r>
              <w:rPr>
                <w:rFonts w:hint="eastAsia"/>
                <w:color w:val="000000" w:themeColor="text1"/>
                <w:u w:val="single"/>
                <w:lang w:val="en-US" w:eastAsia="zh-CN"/>
                <w14:textFill>
                  <w14:solidFill>
                    <w14:schemeClr w14:val="tx1"/>
                  </w14:solidFill>
                </w14:textFill>
              </w:rPr>
              <w:t>45.133</w:t>
            </w:r>
            <w:r>
              <w:rPr>
                <w:color w:val="000000" w:themeColor="text1"/>
                <w14:textFill>
                  <w14:solidFill>
                    <w14:schemeClr w14:val="tx1"/>
                  </w14:solidFill>
                </w14:textFill>
              </w:rPr>
              <w:t>秒，北纬</w:t>
            </w:r>
            <w:r>
              <w:rPr>
                <w:rFonts w:hint="eastAsia"/>
                <w:color w:val="000000" w:themeColor="text1"/>
                <w:u w:val="single"/>
                <w14:textFill>
                  <w14:solidFill>
                    <w14:schemeClr w14:val="tx1"/>
                  </w14:solidFill>
                </w14:textFill>
              </w:rPr>
              <w:t>33</w:t>
            </w:r>
            <w:r>
              <w:rPr>
                <w:color w:val="000000" w:themeColor="text1"/>
                <w14:textFill>
                  <w14:solidFill>
                    <w14:schemeClr w14:val="tx1"/>
                  </w14:solidFill>
                </w14:textFill>
              </w:rPr>
              <w:t>度</w:t>
            </w:r>
            <w:r>
              <w:rPr>
                <w:rFonts w:hint="eastAsia"/>
                <w:color w:val="000000" w:themeColor="text1"/>
                <w:u w:val="single"/>
                <w:lang w:val="en-US" w:eastAsia="zh-CN"/>
                <w14:textFill>
                  <w14:solidFill>
                    <w14:schemeClr w14:val="tx1"/>
                  </w14:solidFill>
                </w14:textFill>
              </w:rPr>
              <w:t>28</w:t>
            </w:r>
            <w:r>
              <w:rPr>
                <w:color w:val="000000" w:themeColor="text1"/>
                <w14:textFill>
                  <w14:solidFill>
                    <w14:schemeClr w14:val="tx1"/>
                  </w14:solidFill>
                </w14:textFill>
              </w:rPr>
              <w:t>分</w:t>
            </w:r>
            <w:r>
              <w:rPr>
                <w:rFonts w:hint="eastAsia"/>
                <w:color w:val="000000" w:themeColor="text1"/>
                <w:u w:val="single"/>
                <w:lang w:val="en-US" w:eastAsia="zh-CN"/>
                <w14:textFill>
                  <w14:solidFill>
                    <w14:schemeClr w14:val="tx1"/>
                  </w14:solidFill>
                </w14:textFill>
              </w:rPr>
              <w:t>14.540</w:t>
            </w:r>
            <w:r>
              <w:rPr>
                <w:color w:val="000000" w:themeColor="text1"/>
                <w14:textFill>
                  <w14:solidFill>
                    <w14:schemeClr w14:val="tx1"/>
                  </w14:solidFill>
                </w14:textFill>
              </w:rPr>
              <w:t>秒）</w:t>
            </w:r>
          </w:p>
        </w:tc>
      </w:tr>
      <w:tr w14:paraId="46416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18" w:type="dxa"/>
            <w:tcMar>
              <w:top w:w="16" w:type="dxa"/>
              <w:left w:w="16" w:type="dxa"/>
              <w:right w:w="16" w:type="dxa"/>
            </w:tcMar>
            <w:vAlign w:val="center"/>
          </w:tcPr>
          <w:p w14:paraId="4B6AD780">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国民经济</w:t>
            </w:r>
          </w:p>
          <w:p w14:paraId="6B59036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2100" w:type="dxa"/>
            <w:vAlign w:val="center"/>
          </w:tcPr>
          <w:p w14:paraId="1A06153A">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C</w:t>
            </w:r>
            <w:r>
              <w:rPr>
                <w:rFonts w:hint="eastAsia"/>
                <w:color w:val="000000" w:themeColor="text1"/>
                <w:lang w:val="en-US" w:eastAsia="zh-CN"/>
                <w14:textFill>
                  <w14:solidFill>
                    <w14:schemeClr w14:val="tx1"/>
                  </w14:solidFill>
                </w14:textFill>
              </w:rPr>
              <w:t>2462</w:t>
            </w:r>
            <w:r>
              <w:rPr>
                <w:rFonts w:hint="eastAsia" w:ascii="Times New Roman" w:hAnsi="Times New Roman"/>
                <w:color w:val="000000" w:themeColor="text1"/>
                <w14:textFill>
                  <w14:solidFill>
                    <w14:schemeClr w14:val="tx1"/>
                  </w14:solidFill>
                </w14:textFill>
              </w:rPr>
              <w:t>游艺用品及室内游艺器材制造</w:t>
            </w:r>
          </w:p>
        </w:tc>
        <w:tc>
          <w:tcPr>
            <w:tcW w:w="2190" w:type="dxa"/>
            <w:vAlign w:val="center"/>
          </w:tcPr>
          <w:p w14:paraId="78BA78B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14:paraId="3493BDF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2962" w:type="dxa"/>
            <w:vAlign w:val="center"/>
          </w:tcPr>
          <w:p w14:paraId="6840D516">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color w:val="000000" w:themeColor="text1"/>
                <w:lang w:val="en-US"/>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二十一、文教、美工、体育和娱乐用品制造业24“40.游艺器材及娱乐用品制造246”</w:t>
            </w:r>
          </w:p>
        </w:tc>
      </w:tr>
      <w:tr w14:paraId="538F9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618" w:type="dxa"/>
            <w:tcMar>
              <w:top w:w="16" w:type="dxa"/>
              <w:left w:w="16" w:type="dxa"/>
              <w:right w:w="16" w:type="dxa"/>
            </w:tcMar>
            <w:vAlign w:val="center"/>
          </w:tcPr>
          <w:p w14:paraId="25361484">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2100" w:type="dxa"/>
            <w:vAlign w:val="center"/>
          </w:tcPr>
          <w:p w14:paraId="4E9AA72A">
            <w:pPr>
              <w:jc w:val="left"/>
              <w:rPr>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color w:val="000000" w:themeColor="text1"/>
                <w14:textFill>
                  <w14:solidFill>
                    <w14:schemeClr w14:val="tx1"/>
                  </w14:solidFill>
                </w14:textFill>
              </w:rPr>
              <w:t>新建（迁建）</w:t>
            </w:r>
          </w:p>
          <w:p w14:paraId="28D58181">
            <w:pPr>
              <w:jc w:val="left"/>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改建</w:t>
            </w:r>
          </w:p>
          <w:p w14:paraId="7D60D7CB">
            <w:pPr>
              <w:jc w:val="left"/>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扩建</w:t>
            </w:r>
          </w:p>
          <w:p w14:paraId="5658E1F6">
            <w:pPr>
              <w:rPr>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color w:val="000000" w:themeColor="text1"/>
                <w14:textFill>
                  <w14:solidFill>
                    <w14:schemeClr w14:val="tx1"/>
                  </w14:solidFill>
                </w14:textFill>
              </w:rPr>
              <w:t>技术改造</w:t>
            </w:r>
          </w:p>
        </w:tc>
        <w:tc>
          <w:tcPr>
            <w:tcW w:w="2190" w:type="dxa"/>
            <w:vAlign w:val="center"/>
          </w:tcPr>
          <w:p w14:paraId="45822D75">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14:paraId="32AA589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申报情形</w:t>
            </w:r>
          </w:p>
        </w:tc>
        <w:tc>
          <w:tcPr>
            <w:tcW w:w="2962" w:type="dxa"/>
            <w:vAlign w:val="center"/>
          </w:tcPr>
          <w:p w14:paraId="7194206F">
            <w:pPr>
              <w:jc w:val="left"/>
              <w:rPr>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color w:val="000000" w:themeColor="text1"/>
                <w14:textFill>
                  <w14:solidFill>
                    <w14:schemeClr w14:val="tx1"/>
                  </w14:solidFill>
                </w14:textFill>
              </w:rPr>
              <w:t>首次申报项目</w:t>
            </w:r>
          </w:p>
          <w:p w14:paraId="74267B18">
            <w:pPr>
              <w:jc w:val="left"/>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不予批准后再次申报项目</w:t>
            </w:r>
          </w:p>
          <w:p w14:paraId="2C678F5C">
            <w:pPr>
              <w:jc w:val="left"/>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超五年重新审核项目</w:t>
            </w:r>
          </w:p>
          <w:p w14:paraId="366BCE26">
            <w:pPr>
              <w:jc w:val="left"/>
              <w:rPr>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color w:val="000000" w:themeColor="text1"/>
                <w14:textFill>
                  <w14:solidFill>
                    <w14:schemeClr w14:val="tx1"/>
                  </w14:solidFill>
                </w14:textFill>
              </w:rPr>
              <w:t>重大变动重新报批项目</w:t>
            </w:r>
          </w:p>
        </w:tc>
      </w:tr>
      <w:tr w14:paraId="5B486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618" w:type="dxa"/>
            <w:tcMar>
              <w:top w:w="16" w:type="dxa"/>
              <w:left w:w="16" w:type="dxa"/>
              <w:right w:w="16" w:type="dxa"/>
            </w:tcMar>
            <w:vAlign w:val="center"/>
          </w:tcPr>
          <w:p w14:paraId="5C7FBBD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项目审批（核准/备案）部门（选填）</w:t>
            </w:r>
          </w:p>
        </w:tc>
        <w:tc>
          <w:tcPr>
            <w:tcW w:w="2100" w:type="dxa"/>
            <w:vAlign w:val="center"/>
          </w:tcPr>
          <w:p w14:paraId="6EED3A0C">
            <w:pPr>
              <w:adjustRightInd w:val="0"/>
              <w:snapToGrid w:val="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泗</w:t>
            </w:r>
            <w:r>
              <w:rPr>
                <w:color w:val="000000" w:themeColor="text1"/>
                <w14:textFill>
                  <w14:solidFill>
                    <w14:schemeClr w14:val="tx1"/>
                  </w14:solidFill>
                </w14:textFill>
              </w:rPr>
              <w:t>县发展和改革委员会</w:t>
            </w:r>
          </w:p>
        </w:tc>
        <w:tc>
          <w:tcPr>
            <w:tcW w:w="2190" w:type="dxa"/>
            <w:vAlign w:val="center"/>
          </w:tcPr>
          <w:p w14:paraId="0EA04D9B">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w:t>
            </w:r>
          </w:p>
          <w:p w14:paraId="2966AB7A">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备案）文号（选填）</w:t>
            </w:r>
          </w:p>
        </w:tc>
        <w:tc>
          <w:tcPr>
            <w:tcW w:w="2962" w:type="dxa"/>
            <w:vAlign w:val="center"/>
          </w:tcPr>
          <w:p w14:paraId="19FAA8D5">
            <w:pPr>
              <w:adjustRightInd w:val="0"/>
              <w:snapToGrid w:val="0"/>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泗发改备案【2025】63号</w:t>
            </w:r>
          </w:p>
        </w:tc>
      </w:tr>
      <w:tr w14:paraId="4D18E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1618" w:type="dxa"/>
            <w:tcMar>
              <w:top w:w="16" w:type="dxa"/>
              <w:left w:w="16" w:type="dxa"/>
              <w:right w:w="16" w:type="dxa"/>
            </w:tcMar>
            <w:vAlign w:val="center"/>
          </w:tcPr>
          <w:p w14:paraId="0A222D17">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总投资</w:t>
            </w:r>
          </w:p>
          <w:p w14:paraId="4CB3A59D">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（万元）</w:t>
            </w:r>
          </w:p>
        </w:tc>
        <w:tc>
          <w:tcPr>
            <w:tcW w:w="2100" w:type="dxa"/>
            <w:vAlign w:val="center"/>
          </w:tcPr>
          <w:p w14:paraId="22657B1B">
            <w:pPr>
              <w:adjustRightInd w:val="0"/>
              <w:snapToGrid w:val="0"/>
              <w:jc w:val="center"/>
              <w:rPr>
                <w:rFonts w:hint="default"/>
                <w:b w:val="0"/>
                <w:bCs w:val="0"/>
                <w:color w:val="000000" w:themeColor="text1"/>
                <w:lang w:val="en-US"/>
                <w14:textFill>
                  <w14:solidFill>
                    <w14:schemeClr w14:val="tx1"/>
                  </w14:solidFill>
                </w14:textFill>
              </w:rPr>
            </w:pPr>
            <w:r>
              <w:rPr>
                <w:rFonts w:hint="eastAsia"/>
                <w:b w:val="0"/>
                <w:bCs w:val="0"/>
                <w:color w:val="000000" w:themeColor="text1"/>
                <w:lang w:val="en-US" w:eastAsia="zh-CN"/>
                <w14:textFill>
                  <w14:solidFill>
                    <w14:schemeClr w14:val="tx1"/>
                  </w14:solidFill>
                </w14:textFill>
              </w:rPr>
              <w:t>3500</w:t>
            </w:r>
          </w:p>
        </w:tc>
        <w:tc>
          <w:tcPr>
            <w:tcW w:w="2190" w:type="dxa"/>
            <w:tcMar>
              <w:top w:w="16" w:type="dxa"/>
              <w:left w:w="16" w:type="dxa"/>
              <w:right w:w="16" w:type="dxa"/>
            </w:tcMar>
            <w:vAlign w:val="center"/>
          </w:tcPr>
          <w:p w14:paraId="5DDAD3C9">
            <w:pPr>
              <w:adjustRightInd w:val="0"/>
              <w:snapToGrid w:val="0"/>
              <w:jc w:val="center"/>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环保投资（万元）</w:t>
            </w:r>
          </w:p>
        </w:tc>
        <w:tc>
          <w:tcPr>
            <w:tcW w:w="2962" w:type="dxa"/>
            <w:vAlign w:val="center"/>
          </w:tcPr>
          <w:p w14:paraId="10B6807B">
            <w:pPr>
              <w:adjustRightInd w:val="0"/>
              <w:snapToGrid w:val="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70</w:t>
            </w:r>
          </w:p>
        </w:tc>
      </w:tr>
      <w:tr w14:paraId="5BF6E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1618" w:type="dxa"/>
            <w:tcMar>
              <w:top w:w="16" w:type="dxa"/>
              <w:left w:w="16" w:type="dxa"/>
              <w:right w:w="16" w:type="dxa"/>
            </w:tcMar>
            <w:vAlign w:val="center"/>
          </w:tcPr>
          <w:p w14:paraId="4C8A61C4">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环保投资占比（%）</w:t>
            </w:r>
          </w:p>
        </w:tc>
        <w:tc>
          <w:tcPr>
            <w:tcW w:w="2100" w:type="dxa"/>
            <w:vAlign w:val="center"/>
          </w:tcPr>
          <w:p w14:paraId="420ED8DE">
            <w:pPr>
              <w:adjustRightInd w:val="0"/>
              <w:snapToGrid w:val="0"/>
              <w:jc w:val="center"/>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2</w:t>
            </w:r>
          </w:p>
        </w:tc>
        <w:tc>
          <w:tcPr>
            <w:tcW w:w="2190" w:type="dxa"/>
            <w:tcMar>
              <w:top w:w="16" w:type="dxa"/>
              <w:left w:w="16" w:type="dxa"/>
              <w:right w:w="16" w:type="dxa"/>
            </w:tcMar>
            <w:vAlign w:val="center"/>
          </w:tcPr>
          <w:p w14:paraId="62AFFB3F">
            <w:pPr>
              <w:adjustRightInd w:val="0"/>
              <w:snapToGrid w:val="0"/>
              <w:jc w:val="center"/>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施工工期</w:t>
            </w:r>
          </w:p>
        </w:tc>
        <w:tc>
          <w:tcPr>
            <w:tcW w:w="2962" w:type="dxa"/>
            <w:vAlign w:val="center"/>
          </w:tcPr>
          <w:p w14:paraId="078749AE">
            <w:pPr>
              <w:adjustRightInd w:val="0"/>
              <w:snapToGrid w:val="0"/>
              <w:jc w:val="center"/>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3个月</w:t>
            </w:r>
          </w:p>
        </w:tc>
      </w:tr>
      <w:tr w14:paraId="04DD1C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1618" w:type="dxa"/>
            <w:tcMar>
              <w:top w:w="16" w:type="dxa"/>
              <w:left w:w="16" w:type="dxa"/>
              <w:right w:w="16" w:type="dxa"/>
            </w:tcMar>
            <w:vAlign w:val="center"/>
          </w:tcPr>
          <w:p w14:paraId="45A5157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2100" w:type="dxa"/>
            <w:vAlign w:val="center"/>
          </w:tcPr>
          <w:p w14:paraId="78F9F0E0">
            <w:pPr>
              <w:adjustRightInd w:val="0"/>
              <w:snapToGrid w:val="0"/>
              <w:rPr>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color w:val="000000" w:themeColor="text1"/>
                <w14:textFill>
                  <w14:solidFill>
                    <w14:schemeClr w14:val="tx1"/>
                  </w14:solidFill>
                </w14:textFill>
              </w:rPr>
              <w:t>否</w:t>
            </w:r>
          </w:p>
          <w:p w14:paraId="09DD4095">
            <w:pPr>
              <w:adjustRightInd w:val="0"/>
              <w:snapToGrid w:val="0"/>
              <w:rPr>
                <w:color w:val="000000" w:themeColor="text1"/>
                <w14:textFill>
                  <w14:solidFill>
                    <w14:schemeClr w14:val="tx1"/>
                  </w14:solidFill>
                </w14:textFill>
              </w:rPr>
            </w:pPr>
            <w:r>
              <w:rPr>
                <w:rFonts w:hint="eastAsia" w:ascii="宋体" w:hAnsi="宋体" w:cs="宋体"/>
                <w:color w:val="000000" w:themeColor="text1"/>
                <w:lang w:eastAsia="zh-CN"/>
                <w14:textFill>
                  <w14:solidFill>
                    <w14:schemeClr w14:val="tx1"/>
                  </w14:solidFill>
                </w14:textFill>
              </w:rPr>
              <w:t>□</w:t>
            </w:r>
            <w:r>
              <w:rPr>
                <w:color w:val="000000" w:themeColor="text1"/>
                <w14:textFill>
                  <w14:solidFill>
                    <w14:schemeClr w14:val="tx1"/>
                  </w14:solidFill>
                </w14:textFill>
              </w:rPr>
              <w:t>是：</w:t>
            </w:r>
            <w:r>
              <w:rPr>
                <w:rFonts w:hint="eastAsia"/>
                <w:color w:val="000000" w:themeColor="text1"/>
                <w:sz w:val="24"/>
                <w:u w:val="single"/>
                <w:lang w:val="en-US" w:eastAsia="zh-CN"/>
                <w14:textFill>
                  <w14:solidFill>
                    <w14:schemeClr w14:val="tx1"/>
                  </w14:solidFill>
                </w14:textFill>
              </w:rPr>
              <w:t xml:space="preserve">                 </w:t>
            </w:r>
          </w:p>
        </w:tc>
        <w:tc>
          <w:tcPr>
            <w:tcW w:w="2190" w:type="dxa"/>
            <w:tcMar>
              <w:top w:w="16" w:type="dxa"/>
              <w:left w:w="16" w:type="dxa"/>
              <w:right w:w="16" w:type="dxa"/>
            </w:tcMar>
            <w:vAlign w:val="center"/>
          </w:tcPr>
          <w:p w14:paraId="00758CAB">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用地（用海）</w:t>
            </w:r>
          </w:p>
          <w:p w14:paraId="3AA272A6">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p>
        </w:tc>
        <w:tc>
          <w:tcPr>
            <w:tcW w:w="2962" w:type="dxa"/>
            <w:vAlign w:val="center"/>
          </w:tcPr>
          <w:p w14:paraId="1B3E311C">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2206.5</w:t>
            </w:r>
          </w:p>
        </w:tc>
      </w:tr>
      <w:tr w14:paraId="75007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618" w:type="dxa"/>
            <w:vAlign w:val="center"/>
          </w:tcPr>
          <w:p w14:paraId="75507425">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专项评价设置情况</w:t>
            </w:r>
          </w:p>
        </w:tc>
        <w:tc>
          <w:tcPr>
            <w:tcW w:w="7252" w:type="dxa"/>
            <w:gridSpan w:val="3"/>
            <w:vAlign w:val="center"/>
          </w:tcPr>
          <w:p w14:paraId="5BE843D3">
            <w:pPr>
              <w:autoSpaceDE w:val="0"/>
              <w:autoSpaceDN w:val="0"/>
              <w:adjustRightInd w:val="0"/>
              <w:snapToGrid w:val="0"/>
              <w:spacing w:before="120" w:beforeLines="5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无</w:t>
            </w:r>
          </w:p>
        </w:tc>
      </w:tr>
      <w:tr w14:paraId="6F1AD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618" w:type="dxa"/>
            <w:vAlign w:val="center"/>
          </w:tcPr>
          <w:p w14:paraId="6FB2F846">
            <w:pPr>
              <w:autoSpaceDE w:val="0"/>
              <w:autoSpaceDN w:val="0"/>
              <w:adjustRightInd w:val="0"/>
              <w:snapToGrid w:val="0"/>
              <w:jc w:val="center"/>
              <w:rPr>
                <w:color w:val="000000" w:themeColor="text1"/>
                <w:kern w:val="0"/>
                <w14:textFill>
                  <w14:solidFill>
                    <w14:schemeClr w14:val="tx1"/>
                  </w14:solidFill>
                </w14:textFill>
              </w:rPr>
            </w:pPr>
            <w:r>
              <w:rPr>
                <w:color w:val="000000" w:themeColor="text1"/>
                <w14:textFill>
                  <w14:solidFill>
                    <w14:schemeClr w14:val="tx1"/>
                  </w14:solidFill>
                </w14:textFill>
              </w:rPr>
              <w:t>规划情况</w:t>
            </w:r>
          </w:p>
        </w:tc>
        <w:tc>
          <w:tcPr>
            <w:tcW w:w="7252" w:type="dxa"/>
            <w:gridSpan w:val="3"/>
            <w:vAlign w:val="center"/>
          </w:tcPr>
          <w:p w14:paraId="151D0224">
            <w:pPr>
              <w:pStyle w:val="5"/>
              <w:keepNext/>
              <w:keepLines/>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textAlignment w:val="auto"/>
              <w:rPr>
                <w:rFonts w:ascii="Times New Roman" w:hAnsi="Times New Roman" w:eastAsia="宋体"/>
                <w:b w:val="0"/>
                <w:bCs/>
                <w:color w:val="000000" w:themeColor="text1"/>
                <w:sz w:val="24"/>
                <w:szCs w:val="24"/>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规划名称：</w:t>
            </w:r>
            <w:r>
              <w:rPr>
                <w:rFonts w:ascii="Times New Roman" w:hAnsi="Times New Roman" w:eastAsia="宋体"/>
                <w:b w:val="0"/>
                <w:bCs/>
                <w:color w:val="000000" w:themeColor="text1"/>
                <w:sz w:val="24"/>
                <w:szCs w:val="24"/>
                <w14:textFill>
                  <w14:solidFill>
                    <w14:schemeClr w14:val="tx1"/>
                  </w14:solidFill>
                </w14:textFill>
              </w:rPr>
              <w:t>《安徽泗县经济开发区总体发展规划</w:t>
            </w:r>
            <w:r>
              <w:rPr>
                <w:rFonts w:hint="eastAsia" w:ascii="Times New Roman" w:hAnsi="Times New Roman" w:eastAsia="宋体"/>
                <w:b w:val="0"/>
                <w:bCs/>
                <w:color w:val="000000" w:themeColor="text1"/>
                <w:sz w:val="24"/>
                <w:szCs w:val="24"/>
                <w:lang w:eastAsia="zh-CN"/>
                <w14:textFill>
                  <w14:solidFill>
                    <w14:schemeClr w14:val="tx1"/>
                  </w14:solidFill>
                </w14:textFill>
              </w:rPr>
              <w:t>（</w:t>
            </w:r>
            <w:r>
              <w:rPr>
                <w:rFonts w:ascii="Times New Roman" w:hAnsi="Times New Roman" w:eastAsia="宋体"/>
                <w:b w:val="0"/>
                <w:bCs/>
                <w:color w:val="000000" w:themeColor="text1"/>
                <w:sz w:val="24"/>
                <w:szCs w:val="24"/>
                <w14:textFill>
                  <w14:solidFill>
                    <w14:schemeClr w14:val="tx1"/>
                  </w14:solidFill>
                </w14:textFill>
              </w:rPr>
              <w:t>2013</w:t>
            </w:r>
            <w:r>
              <w:rPr>
                <w:rFonts w:hint="eastAsia" w:ascii="Times New Roman" w:hAnsi="Times New Roman" w:eastAsia="宋体"/>
                <w:b w:val="0"/>
                <w:bCs/>
                <w:color w:val="000000" w:themeColor="text1"/>
                <w:sz w:val="24"/>
                <w:szCs w:val="24"/>
                <w:lang w:val="en-US" w:eastAsia="zh-CN"/>
                <w14:textFill>
                  <w14:solidFill>
                    <w14:schemeClr w14:val="tx1"/>
                  </w14:solidFill>
                </w14:textFill>
              </w:rPr>
              <w:t>~</w:t>
            </w:r>
            <w:r>
              <w:rPr>
                <w:rFonts w:ascii="Times New Roman" w:hAnsi="Times New Roman" w:eastAsia="宋体"/>
                <w:b w:val="0"/>
                <w:bCs/>
                <w:color w:val="000000" w:themeColor="text1"/>
                <w:sz w:val="24"/>
                <w:szCs w:val="24"/>
                <w14:textFill>
                  <w14:solidFill>
                    <w14:schemeClr w14:val="tx1"/>
                  </w14:solidFill>
                </w14:textFill>
              </w:rPr>
              <w:t>2030</w:t>
            </w:r>
            <w:r>
              <w:rPr>
                <w:rFonts w:hint="eastAsia" w:ascii="Times New Roman" w:hAnsi="Times New Roman" w:eastAsia="宋体"/>
                <w:b w:val="0"/>
                <w:bCs/>
                <w:color w:val="000000" w:themeColor="text1"/>
                <w:sz w:val="24"/>
                <w:szCs w:val="24"/>
                <w:lang w:eastAsia="zh-CN"/>
                <w14:textFill>
                  <w14:solidFill>
                    <w14:schemeClr w14:val="tx1"/>
                  </w14:solidFill>
                </w14:textFill>
              </w:rPr>
              <w:t>）</w:t>
            </w:r>
            <w:r>
              <w:rPr>
                <w:rFonts w:ascii="Times New Roman" w:hAnsi="Times New Roman" w:eastAsia="宋体"/>
                <w:b w:val="0"/>
                <w:bCs/>
                <w:color w:val="000000" w:themeColor="text1"/>
                <w:sz w:val="24"/>
                <w:szCs w:val="24"/>
                <w14:textFill>
                  <w14:solidFill>
                    <w14:schemeClr w14:val="tx1"/>
                  </w14:solidFill>
                </w14:textFill>
              </w:rPr>
              <w:t>》</w:t>
            </w:r>
          </w:p>
          <w:p w14:paraId="1D62BB9D">
            <w:pPr>
              <w:spacing w:line="360" w:lineRule="auto"/>
              <w:rPr>
                <w:bCs/>
                <w:color w:val="000000" w:themeColor="text1"/>
                <w:szCs w:val="32"/>
                <w14:textFill>
                  <w14:solidFill>
                    <w14:schemeClr w14:val="tx1"/>
                  </w14:solidFill>
                </w14:textFill>
              </w:rPr>
            </w:pPr>
            <w:r>
              <w:rPr>
                <w:b/>
                <w:color w:val="000000" w:themeColor="text1"/>
                <w:szCs w:val="32"/>
                <w14:textFill>
                  <w14:solidFill>
                    <w14:schemeClr w14:val="tx1"/>
                  </w14:solidFill>
                </w14:textFill>
              </w:rPr>
              <w:t>审批机关：</w:t>
            </w:r>
            <w:r>
              <w:rPr>
                <w:bCs/>
                <w:color w:val="000000" w:themeColor="text1"/>
                <w:szCs w:val="32"/>
                <w14:textFill>
                  <w14:solidFill>
                    <w14:schemeClr w14:val="tx1"/>
                  </w14:solidFill>
                </w14:textFill>
              </w:rPr>
              <w:t>安徽省人民政府</w:t>
            </w:r>
          </w:p>
          <w:p w14:paraId="5AE742B4">
            <w:pPr>
              <w:pStyle w:val="12"/>
              <w:spacing w:before="0" w:after="0" w:line="360" w:lineRule="auto"/>
              <w:ind w:right="0" w:rightChars="0"/>
              <w:rPr>
                <w:rFonts w:hint="eastAsia" w:eastAsia="宋体"/>
                <w:color w:val="000000" w:themeColor="text1"/>
                <w:kern w:val="0"/>
                <w:lang w:val="en-US" w:eastAsia="zh-CN"/>
                <w14:textFill>
                  <w14:solidFill>
                    <w14:schemeClr w14:val="tx1"/>
                  </w14:solidFill>
                </w14:textFill>
              </w:rPr>
            </w:pPr>
            <w:r>
              <w:rPr>
                <w:b/>
                <w:bCs/>
                <w:color w:val="000000" w:themeColor="text1"/>
                <w:sz w:val="24"/>
                <w:szCs w:val="28"/>
                <w14:textFill>
                  <w14:solidFill>
                    <w14:schemeClr w14:val="tx1"/>
                  </w14:solidFill>
                </w14:textFill>
              </w:rPr>
              <w:t>审批文件名称和文号：</w:t>
            </w:r>
            <w:r>
              <w:rPr>
                <w:color w:val="000000" w:themeColor="text1"/>
                <w:sz w:val="24"/>
                <w:szCs w:val="28"/>
                <w14:textFill>
                  <w14:solidFill>
                    <w14:schemeClr w14:val="tx1"/>
                  </w14:solidFill>
                </w14:textFill>
              </w:rPr>
              <w:t>《安徽省人民政府关于设立安徽泗县经济开发区的批复》</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皖政秘</w:t>
            </w:r>
            <w:r>
              <w:rPr>
                <w:rFonts w:hint="eastAsia"/>
                <w:color w:val="000000" w:themeColor="text1"/>
                <w:sz w:val="24"/>
                <w:szCs w:val="28"/>
                <w:lang w:eastAsia="zh-CN"/>
                <w14:textFill>
                  <w14:solidFill>
                    <w14:schemeClr w14:val="tx1"/>
                  </w14:solidFill>
                </w14:textFill>
              </w:rPr>
              <w:t>【</w:t>
            </w:r>
            <w:r>
              <w:rPr>
                <w:rFonts w:hint="eastAsia"/>
                <w:color w:val="000000" w:themeColor="text1"/>
                <w:sz w:val="24"/>
                <w:szCs w:val="28"/>
                <w:lang w:val="en-US" w:eastAsia="zh-CN"/>
                <w14:textFill>
                  <w14:solidFill>
                    <w14:schemeClr w14:val="tx1"/>
                  </w14:solidFill>
                </w14:textFill>
              </w:rPr>
              <w:t>2006</w:t>
            </w:r>
            <w:r>
              <w:rPr>
                <w:rFonts w:hint="eastAsia"/>
                <w:color w:val="000000" w:themeColor="text1"/>
                <w:sz w:val="24"/>
                <w:szCs w:val="28"/>
                <w:lang w:eastAsia="zh-CN"/>
                <w14:textFill>
                  <w14:solidFill>
                    <w14:schemeClr w14:val="tx1"/>
                  </w14:solidFill>
                </w14:textFill>
              </w:rPr>
              <w:t>】</w:t>
            </w:r>
            <w:r>
              <w:rPr>
                <w:color w:val="000000" w:themeColor="text1"/>
                <w:sz w:val="24"/>
                <w:szCs w:val="28"/>
                <w14:textFill>
                  <w14:solidFill>
                    <w14:schemeClr w14:val="tx1"/>
                  </w14:solidFill>
                </w14:textFill>
              </w:rPr>
              <w:t>136号</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w:t>
            </w:r>
            <w:r>
              <w:rPr>
                <w:color w:val="000000" w:themeColor="text1"/>
                <w:sz w:val="24"/>
                <w:szCs w:val="24"/>
                <w14:textFill>
                  <w14:solidFill>
                    <w14:schemeClr w14:val="tx1"/>
                  </w14:solidFill>
                </w14:textFill>
              </w:rPr>
              <w:t>《安徽省人民政府关于同意安徽泗县经济开发区扩区的批复》</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皖政秘</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2014</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124号</w:t>
            </w:r>
            <w:r>
              <w:rPr>
                <w:rFonts w:hint="eastAsia"/>
                <w:color w:val="000000" w:themeColor="text1"/>
                <w:sz w:val="24"/>
                <w:szCs w:val="24"/>
                <w14:textFill>
                  <w14:solidFill>
                    <w14:schemeClr w14:val="tx1"/>
                  </w14:solidFill>
                </w14:textFill>
              </w:rPr>
              <w:t>）</w:t>
            </w:r>
          </w:p>
        </w:tc>
      </w:tr>
      <w:tr w14:paraId="4A967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618" w:type="dxa"/>
            <w:vAlign w:val="center"/>
          </w:tcPr>
          <w:p w14:paraId="301D4EDF">
            <w:pPr>
              <w:adjustRightInd w:val="0"/>
              <w:snapToGrid w:val="0"/>
              <w:jc w:val="center"/>
              <w:rPr>
                <w:color w:val="000000" w:themeColor="text1"/>
                <w:kern w:val="0"/>
                <w14:textFill>
                  <w14:solidFill>
                    <w14:schemeClr w14:val="tx1"/>
                  </w14:solidFill>
                </w14:textFill>
              </w:rPr>
            </w:pPr>
            <w:r>
              <w:rPr>
                <w:color w:val="000000" w:themeColor="text1"/>
                <w14:textFill>
                  <w14:solidFill>
                    <w14:schemeClr w14:val="tx1"/>
                  </w14:solidFill>
                </w14:textFill>
              </w:rPr>
              <w:t>规划环境影响评价情况</w:t>
            </w:r>
          </w:p>
        </w:tc>
        <w:tc>
          <w:tcPr>
            <w:tcW w:w="7252" w:type="dxa"/>
            <w:gridSpan w:val="3"/>
            <w:vAlign w:val="center"/>
          </w:tcPr>
          <w:p w14:paraId="7A0EFFC0">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color w:val="000000" w:themeColor="text1"/>
                <w14:textFill>
                  <w14:solidFill>
                    <w14:schemeClr w14:val="tx1"/>
                  </w14:solidFill>
                </w14:textFill>
              </w:rPr>
            </w:pPr>
            <w:r>
              <w:rPr>
                <w:b/>
                <w:bCs/>
                <w:color w:val="000000" w:themeColor="text1"/>
                <w14:textFill>
                  <w14:solidFill>
                    <w14:schemeClr w14:val="tx1"/>
                  </w14:solidFill>
                </w14:textFill>
              </w:rPr>
              <w:t>规划环境影响评价文件名称：</w:t>
            </w:r>
            <w:r>
              <w:rPr>
                <w:rFonts w:hint="eastAsia"/>
                <w:color w:val="000000" w:themeColor="text1"/>
                <w14:textFill>
                  <w14:solidFill>
                    <w14:schemeClr w14:val="tx1"/>
                  </w14:solidFill>
                </w14:textFill>
              </w:rPr>
              <w:t>《安徽泗县经济开发区总体发展规划环境影响报告书》</w:t>
            </w:r>
          </w:p>
          <w:p w14:paraId="4495C8EA">
            <w:pPr>
              <w:autoSpaceDE w:val="0"/>
              <w:autoSpaceDN w:val="0"/>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审查机关：</w:t>
            </w:r>
            <w:r>
              <w:rPr>
                <w:rFonts w:hint="eastAsia"/>
                <w:color w:val="000000" w:themeColor="text1"/>
                <w14:textFill>
                  <w14:solidFill>
                    <w14:schemeClr w14:val="tx1"/>
                  </w14:solidFill>
                </w14:textFill>
              </w:rPr>
              <w:t>安徽省环境保护厅</w:t>
            </w:r>
          </w:p>
          <w:p w14:paraId="1E6FC887">
            <w:pPr>
              <w:widowControl/>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审查文件名称及文号：</w:t>
            </w:r>
            <w:r>
              <w:rPr>
                <w:rFonts w:hint="eastAsia"/>
                <w:color w:val="000000" w:themeColor="text1"/>
                <w14:textFill>
                  <w14:solidFill>
                    <w14:schemeClr w14:val="tx1"/>
                  </w14:solidFill>
                </w14:textFill>
              </w:rPr>
              <w:t>《安徽省环保厅关于安徽泗县经济开发区总体发展规划环境影响报告书审查意见的函》</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皖环函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2014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645号</w:t>
            </w:r>
            <w:r>
              <w:rPr>
                <w:rFonts w:hint="eastAsia"/>
                <w:color w:val="000000" w:themeColor="text1"/>
                <w14:textFill>
                  <w14:solidFill>
                    <w14:schemeClr w14:val="tx1"/>
                  </w14:solidFill>
                </w14:textFill>
              </w:rPr>
              <w:t>）</w:t>
            </w:r>
          </w:p>
          <w:p w14:paraId="450ADED6">
            <w:pPr>
              <w:autoSpaceDE w:val="0"/>
              <w:autoSpaceDN w:val="0"/>
              <w:adjustRightInd w:val="0"/>
              <w:snapToGrid w:val="0"/>
              <w:spacing w:line="360" w:lineRule="auto"/>
              <w:rPr>
                <w:color w:val="000000" w:themeColor="text1"/>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规划环境影响评价文件名称：</w:t>
            </w:r>
            <w:r>
              <w:rPr>
                <w:rFonts w:hint="eastAsia"/>
                <w:color w:val="000000" w:themeColor="text1"/>
                <w14:textFill>
                  <w14:solidFill>
                    <w14:schemeClr w14:val="tx1"/>
                  </w14:solidFill>
                </w14:textFill>
              </w:rPr>
              <w:t>《安徽泗县经济开发区总体发展环境影响跟踪评价报告书》</w:t>
            </w:r>
          </w:p>
          <w:p w14:paraId="0727DF61">
            <w:pPr>
              <w:autoSpaceDE w:val="0"/>
              <w:autoSpaceDN w:val="0"/>
              <w:adjustRightInd w:val="0"/>
              <w:snapToGrid w:val="0"/>
              <w:spacing w:line="360" w:lineRule="auto"/>
              <w:rPr>
                <w:color w:val="000000" w:themeColor="text1"/>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审查机关</w:t>
            </w:r>
            <w:r>
              <w:rPr>
                <w:rFonts w:hint="eastAsia" w:ascii="宋体" w:hAnsi="宋体" w:cs="宋体"/>
                <w:color w:val="000000" w:themeColor="text1"/>
                <w:kern w:val="0"/>
                <w14:textFill>
                  <w14:solidFill>
                    <w14:schemeClr w14:val="tx1"/>
                  </w14:solidFill>
                </w14:textFill>
              </w:rPr>
              <w:t>：宿州市生态环境局</w:t>
            </w:r>
          </w:p>
          <w:p w14:paraId="520F78E3">
            <w:pPr>
              <w:autoSpaceDE w:val="0"/>
              <w:autoSpaceDN w:val="0"/>
              <w:adjustRightInd w:val="0"/>
              <w:snapToGrid w:val="0"/>
              <w:spacing w:line="360" w:lineRule="auto"/>
              <w:rPr>
                <w:color w:val="000000" w:themeColor="text1"/>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审查文件名称及文号：</w:t>
            </w:r>
            <w:r>
              <w:rPr>
                <w:rFonts w:hint="eastAsia"/>
                <w:color w:val="000000" w:themeColor="text1"/>
                <w14:textFill>
                  <w14:solidFill>
                    <w14:schemeClr w14:val="tx1"/>
                  </w14:solidFill>
                </w14:textFill>
              </w:rPr>
              <w:t>《</w:t>
            </w:r>
            <w:r>
              <w:rPr>
                <w:rFonts w:hint="eastAsia" w:ascii="宋体" w:hAnsi="宋体" w:cs="宋体"/>
                <w:color w:val="000000" w:themeColor="text1"/>
                <w:kern w:val="0"/>
                <w14:textFill>
                  <w14:solidFill>
                    <w14:schemeClr w14:val="tx1"/>
                  </w14:solidFill>
                </w14:textFill>
              </w:rPr>
              <w:t>宿州市生态环境局关于安徽泗县经济开发区总体发展规划环境影响跟踪评价报告书的审查意见</w:t>
            </w:r>
            <w:r>
              <w:rPr>
                <w:rFonts w:hint="eastAsia"/>
                <w:color w:val="000000" w:themeColor="text1"/>
                <w14:textFill>
                  <w14:solidFill>
                    <w14:schemeClr w14:val="tx1"/>
                  </w14:solidFill>
                </w14:textFill>
              </w:rPr>
              <w:t>》（宿环函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101号）</w:t>
            </w:r>
          </w:p>
        </w:tc>
      </w:tr>
      <w:tr w14:paraId="3CE23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1618" w:type="dxa"/>
            <w:vAlign w:val="center"/>
          </w:tcPr>
          <w:p w14:paraId="60BD1D40">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规划及规划环境影响评价符合性分析</w:t>
            </w:r>
          </w:p>
        </w:tc>
        <w:tc>
          <w:tcPr>
            <w:tcW w:w="7252" w:type="dxa"/>
            <w:gridSpan w:val="3"/>
            <w:vAlign w:val="center"/>
          </w:tcPr>
          <w:p w14:paraId="54691C6C">
            <w:pPr>
              <w:keepNext w:val="0"/>
              <w:keepLines w:val="0"/>
              <w:pageBreakBefore w:val="0"/>
              <w:widowControl w:val="0"/>
              <w:kinsoku/>
              <w:wordWrap/>
              <w:overflowPunct/>
              <w:topLinePunct w:val="0"/>
              <w:autoSpaceDE w:val="0"/>
              <w:autoSpaceDN w:val="0"/>
              <w:bidi w:val="0"/>
              <w:adjustRightInd w:val="0"/>
              <w:snapToGrid w:val="0"/>
              <w:spacing w:before="120" w:beforeLines="50" w:line="360" w:lineRule="auto"/>
              <w:jc w:val="left"/>
              <w:textAlignment w:val="auto"/>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一、本项目与</w:t>
            </w:r>
            <w:r>
              <w:rPr>
                <w:rFonts w:hint="eastAsia"/>
                <w:b/>
                <w:bCs/>
                <w:color w:val="000000" w:themeColor="text1"/>
                <w:kern w:val="0"/>
                <w:lang w:val="en-US" w:eastAsia="zh-CN"/>
                <w14:textFill>
                  <w14:solidFill>
                    <w14:schemeClr w14:val="tx1"/>
                  </w14:solidFill>
                </w14:textFill>
              </w:rPr>
              <w:t>泗县</w:t>
            </w:r>
            <w:r>
              <w:rPr>
                <w:b/>
                <w:bCs/>
                <w:color w:val="000000" w:themeColor="text1"/>
                <w:kern w:val="0"/>
                <w14:textFill>
                  <w14:solidFill>
                    <w14:schemeClr w14:val="tx1"/>
                  </w14:solidFill>
                </w14:textFill>
              </w:rPr>
              <w:t>经济开发区规划的符合性分析</w:t>
            </w:r>
          </w:p>
          <w:p w14:paraId="4E9F7532">
            <w:pPr>
              <w:keepNext w:val="0"/>
              <w:keepLines w:val="0"/>
              <w:pageBreakBefore w:val="0"/>
              <w:widowControl w:val="0"/>
              <w:tabs>
                <w:tab w:val="left" w:pos="302"/>
              </w:tabs>
              <w:kinsoku/>
              <w:wordWrap/>
              <w:overflowPunct/>
              <w:topLinePunct w:val="0"/>
              <w:autoSpaceDE w:val="0"/>
              <w:autoSpaceDN w:val="0"/>
              <w:bidi w:val="0"/>
              <w:adjustRightInd w:val="0"/>
              <w:snapToGrid w:val="0"/>
              <w:spacing w:line="360" w:lineRule="auto"/>
              <w:jc w:val="left"/>
              <w:textAlignment w:val="auto"/>
              <w:rPr>
                <w:color w:val="000000" w:themeColor="text1"/>
                <w:kern w:val="0"/>
                <w14:textFill>
                  <w14:solidFill>
                    <w14:schemeClr w14:val="tx1"/>
                  </w14:solidFill>
                </w14:textFill>
              </w:rPr>
            </w:pPr>
            <w:r>
              <w:rPr>
                <w:b/>
                <w:bCs/>
                <w:color w:val="000000" w:themeColor="text1"/>
                <w:kern w:val="0"/>
                <w14:textFill>
                  <w14:solidFill>
                    <w14:schemeClr w14:val="tx1"/>
                  </w14:solidFill>
                </w14:textFill>
              </w:rPr>
              <w:t>1、</w:t>
            </w:r>
            <w:r>
              <w:rPr>
                <w:rFonts w:hint="eastAsia"/>
                <w:b/>
                <w:bCs/>
                <w:color w:val="000000" w:themeColor="text1"/>
                <w:kern w:val="0"/>
                <w:lang w:val="en-US" w:eastAsia="zh-CN"/>
                <w14:textFill>
                  <w14:solidFill>
                    <w14:schemeClr w14:val="tx1"/>
                  </w14:solidFill>
                </w14:textFill>
              </w:rPr>
              <w:t>泗县</w:t>
            </w:r>
            <w:r>
              <w:rPr>
                <w:b/>
                <w:bCs/>
                <w:color w:val="000000" w:themeColor="text1"/>
                <w:kern w:val="0"/>
                <w14:textFill>
                  <w14:solidFill>
                    <w14:schemeClr w14:val="tx1"/>
                  </w14:solidFill>
                </w14:textFill>
              </w:rPr>
              <w:t>经济开发区规划范围及主导产业</w:t>
            </w:r>
          </w:p>
          <w:p w14:paraId="5715F38D">
            <w:pPr>
              <w:autoSpaceDE w:val="0"/>
              <w:autoSpaceDN w:val="0"/>
              <w:adjustRightInd w:val="0"/>
              <w:snapToGrid w:val="0"/>
              <w:spacing w:line="360" w:lineRule="auto"/>
              <w:ind w:firstLine="480" w:firstLineChars="200"/>
              <w:rPr>
                <w:color w:val="000000" w:themeColor="text1"/>
                <w14:textFill>
                  <w14:solidFill>
                    <w14:schemeClr w14:val="tx1"/>
                  </w14:solidFill>
                </w14:textFill>
              </w:rPr>
            </w:pPr>
            <w:r>
              <w:rPr>
                <w:color w:val="000000" w:themeColor="text1"/>
                <w:kern w:val="0"/>
                <w14:textFill>
                  <w14:solidFill>
                    <w14:schemeClr w14:val="tx1"/>
                  </w14:solidFill>
                </w14:textFill>
              </w:rPr>
              <w:t>根据安徽泗县经济开发区总体发展规划，安徽泗县经济开发区的规划范围为原批复和扩区的全部范围，四至界限：东至东三环路；西至西三环路；南至新汴河；北至古汴河。规划总面积约18km</w:t>
            </w:r>
            <w:r>
              <w:rPr>
                <w:color w:val="000000" w:themeColor="text1"/>
                <w:kern w:val="0"/>
                <w:vertAlign w:val="superscript"/>
                <w14:textFill>
                  <w14:solidFill>
                    <w14:schemeClr w14:val="tx1"/>
                  </w14:solidFill>
                </w14:textFill>
              </w:rPr>
              <w:t>2</w:t>
            </w:r>
            <w:r>
              <w:rPr>
                <w:color w:val="000000" w:themeColor="text1"/>
                <w:kern w:val="0"/>
                <w14:textFill>
                  <w14:solidFill>
                    <w14:schemeClr w14:val="tx1"/>
                  </w14:solidFill>
                </w14:textFill>
              </w:rPr>
              <w:t>。主导产业为</w:t>
            </w:r>
            <w:r>
              <w:rPr>
                <w:b/>
                <w:bCs/>
                <w:color w:val="000000" w:themeColor="text1"/>
                <w:kern w:val="0"/>
                <w14:textFill>
                  <w14:solidFill>
                    <w14:schemeClr w14:val="tx1"/>
                  </w14:solidFill>
                </w14:textFill>
              </w:rPr>
              <w:t>机械电子、纺织服装、农产品加工</w:t>
            </w:r>
            <w:r>
              <w:rPr>
                <w:color w:val="000000" w:themeColor="text1"/>
                <w:kern w:val="0"/>
                <w14:textFill>
                  <w14:solidFill>
                    <w14:schemeClr w14:val="tx1"/>
                  </w14:solidFill>
                </w14:textFill>
              </w:rPr>
              <w:t>。</w:t>
            </w:r>
          </w:p>
          <w:p w14:paraId="7F0EFB3D">
            <w:pPr>
              <w:autoSpaceDE w:val="0"/>
              <w:autoSpaceDN w:val="0"/>
              <w:adjustRightInd w:val="0"/>
              <w:snapToGrid w:val="0"/>
              <w:spacing w:line="360" w:lineRule="auto"/>
              <w:rPr>
                <w:b/>
                <w:bCs/>
                <w:color w:val="000000" w:themeColor="text1"/>
                <w14:textFill>
                  <w14:solidFill>
                    <w14:schemeClr w14:val="tx1"/>
                  </w14:solidFill>
                </w14:textFill>
              </w:rPr>
            </w:pPr>
            <w:r>
              <w:rPr>
                <w:b/>
                <w:bCs/>
                <w:color w:val="000000" w:themeColor="text1"/>
                <w:lang w:bidi="ar"/>
                <w14:textFill>
                  <w14:solidFill>
                    <w14:schemeClr w14:val="tx1"/>
                  </w14:solidFill>
                </w14:textFill>
              </w:rPr>
              <w:t>2、本项目用地</w:t>
            </w:r>
            <w:r>
              <w:rPr>
                <w:b/>
                <w:bCs/>
                <w:color w:val="000000" w:themeColor="text1"/>
                <w:kern w:val="0"/>
                <w14:textFill>
                  <w14:solidFill>
                    <w14:schemeClr w14:val="tx1"/>
                  </w14:solidFill>
                </w14:textFill>
              </w:rPr>
              <w:t>性质</w:t>
            </w:r>
            <w:r>
              <w:rPr>
                <w:b/>
                <w:bCs/>
                <w:color w:val="000000" w:themeColor="text1"/>
                <w:lang w:bidi="ar"/>
                <w14:textFill>
                  <w14:solidFill>
                    <w14:schemeClr w14:val="tx1"/>
                  </w14:solidFill>
                </w14:textFill>
              </w:rPr>
              <w:t>符合性分析</w:t>
            </w:r>
          </w:p>
          <w:p w14:paraId="324347DF">
            <w:pPr>
              <w:adjustRightInd w:val="0"/>
              <w:snapToGrid w:val="0"/>
              <w:spacing w:line="360" w:lineRule="auto"/>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w:t>
            </w:r>
            <w:r>
              <w:rPr>
                <w:color w:val="000000" w:themeColor="text1"/>
                <w14:textFill>
                  <w14:solidFill>
                    <w14:schemeClr w14:val="tx1"/>
                  </w14:solidFill>
                </w14:textFill>
              </w:rPr>
              <w:t>位于</w:t>
            </w:r>
            <w:r>
              <w:rPr>
                <w:rFonts w:hint="eastAsia"/>
                <w:color w:val="000000" w:themeColor="text1"/>
                <w:lang w:val="en-US" w:eastAsia="zh-CN"/>
                <w14:textFill>
                  <w14:solidFill>
                    <w14:schemeClr w14:val="tx1"/>
                  </w14:solidFill>
                </w14:textFill>
              </w:rPr>
              <w:t>安徽省宿州市泗县经济开发区泗县强宇体育设施公司2#厂房</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安徽</w:t>
            </w:r>
            <w:r>
              <w:rPr>
                <w:rFonts w:hint="eastAsia"/>
                <w:color w:val="000000" w:themeColor="text1"/>
                <w:lang w:val="en-US" w:eastAsia="zh-CN"/>
                <w14:textFill>
                  <w14:solidFill>
                    <w14:schemeClr w14:val="tx1"/>
                  </w14:solidFill>
                </w14:textFill>
              </w:rPr>
              <w:t>泗县</w:t>
            </w:r>
            <w:r>
              <w:rPr>
                <w:rFonts w:hint="eastAsia"/>
                <w:color w:val="000000" w:themeColor="text1"/>
                <w14:textFill>
                  <w14:solidFill>
                    <w14:schemeClr w14:val="tx1"/>
                  </w14:solidFill>
                </w14:textFill>
              </w:rPr>
              <w:t>经济开发区总体发展规划用地布局图</w:t>
            </w:r>
            <w:r>
              <w:rPr>
                <w:color w:val="000000" w:themeColor="text1"/>
                <w14:textFill>
                  <w14:solidFill>
                    <w14:schemeClr w14:val="tx1"/>
                  </w14:solidFill>
                </w14:textFill>
              </w:rPr>
              <w:t>，本项目占地为工业用地，因此，用地性质符合要求。</w:t>
            </w:r>
          </w:p>
          <w:p w14:paraId="0207D948">
            <w:pPr>
              <w:autoSpaceDE w:val="0"/>
              <w:autoSpaceDN w:val="0"/>
              <w:adjustRightInd w:val="0"/>
              <w:snapToGrid w:val="0"/>
              <w:spacing w:line="360" w:lineRule="auto"/>
              <w:rPr>
                <w:b/>
                <w:bCs/>
                <w:color w:val="000000" w:themeColor="text1"/>
                <w14:textFill>
                  <w14:solidFill>
                    <w14:schemeClr w14:val="tx1"/>
                  </w14:solidFill>
                </w14:textFill>
              </w:rPr>
            </w:pPr>
            <w:r>
              <w:rPr>
                <w:rFonts w:hint="eastAsia"/>
                <w:b/>
                <w:bCs/>
                <w:color w:val="000000" w:themeColor="text1"/>
                <w:kern w:val="0"/>
                <w14:textFill>
                  <w14:solidFill>
                    <w14:schemeClr w14:val="tx1"/>
                  </w14:solidFill>
                </w14:textFill>
              </w:rPr>
              <w:t>3、</w:t>
            </w:r>
            <w:r>
              <w:rPr>
                <w:rFonts w:ascii="宋体" w:hAnsi="宋体" w:cs="宋体"/>
                <w:b/>
                <w:bCs/>
                <w:color w:val="000000" w:themeColor="text1"/>
                <w14:textFill>
                  <w14:solidFill>
                    <w14:schemeClr w14:val="tx1"/>
                  </w14:solidFill>
                </w14:textFill>
              </w:rPr>
              <w:t>本项目与</w:t>
            </w:r>
            <w:r>
              <w:rPr>
                <w:b/>
                <w:bCs/>
                <w:color w:val="000000" w:themeColor="text1"/>
                <w:szCs w:val="32"/>
                <w14:textFill>
                  <w14:solidFill>
                    <w14:schemeClr w14:val="tx1"/>
                  </w14:solidFill>
                </w14:textFill>
              </w:rPr>
              <w:t>泗县经济</w:t>
            </w:r>
            <w:r>
              <w:rPr>
                <w:b/>
                <w:bCs/>
                <w:color w:val="000000" w:themeColor="text1"/>
                <w:kern w:val="0"/>
                <w14:textFill>
                  <w14:solidFill>
                    <w14:schemeClr w14:val="tx1"/>
                  </w14:solidFill>
                </w14:textFill>
              </w:rPr>
              <w:t>开发区</w:t>
            </w:r>
            <w:r>
              <w:rPr>
                <w:rFonts w:ascii="宋体" w:hAnsi="宋体" w:cs="宋体"/>
                <w:b/>
                <w:bCs/>
                <w:color w:val="000000" w:themeColor="text1"/>
                <w14:textFill>
                  <w14:solidFill>
                    <w14:schemeClr w14:val="tx1"/>
                  </w14:solidFill>
                </w14:textFill>
              </w:rPr>
              <w:t>主导产业</w:t>
            </w:r>
            <w:r>
              <w:rPr>
                <w:rFonts w:hint="eastAsia"/>
                <w:b/>
                <w:bCs/>
                <w:color w:val="000000" w:themeColor="text1"/>
                <w14:textFill>
                  <w14:solidFill>
                    <w14:schemeClr w14:val="tx1"/>
                  </w14:solidFill>
                </w14:textFill>
              </w:rPr>
              <w:t>符合性</w:t>
            </w:r>
            <w:r>
              <w:rPr>
                <w:rFonts w:ascii="宋体" w:hAnsi="宋体" w:cs="宋体"/>
                <w:b/>
                <w:bCs/>
                <w:color w:val="000000" w:themeColor="text1"/>
                <w14:textFill>
                  <w14:solidFill>
                    <w14:schemeClr w14:val="tx1"/>
                  </w14:solidFill>
                </w14:textFill>
              </w:rPr>
              <w:t>分析</w:t>
            </w:r>
          </w:p>
          <w:p w14:paraId="7476D19F">
            <w:pPr>
              <w:spacing w:line="360" w:lineRule="auto"/>
              <w:ind w:firstLine="480" w:firstLineChars="200"/>
              <w:rPr>
                <w:color w:val="000000" w:themeColor="text1"/>
                <w:kern w:val="0"/>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国民经济行业类别为</w:t>
            </w:r>
            <w:r>
              <w:rPr>
                <w:rFonts w:hint="eastAsia"/>
                <w:color w:val="000000" w:themeColor="text1"/>
                <w:lang w:eastAsia="zh-CN"/>
                <w14:textFill>
                  <w14:solidFill>
                    <w14:schemeClr w14:val="tx1"/>
                  </w14:solidFill>
                </w14:textFill>
              </w:rPr>
              <w:t>C</w:t>
            </w:r>
            <w:r>
              <w:rPr>
                <w:rFonts w:hint="eastAsia"/>
                <w:color w:val="000000" w:themeColor="text1"/>
                <w:lang w:val="en-US" w:eastAsia="zh-CN"/>
                <w14:textFill>
                  <w14:solidFill>
                    <w14:schemeClr w14:val="tx1"/>
                  </w14:solidFill>
                </w14:textFill>
              </w:rPr>
              <w:t>2462</w:t>
            </w:r>
            <w:r>
              <w:rPr>
                <w:rFonts w:hint="eastAsia" w:ascii="Times New Roman" w:hAnsi="Times New Roman"/>
                <w:color w:val="000000" w:themeColor="text1"/>
                <w14:textFill>
                  <w14:solidFill>
                    <w14:schemeClr w14:val="tx1"/>
                  </w14:solidFill>
                </w14:textFill>
              </w:rPr>
              <w:t>游艺用品及室内游艺器材制造</w:t>
            </w:r>
            <w:r>
              <w:rPr>
                <w:color w:val="000000" w:themeColor="text1"/>
                <w14:textFill>
                  <w14:solidFill>
                    <w14:schemeClr w14:val="tx1"/>
                  </w14:solidFill>
                </w14:textFill>
              </w:rPr>
              <w:t>，</w:t>
            </w:r>
            <w:r>
              <w:rPr>
                <w:rFonts w:hint="eastAsia" w:ascii="Times New Roman" w:hAnsi="Times New Roman"/>
                <w:color w:val="000000" w:themeColor="text1"/>
                <w:shd w:val="clear" w:color="auto" w:fill="FFFFFF"/>
                <w:lang w:val="en-US" w:eastAsia="zh-CN"/>
                <w14:textFill>
                  <w14:solidFill>
                    <w14:schemeClr w14:val="tx1"/>
                  </w14:solidFill>
                </w14:textFill>
              </w:rPr>
              <w:t>主要</w:t>
            </w:r>
            <w:r>
              <w:rPr>
                <w:rFonts w:hint="eastAsia" w:ascii="Times New Roman" w:hAnsi="Times New Roman"/>
                <w:color w:val="000000" w:themeColor="text1"/>
                <w:shd w:val="clear" w:color="auto" w:fill="FFFFFF"/>
                <w14:textFill>
                  <w14:solidFill>
                    <w14:schemeClr w14:val="tx1"/>
                  </w14:solidFill>
                </w14:textFill>
              </w:rPr>
              <w:t>生产麻将机配件，</w:t>
            </w:r>
            <w:r>
              <w:rPr>
                <w:rFonts w:hint="eastAsia"/>
                <w:color w:val="000000" w:themeColor="text1"/>
                <w:shd w:val="clear" w:color="auto" w:fill="FFFFFF"/>
                <w:lang w:val="en-US" w:eastAsia="zh-CN"/>
                <w14:textFill>
                  <w14:solidFill>
                    <w14:schemeClr w14:val="tx1"/>
                  </w14:solidFill>
                </w14:textFill>
              </w:rPr>
              <w:t>主要工艺为机械加工</w:t>
            </w:r>
            <w:r>
              <w:rPr>
                <w:rFonts w:hint="eastAsia" w:ascii="Times New Roman" w:hAnsi="Times New Roman"/>
                <w:color w:val="000000" w:themeColor="text1"/>
                <w:shd w:val="clear" w:color="auto" w:fill="FFFFFF"/>
                <w:lang w:eastAsia="zh-CN"/>
                <w14:textFill>
                  <w14:solidFill>
                    <w14:schemeClr w14:val="tx1"/>
                  </w14:solidFill>
                </w14:textFill>
              </w:rPr>
              <w:t>，</w:t>
            </w:r>
            <w:r>
              <w:rPr>
                <w:rFonts w:ascii="宋体" w:hAnsi="宋体" w:cs="宋体"/>
                <w:color w:val="000000" w:themeColor="text1"/>
                <w14:textFill>
                  <w14:solidFill>
                    <w14:schemeClr w14:val="tx1"/>
                  </w14:solidFill>
                </w14:textFill>
              </w:rPr>
              <w:t>与</w:t>
            </w:r>
            <w:r>
              <w:rPr>
                <w:color w:val="000000" w:themeColor="text1"/>
                <w:szCs w:val="32"/>
                <w14:textFill>
                  <w14:solidFill>
                    <w14:schemeClr w14:val="tx1"/>
                  </w14:solidFill>
                </w14:textFill>
              </w:rPr>
              <w:t>泗县经济</w:t>
            </w:r>
            <w:r>
              <w:rPr>
                <w:color w:val="000000" w:themeColor="text1"/>
                <w:kern w:val="0"/>
                <w14:textFill>
                  <w14:solidFill>
                    <w14:schemeClr w14:val="tx1"/>
                  </w14:solidFill>
                </w14:textFill>
              </w:rPr>
              <w:t>开发区</w:t>
            </w:r>
            <w:r>
              <w:rPr>
                <w:rFonts w:ascii="宋体" w:hAnsi="宋体" w:cs="宋体"/>
                <w:color w:val="000000" w:themeColor="text1"/>
                <w14:textFill>
                  <w14:solidFill>
                    <w14:schemeClr w14:val="tx1"/>
                  </w14:solidFill>
                </w14:textFill>
              </w:rPr>
              <w:t>主导产业</w:t>
            </w:r>
            <w:r>
              <w:rPr>
                <w:rFonts w:hint="eastAsia" w:ascii="宋体" w:hAnsi="宋体" w:cs="宋体"/>
                <w:color w:val="000000"/>
                <w:kern w:val="0"/>
              </w:rPr>
              <w:t>不完全相符，</w:t>
            </w:r>
            <w:r>
              <w:rPr>
                <w:rFonts w:hint="eastAsia" w:ascii="宋体" w:hAnsi="宋体" w:cs="宋体"/>
                <w:color w:val="000000"/>
                <w:kern w:val="0"/>
                <w:lang w:val="en-US" w:eastAsia="zh-CN"/>
              </w:rPr>
              <w:t>但</w:t>
            </w:r>
            <w:r>
              <w:rPr>
                <w:rFonts w:hint="eastAsia" w:ascii="宋体" w:hAnsi="宋体" w:cs="宋体"/>
                <w:color w:val="000000"/>
                <w:kern w:val="0"/>
              </w:rPr>
              <w:t>属于低能耗、轻污染型产业，可以入区</w:t>
            </w:r>
            <w:r>
              <w:rPr>
                <w:color w:val="000000" w:themeColor="text1"/>
                <w:kern w:val="0"/>
                <w14:textFill>
                  <w14:solidFill>
                    <w14:schemeClr w14:val="tx1"/>
                  </w14:solidFill>
                </w14:textFill>
              </w:rPr>
              <w:t>。</w:t>
            </w:r>
          </w:p>
          <w:p w14:paraId="3B9A00D7">
            <w:pPr>
              <w:spacing w:line="360" w:lineRule="auto"/>
              <w:ind w:firstLine="480" w:firstLineChars="200"/>
              <w:rPr>
                <w:bCs/>
                <w:color w:val="000000" w:themeColor="text1"/>
                <w14:textFill>
                  <w14:solidFill>
                    <w14:schemeClr w14:val="tx1"/>
                  </w14:solidFill>
                </w14:textFill>
              </w:rPr>
            </w:pPr>
            <w:r>
              <w:rPr>
                <w:color w:val="000000" w:themeColor="text1"/>
                <w14:textFill>
                  <w14:solidFill>
                    <w14:schemeClr w14:val="tx1"/>
                  </w14:solidFill>
                </w14:textFill>
              </w:rPr>
              <w:t>根据《安徽</w:t>
            </w:r>
            <w:r>
              <w:rPr>
                <w:rFonts w:hint="eastAsia"/>
                <w:color w:val="000000" w:themeColor="text1"/>
                <w:lang w:val="en-US" w:eastAsia="zh-CN"/>
                <w14:textFill>
                  <w14:solidFill>
                    <w14:schemeClr w14:val="tx1"/>
                  </w14:solidFill>
                </w14:textFill>
              </w:rPr>
              <w:t>泗县</w:t>
            </w:r>
            <w:r>
              <w:rPr>
                <w:color w:val="000000" w:themeColor="text1"/>
                <w14:textFill>
                  <w14:solidFill>
                    <w14:schemeClr w14:val="tx1"/>
                  </w14:solidFill>
                </w14:textFill>
              </w:rPr>
              <w:t>经济开发区总体发展规划环境影响跟踪评价报告书》，安徽</w:t>
            </w:r>
            <w:r>
              <w:rPr>
                <w:rFonts w:hint="eastAsia"/>
                <w:color w:val="000000" w:themeColor="text1"/>
                <w:lang w:val="en-US" w:eastAsia="zh-CN"/>
                <w14:textFill>
                  <w14:solidFill>
                    <w14:schemeClr w14:val="tx1"/>
                  </w14:solidFill>
                </w14:textFill>
              </w:rPr>
              <w:t>泗县</w:t>
            </w:r>
            <w:r>
              <w:rPr>
                <w:color w:val="000000" w:themeColor="text1"/>
                <w14:textFill>
                  <w14:solidFill>
                    <w14:schemeClr w14:val="tx1"/>
                  </w14:solidFill>
                </w14:textFill>
              </w:rPr>
              <w:t>经济开发区环境准入清单如下：</w:t>
            </w:r>
          </w:p>
          <w:p w14:paraId="231E2954">
            <w:pPr>
              <w:pStyle w:val="119"/>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themeColor="text1"/>
                <w:sz w:val="24"/>
                <w14:textFill>
                  <w14:solidFill>
                    <w14:schemeClr w14:val="tx1"/>
                  </w14:solidFill>
                </w14:textFill>
              </w:rPr>
            </w:pPr>
            <w:r>
              <w:rPr>
                <w:rFonts w:hint="eastAsia"/>
                <w:b/>
                <w:bCs/>
                <w:color w:val="000000" w:themeColor="text1"/>
                <w:kern w:val="0"/>
                <w14:textFill>
                  <w14:solidFill>
                    <w14:schemeClr w14:val="tx1"/>
                  </w14:solidFill>
                </w14:textFill>
              </w:rPr>
              <w:t>表1</w:t>
            </w:r>
            <w:r>
              <w:rPr>
                <w:rFonts w:hint="eastAsia"/>
                <w:b/>
                <w:bCs/>
                <w:color w:val="000000" w:themeColor="text1"/>
                <w:kern w:val="0"/>
                <w:lang w:val="en-US" w:eastAsia="zh-CN"/>
                <w14:textFill>
                  <w14:solidFill>
                    <w14:schemeClr w14:val="tx1"/>
                  </w14:solidFill>
                </w14:textFill>
              </w:rPr>
              <w:t>-</w:t>
            </w:r>
            <w:r>
              <w:rPr>
                <w:rFonts w:hint="eastAsia"/>
                <w:b/>
                <w:bCs/>
                <w:color w:val="000000" w:themeColor="text1"/>
                <w:kern w:val="0"/>
                <w14:textFill>
                  <w14:solidFill>
                    <w14:schemeClr w14:val="tx1"/>
                  </w14:solidFill>
                </w14:textFill>
              </w:rPr>
              <w:t xml:space="preserve">1  </w:t>
            </w:r>
            <w:r>
              <w:rPr>
                <w:b/>
                <w:bCs/>
                <w:color w:val="000000" w:themeColor="text1"/>
                <w:sz w:val="24"/>
                <w14:textFill>
                  <w14:solidFill>
                    <w14:schemeClr w14:val="tx1"/>
                  </w14:solidFill>
                </w14:textFill>
              </w:rPr>
              <w:t>开发区入区项目行业参考建议一览表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4578"/>
              <w:gridCol w:w="1301"/>
            </w:tblGrid>
            <w:tr w14:paraId="37AD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Align w:val="center"/>
                </w:tcPr>
                <w:p w14:paraId="7F212C9D">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行业门类</w:t>
                  </w:r>
                </w:p>
              </w:tc>
              <w:tc>
                <w:tcPr>
                  <w:tcW w:w="3258" w:type="pct"/>
                  <w:vAlign w:val="center"/>
                </w:tcPr>
                <w:p w14:paraId="25FF64CD">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行业名称</w:t>
                  </w:r>
                </w:p>
              </w:tc>
              <w:tc>
                <w:tcPr>
                  <w:tcW w:w="925" w:type="pct"/>
                  <w:vAlign w:val="center"/>
                </w:tcPr>
                <w:p w14:paraId="62353610">
                  <w:pPr>
                    <w:snapToGrid w:val="0"/>
                    <w:spacing w:line="240" w:lineRule="auto"/>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入区建议</w:t>
                  </w:r>
                </w:p>
              </w:tc>
            </w:tr>
            <w:tr w14:paraId="486D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Merge w:val="restart"/>
                  <w:vAlign w:val="center"/>
                </w:tcPr>
                <w:p w14:paraId="077020B3">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机械电子</w:t>
                  </w:r>
                </w:p>
              </w:tc>
              <w:tc>
                <w:tcPr>
                  <w:tcW w:w="3258" w:type="pct"/>
                  <w:vAlign w:val="center"/>
                </w:tcPr>
                <w:p w14:paraId="1111BBB8">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通用、专用设备制造；铁路运输设备制造；汽车、摩托车制造（发动机、零部件）；自行车制造；船舶及浮动装置制造；交通器材及其他交通运输设备制造；电气机械及器材制造（不含电池制造）；仪器仪表及文化、办公用机械制造；电子配件组装；金属制品加工制造</w:t>
                  </w:r>
                </w:p>
              </w:tc>
              <w:tc>
                <w:tcPr>
                  <w:tcW w:w="925" w:type="pct"/>
                  <w:vAlign w:val="center"/>
                </w:tcPr>
                <w:p w14:paraId="63A9AD88">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（无电镀、喷漆工艺的）优先入区</w:t>
                  </w:r>
                </w:p>
              </w:tc>
            </w:tr>
            <w:tr w14:paraId="2E2A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Merge w:val="continue"/>
                  <w:vAlign w:val="center"/>
                </w:tcPr>
                <w:p w14:paraId="75CFDF49">
                  <w:pPr>
                    <w:snapToGrid w:val="0"/>
                    <w:spacing w:line="240" w:lineRule="auto"/>
                    <w:ind w:firstLine="0" w:firstLineChars="0"/>
                    <w:jc w:val="center"/>
                    <w:rPr>
                      <w:color w:val="000000" w:themeColor="text1"/>
                      <w:sz w:val="21"/>
                      <w:szCs w:val="21"/>
                      <w14:textFill>
                        <w14:solidFill>
                          <w14:schemeClr w14:val="tx1"/>
                        </w14:solidFill>
                      </w14:textFill>
                    </w:rPr>
                  </w:pPr>
                </w:p>
              </w:tc>
              <w:tc>
                <w:tcPr>
                  <w:tcW w:w="3258" w:type="pct"/>
                  <w:vAlign w:val="center"/>
                </w:tcPr>
                <w:p w14:paraId="3520873E">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集成电路生产，半导体器件生产；印刷电路板，电真空器件</w:t>
                  </w:r>
                </w:p>
              </w:tc>
              <w:tc>
                <w:tcPr>
                  <w:tcW w:w="925" w:type="pct"/>
                  <w:vAlign w:val="center"/>
                </w:tcPr>
                <w:p w14:paraId="7082DDE3">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限制进入</w:t>
                  </w:r>
                </w:p>
              </w:tc>
            </w:tr>
            <w:tr w14:paraId="13F1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Merge w:val="restart"/>
                  <w:vAlign w:val="center"/>
                </w:tcPr>
                <w:p w14:paraId="356C58AD">
                  <w:pPr>
                    <w:snapToGrid w:val="0"/>
                    <w:spacing w:line="240" w:lineRule="auto"/>
                    <w:ind w:firstLine="0" w:firstLineChars="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纺织服装</w:t>
                  </w:r>
                </w:p>
              </w:tc>
              <w:tc>
                <w:tcPr>
                  <w:tcW w:w="3258" w:type="pct"/>
                  <w:vAlign w:val="center"/>
                </w:tcPr>
                <w:p w14:paraId="7E800ED9">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棉纺纱加工、棉织造加工；毛条和毛纱线加工、毛织造加工；麻纺织；家用纺织制成品制造、非家用纺织制成成品制造；纺织服装、服饰业</w:t>
                  </w:r>
                </w:p>
              </w:tc>
              <w:tc>
                <w:tcPr>
                  <w:tcW w:w="925" w:type="pct"/>
                  <w:vAlign w:val="center"/>
                </w:tcPr>
                <w:p w14:paraId="58BDACCA">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优先入区</w:t>
                  </w:r>
                </w:p>
              </w:tc>
            </w:tr>
            <w:tr w14:paraId="6C6A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Merge w:val="continue"/>
                  <w:vAlign w:val="center"/>
                </w:tcPr>
                <w:p w14:paraId="627D0236">
                  <w:pPr>
                    <w:snapToGrid w:val="0"/>
                    <w:spacing w:line="240" w:lineRule="auto"/>
                    <w:ind w:firstLine="0" w:firstLineChars="0"/>
                    <w:jc w:val="center"/>
                    <w:rPr>
                      <w:bCs/>
                      <w:color w:val="000000" w:themeColor="text1"/>
                      <w:sz w:val="21"/>
                      <w:szCs w:val="21"/>
                      <w14:textFill>
                        <w14:solidFill>
                          <w14:schemeClr w14:val="tx1"/>
                        </w14:solidFill>
                      </w14:textFill>
                    </w:rPr>
                  </w:pPr>
                </w:p>
              </w:tc>
              <w:tc>
                <w:tcPr>
                  <w:tcW w:w="3258" w:type="pct"/>
                  <w:vAlign w:val="center"/>
                </w:tcPr>
                <w:p w14:paraId="10FF080A">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棉印染精加工、毛染整精加工</w:t>
                  </w:r>
                </w:p>
              </w:tc>
              <w:tc>
                <w:tcPr>
                  <w:tcW w:w="925" w:type="pct"/>
                  <w:vAlign w:val="center"/>
                </w:tcPr>
                <w:p w14:paraId="586D7C37">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禁止入区</w:t>
                  </w:r>
                </w:p>
              </w:tc>
            </w:tr>
            <w:tr w14:paraId="11A6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Merge w:val="restart"/>
                  <w:vAlign w:val="center"/>
                </w:tcPr>
                <w:p w14:paraId="0AE0207C">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农副产品深加工产业</w:t>
                  </w:r>
                </w:p>
              </w:tc>
              <w:tc>
                <w:tcPr>
                  <w:tcW w:w="3258" w:type="pct"/>
                  <w:vAlign w:val="center"/>
                </w:tcPr>
                <w:p w14:paraId="09E99E15">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谷物磨制，饲料加工，蔬菜、水果和坚果加工，肉禽类加工，蛋品加工；焙烤食品制造，糖果，巧克力及蜜饯制造，方便食品制造</w:t>
                  </w:r>
                </w:p>
              </w:tc>
              <w:tc>
                <w:tcPr>
                  <w:tcW w:w="925" w:type="pct"/>
                  <w:vAlign w:val="center"/>
                </w:tcPr>
                <w:p w14:paraId="348B0CEB">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优先入区</w:t>
                  </w:r>
                </w:p>
              </w:tc>
            </w:tr>
            <w:tr w14:paraId="05C6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Merge w:val="continue"/>
                  <w:vAlign w:val="center"/>
                </w:tcPr>
                <w:p w14:paraId="646A3A28">
                  <w:pPr>
                    <w:snapToGrid w:val="0"/>
                    <w:spacing w:line="240" w:lineRule="auto"/>
                    <w:ind w:firstLine="0" w:firstLineChars="0"/>
                    <w:jc w:val="center"/>
                    <w:rPr>
                      <w:color w:val="000000" w:themeColor="text1"/>
                      <w:sz w:val="21"/>
                      <w:szCs w:val="21"/>
                      <w14:textFill>
                        <w14:solidFill>
                          <w14:schemeClr w14:val="tx1"/>
                        </w14:solidFill>
                      </w14:textFill>
                    </w:rPr>
                  </w:pPr>
                </w:p>
              </w:tc>
              <w:tc>
                <w:tcPr>
                  <w:tcW w:w="3258" w:type="pct"/>
                  <w:vAlign w:val="center"/>
                </w:tcPr>
                <w:p w14:paraId="172E2F64">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植物油加工、制糖业、屠宰</w:t>
                  </w:r>
                </w:p>
              </w:tc>
              <w:tc>
                <w:tcPr>
                  <w:tcW w:w="925" w:type="pct"/>
                  <w:vAlign w:val="center"/>
                </w:tcPr>
                <w:p w14:paraId="09DA14C3">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限制入区</w:t>
                  </w:r>
                </w:p>
              </w:tc>
            </w:tr>
            <w:tr w14:paraId="577B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6" w:type="pct"/>
                  <w:vAlign w:val="center"/>
                </w:tcPr>
                <w:p w14:paraId="04EE6C9A">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现代服务业</w:t>
                  </w:r>
                </w:p>
              </w:tc>
              <w:tc>
                <w:tcPr>
                  <w:tcW w:w="3258" w:type="pct"/>
                  <w:vAlign w:val="center"/>
                </w:tcPr>
                <w:p w14:paraId="0539EA06">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现代物流（无危险化学品托运）；金融服务业；研发创意；商贸（零售）、餐饮住宿、休闲娱乐、社区服务等生活性服务业</w:t>
                  </w:r>
                </w:p>
              </w:tc>
              <w:tc>
                <w:tcPr>
                  <w:tcW w:w="925" w:type="pct"/>
                  <w:vAlign w:val="center"/>
                </w:tcPr>
                <w:p w14:paraId="3CDE8017">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优先入区</w:t>
                  </w:r>
                </w:p>
              </w:tc>
            </w:tr>
            <w:tr w14:paraId="0036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64F555AB">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高能耗、高污染型行业禁止入区，其他行业选择性入区；新建20蒸吨以下锅炉禁止入区；食品加工类严格限制酿造类；纺织服装禁止新建印染类和制革类项目</w:t>
                  </w:r>
                </w:p>
              </w:tc>
            </w:tr>
            <w:tr w14:paraId="0962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5E14729D">
                  <w:pPr>
                    <w:snapToGrid w:val="0"/>
                    <w:spacing w:line="240" w:lineRule="auto"/>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与主导产业不完全相符，但是低能耗、轻污染型周边产业，可以适度入区</w:t>
                  </w:r>
                </w:p>
              </w:tc>
            </w:tr>
          </w:tbl>
          <w:p w14:paraId="13007D3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国民经济行业类别为</w:t>
            </w:r>
            <w:r>
              <w:rPr>
                <w:rFonts w:hint="eastAsia"/>
                <w:color w:val="000000" w:themeColor="text1"/>
                <w:lang w:eastAsia="zh-CN"/>
                <w14:textFill>
                  <w14:solidFill>
                    <w14:schemeClr w14:val="tx1"/>
                  </w14:solidFill>
                </w14:textFill>
              </w:rPr>
              <w:t>C</w:t>
            </w:r>
            <w:r>
              <w:rPr>
                <w:rFonts w:hint="eastAsia"/>
                <w:color w:val="000000" w:themeColor="text1"/>
                <w:lang w:val="en-US" w:eastAsia="zh-CN"/>
                <w14:textFill>
                  <w14:solidFill>
                    <w14:schemeClr w14:val="tx1"/>
                  </w14:solidFill>
                </w14:textFill>
              </w:rPr>
              <w:t>2462</w:t>
            </w:r>
            <w:r>
              <w:rPr>
                <w:rFonts w:hint="eastAsia" w:ascii="Times New Roman" w:hAnsi="Times New Roman"/>
                <w:color w:val="000000" w:themeColor="text1"/>
                <w14:textFill>
                  <w14:solidFill>
                    <w14:schemeClr w14:val="tx1"/>
                  </w14:solidFill>
                </w14:textFill>
              </w:rPr>
              <w:t>游艺用品及室内游艺器材制造</w:t>
            </w:r>
            <w:r>
              <w:rPr>
                <w:color w:val="000000" w:themeColor="text1"/>
                <w14:textFill>
                  <w14:solidFill>
                    <w14:schemeClr w14:val="tx1"/>
                  </w14:solidFill>
                </w14:textFill>
              </w:rPr>
              <w:t>，</w:t>
            </w:r>
            <w:r>
              <w:rPr>
                <w:rFonts w:hint="eastAsia" w:ascii="Times New Roman" w:hAnsi="Times New Roman"/>
                <w:color w:val="000000" w:themeColor="text1"/>
                <w:shd w:val="clear" w:color="auto" w:fill="FFFFFF"/>
                <w:lang w:val="en-US" w:eastAsia="zh-CN"/>
                <w14:textFill>
                  <w14:solidFill>
                    <w14:schemeClr w14:val="tx1"/>
                  </w14:solidFill>
                </w14:textFill>
              </w:rPr>
              <w:t>主要</w:t>
            </w:r>
            <w:r>
              <w:rPr>
                <w:rFonts w:hint="eastAsia" w:ascii="Times New Roman" w:hAnsi="Times New Roman"/>
                <w:color w:val="000000" w:themeColor="text1"/>
                <w:shd w:val="clear" w:color="auto" w:fill="FFFFFF"/>
                <w14:textFill>
                  <w14:solidFill>
                    <w14:schemeClr w14:val="tx1"/>
                  </w14:solidFill>
                </w14:textFill>
              </w:rPr>
              <w:t>生产麻将机配件，</w:t>
            </w:r>
            <w:r>
              <w:rPr>
                <w:rFonts w:hint="eastAsia"/>
                <w:color w:val="000000" w:themeColor="text1"/>
                <w:shd w:val="clear" w:color="auto" w:fill="FFFFFF"/>
                <w:lang w:val="en-US" w:eastAsia="zh-CN"/>
                <w14:textFill>
                  <w14:solidFill>
                    <w14:schemeClr w14:val="tx1"/>
                  </w14:solidFill>
                </w14:textFill>
              </w:rPr>
              <w:t>主要工艺为机械加工</w:t>
            </w:r>
            <w:r>
              <w:rPr>
                <w:color w:val="000000" w:themeColor="text1"/>
                <w14:textFill>
                  <w14:solidFill>
                    <w14:schemeClr w14:val="tx1"/>
                  </w14:solidFill>
                </w14:textFill>
              </w:rPr>
              <w:t>，</w:t>
            </w:r>
            <w:r>
              <w:rPr>
                <w:rFonts w:ascii="宋体" w:hAnsi="宋体" w:cs="宋体"/>
                <w:color w:val="000000" w:themeColor="text1"/>
                <w14:textFill>
                  <w14:solidFill>
                    <w14:schemeClr w14:val="tx1"/>
                  </w14:solidFill>
                </w14:textFill>
              </w:rPr>
              <w:t>与</w:t>
            </w:r>
            <w:r>
              <w:rPr>
                <w:color w:val="000000" w:themeColor="text1"/>
                <w:szCs w:val="32"/>
                <w14:textFill>
                  <w14:solidFill>
                    <w14:schemeClr w14:val="tx1"/>
                  </w14:solidFill>
                </w14:textFill>
              </w:rPr>
              <w:t>泗县经济</w:t>
            </w:r>
            <w:r>
              <w:rPr>
                <w:color w:val="000000" w:themeColor="text1"/>
                <w:kern w:val="0"/>
                <w14:textFill>
                  <w14:solidFill>
                    <w14:schemeClr w14:val="tx1"/>
                  </w14:solidFill>
                </w14:textFill>
              </w:rPr>
              <w:t>开发区</w:t>
            </w:r>
            <w:r>
              <w:rPr>
                <w:rFonts w:ascii="宋体" w:hAnsi="宋体" w:cs="宋体"/>
                <w:color w:val="000000" w:themeColor="text1"/>
                <w14:textFill>
                  <w14:solidFill>
                    <w14:schemeClr w14:val="tx1"/>
                  </w14:solidFill>
                </w14:textFill>
              </w:rPr>
              <w:t>主导产业</w:t>
            </w:r>
            <w:r>
              <w:rPr>
                <w:rFonts w:hint="eastAsia" w:ascii="宋体" w:hAnsi="宋体" w:cs="宋体"/>
                <w:color w:val="000000"/>
                <w:kern w:val="0"/>
              </w:rPr>
              <w:t>不完全相符，</w:t>
            </w:r>
            <w:r>
              <w:rPr>
                <w:rFonts w:hint="eastAsia" w:ascii="宋体" w:hAnsi="宋体" w:cs="宋体"/>
                <w:color w:val="000000"/>
                <w:kern w:val="0"/>
                <w:lang w:val="en-US" w:eastAsia="zh-CN"/>
              </w:rPr>
              <w:t>但</w:t>
            </w:r>
            <w:r>
              <w:rPr>
                <w:rFonts w:hint="eastAsia" w:ascii="宋体" w:hAnsi="宋体" w:cs="宋体"/>
                <w:color w:val="000000"/>
                <w:kern w:val="0"/>
              </w:rPr>
              <w:t>属于低能耗、轻污染型产业，可以入区</w:t>
            </w:r>
            <w:r>
              <w:rPr>
                <w:color w:val="000000" w:themeColor="text1"/>
                <w14:textFill>
                  <w14:solidFill>
                    <w14:schemeClr w14:val="tx1"/>
                  </w14:solidFill>
                </w14:textFill>
              </w:rPr>
              <w:t>。</w:t>
            </w:r>
          </w:p>
          <w:p w14:paraId="7787C09A">
            <w:pPr>
              <w:autoSpaceDE w:val="0"/>
              <w:autoSpaceDN w:val="0"/>
              <w:adjustRightInd w:val="0"/>
              <w:snapToGrid w:val="0"/>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综上分析，本项目的建设符合园区规划要求。</w:t>
            </w:r>
          </w:p>
          <w:p w14:paraId="197F2331">
            <w:pPr>
              <w:autoSpaceDE w:val="0"/>
              <w:autoSpaceDN w:val="0"/>
              <w:adjustRightInd w:val="0"/>
              <w:snapToGrid w:val="0"/>
              <w:spacing w:line="360" w:lineRule="auto"/>
              <w:rPr>
                <w:b/>
                <w:bCs/>
                <w:color w:val="000000" w:themeColor="text1"/>
                <w14:textFill>
                  <w14:solidFill>
                    <w14:schemeClr w14:val="tx1"/>
                  </w14:solidFill>
                </w14:textFill>
              </w:rPr>
            </w:pPr>
            <w:r>
              <w:rPr>
                <w:color w:val="000000" w:themeColor="text1"/>
                <w14:textFill>
                  <w14:solidFill>
                    <w14:schemeClr w14:val="tx1"/>
                  </w14:solidFill>
                </w14:textFill>
              </w:rPr>
              <w:t>二</w:t>
            </w:r>
            <w:r>
              <w:rPr>
                <w:b/>
                <w:bCs/>
                <w:color w:val="000000" w:themeColor="text1"/>
                <w:lang w:bidi="ar"/>
                <w14:textFill>
                  <w14:solidFill>
                    <w14:schemeClr w14:val="tx1"/>
                  </w14:solidFill>
                </w14:textFill>
              </w:rPr>
              <w:t>、</w:t>
            </w:r>
            <w:r>
              <w:rPr>
                <w:b/>
                <w:bCs/>
                <w:color w:val="000000" w:themeColor="text1"/>
                <w:kern w:val="0"/>
                <w14:textFill>
                  <w14:solidFill>
                    <w14:schemeClr w14:val="tx1"/>
                  </w14:solidFill>
                </w14:textFill>
              </w:rPr>
              <w:t>本项目</w:t>
            </w:r>
            <w:r>
              <w:rPr>
                <w:b/>
                <w:bCs/>
                <w:color w:val="000000" w:themeColor="text1"/>
                <w:lang w:bidi="ar"/>
                <w14:textFill>
                  <w14:solidFill>
                    <w14:schemeClr w14:val="tx1"/>
                  </w14:solidFill>
                </w14:textFill>
              </w:rPr>
              <w:t>与</w:t>
            </w:r>
            <w:r>
              <w:rPr>
                <w:rFonts w:ascii="宋体" w:hAnsi="宋体" w:cs="宋体"/>
                <w:b/>
                <w:bCs/>
                <w:color w:val="000000" w:themeColor="text1"/>
                <w14:textFill>
                  <w14:solidFill>
                    <w14:schemeClr w14:val="tx1"/>
                  </w14:solidFill>
                </w14:textFill>
              </w:rPr>
              <w:t>安徽省环保厅关于安徽泗县经济开发区总体发展规划环境影响报告书审查意见的</w:t>
            </w:r>
            <w:r>
              <w:rPr>
                <w:b/>
                <w:bCs/>
                <w:color w:val="000000" w:themeColor="text1"/>
                <w14:textFill>
                  <w14:solidFill>
                    <w14:schemeClr w14:val="tx1"/>
                  </w14:solidFill>
                </w14:textFill>
              </w:rPr>
              <w:t>函</w:t>
            </w:r>
            <w:r>
              <w:rPr>
                <w:b/>
                <w:bCs/>
                <w:color w:val="000000" w:themeColor="text1"/>
                <w:lang w:bidi="ar"/>
                <w14:textFill>
                  <w14:solidFill>
                    <w14:schemeClr w14:val="tx1"/>
                  </w14:solidFill>
                </w14:textFill>
              </w:rPr>
              <w:t>的符合性</w:t>
            </w:r>
          </w:p>
          <w:p w14:paraId="2CDD4A62">
            <w:pPr>
              <w:widowControl/>
              <w:spacing w:line="360" w:lineRule="auto"/>
              <w:ind w:firstLine="480" w:firstLineChars="200"/>
              <w:jc w:val="left"/>
              <w:rPr>
                <w:b/>
                <w:bCs/>
                <w:color w:val="000000" w:themeColor="text1"/>
                <w:lang w:bidi="ar"/>
                <w14:textFill>
                  <w14:solidFill>
                    <w14:schemeClr w14:val="tx1"/>
                  </w14:solidFill>
                </w14:textFill>
              </w:rPr>
            </w:pPr>
            <w:r>
              <w:rPr>
                <w:color w:val="000000" w:themeColor="text1"/>
                <w14:textFill>
                  <w14:solidFill>
                    <w14:schemeClr w14:val="tx1"/>
                  </w14:solidFill>
                </w14:textFill>
              </w:rPr>
              <w:t>根据《</w:t>
            </w:r>
            <w:r>
              <w:rPr>
                <w:rFonts w:ascii="宋体" w:hAnsi="宋体" w:cs="宋体"/>
                <w:color w:val="000000" w:themeColor="text1"/>
                <w14:textFill>
                  <w14:solidFill>
                    <w14:schemeClr w14:val="tx1"/>
                  </w14:solidFill>
                </w14:textFill>
              </w:rPr>
              <w:t>安徽省环保厅关于安徽泗县经济开发区总体发展规划环境影响报告书审查意见的</w:t>
            </w:r>
            <w:r>
              <w:rPr>
                <w:color w:val="000000" w:themeColor="text1"/>
                <w14:textFill>
                  <w14:solidFill>
                    <w14:schemeClr w14:val="tx1"/>
                  </w14:solidFill>
                </w14:textFill>
              </w:rPr>
              <w:t>函》（皖环函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2014</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645号），本项目与审查意见相符性分析见下表所示。</w:t>
            </w:r>
          </w:p>
          <w:p w14:paraId="3E034CCD">
            <w:pPr>
              <w:widowControl/>
              <w:jc w:val="center"/>
              <w:rPr>
                <w:b/>
                <w:bCs/>
                <w:color w:val="000000" w:themeColor="text1"/>
                <w:lang w:bidi="ar"/>
                <w14:textFill>
                  <w14:solidFill>
                    <w14:schemeClr w14:val="tx1"/>
                  </w14:solidFill>
                </w14:textFill>
              </w:rPr>
            </w:pPr>
            <w:r>
              <w:rPr>
                <w:b/>
                <w:bCs/>
                <w:color w:val="000000" w:themeColor="text1"/>
                <w:lang w:bidi="ar"/>
                <w14:textFill>
                  <w14:solidFill>
                    <w14:schemeClr w14:val="tx1"/>
                  </w14:solidFill>
                </w14:textFill>
              </w:rPr>
              <w:t>表1-</w:t>
            </w:r>
            <w:r>
              <w:rPr>
                <w:rFonts w:hint="eastAsia"/>
                <w:b/>
                <w:bCs/>
                <w:color w:val="000000" w:themeColor="text1"/>
                <w:lang w:val="en-US" w:eastAsia="zh-CN" w:bidi="ar"/>
                <w14:textFill>
                  <w14:solidFill>
                    <w14:schemeClr w14:val="tx1"/>
                  </w14:solidFill>
                </w14:textFill>
              </w:rPr>
              <w:t>2</w:t>
            </w:r>
            <w:r>
              <w:rPr>
                <w:b/>
                <w:bCs/>
                <w:color w:val="000000" w:themeColor="text1"/>
                <w:lang w:bidi="ar"/>
                <w14:textFill>
                  <w14:solidFill>
                    <w14:schemeClr w14:val="tx1"/>
                  </w14:solidFill>
                </w14:textFill>
              </w:rPr>
              <w:t xml:space="preserve"> </w:t>
            </w:r>
            <w:r>
              <w:rPr>
                <w:rFonts w:hint="eastAsia"/>
                <w:b/>
                <w:bCs/>
                <w:color w:val="000000" w:themeColor="text1"/>
                <w:lang w:val="en-US" w:eastAsia="zh-CN" w:bidi="ar"/>
                <w14:textFill>
                  <w14:solidFill>
                    <w14:schemeClr w14:val="tx1"/>
                  </w14:solidFill>
                </w14:textFill>
              </w:rPr>
              <w:t xml:space="preserve"> </w:t>
            </w:r>
            <w:r>
              <w:rPr>
                <w:b/>
                <w:bCs/>
                <w:color w:val="000000" w:themeColor="text1"/>
                <w:lang w:bidi="ar"/>
                <w14:textFill>
                  <w14:solidFill>
                    <w14:schemeClr w14:val="tx1"/>
                  </w14:solidFill>
                </w14:textFill>
              </w:rPr>
              <w:t>项目与规划环评审查意见</w:t>
            </w:r>
            <w:r>
              <w:rPr>
                <w:rFonts w:ascii="宋体" w:hAnsi="宋体" w:cs="宋体"/>
                <w:b/>
                <w:bCs/>
                <w:color w:val="000000" w:themeColor="text1"/>
                <w14:textFill>
                  <w14:solidFill>
                    <w14:schemeClr w14:val="tx1"/>
                  </w14:solidFill>
                </w14:textFill>
              </w:rPr>
              <w:t>的</w:t>
            </w:r>
            <w:r>
              <w:rPr>
                <w:b/>
                <w:bCs/>
                <w:color w:val="000000" w:themeColor="text1"/>
                <w14:textFill>
                  <w14:solidFill>
                    <w14:schemeClr w14:val="tx1"/>
                  </w14:solidFill>
                </w14:textFill>
              </w:rPr>
              <w:t>函</w:t>
            </w:r>
            <w:r>
              <w:rPr>
                <w:b/>
                <w:bCs/>
                <w:color w:val="000000" w:themeColor="text1"/>
                <w:lang w:bidi="ar"/>
                <w14:textFill>
                  <w14:solidFill>
                    <w14:schemeClr w14:val="tx1"/>
                  </w14:solidFill>
                </w14:textFill>
              </w:rPr>
              <w:t>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231"/>
              <w:gridCol w:w="2105"/>
              <w:gridCol w:w="1015"/>
            </w:tblGrid>
            <w:tr w14:paraId="237A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41E97B4D">
                  <w:pPr>
                    <w:widowControl/>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序号</w:t>
                  </w:r>
                </w:p>
              </w:tc>
              <w:tc>
                <w:tcPr>
                  <w:tcW w:w="2298" w:type="pct"/>
                  <w:vAlign w:val="center"/>
                </w:tcPr>
                <w:p w14:paraId="7398C20B">
                  <w:pPr>
                    <w:widowControl/>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审查意见</w:t>
                  </w:r>
                </w:p>
              </w:tc>
              <w:tc>
                <w:tcPr>
                  <w:tcW w:w="1497" w:type="pct"/>
                  <w:vAlign w:val="center"/>
                </w:tcPr>
                <w:p w14:paraId="42BBA257">
                  <w:pPr>
                    <w:widowControl/>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本项目</w:t>
                  </w:r>
                </w:p>
              </w:tc>
              <w:tc>
                <w:tcPr>
                  <w:tcW w:w="722" w:type="pct"/>
                  <w:vAlign w:val="center"/>
                </w:tcPr>
                <w:p w14:paraId="77911929">
                  <w:pPr>
                    <w:widowControl/>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符合性</w:t>
                  </w:r>
                </w:p>
              </w:tc>
            </w:tr>
            <w:tr w14:paraId="40BD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1E479904">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1</w:t>
                  </w:r>
                </w:p>
              </w:tc>
              <w:tc>
                <w:tcPr>
                  <w:tcW w:w="2298" w:type="pct"/>
                  <w:vAlign w:val="center"/>
                </w:tcPr>
                <w:p w14:paraId="37C31F6A">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严格项目行业准入和资源环境准入。禁止负面清单中行业企业入驻；新入区项目应按照规划功能布局入驻。优化调整开发区空间布局、组团结构，设置生态隔离措施，减轻和避免各功能区之间、项目之间的相互影响</w:t>
                  </w:r>
                </w:p>
              </w:tc>
              <w:tc>
                <w:tcPr>
                  <w:tcW w:w="1497" w:type="pct"/>
                  <w:vAlign w:val="center"/>
                </w:tcPr>
                <w:p w14:paraId="72A76563">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根据以上规划符合性分析，本项目</w:t>
                  </w:r>
                  <w:r>
                    <w:rPr>
                      <w:rFonts w:hint="eastAsia"/>
                      <w:color w:val="000000" w:themeColor="text1"/>
                      <w:sz w:val="21"/>
                      <w:szCs w:val="21"/>
                      <w:lang w:val="en-US" w:eastAsia="zh-CN" w:bidi="ar"/>
                      <w14:textFill>
                        <w14:solidFill>
                          <w14:schemeClr w14:val="tx1"/>
                        </w14:solidFill>
                      </w14:textFill>
                    </w:rPr>
                    <w:t>为园区优先入区企业，</w:t>
                  </w:r>
                  <w:r>
                    <w:rPr>
                      <w:color w:val="000000" w:themeColor="text1"/>
                      <w:sz w:val="21"/>
                      <w:szCs w:val="21"/>
                      <w:lang w:bidi="ar"/>
                      <w14:textFill>
                        <w14:solidFill>
                          <w14:schemeClr w14:val="tx1"/>
                        </w14:solidFill>
                      </w14:textFill>
                    </w:rPr>
                    <w:t>不属于负面清单中的行业企业</w:t>
                  </w:r>
                </w:p>
              </w:tc>
              <w:tc>
                <w:tcPr>
                  <w:tcW w:w="722" w:type="pct"/>
                  <w:vAlign w:val="center"/>
                </w:tcPr>
                <w:p w14:paraId="506347D5">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0D58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7741E521">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2</w:t>
                  </w:r>
                </w:p>
              </w:tc>
              <w:tc>
                <w:tcPr>
                  <w:tcW w:w="2298" w:type="pct"/>
                  <w:vAlign w:val="center"/>
                </w:tcPr>
                <w:p w14:paraId="45D4D775">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强化水资源管理，积极推进企业内、企业间水资源梯级利用和企业用水总量控制，切实提高水资源利用率。严禁建设国家明令禁止的项目，严格控制高耗水、高耗能、污水排放量大的项目建设；已建和拟入区建设项目应严格执行水环境保护相关标准和要求。开发区内企业不得自行开采地下水用于工业生产。排查现有企业自备水井的取水合法性；加快推进雨污管网、中水回用和集中供热等基础设施建设。强化园区污水收集，做好污水处理厂的运营和管理，确保稳定达标排放</w:t>
                  </w:r>
                </w:p>
              </w:tc>
              <w:tc>
                <w:tcPr>
                  <w:tcW w:w="1497" w:type="pct"/>
                  <w:vAlign w:val="center"/>
                </w:tcPr>
                <w:p w14:paraId="4F81D12E">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本项目用水来自园区自来水管网，不自建备用水井，项目不属于国家明令禁止的项目，项目不属于高耗能、污水排放量大的项目，项目产生的生活污水</w:t>
                  </w:r>
                  <w:r>
                    <w:rPr>
                      <w:rFonts w:hint="eastAsia"/>
                      <w:color w:val="000000" w:themeColor="text1"/>
                      <w:sz w:val="21"/>
                      <w:szCs w:val="21"/>
                      <w:lang w:val="en-US" w:eastAsia="zh-CN" w:bidi="ar"/>
                      <w14:textFill>
                        <w14:solidFill>
                          <w14:schemeClr w14:val="tx1"/>
                        </w14:solidFill>
                      </w14:textFill>
                    </w:rPr>
                    <w:t>经化粪池预处理经污水管网</w:t>
                  </w:r>
                  <w:r>
                    <w:rPr>
                      <w:color w:val="000000" w:themeColor="text1"/>
                      <w:sz w:val="21"/>
                      <w:szCs w:val="21"/>
                      <w:lang w:bidi="ar"/>
                      <w14:textFill>
                        <w14:solidFill>
                          <w14:schemeClr w14:val="tx1"/>
                        </w14:solidFill>
                      </w14:textFill>
                    </w:rPr>
                    <w:t>进入泗县工业污水处理厂进一步处理</w:t>
                  </w:r>
                </w:p>
              </w:tc>
              <w:tc>
                <w:tcPr>
                  <w:tcW w:w="722" w:type="pct"/>
                  <w:vAlign w:val="center"/>
                </w:tcPr>
                <w:p w14:paraId="46B6DE3F">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514F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4706F435">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3</w:t>
                  </w:r>
                </w:p>
              </w:tc>
              <w:tc>
                <w:tcPr>
                  <w:tcW w:w="2298" w:type="pct"/>
                  <w:vAlign w:val="center"/>
                </w:tcPr>
                <w:p w14:paraId="35C77767">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进一步优化发展重点，严格控制非主导产业项目入区。对不符合开发区产业定位和环保要求以及容易引起突发性环境风险的项目应禁止入区建设。建立并实施不符合规划、产业准入和环保准入条件的项目退出机制。大力推进园区产业升级改造工程，通过关、停、并、转、迁，加速转型或淘汰不符合工业用地性质、产业定位及环保要求的企业</w:t>
                  </w:r>
                </w:p>
              </w:tc>
              <w:tc>
                <w:tcPr>
                  <w:tcW w:w="1497" w:type="pct"/>
                  <w:vAlign w:val="center"/>
                </w:tcPr>
                <w:p w14:paraId="0B0E8642">
                  <w:pPr>
                    <w:widowControl/>
                    <w:jc w:val="center"/>
                    <w:rPr>
                      <w:color w:val="000000" w:themeColor="text1"/>
                      <w:sz w:val="21"/>
                      <w:szCs w:val="21"/>
                      <w:lang w:bidi="ar"/>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w:t>
                  </w:r>
                  <w:r>
                    <w:rPr>
                      <w:rFonts w:hint="eastAsia"/>
                      <w:color w:val="000000" w:themeColor="text1"/>
                      <w:kern w:val="0"/>
                      <w:sz w:val="21"/>
                      <w:szCs w:val="21"/>
                      <w:lang w:val="en-US" w:eastAsia="zh-CN"/>
                      <w14:textFill>
                        <w14:solidFill>
                          <w14:schemeClr w14:val="tx1"/>
                        </w14:solidFill>
                      </w14:textFill>
                    </w:rPr>
                    <w:t>泗县</w:t>
                  </w:r>
                  <w:r>
                    <w:rPr>
                      <w:rFonts w:hint="eastAsia"/>
                      <w:color w:val="000000" w:themeColor="text1"/>
                      <w:kern w:val="0"/>
                      <w:sz w:val="21"/>
                      <w:szCs w:val="21"/>
                      <w14:textFill>
                        <w14:solidFill>
                          <w14:schemeClr w14:val="tx1"/>
                        </w14:solidFill>
                      </w14:textFill>
                    </w:rPr>
                    <w:t>经济开发区</w:t>
                  </w:r>
                  <w:r>
                    <w:rPr>
                      <w:rFonts w:hint="eastAsia"/>
                      <w:color w:val="000000" w:themeColor="text1"/>
                      <w:kern w:val="0"/>
                      <w:sz w:val="21"/>
                      <w:szCs w:val="21"/>
                      <w:lang w:val="en-US" w:eastAsia="zh-CN"/>
                      <w14:textFill>
                        <w14:solidFill>
                          <w14:schemeClr w14:val="tx1"/>
                        </w14:solidFill>
                      </w14:textFill>
                    </w:rPr>
                    <w:t>内</w:t>
                  </w:r>
                  <w:r>
                    <w:rPr>
                      <w:rFonts w:hint="eastAsia"/>
                      <w:color w:val="000000" w:themeColor="text1"/>
                      <w:kern w:val="0"/>
                      <w:sz w:val="21"/>
                      <w:szCs w:val="21"/>
                      <w14:textFill>
                        <w14:solidFill>
                          <w14:schemeClr w14:val="tx1"/>
                        </w14:solidFill>
                      </w14:textFill>
                    </w:rPr>
                    <w:t>，项目行业类别为</w:t>
                  </w:r>
                  <w:r>
                    <w:rPr>
                      <w:rFonts w:hint="eastAsia"/>
                      <w:color w:val="000000" w:themeColor="text1"/>
                      <w:kern w:val="0"/>
                      <w:sz w:val="21"/>
                      <w:szCs w:val="21"/>
                      <w:lang w:eastAsia="zh-CN"/>
                      <w14:textFill>
                        <w14:solidFill>
                          <w14:schemeClr w14:val="tx1"/>
                        </w14:solidFill>
                      </w14:textFill>
                    </w:rPr>
                    <w:t>C2462游艺用品及室内游艺器材制造</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主要</w:t>
                  </w:r>
                  <w:r>
                    <w:rPr>
                      <w:rFonts w:hint="eastAsia"/>
                      <w:color w:val="000000" w:themeColor="text1"/>
                      <w:kern w:val="0"/>
                      <w:sz w:val="21"/>
                      <w:szCs w:val="21"/>
                      <w14:textFill>
                        <w14:solidFill>
                          <w14:schemeClr w14:val="tx1"/>
                        </w14:solidFill>
                      </w14:textFill>
                    </w:rPr>
                    <w:t>生产麻将机配件，</w:t>
                  </w:r>
                  <w:r>
                    <w:rPr>
                      <w:rFonts w:hint="eastAsia"/>
                      <w:color w:val="000000" w:themeColor="text1"/>
                      <w:kern w:val="0"/>
                      <w:sz w:val="21"/>
                      <w:szCs w:val="21"/>
                      <w:lang w:val="en-US" w:eastAsia="zh-CN"/>
                      <w14:textFill>
                        <w14:solidFill>
                          <w14:schemeClr w14:val="tx1"/>
                        </w14:solidFill>
                      </w14:textFill>
                    </w:rPr>
                    <w:t>主要工艺为机械加工</w:t>
                  </w:r>
                  <w:r>
                    <w:rPr>
                      <w:rFonts w:hint="eastAsia"/>
                      <w:color w:val="000000" w:themeColor="text1"/>
                      <w:kern w:val="0"/>
                      <w:sz w:val="21"/>
                      <w:szCs w:val="21"/>
                      <w:lang w:eastAsia="zh-CN"/>
                      <w14:textFill>
                        <w14:solidFill>
                          <w14:schemeClr w14:val="tx1"/>
                        </w14:solidFill>
                      </w14:textFill>
                    </w:rPr>
                    <w:t>，</w:t>
                  </w:r>
                  <w:r>
                    <w:rPr>
                      <w:rFonts w:hint="eastAsia"/>
                      <w:color w:val="000000" w:themeColor="text1"/>
                      <w:kern w:val="0"/>
                      <w:sz w:val="21"/>
                      <w:szCs w:val="21"/>
                      <w14:textFill>
                        <w14:solidFill>
                          <w14:schemeClr w14:val="tx1"/>
                        </w14:solidFill>
                      </w14:textFill>
                    </w:rPr>
                    <w:t>与泗县经济开发区主导产业不完全相符，</w:t>
                  </w:r>
                  <w:r>
                    <w:rPr>
                      <w:rFonts w:hint="eastAsia"/>
                      <w:color w:val="000000" w:themeColor="text1"/>
                      <w:kern w:val="0"/>
                      <w:sz w:val="21"/>
                      <w:szCs w:val="21"/>
                      <w:lang w:val="en-US" w:eastAsia="zh-CN"/>
                      <w14:textFill>
                        <w14:solidFill>
                          <w14:schemeClr w14:val="tx1"/>
                        </w14:solidFill>
                      </w14:textFill>
                    </w:rPr>
                    <w:t>但</w:t>
                  </w:r>
                  <w:r>
                    <w:rPr>
                      <w:rFonts w:hint="eastAsia"/>
                      <w:color w:val="000000" w:themeColor="text1"/>
                      <w:kern w:val="0"/>
                      <w:sz w:val="21"/>
                      <w:szCs w:val="21"/>
                      <w14:textFill>
                        <w14:solidFill>
                          <w14:schemeClr w14:val="tx1"/>
                        </w14:solidFill>
                      </w14:textFill>
                    </w:rPr>
                    <w:t>属于低能耗、轻污染型产业，可以入区</w:t>
                  </w:r>
                </w:p>
              </w:tc>
              <w:tc>
                <w:tcPr>
                  <w:tcW w:w="722" w:type="pct"/>
                  <w:vAlign w:val="center"/>
                </w:tcPr>
                <w:p w14:paraId="531A7678">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4583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4C5F29BE">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4</w:t>
                  </w:r>
                </w:p>
              </w:tc>
              <w:tc>
                <w:tcPr>
                  <w:tcW w:w="2298" w:type="pct"/>
                  <w:vAlign w:val="center"/>
                </w:tcPr>
                <w:p w14:paraId="3CC5A667">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加快实施产业结构调整与升级，夯实主导产业定位，逐步实现产业转型；建立产业引入清单管理，严格执行环境准入制度。引进项目的生产工艺、设备、污染治理技术及单位产品污染物排放和资源利用率均需达到同行业国内先进水平</w:t>
                  </w:r>
                </w:p>
              </w:tc>
              <w:tc>
                <w:tcPr>
                  <w:tcW w:w="1497" w:type="pct"/>
                  <w:vAlign w:val="center"/>
                </w:tcPr>
                <w:p w14:paraId="1349C67B">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本项目使用的生产工艺、设备、污染治理技术及单位产品污染物排放标准和资源利用率均可达到同行业国内先进水平</w:t>
                  </w:r>
                </w:p>
              </w:tc>
              <w:tc>
                <w:tcPr>
                  <w:tcW w:w="722" w:type="pct"/>
                  <w:vAlign w:val="center"/>
                </w:tcPr>
                <w:p w14:paraId="533FA711">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74A1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39EC6866">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5</w:t>
                  </w:r>
                </w:p>
              </w:tc>
              <w:tc>
                <w:tcPr>
                  <w:tcW w:w="2298" w:type="pct"/>
                  <w:vAlign w:val="center"/>
                </w:tcPr>
                <w:p w14:paraId="5D0636EB">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扎实推进节能减排工作。应采取工艺改造、节水管理等措施控制和减少现有企业的资源消耗水平及污染物排放强度。加强挥发性有机物防治，园区现有主要VOCs及异味废气排放企业开展综合治理工作，加强日常监测、监督管理和预防控制</w:t>
                  </w:r>
                </w:p>
              </w:tc>
              <w:tc>
                <w:tcPr>
                  <w:tcW w:w="1497" w:type="pct"/>
                  <w:vAlign w:val="center"/>
                </w:tcPr>
                <w:p w14:paraId="1DB49714">
                  <w:pPr>
                    <w:widowControl/>
                    <w:jc w:val="center"/>
                    <w:rPr>
                      <w:rFonts w:hint="default" w:eastAsia="宋体"/>
                      <w:color w:val="000000" w:themeColor="text1"/>
                      <w:sz w:val="21"/>
                      <w:szCs w:val="21"/>
                      <w:lang w:val="en-US" w:eastAsia="zh-CN" w:bidi="ar"/>
                      <w14:textFill>
                        <w14:solidFill>
                          <w14:schemeClr w14:val="tx1"/>
                        </w14:solidFill>
                      </w14:textFill>
                    </w:rPr>
                  </w:pPr>
                  <w:r>
                    <w:rPr>
                      <w:rFonts w:hint="eastAsia"/>
                      <w:color w:val="000000" w:themeColor="text1"/>
                      <w:sz w:val="21"/>
                      <w:szCs w:val="21"/>
                      <w:lang w:bidi="ar"/>
                      <w14:textFill>
                        <w14:solidFill>
                          <w14:schemeClr w14:val="tx1"/>
                        </w14:solidFill>
                      </w14:textFill>
                    </w:rPr>
                    <w:t>本项目所用的能源为电</w:t>
                  </w:r>
                  <w:r>
                    <w:rPr>
                      <w:rFonts w:hint="eastAsia"/>
                      <w:color w:val="000000" w:themeColor="text1"/>
                      <w:sz w:val="21"/>
                      <w:szCs w:val="21"/>
                      <w:lang w:eastAsia="zh-CN" w:bidi="ar"/>
                      <w14:textFill>
                        <w14:solidFill>
                          <w14:schemeClr w14:val="tx1"/>
                        </w14:solidFill>
                      </w14:textFill>
                    </w:rPr>
                    <w:t>、</w:t>
                  </w:r>
                  <w:r>
                    <w:rPr>
                      <w:rFonts w:hint="eastAsia"/>
                      <w:color w:val="000000" w:themeColor="text1"/>
                      <w:sz w:val="21"/>
                      <w:szCs w:val="21"/>
                      <w:lang w:bidi="ar"/>
                      <w14:textFill>
                        <w14:solidFill>
                          <w14:schemeClr w14:val="tx1"/>
                        </w14:solidFill>
                      </w14:textFill>
                    </w:rPr>
                    <w:t>水</w:t>
                  </w:r>
                  <w:r>
                    <w:rPr>
                      <w:rFonts w:hint="eastAsia"/>
                      <w:color w:val="000000" w:themeColor="text1"/>
                      <w:sz w:val="21"/>
                      <w:szCs w:val="21"/>
                      <w:lang w:val="en-US" w:eastAsia="zh-CN" w:bidi="ar"/>
                      <w14:textFill>
                        <w14:solidFill>
                          <w14:schemeClr w14:val="tx1"/>
                        </w14:solidFill>
                      </w14:textFill>
                    </w:rPr>
                    <w:t>和天然气</w:t>
                  </w:r>
                  <w:r>
                    <w:rPr>
                      <w:rFonts w:hint="eastAsia"/>
                      <w:color w:val="000000" w:themeColor="text1"/>
                      <w:sz w:val="21"/>
                      <w:szCs w:val="21"/>
                      <w:lang w:bidi="ar"/>
                      <w14:textFill>
                        <w14:solidFill>
                          <w14:schemeClr w14:val="tx1"/>
                        </w14:solidFill>
                      </w14:textFill>
                    </w:rPr>
                    <w:t>，且不突破当地资源利用上限要求，</w:t>
                  </w:r>
                  <w:r>
                    <w:rPr>
                      <w:rFonts w:hint="eastAsia"/>
                      <w:color w:val="000000" w:themeColor="text1"/>
                      <w:sz w:val="21"/>
                      <w:szCs w:val="21"/>
                      <w:lang w:val="en-US" w:eastAsia="zh-CN" w:bidi="ar"/>
                      <w14:textFill>
                        <w14:solidFill>
                          <w14:schemeClr w14:val="tx1"/>
                        </w14:solidFill>
                      </w14:textFill>
                    </w:rPr>
                    <w:t>项目喷塑后固化废气经收集后通过二级活性炭吸附装置处理后达标排放；注塑废气经收集后通过二级活性炭吸附装置处理后达标排放；</w:t>
                  </w:r>
                  <w:r>
                    <w:rPr>
                      <w:rFonts w:hint="eastAsia"/>
                      <w:color w:val="000000" w:themeColor="text1"/>
                      <w:sz w:val="21"/>
                      <w:szCs w:val="21"/>
                      <w:lang w:val="en-US" w:eastAsia="zh-CN"/>
                      <w14:textFill>
                        <w14:solidFill>
                          <w14:schemeClr w14:val="tx1"/>
                        </w14:solidFill>
                      </w14:textFill>
                    </w:rPr>
                    <w:t>项目组装工序使用</w:t>
                  </w:r>
                  <w:r>
                    <w:rPr>
                      <w:rFonts w:hint="eastAsia" w:cs="Times New Roman"/>
                      <w:color w:val="000000" w:themeColor="text1"/>
                      <w:sz w:val="21"/>
                      <w:szCs w:val="21"/>
                      <w:lang w:val="en-US" w:eastAsia="zh-CN" w:bidi="ar"/>
                      <w14:textFill>
                        <w14:solidFill>
                          <w14:schemeClr w14:val="tx1"/>
                        </w14:solidFill>
                      </w14:textFill>
                    </w:rPr>
                    <w:t>亚克力密封胶，</w:t>
                  </w:r>
                  <w:r>
                    <w:rPr>
                      <w:rFonts w:hint="eastAsia"/>
                      <w:color w:val="000000" w:themeColor="text1"/>
                      <w:sz w:val="21"/>
                      <w:szCs w:val="21"/>
                      <w:lang w:val="en-US" w:eastAsia="zh-CN"/>
                      <w14:textFill>
                        <w14:solidFill>
                          <w14:schemeClr w14:val="tx1"/>
                        </w14:solidFill>
                      </w14:textFill>
                    </w:rPr>
                    <w:t>产生的少量挥发性有机物以无组织形式排放</w:t>
                  </w:r>
                </w:p>
              </w:tc>
              <w:tc>
                <w:tcPr>
                  <w:tcW w:w="722" w:type="pct"/>
                  <w:vAlign w:val="center"/>
                </w:tcPr>
                <w:p w14:paraId="7FB926D1">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4FDC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44956DEF">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6</w:t>
                  </w:r>
                </w:p>
              </w:tc>
              <w:tc>
                <w:tcPr>
                  <w:tcW w:w="2298" w:type="pct"/>
                  <w:vAlign w:val="center"/>
                </w:tcPr>
                <w:p w14:paraId="6E76CD17">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严格落实污染物排放总量控制要求，采取有效措施减少粉尘、挥发性有机物、化学需氧量、氨氮、总氮、总磷等污染物的排放量，切实维护区域环境质量和生态功能</w:t>
                  </w:r>
                </w:p>
              </w:tc>
              <w:tc>
                <w:tcPr>
                  <w:tcW w:w="1497" w:type="pct"/>
                  <w:vAlign w:val="center"/>
                </w:tcPr>
                <w:p w14:paraId="6AB8180A">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本项目总量已经得</w:t>
                  </w:r>
                  <w:r>
                    <w:rPr>
                      <w:rFonts w:hint="eastAsia"/>
                      <w:color w:val="000000" w:themeColor="text1"/>
                      <w:sz w:val="21"/>
                      <w:szCs w:val="21"/>
                      <w:lang w:bidi="ar"/>
                      <w14:textFill>
                        <w14:solidFill>
                          <w14:schemeClr w14:val="tx1"/>
                        </w14:solidFill>
                      </w14:textFill>
                    </w:rPr>
                    <w:t>到</w:t>
                  </w:r>
                  <w:r>
                    <w:rPr>
                      <w:color w:val="000000" w:themeColor="text1"/>
                      <w:sz w:val="21"/>
                      <w:szCs w:val="21"/>
                      <w:lang w:bidi="ar"/>
                      <w14:textFill>
                        <w14:solidFill>
                          <w14:schemeClr w14:val="tx1"/>
                        </w14:solidFill>
                      </w14:textFill>
                    </w:rPr>
                    <w:t>宿州市生态环境局审批批准</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满足宿州市生态环境局总量标准</w:t>
                  </w:r>
                </w:p>
              </w:tc>
              <w:tc>
                <w:tcPr>
                  <w:tcW w:w="722" w:type="pct"/>
                  <w:vAlign w:val="center"/>
                </w:tcPr>
                <w:p w14:paraId="6BE3894F">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bl>
          <w:p w14:paraId="0F75E2FC">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三、</w:t>
            </w:r>
            <w:r>
              <w:rPr>
                <w:b/>
                <w:bCs/>
                <w:color w:val="000000" w:themeColor="text1"/>
                <w:kern w:val="0"/>
                <w14:textFill>
                  <w14:solidFill>
                    <w14:schemeClr w14:val="tx1"/>
                  </w14:solidFill>
                </w14:textFill>
              </w:rPr>
              <w:t>本项目</w:t>
            </w:r>
            <w:r>
              <w:rPr>
                <w:b/>
                <w:bCs/>
                <w:color w:val="000000" w:themeColor="text1"/>
                <w:lang w:bidi="ar"/>
                <w14:textFill>
                  <w14:solidFill>
                    <w14:schemeClr w14:val="tx1"/>
                  </w14:solidFill>
                </w14:textFill>
              </w:rPr>
              <w:t>与</w:t>
            </w:r>
            <w:r>
              <w:rPr>
                <w:b/>
                <w:bCs/>
                <w:color w:val="000000" w:themeColor="text1"/>
                <w:kern w:val="0"/>
                <w14:textFill>
                  <w14:solidFill>
                    <w14:schemeClr w14:val="tx1"/>
                  </w14:solidFill>
                </w14:textFill>
              </w:rPr>
              <w:t>宿州市生</w:t>
            </w:r>
            <w:r>
              <w:rPr>
                <w:rFonts w:hint="eastAsia" w:ascii="宋体" w:hAnsi="宋体" w:cs="宋体"/>
                <w:b/>
                <w:bCs/>
                <w:color w:val="000000" w:themeColor="text1"/>
                <w:kern w:val="0"/>
                <w14:textFill>
                  <w14:solidFill>
                    <w14:schemeClr w14:val="tx1"/>
                  </w14:solidFill>
                </w14:textFill>
              </w:rPr>
              <w:t>态环境局关于安徽泗县经济开发区总体发展规划环境影响跟踪评价报告书的审查意见</w:t>
            </w:r>
            <w:r>
              <w:rPr>
                <w:b/>
                <w:bCs/>
                <w:color w:val="000000" w:themeColor="text1"/>
                <w:lang w:bidi="ar"/>
                <w14:textFill>
                  <w14:solidFill>
                    <w14:schemeClr w14:val="tx1"/>
                  </w14:solidFill>
                </w14:textFill>
              </w:rPr>
              <w:t>的符合性</w:t>
            </w:r>
          </w:p>
          <w:p w14:paraId="09862105">
            <w:pPr>
              <w:widowControl/>
              <w:spacing w:line="360" w:lineRule="auto"/>
              <w:ind w:firstLine="480" w:firstLineChars="200"/>
              <w:jc w:val="left"/>
              <w:rPr>
                <w:color w:val="000000" w:themeColor="text1"/>
                <w:lang w:bidi="ar"/>
                <w14:textFill>
                  <w14:solidFill>
                    <w14:schemeClr w14:val="tx1"/>
                  </w14:solidFill>
                </w14:textFill>
              </w:rPr>
            </w:pPr>
            <w:r>
              <w:rPr>
                <w:color w:val="000000" w:themeColor="text1"/>
                <w14:textFill>
                  <w14:solidFill>
                    <w14:schemeClr w14:val="tx1"/>
                  </w14:solidFill>
                </w14:textFill>
              </w:rPr>
              <w:t>根据《</w:t>
            </w:r>
            <w:r>
              <w:rPr>
                <w:color w:val="000000" w:themeColor="text1"/>
                <w:kern w:val="0"/>
                <w14:textFill>
                  <w14:solidFill>
                    <w14:schemeClr w14:val="tx1"/>
                  </w14:solidFill>
                </w14:textFill>
              </w:rPr>
              <w:t>宿州市生</w:t>
            </w:r>
            <w:r>
              <w:rPr>
                <w:rFonts w:hint="eastAsia" w:ascii="宋体" w:hAnsi="宋体" w:cs="宋体"/>
                <w:color w:val="000000" w:themeColor="text1"/>
                <w:kern w:val="0"/>
                <w14:textFill>
                  <w14:solidFill>
                    <w14:schemeClr w14:val="tx1"/>
                  </w14:solidFill>
                </w14:textFill>
              </w:rPr>
              <w:t>态环境局关于安徽泗县经济开发区总体发展规划环境影响跟踪评价报告书的审查意见</w:t>
            </w:r>
            <w:r>
              <w:rPr>
                <w:rFonts w:hint="eastAsia"/>
                <w:color w:val="000000" w:themeColor="text1"/>
                <w14:textFill>
                  <w14:solidFill>
                    <w14:schemeClr w14:val="tx1"/>
                  </w14:solidFill>
                </w14:textFill>
              </w:rPr>
              <w:t>》宿环函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101号</w:t>
            </w:r>
            <w:r>
              <w:rPr>
                <w:color w:val="000000" w:themeColor="text1"/>
                <w14:textFill>
                  <w14:solidFill>
                    <w14:schemeClr w14:val="tx1"/>
                  </w14:solidFill>
                </w14:textFill>
              </w:rPr>
              <w:t>，本项目与审查意见相符性分析见下表所示。</w:t>
            </w:r>
          </w:p>
          <w:p w14:paraId="3E2FC5D3">
            <w:pPr>
              <w:keepNext w:val="0"/>
              <w:keepLines w:val="0"/>
              <w:pageBreakBefore w:val="0"/>
              <w:widowControl/>
              <w:kinsoku/>
              <w:wordWrap/>
              <w:overflowPunct/>
              <w:topLinePunct w:val="0"/>
              <w:autoSpaceDE/>
              <w:autoSpaceDN/>
              <w:bidi w:val="0"/>
              <w:adjustRightInd w:val="0"/>
              <w:snapToGrid w:val="0"/>
              <w:jc w:val="center"/>
              <w:textAlignment w:val="auto"/>
              <w:rPr>
                <w:b/>
                <w:bCs/>
                <w:color w:val="000000" w:themeColor="text1"/>
                <w:lang w:bidi="ar"/>
                <w14:textFill>
                  <w14:solidFill>
                    <w14:schemeClr w14:val="tx1"/>
                  </w14:solidFill>
                </w14:textFill>
              </w:rPr>
            </w:pPr>
            <w:r>
              <w:rPr>
                <w:b/>
                <w:bCs/>
                <w:color w:val="000000" w:themeColor="text1"/>
                <w:lang w:bidi="ar"/>
                <w14:textFill>
                  <w14:solidFill>
                    <w14:schemeClr w14:val="tx1"/>
                  </w14:solidFill>
                </w14:textFill>
              </w:rPr>
              <w:t>表1-</w:t>
            </w:r>
            <w:r>
              <w:rPr>
                <w:rFonts w:hint="eastAsia"/>
                <w:b/>
                <w:bCs/>
                <w:color w:val="000000" w:themeColor="text1"/>
                <w:lang w:val="en-US" w:eastAsia="zh-CN" w:bidi="ar"/>
                <w14:textFill>
                  <w14:solidFill>
                    <w14:schemeClr w14:val="tx1"/>
                  </w14:solidFill>
                </w14:textFill>
              </w:rPr>
              <w:t>3</w:t>
            </w:r>
            <w:r>
              <w:rPr>
                <w:b/>
                <w:bCs/>
                <w:color w:val="000000" w:themeColor="text1"/>
                <w:lang w:bidi="ar"/>
                <w14:textFill>
                  <w14:solidFill>
                    <w14:schemeClr w14:val="tx1"/>
                  </w14:solidFill>
                </w14:textFill>
              </w:rPr>
              <w:t xml:space="preserve"> </w:t>
            </w:r>
            <w:r>
              <w:rPr>
                <w:rFonts w:hint="eastAsia"/>
                <w:b/>
                <w:bCs/>
                <w:color w:val="000000" w:themeColor="text1"/>
                <w:lang w:val="en-US" w:eastAsia="zh-CN" w:bidi="ar"/>
                <w14:textFill>
                  <w14:solidFill>
                    <w14:schemeClr w14:val="tx1"/>
                  </w14:solidFill>
                </w14:textFill>
              </w:rPr>
              <w:t xml:space="preserve"> </w:t>
            </w:r>
            <w:r>
              <w:rPr>
                <w:b/>
                <w:bCs/>
                <w:color w:val="000000" w:themeColor="text1"/>
                <w:lang w:bidi="ar"/>
                <w14:textFill>
                  <w14:solidFill>
                    <w14:schemeClr w14:val="tx1"/>
                  </w14:solidFill>
                </w14:textFill>
              </w:rPr>
              <w:t>项目与</w:t>
            </w:r>
            <w:r>
              <w:rPr>
                <w:rFonts w:hint="eastAsia"/>
                <w:b/>
                <w:bCs/>
                <w:color w:val="000000" w:themeColor="text1"/>
                <w:lang w:bidi="ar"/>
                <w14:textFill>
                  <w14:solidFill>
                    <w14:schemeClr w14:val="tx1"/>
                  </w14:solidFill>
                </w14:textFill>
              </w:rPr>
              <w:t>跟踪评价</w:t>
            </w:r>
            <w:r>
              <w:rPr>
                <w:b/>
                <w:bCs/>
                <w:color w:val="000000" w:themeColor="text1"/>
                <w:lang w:bidi="ar"/>
                <w14:textFill>
                  <w14:solidFill>
                    <w14:schemeClr w14:val="tx1"/>
                  </w14:solidFill>
                </w14:textFill>
              </w:rPr>
              <w:t>审查意见符合性分析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987"/>
              <w:gridCol w:w="2338"/>
              <w:gridCol w:w="1019"/>
            </w:tblGrid>
            <w:tr w14:paraId="6DF1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24DC175E">
                  <w:pPr>
                    <w:widowControl/>
                    <w:jc w:val="center"/>
                    <w:rPr>
                      <w:color w:val="000000" w:themeColor="text1"/>
                      <w:kern w:val="0"/>
                      <w14:textFill>
                        <w14:solidFill>
                          <w14:schemeClr w14:val="tx1"/>
                        </w14:solidFill>
                      </w14:textFill>
                    </w:rPr>
                  </w:pPr>
                  <w:r>
                    <w:rPr>
                      <w:b/>
                      <w:bCs/>
                      <w:color w:val="000000" w:themeColor="text1"/>
                      <w:sz w:val="21"/>
                      <w:szCs w:val="21"/>
                      <w:lang w:bidi="ar"/>
                      <w14:textFill>
                        <w14:solidFill>
                          <w14:schemeClr w14:val="tx1"/>
                        </w14:solidFill>
                      </w14:textFill>
                    </w:rPr>
                    <w:t>序号</w:t>
                  </w:r>
                </w:p>
              </w:tc>
              <w:tc>
                <w:tcPr>
                  <w:tcW w:w="2125" w:type="pct"/>
                  <w:vAlign w:val="center"/>
                </w:tcPr>
                <w:p w14:paraId="595928B6">
                  <w:pPr>
                    <w:widowControl/>
                    <w:jc w:val="center"/>
                    <w:rPr>
                      <w:color w:val="000000" w:themeColor="text1"/>
                      <w:kern w:val="0"/>
                      <w14:textFill>
                        <w14:solidFill>
                          <w14:schemeClr w14:val="tx1"/>
                        </w14:solidFill>
                      </w14:textFill>
                    </w:rPr>
                  </w:pPr>
                  <w:r>
                    <w:rPr>
                      <w:b/>
                      <w:bCs/>
                      <w:color w:val="000000" w:themeColor="text1"/>
                      <w:sz w:val="21"/>
                      <w:szCs w:val="21"/>
                      <w:lang w:bidi="ar"/>
                      <w14:textFill>
                        <w14:solidFill>
                          <w14:schemeClr w14:val="tx1"/>
                        </w14:solidFill>
                      </w14:textFill>
                    </w:rPr>
                    <w:t>审查意见</w:t>
                  </w:r>
                </w:p>
              </w:tc>
              <w:tc>
                <w:tcPr>
                  <w:tcW w:w="1663" w:type="pct"/>
                  <w:vAlign w:val="center"/>
                </w:tcPr>
                <w:p w14:paraId="75D0E253">
                  <w:pPr>
                    <w:widowControl/>
                    <w:jc w:val="center"/>
                    <w:rPr>
                      <w:color w:val="000000" w:themeColor="text1"/>
                      <w:kern w:val="0"/>
                      <w14:textFill>
                        <w14:solidFill>
                          <w14:schemeClr w14:val="tx1"/>
                        </w14:solidFill>
                      </w14:textFill>
                    </w:rPr>
                  </w:pPr>
                  <w:r>
                    <w:rPr>
                      <w:b/>
                      <w:bCs/>
                      <w:color w:val="000000" w:themeColor="text1"/>
                      <w:sz w:val="21"/>
                      <w:szCs w:val="21"/>
                      <w:lang w:bidi="ar"/>
                      <w14:textFill>
                        <w14:solidFill>
                          <w14:schemeClr w14:val="tx1"/>
                        </w14:solidFill>
                      </w14:textFill>
                    </w:rPr>
                    <w:t>本项目</w:t>
                  </w:r>
                </w:p>
              </w:tc>
              <w:tc>
                <w:tcPr>
                  <w:tcW w:w="725" w:type="pct"/>
                  <w:vAlign w:val="center"/>
                </w:tcPr>
                <w:p w14:paraId="5831F314">
                  <w:pPr>
                    <w:widowControl/>
                    <w:jc w:val="center"/>
                    <w:rPr>
                      <w:color w:val="000000" w:themeColor="text1"/>
                      <w:kern w:val="0"/>
                      <w14:textFill>
                        <w14:solidFill>
                          <w14:schemeClr w14:val="tx1"/>
                        </w14:solidFill>
                      </w14:textFill>
                    </w:rPr>
                  </w:pPr>
                  <w:r>
                    <w:rPr>
                      <w:b/>
                      <w:bCs/>
                      <w:color w:val="000000" w:themeColor="text1"/>
                      <w:sz w:val="21"/>
                      <w:szCs w:val="21"/>
                      <w:lang w:bidi="ar"/>
                      <w14:textFill>
                        <w14:solidFill>
                          <w14:schemeClr w14:val="tx1"/>
                        </w14:solidFill>
                      </w14:textFill>
                    </w:rPr>
                    <w:t>符合性</w:t>
                  </w:r>
                </w:p>
              </w:tc>
            </w:tr>
            <w:tr w14:paraId="3366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26F6AD21">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2125" w:type="pct"/>
                  <w:vAlign w:val="center"/>
                </w:tcPr>
                <w:p w14:paraId="5AD23B8B">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根据现状功能分区，适当调整优化产业布局</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针对现有产业布局较为杂乱的情况，要采取措施逐步进行调整或搬迁</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对不能调整和搬迁的应严格控制企业规模</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未来逐步进行产业升级调整</w:t>
                  </w:r>
                </w:p>
              </w:tc>
              <w:tc>
                <w:tcPr>
                  <w:tcW w:w="1663" w:type="pct"/>
                  <w:vAlign w:val="center"/>
                </w:tcPr>
                <w:p w14:paraId="0FE5EB5B">
                  <w:pPr>
                    <w:widowControl/>
                    <w:jc w:val="center"/>
                    <w:rPr>
                      <w:color w:val="000000" w:themeColor="text1"/>
                      <w:kern w:val="0"/>
                      <w14:textFill>
                        <w14:solidFill>
                          <w14:schemeClr w14:val="tx1"/>
                        </w14:solidFill>
                      </w14:textFill>
                    </w:rPr>
                  </w:pPr>
                  <w:r>
                    <w:rPr>
                      <w:rFonts w:hint="eastAsia"/>
                      <w:color w:val="000000" w:themeColor="text1"/>
                      <w:kern w:val="0"/>
                      <w:sz w:val="21"/>
                      <w:szCs w:val="21"/>
                      <w14:textFill>
                        <w14:solidFill>
                          <w14:schemeClr w14:val="tx1"/>
                        </w14:solidFill>
                      </w14:textFill>
                    </w:rPr>
                    <w:t>本项目行业类别为</w:t>
                  </w:r>
                  <w:r>
                    <w:rPr>
                      <w:rFonts w:hint="eastAsia"/>
                      <w:color w:val="000000" w:themeColor="text1"/>
                      <w:kern w:val="0"/>
                      <w:sz w:val="21"/>
                      <w:szCs w:val="21"/>
                      <w:lang w:eastAsia="zh-CN"/>
                      <w14:textFill>
                        <w14:solidFill>
                          <w14:schemeClr w14:val="tx1"/>
                        </w14:solidFill>
                      </w14:textFill>
                    </w:rPr>
                    <w:t>C2462游艺用品及室内游艺器材制造</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主要</w:t>
                  </w:r>
                  <w:r>
                    <w:rPr>
                      <w:rFonts w:hint="eastAsia"/>
                      <w:color w:val="000000" w:themeColor="text1"/>
                      <w:kern w:val="0"/>
                      <w:sz w:val="21"/>
                      <w:szCs w:val="21"/>
                      <w14:textFill>
                        <w14:solidFill>
                          <w14:schemeClr w14:val="tx1"/>
                        </w14:solidFill>
                      </w14:textFill>
                    </w:rPr>
                    <w:t>生产麻将机配件，属于机械加工行业</w:t>
                  </w:r>
                  <w:r>
                    <w:rPr>
                      <w:rFonts w:hint="eastAsia"/>
                      <w:color w:val="000000" w:themeColor="text1"/>
                      <w:kern w:val="0"/>
                      <w:sz w:val="21"/>
                      <w:szCs w:val="21"/>
                      <w:lang w:eastAsia="zh-CN"/>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主要工艺为机械加工</w:t>
                  </w:r>
                  <w:r>
                    <w:rPr>
                      <w:rFonts w:hint="eastAsia"/>
                      <w:color w:val="000000" w:themeColor="text1"/>
                      <w:kern w:val="0"/>
                      <w:sz w:val="21"/>
                      <w:szCs w:val="21"/>
                      <w:lang w:eastAsia="zh-CN"/>
                      <w14:textFill>
                        <w14:solidFill>
                          <w14:schemeClr w14:val="tx1"/>
                        </w14:solidFill>
                      </w14:textFill>
                    </w:rPr>
                    <w:t>，与泗县经济开发区主导产业不完全相符，</w:t>
                  </w:r>
                  <w:r>
                    <w:rPr>
                      <w:rFonts w:hint="eastAsia"/>
                      <w:color w:val="000000" w:themeColor="text1"/>
                      <w:kern w:val="0"/>
                      <w:sz w:val="21"/>
                      <w:szCs w:val="21"/>
                      <w:lang w:val="en-US" w:eastAsia="zh-CN"/>
                      <w14:textFill>
                        <w14:solidFill>
                          <w14:schemeClr w14:val="tx1"/>
                        </w14:solidFill>
                      </w14:textFill>
                    </w:rPr>
                    <w:t>但</w:t>
                  </w:r>
                  <w:r>
                    <w:rPr>
                      <w:rFonts w:hint="eastAsia"/>
                      <w:color w:val="000000" w:themeColor="text1"/>
                      <w:kern w:val="0"/>
                      <w:sz w:val="21"/>
                      <w:szCs w:val="21"/>
                      <w:lang w:eastAsia="zh-CN"/>
                      <w14:textFill>
                        <w14:solidFill>
                          <w14:schemeClr w14:val="tx1"/>
                        </w14:solidFill>
                      </w14:textFill>
                    </w:rPr>
                    <w:t>属于低能耗、轻污染型产业，可以入区</w:t>
                  </w:r>
                </w:p>
              </w:tc>
              <w:tc>
                <w:tcPr>
                  <w:tcW w:w="725" w:type="pct"/>
                  <w:vAlign w:val="center"/>
                </w:tcPr>
                <w:p w14:paraId="42487FA6">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0F81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140EE291">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2125" w:type="pct"/>
                  <w:vAlign w:val="center"/>
                </w:tcPr>
                <w:p w14:paraId="6A4BDF47">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严格项目行业准入和资源环境准入。禁止负面清单中行业企业入驻</w:t>
                  </w:r>
                  <w:r>
                    <w:rPr>
                      <w:rFonts w:hint="eastAsia"/>
                      <w:color w:val="000000" w:themeColor="text1"/>
                      <w:sz w:val="21"/>
                      <w:szCs w:val="21"/>
                      <w:lang w:eastAsia="zh-CN" w:bidi="ar"/>
                      <w14:textFill>
                        <w14:solidFill>
                          <w14:schemeClr w14:val="tx1"/>
                        </w14:solidFill>
                      </w14:textFill>
                    </w:rPr>
                    <w:t>；</w:t>
                  </w:r>
                  <w:r>
                    <w:rPr>
                      <w:color w:val="000000" w:themeColor="text1"/>
                      <w:sz w:val="21"/>
                      <w:szCs w:val="21"/>
                      <w:lang w:bidi="ar"/>
                      <w14:textFill>
                        <w14:solidFill>
                          <w14:schemeClr w14:val="tx1"/>
                        </w14:solidFill>
                      </w14:textFill>
                    </w:rPr>
                    <w:t>新入区项目应按照规划功能布局入驻。优化调整开发区空间布局、组团结构，设置生态隔离措施，减轻和避免各功能区之间、项目之间的相互影响</w:t>
                  </w:r>
                </w:p>
              </w:tc>
              <w:tc>
                <w:tcPr>
                  <w:tcW w:w="1663" w:type="pct"/>
                  <w:vAlign w:val="center"/>
                </w:tcPr>
                <w:p w14:paraId="75E9531E">
                  <w:pPr>
                    <w:widowControl/>
                    <w:jc w:val="center"/>
                    <w:rPr>
                      <w:color w:val="000000" w:themeColor="text1"/>
                      <w:kern w:val="0"/>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w:t>
                  </w:r>
                  <w:r>
                    <w:rPr>
                      <w:rFonts w:hint="eastAsia"/>
                      <w:color w:val="000000" w:themeColor="text1"/>
                      <w:kern w:val="0"/>
                      <w:sz w:val="21"/>
                      <w:szCs w:val="21"/>
                      <w:lang w:val="en-US" w:eastAsia="zh-CN"/>
                      <w14:textFill>
                        <w14:solidFill>
                          <w14:schemeClr w14:val="tx1"/>
                        </w14:solidFill>
                      </w14:textFill>
                    </w:rPr>
                    <w:t>泗县</w:t>
                  </w:r>
                  <w:r>
                    <w:rPr>
                      <w:rFonts w:hint="eastAsia"/>
                      <w:color w:val="000000" w:themeColor="text1"/>
                      <w:kern w:val="0"/>
                      <w:sz w:val="21"/>
                      <w:szCs w:val="21"/>
                      <w14:textFill>
                        <w14:solidFill>
                          <w14:schemeClr w14:val="tx1"/>
                        </w14:solidFill>
                      </w14:textFill>
                    </w:rPr>
                    <w:t>经济开发区</w:t>
                  </w:r>
                  <w:r>
                    <w:rPr>
                      <w:rFonts w:hint="eastAsia"/>
                      <w:color w:val="000000" w:themeColor="text1"/>
                      <w:kern w:val="0"/>
                      <w:sz w:val="21"/>
                      <w:szCs w:val="21"/>
                      <w:lang w:val="en-US" w:eastAsia="zh-CN"/>
                      <w14:textFill>
                        <w14:solidFill>
                          <w14:schemeClr w14:val="tx1"/>
                        </w14:solidFill>
                      </w14:textFill>
                    </w:rPr>
                    <w:t>内</w:t>
                  </w:r>
                  <w:r>
                    <w:rPr>
                      <w:rFonts w:hint="eastAsia"/>
                      <w:color w:val="000000" w:themeColor="text1"/>
                      <w:kern w:val="0"/>
                      <w:sz w:val="21"/>
                      <w:szCs w:val="21"/>
                      <w14:textFill>
                        <w14:solidFill>
                          <w14:schemeClr w14:val="tx1"/>
                        </w14:solidFill>
                      </w14:textFill>
                    </w:rPr>
                    <w:t>，项目行业类别为</w:t>
                  </w:r>
                  <w:r>
                    <w:rPr>
                      <w:rFonts w:hint="eastAsia"/>
                      <w:color w:val="000000" w:themeColor="text1"/>
                      <w:kern w:val="0"/>
                      <w:sz w:val="21"/>
                      <w:szCs w:val="21"/>
                      <w:lang w:eastAsia="zh-CN"/>
                      <w14:textFill>
                        <w14:solidFill>
                          <w14:schemeClr w14:val="tx1"/>
                        </w14:solidFill>
                      </w14:textFill>
                    </w:rPr>
                    <w:t>C2462游艺用品及室内游艺器材制造</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主要</w:t>
                  </w:r>
                  <w:r>
                    <w:rPr>
                      <w:rFonts w:hint="eastAsia"/>
                      <w:color w:val="000000" w:themeColor="text1"/>
                      <w:kern w:val="0"/>
                      <w:sz w:val="21"/>
                      <w:szCs w:val="21"/>
                      <w14:textFill>
                        <w14:solidFill>
                          <w14:schemeClr w14:val="tx1"/>
                        </w14:solidFill>
                      </w14:textFill>
                    </w:rPr>
                    <w:t>生产麻将机配件，</w:t>
                  </w:r>
                  <w:r>
                    <w:rPr>
                      <w:rFonts w:hint="eastAsia"/>
                      <w:color w:val="000000" w:themeColor="text1"/>
                      <w:kern w:val="0"/>
                      <w:sz w:val="21"/>
                      <w:szCs w:val="21"/>
                      <w:lang w:val="en-US" w:eastAsia="zh-CN"/>
                      <w14:textFill>
                        <w14:solidFill>
                          <w14:schemeClr w14:val="tx1"/>
                        </w14:solidFill>
                      </w14:textFill>
                    </w:rPr>
                    <w:t>主要工艺为机械加工</w:t>
                  </w:r>
                  <w:r>
                    <w:rPr>
                      <w:rFonts w:hint="eastAsia"/>
                      <w:color w:val="000000" w:themeColor="text1"/>
                      <w:kern w:val="0"/>
                      <w:sz w:val="21"/>
                      <w:szCs w:val="21"/>
                      <w:lang w:eastAsia="zh-CN"/>
                      <w14:textFill>
                        <w14:solidFill>
                          <w14:schemeClr w14:val="tx1"/>
                        </w14:solidFill>
                      </w14:textFill>
                    </w:rPr>
                    <w:t>，</w:t>
                  </w:r>
                  <w:r>
                    <w:rPr>
                      <w:rFonts w:hint="eastAsia"/>
                      <w:color w:val="000000" w:themeColor="text1"/>
                      <w:kern w:val="0"/>
                      <w:sz w:val="21"/>
                      <w:szCs w:val="21"/>
                      <w14:textFill>
                        <w14:solidFill>
                          <w14:schemeClr w14:val="tx1"/>
                        </w14:solidFill>
                      </w14:textFill>
                    </w:rPr>
                    <w:t>与泗县经济开发区主导产业不完全相符，</w:t>
                  </w:r>
                  <w:r>
                    <w:rPr>
                      <w:rFonts w:hint="eastAsia"/>
                      <w:color w:val="000000" w:themeColor="text1"/>
                      <w:kern w:val="0"/>
                      <w:sz w:val="21"/>
                      <w:szCs w:val="21"/>
                      <w:lang w:val="en-US" w:eastAsia="zh-CN"/>
                      <w14:textFill>
                        <w14:solidFill>
                          <w14:schemeClr w14:val="tx1"/>
                        </w14:solidFill>
                      </w14:textFill>
                    </w:rPr>
                    <w:t>但</w:t>
                  </w:r>
                  <w:r>
                    <w:rPr>
                      <w:rFonts w:hint="eastAsia"/>
                      <w:color w:val="000000" w:themeColor="text1"/>
                      <w:kern w:val="0"/>
                      <w:sz w:val="21"/>
                      <w:szCs w:val="21"/>
                      <w14:textFill>
                        <w14:solidFill>
                          <w14:schemeClr w14:val="tx1"/>
                        </w14:solidFill>
                      </w14:textFill>
                    </w:rPr>
                    <w:t>属于低能耗、轻污染型产业，可以入区</w:t>
                  </w:r>
                </w:p>
              </w:tc>
              <w:tc>
                <w:tcPr>
                  <w:tcW w:w="725" w:type="pct"/>
                  <w:vAlign w:val="center"/>
                </w:tcPr>
                <w:p w14:paraId="1B4A1CD0">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6C81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73569CBB">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2125" w:type="pct"/>
                  <w:vAlign w:val="center"/>
                </w:tcPr>
                <w:p w14:paraId="3285ABB6">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强化水资源管理，积极推进企业内、企业间水资源梯级利用和企业用水总量控制</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切实提高水资源利用率。严禁建设国家明令禁止的项目，严格控制高耗水、高耗能污水排放量大的项目建设;已建和拟入区建设项目应严格执行水环境保护相关标准和要求。开发区内企业不得自行开采地下水用于工业生产。排查现有企业自备水井的取水合法性</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加快推进雨污管网、中水回用和集中供热等基础设施建设。强化园区污水收集,做好污水处理厂的运营和管理，确保稳定达标排放</w:t>
                  </w:r>
                </w:p>
              </w:tc>
              <w:tc>
                <w:tcPr>
                  <w:tcW w:w="1663" w:type="pct"/>
                  <w:vAlign w:val="center"/>
                </w:tcPr>
                <w:p w14:paraId="1160792D">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本项目用水来自园区自来水管网，不自建备用水井，项目不属于国家明令禁止的项目，项目不属于高耗能、污水排放量大的项目，</w:t>
                  </w:r>
                  <w:r>
                    <w:rPr>
                      <w:rFonts w:hint="eastAsia"/>
                      <w:color w:val="000000" w:themeColor="text1"/>
                      <w:sz w:val="21"/>
                      <w:szCs w:val="21"/>
                      <w:lang w:bidi="ar"/>
                      <w14:textFill>
                        <w14:solidFill>
                          <w14:schemeClr w14:val="tx1"/>
                        </w14:solidFill>
                      </w14:textFill>
                    </w:rPr>
                    <w:t>项目区采用雨污分流。雨水进入雨水收集管网后进入市政雨水管网；</w:t>
                  </w:r>
                  <w:r>
                    <w:rPr>
                      <w:color w:val="000000" w:themeColor="text1"/>
                      <w:sz w:val="21"/>
                      <w:szCs w:val="21"/>
                      <w:lang w:bidi="ar"/>
                      <w14:textFill>
                        <w14:solidFill>
                          <w14:schemeClr w14:val="tx1"/>
                        </w14:solidFill>
                      </w14:textFill>
                    </w:rPr>
                    <w:t>项目产生的生活污水</w:t>
                  </w:r>
                  <w:r>
                    <w:rPr>
                      <w:rFonts w:hint="eastAsia"/>
                      <w:color w:val="000000" w:themeColor="text1"/>
                      <w:sz w:val="21"/>
                      <w:szCs w:val="21"/>
                      <w:lang w:val="en-US" w:eastAsia="zh-CN" w:bidi="ar"/>
                      <w14:textFill>
                        <w14:solidFill>
                          <w14:schemeClr w14:val="tx1"/>
                        </w14:solidFill>
                      </w14:textFill>
                    </w:rPr>
                    <w:t>经化粪池预处理经污水管网</w:t>
                  </w:r>
                  <w:r>
                    <w:rPr>
                      <w:color w:val="000000" w:themeColor="text1"/>
                      <w:sz w:val="21"/>
                      <w:szCs w:val="21"/>
                      <w:lang w:bidi="ar"/>
                      <w14:textFill>
                        <w14:solidFill>
                          <w14:schemeClr w14:val="tx1"/>
                        </w14:solidFill>
                      </w14:textFill>
                    </w:rPr>
                    <w:t>进入泗县工业污水处理厂进一步处理</w:t>
                  </w:r>
                </w:p>
              </w:tc>
              <w:tc>
                <w:tcPr>
                  <w:tcW w:w="725" w:type="pct"/>
                  <w:vAlign w:val="center"/>
                </w:tcPr>
                <w:p w14:paraId="647926D6">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13941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651BCD2A">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2125" w:type="pct"/>
                  <w:vAlign w:val="center"/>
                </w:tcPr>
                <w:p w14:paraId="3437F9D3">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在规划确定的开发区产业定位总体框架下</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根据当地环境容量和资源情况，进一步优化发展重点，严格控制非主导产业项目入区。对不符合开发区产业定位和环保要求以及容易引起突发性环境风险的项目应禁止入区建设。建立并实施不符合规划、产业准入和环保准入条件项目的退出机制。大力推进园区产业升级改造工程，通过关、停、并、转、迁，加速转型或淘汰不符合工业用地性质、产业定位及环保要求的企业</w:t>
                  </w:r>
                </w:p>
              </w:tc>
              <w:tc>
                <w:tcPr>
                  <w:tcW w:w="1663" w:type="pct"/>
                  <w:vAlign w:val="center"/>
                </w:tcPr>
                <w:p w14:paraId="204F24D9">
                  <w:pPr>
                    <w:widowControl/>
                    <w:jc w:val="center"/>
                    <w:rPr>
                      <w:color w:val="000000" w:themeColor="text1"/>
                      <w:sz w:val="21"/>
                      <w:szCs w:val="21"/>
                      <w:lang w:bidi="ar"/>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w:t>
                  </w:r>
                  <w:r>
                    <w:rPr>
                      <w:rFonts w:hint="eastAsia"/>
                      <w:color w:val="000000" w:themeColor="text1"/>
                      <w:kern w:val="0"/>
                      <w:sz w:val="21"/>
                      <w:szCs w:val="21"/>
                      <w:lang w:val="en-US" w:eastAsia="zh-CN"/>
                      <w14:textFill>
                        <w14:solidFill>
                          <w14:schemeClr w14:val="tx1"/>
                        </w14:solidFill>
                      </w14:textFill>
                    </w:rPr>
                    <w:t>泗县</w:t>
                  </w:r>
                  <w:r>
                    <w:rPr>
                      <w:rFonts w:hint="eastAsia"/>
                      <w:color w:val="000000" w:themeColor="text1"/>
                      <w:kern w:val="0"/>
                      <w:sz w:val="21"/>
                      <w:szCs w:val="21"/>
                      <w14:textFill>
                        <w14:solidFill>
                          <w14:schemeClr w14:val="tx1"/>
                        </w14:solidFill>
                      </w14:textFill>
                    </w:rPr>
                    <w:t>经济开发区</w:t>
                  </w:r>
                  <w:r>
                    <w:rPr>
                      <w:rFonts w:hint="eastAsia"/>
                      <w:color w:val="000000" w:themeColor="text1"/>
                      <w:kern w:val="0"/>
                      <w:sz w:val="21"/>
                      <w:szCs w:val="21"/>
                      <w:lang w:val="en-US" w:eastAsia="zh-CN"/>
                      <w14:textFill>
                        <w14:solidFill>
                          <w14:schemeClr w14:val="tx1"/>
                        </w14:solidFill>
                      </w14:textFill>
                    </w:rPr>
                    <w:t>内</w:t>
                  </w:r>
                  <w:r>
                    <w:rPr>
                      <w:rFonts w:hint="eastAsia"/>
                      <w:color w:val="000000" w:themeColor="text1"/>
                      <w:kern w:val="0"/>
                      <w:sz w:val="21"/>
                      <w:szCs w:val="21"/>
                      <w14:textFill>
                        <w14:solidFill>
                          <w14:schemeClr w14:val="tx1"/>
                        </w14:solidFill>
                      </w14:textFill>
                    </w:rPr>
                    <w:t>，本项目行业类别为</w:t>
                  </w:r>
                  <w:r>
                    <w:rPr>
                      <w:rFonts w:hint="eastAsia"/>
                      <w:color w:val="000000" w:themeColor="text1"/>
                      <w:kern w:val="0"/>
                      <w:sz w:val="21"/>
                      <w:szCs w:val="21"/>
                      <w:lang w:eastAsia="zh-CN"/>
                      <w14:textFill>
                        <w14:solidFill>
                          <w14:schemeClr w14:val="tx1"/>
                        </w14:solidFill>
                      </w14:textFill>
                    </w:rPr>
                    <w:t>C2462游艺用品及室内游艺器材制造</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主要</w:t>
                  </w:r>
                  <w:r>
                    <w:rPr>
                      <w:rFonts w:hint="eastAsia"/>
                      <w:color w:val="000000" w:themeColor="text1"/>
                      <w:kern w:val="0"/>
                      <w:sz w:val="21"/>
                      <w:szCs w:val="21"/>
                      <w14:textFill>
                        <w14:solidFill>
                          <w14:schemeClr w14:val="tx1"/>
                        </w14:solidFill>
                      </w14:textFill>
                    </w:rPr>
                    <w:t>生产麻将机配件，</w:t>
                  </w:r>
                  <w:r>
                    <w:rPr>
                      <w:rFonts w:hint="eastAsia"/>
                      <w:color w:val="000000" w:themeColor="text1"/>
                      <w:kern w:val="0"/>
                      <w:sz w:val="21"/>
                      <w:szCs w:val="21"/>
                      <w:lang w:val="en-US" w:eastAsia="zh-CN"/>
                      <w14:textFill>
                        <w14:solidFill>
                          <w14:schemeClr w14:val="tx1"/>
                        </w14:solidFill>
                      </w14:textFill>
                    </w:rPr>
                    <w:t>主要工艺为机械加工</w:t>
                  </w:r>
                  <w:r>
                    <w:rPr>
                      <w:rFonts w:hint="eastAsia"/>
                      <w:color w:val="000000" w:themeColor="text1"/>
                      <w:kern w:val="0"/>
                      <w:sz w:val="21"/>
                      <w:szCs w:val="21"/>
                      <w:lang w:eastAsia="zh-CN"/>
                      <w14:textFill>
                        <w14:solidFill>
                          <w14:schemeClr w14:val="tx1"/>
                        </w14:solidFill>
                      </w14:textFill>
                    </w:rPr>
                    <w:t>，</w:t>
                  </w:r>
                  <w:r>
                    <w:rPr>
                      <w:rFonts w:hint="eastAsia"/>
                      <w:color w:val="000000" w:themeColor="text1"/>
                      <w:kern w:val="0"/>
                      <w:sz w:val="21"/>
                      <w:szCs w:val="21"/>
                      <w14:textFill>
                        <w14:solidFill>
                          <w14:schemeClr w14:val="tx1"/>
                        </w14:solidFill>
                      </w14:textFill>
                    </w:rPr>
                    <w:t>与泗县经济开发区主导产业不完全相符，</w:t>
                  </w:r>
                  <w:r>
                    <w:rPr>
                      <w:rFonts w:hint="eastAsia"/>
                      <w:color w:val="000000" w:themeColor="text1"/>
                      <w:kern w:val="0"/>
                      <w:sz w:val="21"/>
                      <w:szCs w:val="21"/>
                      <w:lang w:val="en-US" w:eastAsia="zh-CN"/>
                      <w14:textFill>
                        <w14:solidFill>
                          <w14:schemeClr w14:val="tx1"/>
                        </w14:solidFill>
                      </w14:textFill>
                    </w:rPr>
                    <w:t>但</w:t>
                  </w:r>
                  <w:r>
                    <w:rPr>
                      <w:rFonts w:hint="eastAsia"/>
                      <w:color w:val="000000" w:themeColor="text1"/>
                      <w:kern w:val="0"/>
                      <w:sz w:val="21"/>
                      <w:szCs w:val="21"/>
                      <w14:textFill>
                        <w14:solidFill>
                          <w14:schemeClr w14:val="tx1"/>
                        </w14:solidFill>
                      </w14:textFill>
                    </w:rPr>
                    <w:t>属于低能耗、轻污染型产业，可以入区</w:t>
                  </w:r>
                </w:p>
              </w:tc>
              <w:tc>
                <w:tcPr>
                  <w:tcW w:w="725" w:type="pct"/>
                  <w:vAlign w:val="center"/>
                </w:tcPr>
                <w:p w14:paraId="1A3B596D">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符合</w:t>
                  </w:r>
                </w:p>
              </w:tc>
            </w:tr>
            <w:tr w14:paraId="0CA8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5" w:type="pct"/>
                  <w:vAlign w:val="center"/>
                </w:tcPr>
                <w:p w14:paraId="44B2214C">
                  <w:pPr>
                    <w:widowControl/>
                    <w:spacing w:line="36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c>
                <w:tcPr>
                  <w:tcW w:w="2125" w:type="pct"/>
                  <w:vAlign w:val="center"/>
                </w:tcPr>
                <w:p w14:paraId="33921D52">
                  <w:pPr>
                    <w:widowControl/>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扎实推进节能减排工作。应采取工艺改造、节水管理等措施控制和减少现有企业的资源消耗水平及污染物排放强度。加强挥发性有机物防治</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对园区现有主要VOCs及异味废气排放企业开展综合治理工作，加强日常监测、监督管理和预防控制</w:t>
                  </w:r>
                </w:p>
              </w:tc>
              <w:tc>
                <w:tcPr>
                  <w:tcW w:w="1663" w:type="pct"/>
                  <w:vAlign w:val="center"/>
                </w:tcPr>
                <w:p w14:paraId="379304F0">
                  <w:pPr>
                    <w:widowControl/>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sz w:val="21"/>
                      <w:szCs w:val="21"/>
                      <w:lang w:bidi="ar"/>
                      <w14:textFill>
                        <w14:solidFill>
                          <w14:schemeClr w14:val="tx1"/>
                        </w14:solidFill>
                      </w14:textFill>
                    </w:rPr>
                    <w:t>本项目所用的能源为电</w:t>
                  </w:r>
                  <w:r>
                    <w:rPr>
                      <w:rFonts w:hint="eastAsia"/>
                      <w:color w:val="000000" w:themeColor="text1"/>
                      <w:sz w:val="21"/>
                      <w:szCs w:val="21"/>
                      <w:lang w:eastAsia="zh-CN" w:bidi="ar"/>
                      <w14:textFill>
                        <w14:solidFill>
                          <w14:schemeClr w14:val="tx1"/>
                        </w14:solidFill>
                      </w14:textFill>
                    </w:rPr>
                    <w:t>、</w:t>
                  </w:r>
                  <w:r>
                    <w:rPr>
                      <w:rFonts w:hint="eastAsia"/>
                      <w:color w:val="000000" w:themeColor="text1"/>
                      <w:sz w:val="21"/>
                      <w:szCs w:val="21"/>
                      <w:lang w:bidi="ar"/>
                      <w14:textFill>
                        <w14:solidFill>
                          <w14:schemeClr w14:val="tx1"/>
                        </w14:solidFill>
                      </w14:textFill>
                    </w:rPr>
                    <w:t>水</w:t>
                  </w:r>
                  <w:r>
                    <w:rPr>
                      <w:rFonts w:hint="eastAsia"/>
                      <w:color w:val="000000" w:themeColor="text1"/>
                      <w:sz w:val="21"/>
                      <w:szCs w:val="21"/>
                      <w:lang w:val="en-US" w:eastAsia="zh-CN" w:bidi="ar"/>
                      <w14:textFill>
                        <w14:solidFill>
                          <w14:schemeClr w14:val="tx1"/>
                        </w14:solidFill>
                      </w14:textFill>
                    </w:rPr>
                    <w:t>和天然气</w:t>
                  </w:r>
                  <w:r>
                    <w:rPr>
                      <w:rFonts w:hint="eastAsia"/>
                      <w:color w:val="000000" w:themeColor="text1"/>
                      <w:sz w:val="21"/>
                      <w:szCs w:val="21"/>
                      <w:lang w:bidi="ar"/>
                      <w14:textFill>
                        <w14:solidFill>
                          <w14:schemeClr w14:val="tx1"/>
                        </w14:solidFill>
                      </w14:textFill>
                    </w:rPr>
                    <w:t>，且不突破当地资源利用上限要求，</w:t>
                  </w:r>
                  <w:r>
                    <w:rPr>
                      <w:rFonts w:hint="eastAsia"/>
                      <w:color w:val="000000" w:themeColor="text1"/>
                      <w:sz w:val="21"/>
                      <w:szCs w:val="21"/>
                      <w:lang w:val="en-US" w:eastAsia="zh-CN" w:bidi="ar"/>
                      <w14:textFill>
                        <w14:solidFill>
                          <w14:schemeClr w14:val="tx1"/>
                        </w14:solidFill>
                      </w14:textFill>
                    </w:rPr>
                    <w:t>项目喷塑后固化废气经收集后通过二级活性炭吸附装置处理后达标排放；注塑废气经收集后通过二级活性炭吸附装置处理后达标排放；</w:t>
                  </w:r>
                  <w:r>
                    <w:rPr>
                      <w:rFonts w:hint="eastAsia"/>
                      <w:color w:val="000000" w:themeColor="text1"/>
                      <w:sz w:val="21"/>
                      <w:szCs w:val="21"/>
                      <w:lang w:val="en-US" w:eastAsia="zh-CN"/>
                      <w14:textFill>
                        <w14:solidFill>
                          <w14:schemeClr w14:val="tx1"/>
                        </w14:solidFill>
                      </w14:textFill>
                    </w:rPr>
                    <w:t>项目组装工序使用</w:t>
                  </w:r>
                  <w:r>
                    <w:rPr>
                      <w:rFonts w:hint="eastAsia" w:cs="Times New Roman"/>
                      <w:color w:val="000000" w:themeColor="text1"/>
                      <w:sz w:val="21"/>
                      <w:szCs w:val="21"/>
                      <w:lang w:val="en-US" w:eastAsia="zh-CN" w:bidi="ar"/>
                      <w14:textFill>
                        <w14:solidFill>
                          <w14:schemeClr w14:val="tx1"/>
                        </w14:solidFill>
                      </w14:textFill>
                    </w:rPr>
                    <w:t>亚克力密封胶，</w:t>
                  </w:r>
                  <w:r>
                    <w:rPr>
                      <w:rFonts w:hint="eastAsia"/>
                      <w:color w:val="000000" w:themeColor="text1"/>
                      <w:sz w:val="21"/>
                      <w:szCs w:val="21"/>
                      <w:lang w:val="en-US" w:eastAsia="zh-CN"/>
                      <w14:textFill>
                        <w14:solidFill>
                          <w14:schemeClr w14:val="tx1"/>
                        </w14:solidFill>
                      </w14:textFill>
                    </w:rPr>
                    <w:t>产生的少量挥发性有机物以无组织形式排放</w:t>
                  </w:r>
                </w:p>
              </w:tc>
              <w:tc>
                <w:tcPr>
                  <w:tcW w:w="725" w:type="pct"/>
                  <w:vAlign w:val="center"/>
                </w:tcPr>
                <w:p w14:paraId="352EC7CA">
                  <w:pPr>
                    <w:widowControl/>
                    <w:jc w:val="center"/>
                    <w:rPr>
                      <w:color w:val="000000" w:themeColor="text1"/>
                      <w:kern w:val="0"/>
                      <w14:textFill>
                        <w14:solidFill>
                          <w14:schemeClr w14:val="tx1"/>
                        </w14:solidFill>
                      </w14:textFill>
                    </w:rPr>
                  </w:pPr>
                  <w:r>
                    <w:rPr>
                      <w:color w:val="000000" w:themeColor="text1"/>
                      <w:sz w:val="21"/>
                      <w:szCs w:val="21"/>
                      <w:lang w:bidi="ar"/>
                      <w14:textFill>
                        <w14:solidFill>
                          <w14:schemeClr w14:val="tx1"/>
                        </w14:solidFill>
                      </w14:textFill>
                    </w:rPr>
                    <w:t>符合</w:t>
                  </w:r>
                </w:p>
              </w:tc>
            </w:tr>
          </w:tbl>
          <w:p w14:paraId="56D35E69">
            <w:pPr>
              <w:pStyle w:val="15"/>
              <w:rPr>
                <w:rFonts w:hint="eastAsia" w:eastAsia="宋体"/>
                <w:color w:val="000000" w:themeColor="text1"/>
                <w:lang w:eastAsia="zh-CN"/>
                <w14:textFill>
                  <w14:solidFill>
                    <w14:schemeClr w14:val="tx1"/>
                  </w14:solidFill>
                </w14:textFill>
              </w:rPr>
            </w:pPr>
          </w:p>
        </w:tc>
      </w:tr>
      <w:tr w14:paraId="0269D4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1618" w:type="dxa"/>
            <w:vAlign w:val="center"/>
          </w:tcPr>
          <w:p w14:paraId="4767707A">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其他符合性分析</w:t>
            </w:r>
          </w:p>
        </w:tc>
        <w:tc>
          <w:tcPr>
            <w:tcW w:w="7252" w:type="dxa"/>
            <w:gridSpan w:val="3"/>
            <w:vAlign w:val="center"/>
          </w:tcPr>
          <w:p w14:paraId="4ADC9B47">
            <w:pPr>
              <w:pStyle w:val="78"/>
              <w:keepNext w:val="0"/>
              <w:keepLines w:val="0"/>
              <w:pageBreakBefore w:val="0"/>
              <w:widowControl/>
              <w:kinsoku/>
              <w:wordWrap/>
              <w:overflowPunct/>
              <w:topLinePunct w:val="0"/>
              <w:autoSpaceDE/>
              <w:autoSpaceDN/>
              <w:bidi w:val="0"/>
              <w:adjustRightInd w:val="0"/>
              <w:snapToGrid w:val="0"/>
              <w:spacing w:before="157" w:beforeLines="50" w:line="360" w:lineRule="auto"/>
              <w:ind w:firstLine="0" w:firstLineChars="0"/>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一</w:t>
            </w:r>
            <w:r>
              <w:rPr>
                <w:b/>
                <w:bCs/>
                <w:color w:val="000000" w:themeColor="text1"/>
                <w14:textFill>
                  <w14:solidFill>
                    <w14:schemeClr w14:val="tx1"/>
                  </w14:solidFill>
                </w14:textFill>
              </w:rPr>
              <w:t>、产业政策符合性分析</w:t>
            </w:r>
          </w:p>
          <w:p w14:paraId="741CA96D">
            <w:pPr>
              <w:spacing w:line="360" w:lineRule="auto"/>
              <w:ind w:firstLine="480" w:firstLineChars="200"/>
              <w:rPr>
                <w:color w:val="000000" w:themeColor="text1"/>
                <w:lang w:bidi="ar"/>
                <w14:textFill>
                  <w14:solidFill>
                    <w14:schemeClr w14:val="tx1"/>
                  </w14:solidFill>
                </w14:textFill>
              </w:rPr>
            </w:pPr>
            <w:r>
              <w:rPr>
                <w:color w:val="000000" w:themeColor="text1"/>
                <w:lang w:bidi="ar"/>
                <w14:textFill>
                  <w14:solidFill>
                    <w14:schemeClr w14:val="tx1"/>
                  </w14:solidFill>
                </w14:textFill>
              </w:rPr>
              <w:t>根据《产业结构调整指导名录</w:t>
            </w:r>
            <w:r>
              <w:rPr>
                <w:rFonts w:hint="eastAsia"/>
                <w:color w:val="000000" w:themeColor="text1"/>
                <w:lang w:eastAsia="zh-CN" w:bidi="ar"/>
                <w14:textFill>
                  <w14:solidFill>
                    <w14:schemeClr w14:val="tx1"/>
                  </w14:solidFill>
                </w14:textFill>
              </w:rPr>
              <w:t>（2024年本）</w:t>
            </w:r>
            <w:r>
              <w:rPr>
                <w:color w:val="000000" w:themeColor="text1"/>
                <w:lang w:bidi="ar"/>
                <w14:textFill>
                  <w14:solidFill>
                    <w14:schemeClr w14:val="tx1"/>
                  </w14:solidFill>
                </w14:textFill>
              </w:rPr>
              <w:t>》，本项目不属于</w:t>
            </w:r>
            <w:r>
              <w:rPr>
                <w:rFonts w:hint="eastAsia"/>
                <w:color w:val="000000" w:themeColor="text1"/>
                <w:lang w:val="en-US" w:eastAsia="zh-CN" w:bidi="ar"/>
                <w14:textFill>
                  <w14:solidFill>
                    <w14:schemeClr w14:val="tx1"/>
                  </w14:solidFill>
                </w14:textFill>
              </w:rPr>
              <w:t>其中</w:t>
            </w:r>
            <w:r>
              <w:rPr>
                <w:color w:val="000000" w:themeColor="text1"/>
                <w:lang w:bidi="ar"/>
                <w14:textFill>
                  <w14:solidFill>
                    <w14:schemeClr w14:val="tx1"/>
                  </w14:solidFill>
                </w14:textFill>
              </w:rPr>
              <w:t>鼓励类，限制类和淘汰类，属于允许类项目。</w:t>
            </w:r>
          </w:p>
          <w:p w14:paraId="33B83175">
            <w:pPr>
              <w:widowControl/>
              <w:adjustRightInd w:val="0"/>
              <w:snapToGrid w:val="0"/>
              <w:spacing w:line="360" w:lineRule="auto"/>
              <w:ind w:firstLine="480" w:firstLineChars="200"/>
              <w:jc w:val="left"/>
              <w:rPr>
                <w:color w:val="000000" w:themeColor="text1"/>
                <w:lang w:bidi="ar"/>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项目已于</w:t>
            </w:r>
            <w:r>
              <w:rPr>
                <w:rFonts w:hint="eastAsia" w:cs="Times New Roman"/>
                <w:color w:val="000000" w:themeColor="text1"/>
                <w:lang w:val="en-US" w:eastAsia="zh-CN"/>
                <w14:textFill>
                  <w14:solidFill>
                    <w14:schemeClr w14:val="tx1"/>
                  </w14:solidFill>
                </w14:textFill>
              </w:rPr>
              <w:t>2025</w:t>
            </w:r>
            <w:r>
              <w:rPr>
                <w:rFonts w:hint="default" w:ascii="Times New Roman" w:hAnsi="Times New Roman" w:eastAsia="宋体" w:cs="Times New Roman"/>
                <w:color w:val="000000" w:themeColor="text1"/>
                <w14:textFill>
                  <w14:solidFill>
                    <w14:schemeClr w14:val="tx1"/>
                  </w14:solidFill>
                </w14:textFill>
              </w:rPr>
              <w:t>年</w:t>
            </w:r>
            <w:r>
              <w:rPr>
                <w:rFonts w:hint="eastAsia" w:cs="Times New Roman"/>
                <w:color w:val="000000" w:themeColor="text1"/>
                <w:lang w:val="en-US" w:eastAsia="zh-CN"/>
                <w14:textFill>
                  <w14:solidFill>
                    <w14:schemeClr w14:val="tx1"/>
                  </w14:solidFill>
                </w14:textFill>
              </w:rPr>
              <w:t>4月2日</w:t>
            </w:r>
            <w:r>
              <w:rPr>
                <w:color w:val="000000" w:themeColor="text1"/>
                <w:lang w:bidi="ar"/>
                <w14:textFill>
                  <w14:solidFill>
                    <w14:schemeClr w14:val="tx1"/>
                  </w14:solidFill>
                </w14:textFill>
              </w:rPr>
              <w:t>由</w:t>
            </w:r>
            <w:r>
              <w:rPr>
                <w:rFonts w:hint="eastAsia"/>
                <w:color w:val="000000" w:themeColor="text1"/>
                <w:lang w:val="en-US" w:eastAsia="zh-CN" w:bidi="ar"/>
                <w14:textFill>
                  <w14:solidFill>
                    <w14:schemeClr w14:val="tx1"/>
                  </w14:solidFill>
                </w14:textFill>
              </w:rPr>
              <w:t>泗县</w:t>
            </w:r>
            <w:r>
              <w:rPr>
                <w:color w:val="000000" w:themeColor="text1"/>
                <w:lang w:bidi="ar"/>
                <w14:textFill>
                  <w14:solidFill>
                    <w14:schemeClr w14:val="tx1"/>
                  </w14:solidFill>
                </w14:textFill>
              </w:rPr>
              <w:t>发展和改革委员会予以备案（详见附件）。项目代码为</w:t>
            </w:r>
            <w:r>
              <w:rPr>
                <w:rFonts w:hint="eastAsia"/>
                <w:color w:val="000000" w:themeColor="text1"/>
                <w:lang w:val="en-US" w:eastAsia="zh-CN"/>
                <w14:textFill>
                  <w14:solidFill>
                    <w14:schemeClr w14:val="tx1"/>
                  </w14:solidFill>
                </w14:textFill>
              </w:rPr>
              <w:t>2504</w:t>
            </w:r>
            <w:r>
              <w:rPr>
                <w:rFonts w:hint="eastAsia" w:eastAsia="宋体"/>
                <w:color w:val="000000" w:themeColor="text1"/>
                <w:lang w:eastAsia="zh-CN"/>
                <w14:textFill>
                  <w14:solidFill>
                    <w14:schemeClr w14:val="tx1"/>
                  </w14:solidFill>
                </w14:textFill>
              </w:rPr>
              <w:t>-341324-04-0</w:t>
            </w:r>
            <w:r>
              <w:rPr>
                <w:rFonts w:hint="eastAsia"/>
                <w:color w:val="000000" w:themeColor="text1"/>
                <w:lang w:val="en-US" w:eastAsia="zh-CN"/>
                <w14:textFill>
                  <w14:solidFill>
                    <w14:schemeClr w14:val="tx1"/>
                  </w14:solidFill>
                </w14:textFill>
              </w:rPr>
              <w:t>3</w:t>
            </w:r>
            <w:r>
              <w:rPr>
                <w:rFonts w:hint="eastAsia" w:eastAsia="宋体"/>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200630</w:t>
            </w:r>
            <w:r>
              <w:rPr>
                <w:color w:val="000000" w:themeColor="text1"/>
                <w:lang w:bidi="ar"/>
                <w14:textFill>
                  <w14:solidFill>
                    <w14:schemeClr w14:val="tx1"/>
                  </w14:solidFill>
                </w14:textFill>
              </w:rPr>
              <w:t>。因此，本项目的建设</w:t>
            </w:r>
            <w:r>
              <w:rPr>
                <w:rFonts w:hint="eastAsia"/>
                <w:color w:val="000000" w:themeColor="text1"/>
                <w:lang w:val="en-US" w:eastAsia="zh-CN" w:bidi="ar"/>
                <w14:textFill>
                  <w14:solidFill>
                    <w14:schemeClr w14:val="tx1"/>
                  </w14:solidFill>
                </w14:textFill>
              </w:rPr>
              <w:t>符合</w:t>
            </w:r>
            <w:r>
              <w:rPr>
                <w:color w:val="000000" w:themeColor="text1"/>
                <w:lang w:bidi="ar"/>
                <w14:textFill>
                  <w14:solidFill>
                    <w14:schemeClr w14:val="tx1"/>
                  </w14:solidFill>
                </w14:textFill>
              </w:rPr>
              <w:t>地方相关政策要求。</w:t>
            </w:r>
          </w:p>
          <w:p w14:paraId="75CB0925">
            <w:pPr>
              <w:widowControl/>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lang w:bidi="ar"/>
                <w14:textFill>
                  <w14:solidFill>
                    <w14:schemeClr w14:val="tx1"/>
                  </w14:solidFill>
                </w14:textFill>
              </w:rPr>
              <w:t>综上所述，本项目符合国家和地方产业政策要求。</w:t>
            </w:r>
          </w:p>
          <w:p w14:paraId="6DB8CB1C">
            <w:pPr>
              <w:pStyle w:val="26"/>
              <w:widowControl w:val="0"/>
              <w:spacing w:before="0" w:beforeAutospacing="0" w:after="0" w:afterAutospacing="0" w:line="360" w:lineRule="auto"/>
              <w:jc w:val="both"/>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kern w:val="2"/>
                <w:szCs w:val="24"/>
                <w:lang w:val="en-US" w:eastAsia="zh-CN" w:bidi="ar"/>
                <w14:textFill>
                  <w14:solidFill>
                    <w14:schemeClr w14:val="tx1"/>
                  </w14:solidFill>
                </w14:textFill>
              </w:rPr>
              <w:t>二</w:t>
            </w:r>
            <w:r>
              <w:rPr>
                <w:rFonts w:ascii="Times New Roman" w:hAnsi="Times New Roman"/>
                <w:b/>
                <w:bCs/>
                <w:color w:val="000000" w:themeColor="text1"/>
                <w:kern w:val="2"/>
                <w:szCs w:val="24"/>
                <w:lang w:bidi="ar"/>
                <w14:textFill>
                  <w14:solidFill>
                    <w14:schemeClr w14:val="tx1"/>
                  </w14:solidFill>
                </w14:textFill>
              </w:rPr>
              <w:t>、选址的符合性分析</w:t>
            </w:r>
          </w:p>
          <w:p w14:paraId="30458782">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hint="eastAsia"/>
                <w:color w:val="000000" w:themeColor="text1"/>
                <w:lang w:val="en-US" w:eastAsia="zh-CN"/>
                <w14:textFill>
                  <w14:solidFill>
                    <w14:schemeClr w14:val="tx1"/>
                  </w14:solidFill>
                </w14:textFill>
              </w:rPr>
              <w:t>安徽省宿州市泗县经济开发区泗县强宇体育设施公司2#厂房</w:t>
            </w:r>
            <w:r>
              <w:rPr>
                <w:color w:val="000000" w:themeColor="text1"/>
                <w:lang w:bidi="ar"/>
                <w14:textFill>
                  <w14:solidFill>
                    <w14:schemeClr w14:val="tx1"/>
                  </w14:solidFill>
                </w14:textFill>
              </w:rPr>
              <w:t>。根据</w:t>
            </w:r>
            <w:r>
              <w:rPr>
                <w:rFonts w:hint="eastAsia"/>
                <w:color w:val="000000" w:themeColor="text1"/>
                <w:lang w:bidi="ar"/>
                <w14:textFill>
                  <w14:solidFill>
                    <w14:schemeClr w14:val="tx1"/>
                  </w14:solidFill>
                </w14:textFill>
              </w:rPr>
              <w:t>安徽</w:t>
            </w:r>
            <w:r>
              <w:rPr>
                <w:rFonts w:hint="eastAsia"/>
                <w:color w:val="000000" w:themeColor="text1"/>
                <w:lang w:val="en-US" w:eastAsia="zh-CN" w:bidi="ar"/>
                <w14:textFill>
                  <w14:solidFill>
                    <w14:schemeClr w14:val="tx1"/>
                  </w14:solidFill>
                </w14:textFill>
              </w:rPr>
              <w:t>泗县经济</w:t>
            </w:r>
            <w:r>
              <w:rPr>
                <w:color w:val="000000" w:themeColor="text1"/>
                <w:lang w:bidi="ar"/>
                <w14:textFill>
                  <w14:solidFill>
                    <w14:schemeClr w14:val="tx1"/>
                  </w14:solidFill>
                </w14:textFill>
              </w:rPr>
              <w:t>开发区总体</w:t>
            </w:r>
            <w:r>
              <w:rPr>
                <w:rFonts w:hint="eastAsia"/>
                <w:color w:val="000000" w:themeColor="text1"/>
                <w:lang w:bidi="ar"/>
                <w14:textFill>
                  <w14:solidFill>
                    <w14:schemeClr w14:val="tx1"/>
                  </w14:solidFill>
                </w14:textFill>
              </w:rPr>
              <w:t>发展</w:t>
            </w:r>
            <w:r>
              <w:rPr>
                <w:color w:val="000000" w:themeColor="text1"/>
                <w:lang w:bidi="ar"/>
                <w14:textFill>
                  <w14:solidFill>
                    <w14:schemeClr w14:val="tx1"/>
                  </w14:solidFill>
                </w14:textFill>
              </w:rPr>
              <w:t>规划</w:t>
            </w:r>
            <w:r>
              <w:rPr>
                <w:rFonts w:hint="eastAsia"/>
                <w:color w:val="000000" w:themeColor="text1"/>
                <w:lang w:bidi="ar"/>
                <w14:textFill>
                  <w14:solidFill>
                    <w14:schemeClr w14:val="tx1"/>
                  </w14:solidFill>
                </w14:textFill>
              </w:rPr>
              <w:t>用地</w:t>
            </w:r>
            <w:r>
              <w:rPr>
                <w:color w:val="000000" w:themeColor="text1"/>
                <w:lang w:bidi="ar"/>
                <w14:textFill>
                  <w14:solidFill>
                    <w14:schemeClr w14:val="tx1"/>
                  </w14:solidFill>
                </w14:textFill>
              </w:rPr>
              <w:t>布局图，项目所在地属于工业用地，符合</w:t>
            </w:r>
            <w:r>
              <w:rPr>
                <w:rFonts w:hint="eastAsia"/>
                <w:color w:val="000000" w:themeColor="text1"/>
                <w:lang w:val="en-US" w:eastAsia="zh-CN" w:bidi="ar"/>
                <w14:textFill>
                  <w14:solidFill>
                    <w14:schemeClr w14:val="tx1"/>
                  </w14:solidFill>
                </w14:textFill>
              </w:rPr>
              <w:t>泗县</w:t>
            </w:r>
            <w:r>
              <w:rPr>
                <w:color w:val="000000" w:themeColor="text1"/>
                <w:lang w:bidi="ar"/>
                <w14:textFill>
                  <w14:solidFill>
                    <w14:schemeClr w14:val="tx1"/>
                  </w14:solidFill>
                </w14:textFill>
              </w:rPr>
              <w:t>经济开发区用地规划。</w:t>
            </w:r>
            <w:r>
              <w:rPr>
                <w:color w:val="000000" w:themeColor="text1"/>
                <w14:textFill>
                  <w14:solidFill>
                    <w14:schemeClr w14:val="tx1"/>
                  </w14:solidFill>
                </w14:textFill>
              </w:rPr>
              <w:t>根据《安徽</w:t>
            </w:r>
            <w:r>
              <w:rPr>
                <w:rFonts w:hint="eastAsia"/>
                <w:color w:val="000000" w:themeColor="text1"/>
                <w:lang w:val="en-US" w:eastAsia="zh-CN"/>
                <w14:textFill>
                  <w14:solidFill>
                    <w14:schemeClr w14:val="tx1"/>
                  </w14:solidFill>
                </w14:textFill>
              </w:rPr>
              <w:t>泗县</w:t>
            </w:r>
            <w:r>
              <w:rPr>
                <w:color w:val="000000" w:themeColor="text1"/>
                <w14:textFill>
                  <w14:solidFill>
                    <w14:schemeClr w14:val="tx1"/>
                  </w14:solidFill>
                </w14:textFill>
              </w:rPr>
              <w:t>经济开发区总体发展规划环境影响报告书》，</w:t>
            </w:r>
            <w:r>
              <w:rPr>
                <w:rFonts w:hint="eastAsia"/>
                <w:color w:val="000000" w:themeColor="text1"/>
                <w:lang w:val="en-US" w:eastAsia="zh-CN"/>
                <w14:textFill>
                  <w14:solidFill>
                    <w14:schemeClr w14:val="tx1"/>
                  </w14:solidFill>
                </w14:textFill>
              </w:rPr>
              <w:t>开发区</w:t>
            </w:r>
            <w:r>
              <w:rPr>
                <w:color w:val="000000" w:themeColor="text1"/>
                <w14:textFill>
                  <w14:solidFill>
                    <w14:schemeClr w14:val="tx1"/>
                  </w14:solidFill>
                </w14:textFill>
              </w:rPr>
              <w:t>主导产业为</w:t>
            </w:r>
            <w:r>
              <w:rPr>
                <w:rFonts w:hint="eastAsia"/>
                <w:color w:val="000000" w:themeColor="text1"/>
                <w:shd w:val="clear" w:color="auto" w:fill="FFFFFF"/>
                <w14:textFill>
                  <w14:solidFill>
                    <w14:schemeClr w14:val="tx1"/>
                  </w14:solidFill>
                </w14:textFill>
              </w:rPr>
              <w:t>机械电子、纺织服装、农产品加工</w:t>
            </w:r>
            <w:r>
              <w:rPr>
                <w:color w:val="000000" w:themeColor="text1"/>
                <w14:textFill>
                  <w14:solidFill>
                    <w14:schemeClr w14:val="tx1"/>
                  </w14:solidFill>
                </w14:textFill>
              </w:rPr>
              <w:t>。本项目为</w:t>
            </w:r>
            <w:r>
              <w:rPr>
                <w:rFonts w:hint="eastAsia" w:cs="Times New Roman"/>
                <w:color w:val="000000" w:themeColor="text1"/>
                <w:sz w:val="24"/>
                <w:szCs w:val="24"/>
                <w:lang w:eastAsia="zh-CN" w:bidi="ar"/>
                <w14:textFill>
                  <w14:solidFill>
                    <w14:schemeClr w14:val="tx1"/>
                  </w14:solidFill>
                </w14:textFill>
              </w:rPr>
              <w:t>C2462游艺用品及室内游艺器材制造</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r>
              <w:rPr>
                <w:rFonts w:hint="eastAsia" w:ascii="Times New Roman" w:hAnsi="Times New Roman"/>
                <w:color w:val="000000" w:themeColor="text1"/>
                <w:shd w:val="clear" w:color="auto" w:fill="FFFFFF"/>
                <w:lang w:val="en-US" w:eastAsia="zh-CN"/>
                <w14:textFill>
                  <w14:solidFill>
                    <w14:schemeClr w14:val="tx1"/>
                  </w14:solidFill>
                </w14:textFill>
              </w:rPr>
              <w:t>主要</w:t>
            </w:r>
            <w:r>
              <w:rPr>
                <w:rFonts w:hint="eastAsia" w:ascii="Times New Roman" w:hAnsi="Times New Roman"/>
                <w:color w:val="000000" w:themeColor="text1"/>
                <w:shd w:val="clear" w:color="auto" w:fill="FFFFFF"/>
                <w14:textFill>
                  <w14:solidFill>
                    <w14:schemeClr w14:val="tx1"/>
                  </w14:solidFill>
                </w14:textFill>
              </w:rPr>
              <w:t>生产麻将机配件，</w:t>
            </w:r>
            <w:r>
              <w:rPr>
                <w:rFonts w:hint="eastAsia"/>
                <w:color w:val="000000" w:themeColor="text1"/>
                <w:shd w:val="clear" w:color="auto" w:fill="FFFFFF"/>
                <w:lang w:val="en-US" w:eastAsia="zh-CN"/>
                <w14:textFill>
                  <w14:solidFill>
                    <w14:schemeClr w14:val="tx1"/>
                  </w14:solidFill>
                </w14:textFill>
              </w:rPr>
              <w:t>主要工艺为机械加工</w:t>
            </w:r>
            <w:r>
              <w:rPr>
                <w:rFonts w:hint="eastAsia" w:ascii="Times New Roman" w:hAnsi="Times New Roman"/>
                <w:color w:val="000000" w:themeColor="text1"/>
                <w:shd w:val="clear" w:color="auto" w:fill="FFFFFF"/>
                <w:lang w:eastAsia="zh-CN"/>
                <w14:textFill>
                  <w14:solidFill>
                    <w14:schemeClr w14:val="tx1"/>
                  </w14:solidFill>
                </w14:textFill>
              </w:rPr>
              <w:t>，</w:t>
            </w:r>
            <w:r>
              <w:rPr>
                <w:rFonts w:ascii="宋体" w:hAnsi="宋体" w:cs="宋体"/>
                <w:color w:val="000000" w:themeColor="text1"/>
                <w14:textFill>
                  <w14:solidFill>
                    <w14:schemeClr w14:val="tx1"/>
                  </w14:solidFill>
                </w14:textFill>
              </w:rPr>
              <w:t>与</w:t>
            </w:r>
            <w:r>
              <w:rPr>
                <w:color w:val="000000" w:themeColor="text1"/>
                <w:szCs w:val="32"/>
                <w14:textFill>
                  <w14:solidFill>
                    <w14:schemeClr w14:val="tx1"/>
                  </w14:solidFill>
                </w14:textFill>
              </w:rPr>
              <w:t>泗县经济</w:t>
            </w:r>
            <w:r>
              <w:rPr>
                <w:color w:val="000000" w:themeColor="text1"/>
                <w:kern w:val="0"/>
                <w14:textFill>
                  <w14:solidFill>
                    <w14:schemeClr w14:val="tx1"/>
                  </w14:solidFill>
                </w14:textFill>
              </w:rPr>
              <w:t>开发区</w:t>
            </w:r>
            <w:r>
              <w:rPr>
                <w:rFonts w:ascii="宋体" w:hAnsi="宋体" w:cs="宋体"/>
                <w:color w:val="000000" w:themeColor="text1"/>
                <w14:textFill>
                  <w14:solidFill>
                    <w14:schemeClr w14:val="tx1"/>
                  </w14:solidFill>
                </w14:textFill>
              </w:rPr>
              <w:t>主导产业</w:t>
            </w:r>
            <w:r>
              <w:rPr>
                <w:rFonts w:hint="eastAsia" w:ascii="宋体" w:hAnsi="宋体" w:cs="宋体"/>
                <w:color w:val="000000"/>
                <w:kern w:val="0"/>
              </w:rPr>
              <w:t>不完全相符，</w:t>
            </w:r>
            <w:r>
              <w:rPr>
                <w:rFonts w:hint="eastAsia" w:ascii="宋体" w:hAnsi="宋体" w:cs="宋体"/>
                <w:color w:val="000000"/>
                <w:kern w:val="0"/>
                <w:lang w:val="en-US" w:eastAsia="zh-CN"/>
              </w:rPr>
              <w:t>但</w:t>
            </w:r>
            <w:r>
              <w:rPr>
                <w:rFonts w:hint="eastAsia" w:ascii="宋体" w:hAnsi="宋体" w:cs="宋体"/>
                <w:color w:val="000000"/>
                <w:kern w:val="0"/>
              </w:rPr>
              <w:t>属于低能耗、轻污染型产业，可以入区</w:t>
            </w:r>
            <w:r>
              <w:rPr>
                <w:color w:val="000000" w:themeColor="text1"/>
                <w14:textFill>
                  <w14:solidFill>
                    <w14:schemeClr w14:val="tx1"/>
                  </w14:solidFill>
                </w14:textFill>
              </w:rPr>
              <w:t>。</w:t>
            </w:r>
          </w:p>
          <w:p w14:paraId="05D73192">
            <w:pPr>
              <w:widowControl/>
              <w:spacing w:line="360" w:lineRule="auto"/>
              <w:ind w:firstLine="480" w:firstLineChars="200"/>
              <w:rPr>
                <w:rFonts w:hint="eastAsia"/>
                <w:color w:val="000000" w:themeColor="text1"/>
                <w:sz w:val="24"/>
                <w:lang w:val="en-US" w:eastAsia="zh-CN"/>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租赁</w:t>
            </w:r>
            <w:r>
              <w:rPr>
                <w:rFonts w:hint="eastAsia"/>
                <w:color w:val="000000" w:themeColor="text1"/>
                <w:lang w:val="en-US" w:eastAsia="zh-CN"/>
                <w14:textFill>
                  <w14:solidFill>
                    <w14:schemeClr w14:val="tx1"/>
                  </w14:solidFill>
                </w14:textFill>
              </w:rPr>
              <w:t>泗县经济开发区泗县强宇体育设施公司2#空置厂房</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原厂房内也是生产</w:t>
            </w:r>
            <w:r>
              <w:rPr>
                <w:rFonts w:hint="eastAsia" w:ascii="Times New Roman" w:hAnsi="Times New Roman"/>
                <w:color w:val="000000" w:themeColor="text1"/>
                <w:shd w:val="clear" w:color="auto" w:fill="FFFFFF"/>
                <w14:textFill>
                  <w14:solidFill>
                    <w14:schemeClr w14:val="tx1"/>
                  </w14:solidFill>
                </w14:textFill>
              </w:rPr>
              <w:t>麻将机配件</w:t>
            </w:r>
            <w:r>
              <w:rPr>
                <w:rFonts w:hint="eastAsia"/>
                <w:color w:val="000000" w:themeColor="text1"/>
                <w:shd w:val="clear" w:color="auto" w:fill="FFFFFF"/>
                <w:lang w:val="en-US" w:eastAsia="zh-CN"/>
                <w14:textFill>
                  <w14:solidFill>
                    <w14:schemeClr w14:val="tx1"/>
                  </w14:solidFill>
                </w14:textFill>
              </w:rPr>
              <w:t>的企业</w:t>
            </w:r>
            <w:r>
              <w:rPr>
                <w:rFonts w:hint="eastAsia" w:ascii="Times New Roman" w:hAnsi="Times New Roman"/>
                <w:color w:val="000000" w:themeColor="text1"/>
                <w:shd w:val="clear" w:color="auto" w:fill="FFFFFF"/>
                <w:lang w:eastAsia="zh-CN"/>
                <w14:textFill>
                  <w14:solidFill>
                    <w14:schemeClr w14:val="tx1"/>
                  </w14:solidFill>
                </w14:textFill>
              </w:rPr>
              <w:t>（</w:t>
            </w:r>
            <w:r>
              <w:rPr>
                <w:rFonts w:hint="eastAsia" w:ascii="Times New Roman" w:hAnsi="Times New Roman"/>
                <w:color w:val="000000" w:themeColor="text1"/>
                <w:shd w:val="clear" w:color="auto" w:fill="FFFFFF"/>
                <w:lang w:val="en-US" w:eastAsia="zh-CN"/>
                <w14:textFill>
                  <w14:solidFill>
                    <w14:schemeClr w14:val="tx1"/>
                  </w14:solidFill>
                </w14:textFill>
              </w:rPr>
              <w:t>现已搬走，且内部已打扫干净</w:t>
            </w:r>
            <w:r>
              <w:rPr>
                <w:rFonts w:hint="eastAsia" w:ascii="Times New Roman" w:hAnsi="Times New Roman"/>
                <w:color w:val="000000" w:themeColor="text1"/>
                <w:shd w:val="clear" w:color="auto" w:fill="FFFFFF"/>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，无与原项目有关的</w:t>
            </w:r>
            <w:r>
              <w:rPr>
                <w:color w:val="000000" w:themeColor="text1"/>
                <w:sz w:val="24"/>
                <w14:textFill>
                  <w14:solidFill>
                    <w14:schemeClr w14:val="tx1"/>
                  </w14:solidFill>
                </w14:textFill>
              </w:rPr>
              <w:t>污染，项目周边无饮用水源保护区、自然保护区、风景名胜区、生态环境敏感区等环境保护目标，产生的污染物不会对周围环境造成重大影响，项目与周边环境相容。项目运营消耗资源主要为电、水</w:t>
            </w:r>
            <w:r>
              <w:rPr>
                <w:rFonts w:hint="eastAsia"/>
                <w:color w:val="000000" w:themeColor="text1"/>
                <w:sz w:val="24"/>
                <w:lang w:val="en-US" w:eastAsia="zh-CN"/>
                <w14:textFill>
                  <w14:solidFill>
                    <w14:schemeClr w14:val="tx1"/>
                  </w14:solidFill>
                </w14:textFill>
              </w:rPr>
              <w:t>和天然气</w:t>
            </w:r>
            <w:r>
              <w:rPr>
                <w:color w:val="000000" w:themeColor="text1"/>
                <w:sz w:val="24"/>
                <w14:textFill>
                  <w14:solidFill>
                    <w14:schemeClr w14:val="tx1"/>
                  </w14:solidFill>
                </w14:textFill>
              </w:rPr>
              <w:t>，项目用水为生活用水、生产用水，项目耗电量</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耗水量相对区域资源利用总量较少，满足项目建设外部条件要求。</w:t>
            </w:r>
          </w:p>
          <w:p w14:paraId="28BE0BE0">
            <w:pPr>
              <w:widowControl/>
              <w:spacing w:line="360" w:lineRule="auto"/>
              <w:ind w:firstLine="480" w:firstLineChars="200"/>
              <w:rPr>
                <w:rFonts w:hint="default" w:eastAsia="宋体"/>
                <w:color w:val="000000" w:themeColor="text1"/>
                <w:lang w:val="en-US" w:eastAsia="zh-CN" w:bidi="ar"/>
                <w14:textFill>
                  <w14:solidFill>
                    <w14:schemeClr w14:val="tx1"/>
                  </w14:solidFill>
                </w14:textFill>
              </w:rPr>
            </w:pPr>
            <w:r>
              <w:rPr>
                <w:color w:val="000000" w:themeColor="text1"/>
                <w:sz w:val="24"/>
                <w:szCs w:val="24"/>
                <w14:textFill>
                  <w14:solidFill>
                    <w14:schemeClr w14:val="tx1"/>
                  </w14:solidFill>
                </w14:textFill>
              </w:rPr>
              <w:t>项目</w:t>
            </w:r>
            <w:r>
              <w:rPr>
                <w:color w:val="000000" w:themeColor="text1"/>
                <w:sz w:val="24"/>
                <w14:textFill>
                  <w14:solidFill>
                    <w14:schemeClr w14:val="tx1"/>
                  </w14:solidFill>
                </w14:textFill>
              </w:rPr>
              <w:t>东侧为</w:t>
            </w:r>
            <w:r>
              <w:rPr>
                <w:rFonts w:hint="eastAsia"/>
                <w:color w:val="000000" w:themeColor="text1"/>
                <w:sz w:val="24"/>
                <w:lang w:val="en-US" w:eastAsia="zh-CN"/>
                <w14:textFill>
                  <w14:solidFill>
                    <w14:schemeClr w14:val="tx1"/>
                  </w14:solidFill>
                </w14:textFill>
              </w:rPr>
              <w:t>空地</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南侧为</w:t>
            </w:r>
            <w:r>
              <w:rPr>
                <w:rFonts w:hint="eastAsia"/>
                <w:color w:val="000000" w:themeColor="text1"/>
                <w:lang w:val="en-US" w:eastAsia="zh-CN"/>
                <w14:textFill>
                  <w14:solidFill>
                    <w14:schemeClr w14:val="tx1"/>
                  </w14:solidFill>
                </w14:textFill>
              </w:rPr>
              <w:t>泗县强宇体育设施公司2#厂房另一侧空置厂房</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西侧为</w:t>
            </w:r>
            <w:r>
              <w:rPr>
                <w:rFonts w:hint="eastAsia"/>
                <w:color w:val="000000" w:themeColor="text1"/>
                <w:lang w:val="en-US" w:eastAsia="zh-CN"/>
                <w14:textFill>
                  <w14:solidFill>
                    <w14:schemeClr w14:val="tx1"/>
                  </w14:solidFill>
                </w14:textFill>
              </w:rPr>
              <w:t>泗县强宇体育设施公司厂区道路，隔路为泗县强宇体育设施公司1#厂房，</w:t>
            </w:r>
            <w:r>
              <w:rPr>
                <w:color w:val="000000" w:themeColor="text1"/>
                <w:sz w:val="24"/>
                <w14:textFill>
                  <w14:solidFill>
                    <w14:schemeClr w14:val="tx1"/>
                  </w14:solidFill>
                </w14:textFill>
              </w:rPr>
              <w:t>北侧为</w:t>
            </w:r>
            <w:r>
              <w:rPr>
                <w:rFonts w:hint="eastAsia"/>
                <w:color w:val="000000" w:themeColor="text1"/>
                <w:lang w:val="en-US" w:eastAsia="zh-CN"/>
                <w14:textFill>
                  <w14:solidFill>
                    <w14:schemeClr w14:val="tx1"/>
                  </w14:solidFill>
                </w14:textFill>
              </w:rPr>
              <w:t>泗县强宇体育设施公司综合楼</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项目周边状况图见附图</w:t>
            </w:r>
            <w:r>
              <w:rPr>
                <w:rFonts w:hint="eastAsia"/>
                <w:color w:val="000000" w:themeColor="text1"/>
                <w:sz w:val="24"/>
                <w14:textFill>
                  <w14:solidFill>
                    <w14:schemeClr w14:val="tx1"/>
                  </w14:solidFill>
                </w14:textFill>
              </w:rPr>
              <w:t>）</w:t>
            </w:r>
            <w:r>
              <w:rPr>
                <w:rFonts w:hint="eastAsia"/>
                <w:color w:val="000000" w:themeColor="text1"/>
                <w:lang w:val="en-US"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外环境对本项目环境影响较小，项目各工序污染源采取相应的污染控制措施后，均可实现达标排放，不会对区域环境产生明显影响。项目附近无风景旅游区及国家、省、市级重点文物保护单位，且紧邻开发区潼河路，交通方便。因此，本项目建设与周边环境相容</w:t>
            </w:r>
            <w:r>
              <w:rPr>
                <w:rFonts w:hint="eastAsia"/>
                <w:color w:val="000000" w:themeColor="text1"/>
                <w:sz w:val="24"/>
                <w:lang w:val="en-US" w:eastAsia="zh-CN"/>
                <w14:textFill>
                  <w14:solidFill>
                    <w14:schemeClr w14:val="tx1"/>
                  </w14:solidFill>
                </w14:textFill>
              </w:rPr>
              <w:t>。</w:t>
            </w:r>
          </w:p>
          <w:p w14:paraId="61B871C6">
            <w:pPr>
              <w:spacing w:line="360" w:lineRule="auto"/>
              <w:ind w:firstLine="48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综上分析</w:t>
            </w:r>
            <w:r>
              <w:rPr>
                <w:color w:val="000000" w:themeColor="text1"/>
                <w14:textFill>
                  <w14:solidFill>
                    <w14:schemeClr w14:val="tx1"/>
                  </w14:solidFill>
                </w14:textFill>
              </w:rPr>
              <w:t>，建设项目厂址地理位置优越，交通便利，</w:t>
            </w:r>
            <w:r>
              <w:rPr>
                <w:rFonts w:hint="eastAsia"/>
                <w:color w:val="000000" w:themeColor="text1"/>
                <w:lang w:val="en-US" w:eastAsia="zh-CN"/>
                <w14:textFill>
                  <w14:solidFill>
                    <w14:schemeClr w14:val="tx1"/>
                  </w14:solidFill>
                </w14:textFill>
              </w:rPr>
              <w:t>选址符合园区规划要求，与周边环境相容，</w:t>
            </w:r>
            <w:r>
              <w:rPr>
                <w:color w:val="000000" w:themeColor="text1"/>
                <w14:textFill>
                  <w14:solidFill>
                    <w14:schemeClr w14:val="tx1"/>
                  </w14:solidFill>
                </w14:textFill>
              </w:rPr>
              <w:t>本项目选址合理。</w:t>
            </w:r>
          </w:p>
          <w:p w14:paraId="0142D311">
            <w:pPr>
              <w:spacing w:line="360" w:lineRule="auto"/>
              <w:rPr>
                <w:b/>
                <w:bCs/>
                <w:color w:val="000000" w:themeColor="text1"/>
                <w:kern w:val="0"/>
                <w14:textFill>
                  <w14:solidFill>
                    <w14:schemeClr w14:val="tx1"/>
                  </w14:solidFill>
                </w14:textFill>
              </w:rPr>
            </w:pPr>
            <w:r>
              <w:rPr>
                <w:rFonts w:hint="eastAsia"/>
                <w:b/>
                <w:bCs/>
                <w:color w:val="000000" w:themeColor="text1"/>
                <w:lang w:val="en-US" w:eastAsia="zh-CN" w:bidi="ar"/>
                <w14:textFill>
                  <w14:solidFill>
                    <w14:schemeClr w14:val="tx1"/>
                  </w14:solidFill>
                </w14:textFill>
              </w:rPr>
              <w:t>三</w:t>
            </w:r>
            <w:r>
              <w:rPr>
                <w:b/>
                <w:bCs/>
                <w:color w:val="000000" w:themeColor="text1"/>
                <w:lang w:bidi="ar"/>
                <w14:textFill>
                  <w14:solidFill>
                    <w14:schemeClr w14:val="tx1"/>
                  </w14:solidFill>
                </w14:textFill>
              </w:rPr>
              <w:t>、</w:t>
            </w:r>
            <w:r>
              <w:rPr>
                <w:rFonts w:hint="eastAsia"/>
                <w:b/>
                <w:bCs/>
                <w:color w:val="000000" w:themeColor="text1"/>
                <w:lang w:eastAsia="zh-CN" w:bidi="ar"/>
                <w14:textFill>
                  <w14:solidFill>
                    <w14:schemeClr w14:val="tx1"/>
                  </w14:solidFill>
                </w14:textFill>
              </w:rPr>
              <w:t>“</w:t>
            </w:r>
            <w:r>
              <w:rPr>
                <w:b/>
                <w:bCs/>
                <w:color w:val="000000" w:themeColor="text1"/>
                <w:kern w:val="0"/>
                <w14:textFill>
                  <w14:solidFill>
                    <w14:schemeClr w14:val="tx1"/>
                  </w14:solidFill>
                </w14:textFill>
              </w:rPr>
              <w:t>三线一单</w:t>
            </w:r>
            <w:r>
              <w:rPr>
                <w:rFonts w:hint="eastAsia"/>
                <w:b/>
                <w:bCs/>
                <w:color w:val="000000" w:themeColor="text1"/>
                <w:kern w:val="0"/>
                <w:lang w:eastAsia="zh-CN"/>
                <w14:textFill>
                  <w14:solidFill>
                    <w14:schemeClr w14:val="tx1"/>
                  </w14:solidFill>
                </w14:textFill>
              </w:rPr>
              <w:t>”</w:t>
            </w:r>
            <w:r>
              <w:rPr>
                <w:b/>
                <w:bCs/>
                <w:color w:val="000000" w:themeColor="text1"/>
                <w:kern w:val="0"/>
                <w14:textFill>
                  <w14:solidFill>
                    <w14:schemeClr w14:val="tx1"/>
                  </w14:solidFill>
                </w14:textFill>
              </w:rPr>
              <w:t>符合性分析：</w:t>
            </w:r>
          </w:p>
          <w:p w14:paraId="1B9CCD8C">
            <w:pPr>
              <w:spacing w:line="360" w:lineRule="auto"/>
              <w:rPr>
                <w:b/>
                <w:bCs w:val="0"/>
                <w:color w:val="000000" w:themeColor="text1"/>
                <w:kern w:val="0"/>
                <w14:textFill>
                  <w14:solidFill>
                    <w14:schemeClr w14:val="tx1"/>
                  </w14:solidFill>
                </w14:textFill>
              </w:rPr>
            </w:pPr>
            <w:r>
              <w:rPr>
                <w:rFonts w:hint="eastAsia"/>
                <w:b/>
                <w:bCs w:val="0"/>
                <w:color w:val="000000" w:themeColor="text1"/>
                <w:kern w:val="0"/>
                <w:lang w:val="en-US" w:eastAsia="zh-CN"/>
                <w14:textFill>
                  <w14:solidFill>
                    <w14:schemeClr w14:val="tx1"/>
                  </w14:solidFill>
                </w14:textFill>
              </w:rPr>
              <w:t>1、</w:t>
            </w:r>
            <w:r>
              <w:rPr>
                <w:b/>
                <w:bCs w:val="0"/>
                <w:color w:val="000000" w:themeColor="text1"/>
                <w:kern w:val="0"/>
                <w14:textFill>
                  <w14:solidFill>
                    <w14:schemeClr w14:val="tx1"/>
                  </w14:solidFill>
                </w14:textFill>
              </w:rPr>
              <w:t>生态保护红线</w:t>
            </w:r>
          </w:p>
          <w:p w14:paraId="4C2FC62F">
            <w:pPr>
              <w:spacing w:line="360" w:lineRule="auto"/>
              <w:ind w:firstLine="480"/>
              <w:rPr>
                <w:rFonts w:hint="eastAsia" w:eastAsia="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w:t>
            </w:r>
            <w:r>
              <w:rPr>
                <w:rFonts w:hint="default" w:ascii="Times New Roman" w:hAnsi="Times New Roman" w:cs="Times New Roman"/>
                <w:color w:val="000000" w:themeColor="text1"/>
                <w:sz w:val="24"/>
                <w:lang w:eastAsia="zh-CN"/>
                <w14:textFill>
                  <w14:solidFill>
                    <w14:schemeClr w14:val="tx1"/>
                  </w14:solidFill>
                </w14:textFill>
              </w:rPr>
              <w:t>《宿州市生态环境分区管控编制文本》</w:t>
            </w:r>
            <w:r>
              <w:rPr>
                <w:rFonts w:hint="default" w:ascii="Times New Roman" w:hAnsi="Times New Roman" w:cs="Times New Roman"/>
                <w:color w:val="000000" w:themeColor="text1"/>
                <w:sz w:val="24"/>
                <w14:textFill>
                  <w14:solidFill>
                    <w14:schemeClr w14:val="tx1"/>
                  </w14:solidFill>
                </w14:textFill>
              </w:rPr>
              <w:t>，宿州市生态保护红线区面积为349</w:t>
            </w:r>
            <w:r>
              <w:rPr>
                <w:rFonts w:hint="default" w:ascii="Times New Roman" w:hAnsi="Times New Roman" w:cs="Times New Roman"/>
                <w:color w:val="000000" w:themeColor="text1"/>
                <w:sz w:val="24"/>
                <w:lang w:val="en-US" w:eastAsia="zh-CN"/>
                <w14:textFill>
                  <w14:solidFill>
                    <w14:schemeClr w14:val="tx1"/>
                  </w14:solidFill>
                </w14:textFill>
              </w:rPr>
              <w:t>.58</w:t>
            </w:r>
            <w:r>
              <w:rPr>
                <w:rFonts w:hint="default" w:ascii="Times New Roman" w:hAnsi="Times New Roman" w:cs="Times New Roman"/>
                <w:color w:val="000000" w:themeColor="text1"/>
                <w:sz w:val="24"/>
                <w14:textFill>
                  <w14:solidFill>
                    <w14:schemeClr w14:val="tx1"/>
                  </w14:solidFill>
                </w14:textFill>
              </w:rPr>
              <w:t>km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，占全市国土面积的3.51%，宿州市内泗县和灵璧县红线面积比例最低，分别</w:t>
            </w:r>
            <w:r>
              <w:rPr>
                <w:rFonts w:hint="eastAsia" w:cs="Times New Roman"/>
                <w:color w:val="000000" w:themeColor="text1"/>
                <w:sz w:val="24"/>
                <w:lang w:val="en-US" w:eastAsia="zh-CN"/>
                <w14:textFill>
                  <w14:solidFill>
                    <w14:schemeClr w14:val="tx1"/>
                  </w14:solidFill>
                </w14:textFill>
              </w:rPr>
              <w:t>为</w:t>
            </w:r>
            <w:r>
              <w:rPr>
                <w:rFonts w:hint="default" w:ascii="Times New Roman" w:hAnsi="Times New Roman" w:cs="Times New Roman"/>
                <w:color w:val="000000" w:themeColor="text1"/>
                <w:sz w:val="24"/>
                <w14:textFill>
                  <w14:solidFill>
                    <w14:schemeClr w14:val="tx1"/>
                  </w14:solidFill>
                </w14:textFill>
              </w:rPr>
              <w:t>县域面积的1.55%和0.39%。砀山县的红线面积最高为9.52%。宿州市的生态保护红线主要分布如下表所示</w:t>
            </w:r>
            <w:r>
              <w:rPr>
                <w:rFonts w:hint="default" w:ascii="Times New Roman" w:hAnsi="Times New Roman" w:cs="Times New Roman"/>
                <w:color w:val="000000" w:themeColor="text1"/>
                <w:kern w:val="0"/>
                <w:szCs w:val="24"/>
                <w14:textFill>
                  <w14:solidFill>
                    <w14:schemeClr w14:val="tx1"/>
                  </w14:solidFill>
                </w14:textFill>
              </w:rPr>
              <w:t>。</w:t>
            </w:r>
          </w:p>
          <w:p w14:paraId="68ACC303">
            <w:pPr>
              <w:adjustRightInd w:val="0"/>
              <w:snapToGrid w:val="0"/>
              <w:jc w:val="center"/>
              <w:rPr>
                <w:b/>
                <w:color w:val="000000" w:themeColor="text1"/>
                <w:szCs w:val="28"/>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-4</w:t>
            </w:r>
            <w:r>
              <w:rPr>
                <w:b/>
                <w:bCs/>
                <w:color w:val="000000" w:themeColor="text1"/>
                <w14:textFill>
                  <w14:solidFill>
                    <w14:schemeClr w14:val="tx1"/>
                  </w14:solidFill>
                </w14:textFill>
              </w:rPr>
              <w:t xml:space="preserve">  宿州市生态保护红线登记表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59"/>
              <w:gridCol w:w="1047"/>
              <w:gridCol w:w="2767"/>
              <w:gridCol w:w="745"/>
              <w:gridCol w:w="891"/>
            </w:tblGrid>
            <w:tr w14:paraId="2EE1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Align w:val="center"/>
                </w:tcPr>
                <w:p w14:paraId="74301E2E">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类型</w:t>
                  </w:r>
                </w:p>
              </w:tc>
              <w:tc>
                <w:tcPr>
                  <w:tcW w:w="611" w:type="pct"/>
                  <w:vAlign w:val="center"/>
                </w:tcPr>
                <w:p w14:paraId="1628617F">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745" w:type="pct"/>
                  <w:vAlign w:val="center"/>
                </w:tcPr>
                <w:p w14:paraId="08E82D30">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生态系统特征</w:t>
                  </w:r>
                </w:p>
              </w:tc>
              <w:tc>
                <w:tcPr>
                  <w:tcW w:w="1968" w:type="pct"/>
                  <w:vAlign w:val="center"/>
                </w:tcPr>
                <w:p w14:paraId="7DF2DA94">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保护地名录</w:t>
                  </w:r>
                </w:p>
              </w:tc>
              <w:tc>
                <w:tcPr>
                  <w:tcW w:w="530" w:type="pct"/>
                  <w:vAlign w:val="center"/>
                </w:tcPr>
                <w:p w14:paraId="4BD59DF7">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所属</w:t>
                  </w:r>
                </w:p>
                <w:p w14:paraId="1B888684">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行政区</w:t>
                  </w:r>
                </w:p>
              </w:tc>
              <w:tc>
                <w:tcPr>
                  <w:tcW w:w="633" w:type="pct"/>
                  <w:vAlign w:val="center"/>
                </w:tcPr>
                <w:p w14:paraId="6CD98F6B">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面积</w:t>
                  </w:r>
                </w:p>
                <w:p w14:paraId="09E5DEFB">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/km</w:t>
                  </w:r>
                  <w:r>
                    <w:rPr>
                      <w:b/>
                      <w:color w:val="000000" w:themeColor="text1"/>
                      <w:sz w:val="21"/>
                      <w:szCs w:val="21"/>
                      <w:vertAlign w:val="superscript"/>
                      <w14:textFill>
                        <w14:solidFill>
                          <w14:schemeClr w14:val="tx1"/>
                        </w14:solidFill>
                      </w14:textFill>
                    </w:rPr>
                    <w:t>2</w:t>
                  </w:r>
                </w:p>
              </w:tc>
            </w:tr>
            <w:tr w14:paraId="11DA0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restart"/>
                  <w:vAlign w:val="center"/>
                </w:tcPr>
                <w:p w14:paraId="7846179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Ⅱ水土保持生态保护红线</w:t>
                  </w:r>
                </w:p>
              </w:tc>
              <w:tc>
                <w:tcPr>
                  <w:tcW w:w="611" w:type="pct"/>
                  <w:vMerge w:val="restart"/>
                  <w:vAlign w:val="center"/>
                </w:tcPr>
                <w:p w14:paraId="6DDEA04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Ⅱ-1淮北河间平原农产品提供及水土保持生态保护红线</w:t>
                  </w:r>
                </w:p>
              </w:tc>
              <w:tc>
                <w:tcPr>
                  <w:tcW w:w="745" w:type="pct"/>
                  <w:vMerge w:val="restart"/>
                  <w:vAlign w:val="center"/>
                </w:tcPr>
                <w:p w14:paraId="6EB2E2E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暖温带落叶阔叶林带</w:t>
                  </w:r>
                </w:p>
              </w:tc>
              <w:tc>
                <w:tcPr>
                  <w:tcW w:w="1968" w:type="pct"/>
                  <w:vMerge w:val="restart"/>
                  <w:vAlign w:val="center"/>
                </w:tcPr>
                <w:p w14:paraId="722C777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宿州大方寺省级自然保护区、泗县沱河省级自然保护区、泗县新汴河省级湿地自然公园、安徽灵璧磬云山国家地质自然公园、泗县沱河省级自然保护区、安徽泗县石龙湖国家湿地公园</w:t>
                  </w:r>
                </w:p>
              </w:tc>
              <w:tc>
                <w:tcPr>
                  <w:tcW w:w="530" w:type="pct"/>
                  <w:vAlign w:val="center"/>
                </w:tcPr>
                <w:p w14:paraId="5D3F930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灵璧县</w:t>
                  </w:r>
                </w:p>
              </w:tc>
              <w:tc>
                <w:tcPr>
                  <w:tcW w:w="633" w:type="pct"/>
                  <w:vAlign w:val="center"/>
                </w:tcPr>
                <w:p w14:paraId="0BFCF9E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r>
                    <w:rPr>
                      <w:rFonts w:hint="eastAsia"/>
                      <w:color w:val="000000" w:themeColor="text1"/>
                      <w:sz w:val="21"/>
                      <w:szCs w:val="21"/>
                      <w14:textFill>
                        <w14:solidFill>
                          <w14:schemeClr w14:val="tx1"/>
                        </w14:solidFill>
                      </w14:textFill>
                    </w:rPr>
                    <w:t>2</w:t>
                  </w:r>
                </w:p>
              </w:tc>
            </w:tr>
            <w:tr w14:paraId="002A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vAlign w:val="center"/>
                </w:tcPr>
                <w:p w14:paraId="1DC95567">
                  <w:pPr>
                    <w:jc w:val="center"/>
                    <w:rPr>
                      <w:color w:val="000000" w:themeColor="text1"/>
                      <w:sz w:val="21"/>
                      <w:szCs w:val="21"/>
                      <w14:textFill>
                        <w14:solidFill>
                          <w14:schemeClr w14:val="tx1"/>
                        </w14:solidFill>
                      </w14:textFill>
                    </w:rPr>
                  </w:pPr>
                </w:p>
              </w:tc>
              <w:tc>
                <w:tcPr>
                  <w:tcW w:w="611" w:type="pct"/>
                  <w:vMerge w:val="continue"/>
                  <w:vAlign w:val="center"/>
                </w:tcPr>
                <w:p w14:paraId="7952FE10">
                  <w:pPr>
                    <w:jc w:val="center"/>
                    <w:rPr>
                      <w:color w:val="000000" w:themeColor="text1"/>
                      <w:sz w:val="21"/>
                      <w:szCs w:val="21"/>
                      <w14:textFill>
                        <w14:solidFill>
                          <w14:schemeClr w14:val="tx1"/>
                        </w14:solidFill>
                      </w14:textFill>
                    </w:rPr>
                  </w:pPr>
                </w:p>
              </w:tc>
              <w:tc>
                <w:tcPr>
                  <w:tcW w:w="745" w:type="pct"/>
                  <w:vMerge w:val="continue"/>
                  <w:vAlign w:val="center"/>
                </w:tcPr>
                <w:p w14:paraId="5C4142CD">
                  <w:pPr>
                    <w:jc w:val="center"/>
                    <w:rPr>
                      <w:color w:val="000000" w:themeColor="text1"/>
                      <w:sz w:val="21"/>
                      <w:szCs w:val="21"/>
                      <w14:textFill>
                        <w14:solidFill>
                          <w14:schemeClr w14:val="tx1"/>
                        </w14:solidFill>
                      </w14:textFill>
                    </w:rPr>
                  </w:pPr>
                </w:p>
              </w:tc>
              <w:tc>
                <w:tcPr>
                  <w:tcW w:w="1968" w:type="pct"/>
                  <w:vMerge w:val="continue"/>
                  <w:vAlign w:val="center"/>
                </w:tcPr>
                <w:p w14:paraId="7CB16B68">
                  <w:pPr>
                    <w:jc w:val="center"/>
                    <w:rPr>
                      <w:color w:val="000000" w:themeColor="text1"/>
                      <w:sz w:val="21"/>
                      <w:szCs w:val="21"/>
                      <w14:textFill>
                        <w14:solidFill>
                          <w14:schemeClr w14:val="tx1"/>
                        </w14:solidFill>
                      </w14:textFill>
                    </w:rPr>
                  </w:pPr>
                </w:p>
              </w:tc>
              <w:tc>
                <w:tcPr>
                  <w:tcW w:w="530" w:type="pct"/>
                  <w:vAlign w:val="center"/>
                </w:tcPr>
                <w:p w14:paraId="4E9336D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泗县</w:t>
                  </w:r>
                </w:p>
              </w:tc>
              <w:tc>
                <w:tcPr>
                  <w:tcW w:w="633" w:type="pct"/>
                  <w:vAlign w:val="center"/>
                </w:tcPr>
                <w:p w14:paraId="47DE68A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28.82</w:t>
                  </w:r>
                </w:p>
              </w:tc>
            </w:tr>
            <w:tr w14:paraId="5D4F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vAlign w:val="center"/>
                </w:tcPr>
                <w:p w14:paraId="7998E470">
                  <w:pPr>
                    <w:jc w:val="center"/>
                    <w:rPr>
                      <w:color w:val="000000" w:themeColor="text1"/>
                      <w:sz w:val="21"/>
                      <w:szCs w:val="21"/>
                      <w14:textFill>
                        <w14:solidFill>
                          <w14:schemeClr w14:val="tx1"/>
                        </w14:solidFill>
                      </w14:textFill>
                    </w:rPr>
                  </w:pPr>
                </w:p>
              </w:tc>
              <w:tc>
                <w:tcPr>
                  <w:tcW w:w="611" w:type="pct"/>
                  <w:vMerge w:val="continue"/>
                  <w:vAlign w:val="center"/>
                </w:tcPr>
                <w:p w14:paraId="6B62EACA">
                  <w:pPr>
                    <w:jc w:val="center"/>
                    <w:rPr>
                      <w:color w:val="000000" w:themeColor="text1"/>
                      <w:sz w:val="21"/>
                      <w:szCs w:val="21"/>
                      <w14:textFill>
                        <w14:solidFill>
                          <w14:schemeClr w14:val="tx1"/>
                        </w14:solidFill>
                      </w14:textFill>
                    </w:rPr>
                  </w:pPr>
                </w:p>
              </w:tc>
              <w:tc>
                <w:tcPr>
                  <w:tcW w:w="745" w:type="pct"/>
                  <w:vMerge w:val="continue"/>
                  <w:vAlign w:val="center"/>
                </w:tcPr>
                <w:p w14:paraId="4EAD27FF">
                  <w:pPr>
                    <w:jc w:val="center"/>
                    <w:rPr>
                      <w:color w:val="000000" w:themeColor="text1"/>
                      <w:sz w:val="21"/>
                      <w:szCs w:val="21"/>
                      <w14:textFill>
                        <w14:solidFill>
                          <w14:schemeClr w14:val="tx1"/>
                        </w14:solidFill>
                      </w14:textFill>
                    </w:rPr>
                  </w:pPr>
                </w:p>
              </w:tc>
              <w:tc>
                <w:tcPr>
                  <w:tcW w:w="1968" w:type="pct"/>
                  <w:vMerge w:val="continue"/>
                  <w:vAlign w:val="center"/>
                </w:tcPr>
                <w:p w14:paraId="37A66882">
                  <w:pPr>
                    <w:jc w:val="center"/>
                    <w:rPr>
                      <w:color w:val="000000" w:themeColor="text1"/>
                      <w:sz w:val="21"/>
                      <w:szCs w:val="21"/>
                      <w14:textFill>
                        <w14:solidFill>
                          <w14:schemeClr w14:val="tx1"/>
                        </w14:solidFill>
                      </w14:textFill>
                    </w:rPr>
                  </w:pPr>
                </w:p>
              </w:tc>
              <w:tc>
                <w:tcPr>
                  <w:tcW w:w="530" w:type="pct"/>
                  <w:vAlign w:val="center"/>
                </w:tcPr>
                <w:p w14:paraId="25BDFA3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埇桥区</w:t>
                  </w:r>
                </w:p>
              </w:tc>
              <w:tc>
                <w:tcPr>
                  <w:tcW w:w="633" w:type="pct"/>
                  <w:vAlign w:val="center"/>
                </w:tcPr>
                <w:p w14:paraId="3CCE28F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65.24</w:t>
                  </w:r>
                </w:p>
              </w:tc>
            </w:tr>
            <w:tr w14:paraId="108F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restart"/>
                  <w:vAlign w:val="center"/>
                </w:tcPr>
                <w:p w14:paraId="67B5B52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Ⅲ生物多样性维护生态保护红线</w:t>
                  </w:r>
                </w:p>
              </w:tc>
              <w:tc>
                <w:tcPr>
                  <w:tcW w:w="611" w:type="pct"/>
                  <w:vMerge w:val="restart"/>
                  <w:vAlign w:val="center"/>
                </w:tcPr>
                <w:p w14:paraId="779CC6C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Ⅲ-1淮北平原北部生物多样性维护及水土保持生态保护红线</w:t>
                  </w:r>
                </w:p>
              </w:tc>
              <w:tc>
                <w:tcPr>
                  <w:tcW w:w="745" w:type="pct"/>
                  <w:vMerge w:val="restart"/>
                  <w:vAlign w:val="center"/>
                </w:tcPr>
                <w:p w14:paraId="196F8C0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暖温带落叶阔叶林带</w:t>
                  </w:r>
                </w:p>
              </w:tc>
              <w:tc>
                <w:tcPr>
                  <w:tcW w:w="1968" w:type="pct"/>
                  <w:vMerge w:val="restart"/>
                  <w:vAlign w:val="center"/>
                </w:tcPr>
                <w:p w14:paraId="7047DD3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530" w:type="pct"/>
                  <w:vAlign w:val="center"/>
                </w:tcPr>
                <w:p w14:paraId="44423F9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砀山县</w:t>
                  </w:r>
                </w:p>
              </w:tc>
              <w:tc>
                <w:tcPr>
                  <w:tcW w:w="633" w:type="pct"/>
                  <w:vAlign w:val="center"/>
                </w:tcPr>
                <w:p w14:paraId="7FE0A67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113.87</w:t>
                  </w:r>
                </w:p>
              </w:tc>
            </w:tr>
            <w:tr w14:paraId="3534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vAlign w:val="center"/>
                </w:tcPr>
                <w:p w14:paraId="516B8DB6">
                  <w:pPr>
                    <w:jc w:val="center"/>
                    <w:rPr>
                      <w:color w:val="000000" w:themeColor="text1"/>
                      <w:sz w:val="21"/>
                      <w:szCs w:val="21"/>
                      <w14:textFill>
                        <w14:solidFill>
                          <w14:schemeClr w14:val="tx1"/>
                        </w14:solidFill>
                      </w14:textFill>
                    </w:rPr>
                  </w:pPr>
                </w:p>
              </w:tc>
              <w:tc>
                <w:tcPr>
                  <w:tcW w:w="611" w:type="pct"/>
                  <w:vMerge w:val="continue"/>
                  <w:vAlign w:val="center"/>
                </w:tcPr>
                <w:p w14:paraId="2B91E47E">
                  <w:pPr>
                    <w:jc w:val="center"/>
                    <w:rPr>
                      <w:color w:val="000000" w:themeColor="text1"/>
                      <w:sz w:val="21"/>
                      <w:szCs w:val="21"/>
                      <w14:textFill>
                        <w14:solidFill>
                          <w14:schemeClr w14:val="tx1"/>
                        </w14:solidFill>
                      </w14:textFill>
                    </w:rPr>
                  </w:pPr>
                </w:p>
              </w:tc>
              <w:tc>
                <w:tcPr>
                  <w:tcW w:w="745" w:type="pct"/>
                  <w:vMerge w:val="continue"/>
                  <w:vAlign w:val="center"/>
                </w:tcPr>
                <w:p w14:paraId="33E3E790">
                  <w:pPr>
                    <w:jc w:val="center"/>
                    <w:rPr>
                      <w:color w:val="000000" w:themeColor="text1"/>
                      <w:sz w:val="21"/>
                      <w:szCs w:val="21"/>
                      <w14:textFill>
                        <w14:solidFill>
                          <w14:schemeClr w14:val="tx1"/>
                        </w14:solidFill>
                      </w14:textFill>
                    </w:rPr>
                  </w:pPr>
                </w:p>
              </w:tc>
              <w:tc>
                <w:tcPr>
                  <w:tcW w:w="1968" w:type="pct"/>
                  <w:vMerge w:val="continue"/>
                  <w:vAlign w:val="center"/>
                </w:tcPr>
                <w:p w14:paraId="53C90E01">
                  <w:pPr>
                    <w:jc w:val="center"/>
                    <w:rPr>
                      <w:color w:val="000000" w:themeColor="text1"/>
                      <w:sz w:val="21"/>
                      <w:szCs w:val="21"/>
                      <w14:textFill>
                        <w14:solidFill>
                          <w14:schemeClr w14:val="tx1"/>
                        </w14:solidFill>
                      </w14:textFill>
                    </w:rPr>
                  </w:pPr>
                </w:p>
              </w:tc>
              <w:tc>
                <w:tcPr>
                  <w:tcW w:w="530" w:type="pct"/>
                  <w:vAlign w:val="center"/>
                </w:tcPr>
                <w:p w14:paraId="0A5E36D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萧县</w:t>
                  </w:r>
                </w:p>
              </w:tc>
              <w:tc>
                <w:tcPr>
                  <w:tcW w:w="633" w:type="pct"/>
                  <w:vAlign w:val="center"/>
                </w:tcPr>
                <w:p w14:paraId="0D18568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03.45</w:t>
                  </w:r>
                </w:p>
              </w:tc>
            </w:tr>
          </w:tbl>
          <w:p w14:paraId="468B310B">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b w:val="0"/>
                <w:bCs/>
                <w:color w:val="000000" w:themeColor="text1"/>
                <w:kern w:val="0"/>
                <w:lang w:val="en-US" w:eastAsia="zh-CN"/>
                <w14:textFill>
                  <w14:solidFill>
                    <w14:schemeClr w14:val="tx1"/>
                  </w14:solidFill>
                </w14:textFill>
              </w:rPr>
            </w:pPr>
            <w:r>
              <w:rPr>
                <w:rFonts w:hint="eastAsia"/>
                <w:b w:val="0"/>
                <w:bCs/>
                <w:color w:val="000000" w:themeColor="text1"/>
                <w:kern w:val="0"/>
                <w:lang w:val="en-US" w:eastAsia="zh-CN"/>
                <w14:textFill>
                  <w14:solidFill>
                    <w14:schemeClr w14:val="tx1"/>
                  </w14:solidFill>
                </w14:textFill>
              </w:rPr>
              <w:t>本项目位于泗县经济开发区，不在以上涉及的生态保护红线区域内，因此，本项目选址不涉及宿州市生态保护红线。</w:t>
            </w:r>
          </w:p>
          <w:p w14:paraId="45693A87">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val="0"/>
                <w:color w:val="000000" w:themeColor="text1"/>
                <w:kern w:val="0"/>
                <w14:textFill>
                  <w14:solidFill>
                    <w14:schemeClr w14:val="tx1"/>
                  </w14:solidFill>
                </w14:textFill>
              </w:rPr>
            </w:pPr>
            <w:r>
              <w:rPr>
                <w:rFonts w:hint="eastAsia"/>
                <w:b/>
                <w:bCs w:val="0"/>
                <w:color w:val="000000" w:themeColor="text1"/>
                <w:kern w:val="0"/>
                <w:lang w:val="en-US" w:eastAsia="zh-CN"/>
                <w14:textFill>
                  <w14:solidFill>
                    <w14:schemeClr w14:val="tx1"/>
                  </w14:solidFill>
                </w14:textFill>
              </w:rPr>
              <w:t>2、</w:t>
            </w:r>
            <w:r>
              <w:rPr>
                <w:b/>
                <w:bCs w:val="0"/>
                <w:color w:val="000000" w:themeColor="text1"/>
                <w:kern w:val="0"/>
                <w14:textFill>
                  <w14:solidFill>
                    <w14:schemeClr w14:val="tx1"/>
                  </w14:solidFill>
                </w14:textFill>
              </w:rPr>
              <w:t>环境质量底线</w:t>
            </w:r>
          </w:p>
          <w:p w14:paraId="76362CD6">
            <w:pPr>
              <w:spacing w:line="360" w:lineRule="auto"/>
              <w:ind w:firstLine="472"/>
              <w:rPr>
                <w:rFonts w:hint="default" w:eastAsia="宋体" w:cs="Times New Roman"/>
                <w:b/>
                <w:bCs/>
                <w:color w:val="000000" w:themeColor="text1"/>
                <w:szCs w:val="24"/>
                <w:lang w:val="en-US"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（1）大气环境质量底线及分区管控</w:t>
            </w:r>
          </w:p>
          <w:p w14:paraId="32904260">
            <w:pPr>
              <w:spacing w:line="360" w:lineRule="auto"/>
              <w:ind w:firstLine="472"/>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Cs w:val="24"/>
                <w:lang w:val="en-US" w:eastAsia="zh-CN"/>
                <w14:textFill>
                  <w14:solidFill>
                    <w14:schemeClr w14:val="tx1"/>
                  </w14:solidFill>
                </w14:textFill>
              </w:rPr>
              <w:t>大气环境质量底线</w:t>
            </w:r>
          </w:p>
          <w:p w14:paraId="0AECF497">
            <w:pPr>
              <w:spacing w:line="360" w:lineRule="auto"/>
              <w:ind w:firstLine="472"/>
              <w:rPr>
                <w:rFonts w:hint="default" w:cs="Times New Roman"/>
                <w:color w:val="000000" w:themeColor="text1"/>
                <w:szCs w:val="24"/>
                <w:lang w:val="en-US"/>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根据《环境空气质量模型技术支持服务系统》对区域达标情况进行判定，宿州市202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年SO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年均浓度分别为6</w:t>
            </w:r>
            <w:r>
              <w:rPr>
                <w:rFonts w:hint="default" w:ascii="Times New Roman" w:hAnsi="Times New Roman" w:eastAsia="宋体" w:cs="Times New Roman"/>
                <w:color w:val="000000" w:themeColor="text1"/>
                <w:sz w:val="24"/>
                <w:szCs w:val="24"/>
                <w:lang w:eastAsia="zh-CN"/>
                <w14:textFill>
                  <w14:solidFill>
                    <w14:schemeClr w14:val="tx1"/>
                  </w14:solidFill>
                </w14:textFill>
              </w:rPr>
              <w:t>μg/m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8</w:t>
            </w:r>
            <w:r>
              <w:rPr>
                <w:rFonts w:hint="default" w:ascii="Times New Roman" w:hAnsi="Times New Roman" w:eastAsia="宋体" w:cs="Times New Roman"/>
                <w:color w:val="000000" w:themeColor="text1"/>
                <w:sz w:val="24"/>
                <w:szCs w:val="24"/>
                <w:lang w:eastAsia="zh-CN"/>
                <w14:textFill>
                  <w14:solidFill>
                    <w14:schemeClr w14:val="tx1"/>
                  </w14:solidFill>
                </w14:textFill>
              </w:rPr>
              <w:t>μg/m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71</w:t>
            </w:r>
            <w:r>
              <w:rPr>
                <w:rFonts w:hint="default" w:ascii="Times New Roman" w:hAnsi="Times New Roman" w:eastAsia="宋体" w:cs="Times New Roman"/>
                <w:color w:val="000000" w:themeColor="text1"/>
                <w:sz w:val="24"/>
                <w:szCs w:val="24"/>
                <w:lang w:eastAsia="zh-CN"/>
                <w14:textFill>
                  <w14:solidFill>
                    <w14:schemeClr w14:val="tx1"/>
                  </w14:solidFill>
                </w14:textFill>
              </w:rPr>
              <w:t>μg/m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μg/m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；CO 24小时平均第95百分位数为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日最大8小时平均第90百分位数为1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70</w:t>
            </w:r>
            <w:r>
              <w:rPr>
                <w:rFonts w:hint="default" w:ascii="Times New Roman" w:hAnsi="Times New Roman" w:eastAsia="宋体" w:cs="Times New Roman"/>
                <w:color w:val="000000" w:themeColor="text1"/>
                <w:sz w:val="24"/>
                <w:szCs w:val="24"/>
                <w:lang w:eastAsia="zh-CN"/>
                <w14:textFill>
                  <w14:solidFill>
                    <w14:schemeClr w14:val="tx1"/>
                  </w14:solidFill>
                </w14:textFill>
              </w:rPr>
              <w:t>μg/m</w:t>
            </w:r>
            <w:r>
              <w:rPr>
                <w:rFonts w:hint="default"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；超过《环境空气质量标准》（GB3095-2012）中二级标准限值的污染物为PM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宿州市为不达标区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根据项目</w:t>
            </w:r>
            <w:r>
              <w:rPr>
                <w:rFonts w:hint="eastAsia" w:cs="Times New Roman"/>
                <w:color w:val="000000" w:themeColor="text1"/>
                <w:sz w:val="24"/>
                <w:szCs w:val="24"/>
                <w:lang w:val="en-US" w:eastAsia="zh-CN"/>
                <w14:textFill>
                  <w14:solidFill>
                    <w14:schemeClr w14:val="tx1"/>
                  </w14:solidFill>
                </w14:textFill>
              </w:rPr>
              <w:t>引用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监测，TSP满足相应大气环境质量标准限值要求。</w:t>
            </w:r>
          </w:p>
          <w:p w14:paraId="3CC4E56B">
            <w:pPr>
              <w:spacing w:line="360" w:lineRule="auto"/>
              <w:ind w:firstLine="472"/>
              <w:rPr>
                <w:rFonts w:hint="eastAsia" w:eastAsia="宋体" w:cs="Times New Roman"/>
                <w:color w:val="000000" w:themeColor="text1"/>
                <w:szCs w:val="24"/>
                <w:lang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2</w:t>
            </w:r>
            <w:r>
              <w:rPr>
                <w:rFonts w:hint="eastAsia" w:cs="Times New Roman"/>
                <w:color w:val="000000" w:themeColor="text1"/>
                <w:szCs w:val="24"/>
                <w:lang w:eastAsia="zh-CN"/>
                <w14:textFill>
                  <w14:solidFill>
                    <w14:schemeClr w14:val="tx1"/>
                  </w14:solidFill>
                </w14:textFill>
              </w:rPr>
              <w:t>）大气环境分区管控</w:t>
            </w:r>
          </w:p>
          <w:p w14:paraId="6F72D8A5">
            <w:pPr>
              <w:spacing w:line="360" w:lineRule="auto"/>
              <w:ind w:firstLine="472"/>
              <w:rPr>
                <w:rFonts w:hint="eastAsia" w:cs="Times New Roman"/>
                <w:color w:val="000000" w:themeColor="text1"/>
                <w:spacing w:val="-2"/>
                <w:kern w:val="0"/>
                <w14:textFill>
                  <w14:solidFill>
                    <w14:schemeClr w14:val="tx1"/>
                  </w14:solidFill>
                </w14:textFill>
              </w:rPr>
            </w:pPr>
            <w:r>
              <w:rPr>
                <w:rFonts w:hint="eastAsia" w:cs="Times New Roman"/>
                <w:color w:val="000000" w:themeColor="text1"/>
                <w:spacing w:val="-2"/>
                <w:kern w:val="0"/>
                <w14:textFill>
                  <w14:solidFill>
                    <w14:schemeClr w14:val="tx1"/>
                  </w14:solidFill>
                </w14:textFill>
              </w:rPr>
              <w:t>对照</w:t>
            </w:r>
            <w:r>
              <w:rPr>
                <w:rFonts w:hint="eastAsia" w:cs="Times New Roman"/>
                <w:color w:val="000000" w:themeColor="text1"/>
                <w:spacing w:val="-2"/>
                <w:kern w:val="0"/>
                <w:lang w:val="en-US" w:eastAsia="zh-CN"/>
                <w14:textFill>
                  <w14:solidFill>
                    <w14:schemeClr w14:val="tx1"/>
                  </w14:solidFill>
                </w14:textFill>
              </w:rPr>
              <w:t>宿州</w:t>
            </w:r>
            <w:r>
              <w:rPr>
                <w:rFonts w:hint="eastAsia" w:cs="Times New Roman"/>
                <w:color w:val="000000" w:themeColor="text1"/>
                <w:spacing w:val="-2"/>
                <w:kern w:val="0"/>
                <w14:textFill>
                  <w14:solidFill>
                    <w14:schemeClr w14:val="tx1"/>
                  </w14:solidFill>
                </w14:textFill>
              </w:rPr>
              <w:t>市大气环境分区管控图，项目位于</w:t>
            </w:r>
            <w:r>
              <w:rPr>
                <w:rFonts w:hint="eastAsia" w:cs="Times New Roman"/>
                <w:color w:val="000000" w:themeColor="text1"/>
                <w:spacing w:val="-2"/>
                <w:kern w:val="0"/>
                <w:lang w:val="en-US" w:eastAsia="zh-CN"/>
                <w14:textFill>
                  <w14:solidFill>
                    <w14:schemeClr w14:val="tx1"/>
                  </w14:solidFill>
                </w14:textFill>
              </w:rPr>
              <w:t>受体敏感重点</w:t>
            </w:r>
            <w:r>
              <w:rPr>
                <w:rFonts w:hint="eastAsia" w:cs="Times New Roman"/>
                <w:color w:val="000000" w:themeColor="text1"/>
                <w:spacing w:val="-2"/>
                <w:kern w:val="0"/>
                <w14:textFill>
                  <w14:solidFill>
                    <w14:schemeClr w14:val="tx1"/>
                  </w14:solidFill>
                </w14:textFill>
              </w:rPr>
              <w:t>管控区，管控要求如下：落实《安徽省大气污染防治条例》</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《安徽省碳达峰实施方案的通知》</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《安徽省工业领域碳达峰实施方案》</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《安徽省城乡建设领域碳达峰实施方案》</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《关于进一步加强新上“两高”项目管理的通知》</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《安徽省挥发性有机物污染整治工作方案》</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《关于进一步加强建设项目新增大气污染物总量控制指标管理工作的通知》</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《安徽省“十四五”节能减排实施方案》</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14:textFill>
                  <w14:solidFill>
                    <w14:schemeClr w14:val="tx1"/>
                  </w14:solidFill>
                </w14:textFill>
              </w:rPr>
              <w:t>《宿州市“十四五”节能减排实施方案》严格目标实施计划，加强环境监管，促进生态环境质量好转；新建、改建和扩建项目大气污染物实施“倍量替代”，执行特别排放标准的行业实施提标升级改造。</w:t>
            </w:r>
          </w:p>
          <w:p w14:paraId="371508ED">
            <w:pPr>
              <w:spacing w:line="360" w:lineRule="auto"/>
              <w:ind w:firstLine="472"/>
              <w:rPr>
                <w:rFonts w:hint="default" w:eastAsia="宋体" w:cs="Times New Roman"/>
                <w:color w:val="000000" w:themeColor="text1"/>
                <w:spacing w:val="-2"/>
                <w:kern w:val="0"/>
                <w:lang w:val="en-US" w:eastAsia="zh-CN"/>
                <w14:textFill>
                  <w14:solidFill>
                    <w14:schemeClr w14:val="tx1"/>
                  </w14:solidFill>
                </w14:textFill>
              </w:rPr>
            </w:pPr>
            <w:r>
              <w:rPr>
                <w:rFonts w:hint="eastAsia" w:cs="Times New Roman"/>
                <w:color w:val="000000" w:themeColor="text1"/>
                <w:spacing w:val="-2"/>
                <w:kern w:val="0"/>
                <w:lang w:val="en-US" w:eastAsia="zh-CN"/>
                <w14:textFill>
                  <w14:solidFill>
                    <w14:schemeClr w14:val="tx1"/>
                  </w14:solidFill>
                </w14:textFill>
              </w:rPr>
              <w:t>项目产生的废气经处理后污染物均能够实现达标排放，不会对区域大气环境质量产生明显影响，项目的建设不会降低区域大气环境质量功能，能够满足区域大气环境质量底线要求。综上，本项目建设能够满足大气环境重点管控区要求。</w:t>
            </w:r>
          </w:p>
          <w:p w14:paraId="7956D53F">
            <w:pPr>
              <w:spacing w:line="360" w:lineRule="auto"/>
              <w:ind w:firstLine="472"/>
              <w:rPr>
                <w:rFonts w:hint="eastAsia" w:eastAsia="宋体" w:cs="Times New Roman"/>
                <w:color w:val="000000" w:themeColor="text1"/>
                <w:spacing w:val="-2"/>
                <w:kern w:val="0"/>
                <w:lang w:val="en-US" w:eastAsia="zh-CN"/>
                <w14:textFill>
                  <w14:solidFill>
                    <w14:schemeClr w14:val="tx1"/>
                  </w14:solidFill>
                </w14:textFill>
              </w:rPr>
            </w:pPr>
            <w:r>
              <w:rPr>
                <w:rFonts w:hint="eastAsia" w:cs="Times New Roman"/>
                <w:b/>
                <w:bCs/>
                <w:color w:val="000000" w:themeColor="text1"/>
                <w:spacing w:val="-2"/>
                <w:kern w:val="0"/>
                <w:lang w:val="en-US" w:eastAsia="zh-CN"/>
                <w14:textFill>
                  <w14:solidFill>
                    <w14:schemeClr w14:val="tx1"/>
                  </w14:solidFill>
                </w14:textFill>
              </w:rPr>
              <w:t>（2）水</w:t>
            </w:r>
            <w:r>
              <w:rPr>
                <w:rFonts w:hint="eastAsia" w:cs="Times New Roman"/>
                <w:b/>
                <w:bCs/>
                <w:color w:val="000000" w:themeColor="text1"/>
                <w:szCs w:val="24"/>
                <w:lang w:val="en-US" w:eastAsia="zh-CN"/>
                <w14:textFill>
                  <w14:solidFill>
                    <w14:schemeClr w14:val="tx1"/>
                  </w14:solidFill>
                </w14:textFill>
              </w:rPr>
              <w:t>环境质量底线及分区管控</w:t>
            </w:r>
          </w:p>
          <w:p w14:paraId="47D4F5E7">
            <w:pPr>
              <w:spacing w:line="360" w:lineRule="auto"/>
              <w:ind w:firstLine="472"/>
              <w:rPr>
                <w:rFonts w:hint="default" w:eastAsia="宋体" w:cs="Times New Roman"/>
                <w:color w:val="000000" w:themeColor="text1"/>
                <w:spacing w:val="-2"/>
                <w:kern w:val="0"/>
                <w:lang w:val="en-US" w:eastAsia="zh-CN"/>
                <w14:textFill>
                  <w14:solidFill>
                    <w14:schemeClr w14:val="tx1"/>
                  </w14:solidFill>
                </w14:textFill>
              </w:rPr>
            </w:pPr>
            <w:r>
              <w:rPr>
                <w:rFonts w:hint="eastAsia" w:cs="Times New Roman"/>
                <w:color w:val="000000" w:themeColor="text1"/>
                <w:spacing w:val="-2"/>
                <w:kern w:val="0"/>
                <w:lang w:val="en-US" w:eastAsia="zh-CN"/>
                <w14:textFill>
                  <w14:solidFill>
                    <w14:schemeClr w14:val="tx1"/>
                  </w14:solidFill>
                </w14:textFill>
              </w:rPr>
              <w:t>1</w:t>
            </w:r>
            <w:r>
              <w:rPr>
                <w:rFonts w:hint="eastAsia" w:cs="Times New Roman"/>
                <w:color w:val="000000" w:themeColor="text1"/>
                <w:spacing w:val="-2"/>
                <w:kern w:val="0"/>
                <w:lang w:eastAsia="zh-CN"/>
                <w14:textFill>
                  <w14:solidFill>
                    <w14:schemeClr w14:val="tx1"/>
                  </w14:solidFill>
                </w14:textFill>
              </w:rPr>
              <w:t>）</w:t>
            </w:r>
            <w:r>
              <w:rPr>
                <w:rFonts w:hint="eastAsia" w:cs="Times New Roman"/>
                <w:color w:val="000000" w:themeColor="text1"/>
                <w:spacing w:val="-2"/>
                <w:kern w:val="0"/>
                <w:lang w:val="en-US" w:eastAsia="zh-CN"/>
                <w14:textFill>
                  <w14:solidFill>
                    <w14:schemeClr w14:val="tx1"/>
                  </w14:solidFill>
                </w14:textFill>
              </w:rPr>
              <w:t>水环境质量底线</w:t>
            </w:r>
          </w:p>
          <w:p w14:paraId="72E9C4C7">
            <w:pPr>
              <w:spacing w:line="360" w:lineRule="auto"/>
              <w:ind w:firstLine="472"/>
              <w:rPr>
                <w:rFonts w:hint="eastAsia" w:cs="Times New Roman"/>
                <w:color w:val="000000" w:themeColor="text1"/>
                <w:spacing w:val="-2"/>
                <w:kern w:val="0"/>
                <w:lang w:val="en-US" w:eastAsia="zh-CN"/>
                <w14:textFill>
                  <w14:solidFill>
                    <w14:schemeClr w14:val="tx1"/>
                  </w14:solidFill>
                </w14:textFill>
              </w:rPr>
            </w:pPr>
            <w:r>
              <w:rPr>
                <w:rFonts w:hint="eastAsia" w:cs="Times New Roman"/>
                <w:color w:val="000000" w:themeColor="text1"/>
                <w:spacing w:val="-2"/>
                <w:kern w:val="0"/>
                <w14:textFill>
                  <w14:solidFill>
                    <w14:schemeClr w14:val="tx1"/>
                  </w14:solidFill>
                </w14:textFill>
              </w:rPr>
              <w:t>石梁河水质不满足《地表水环境质量标准》（GB3838-2002）</w:t>
            </w:r>
            <w:r>
              <w:rPr>
                <w:rFonts w:hint="default" w:ascii="Times New Roman" w:hAnsi="Times New Roman" w:cs="Times New Roman"/>
                <w:color w:val="000000" w:themeColor="text1"/>
                <w:spacing w:val="-2"/>
                <w:kern w:val="0"/>
                <w14:textFill>
                  <w14:solidFill>
                    <w14:schemeClr w14:val="tx1"/>
                  </w14:solidFill>
                </w14:textFill>
              </w:rPr>
              <w:t>Ⅲ</w:t>
            </w:r>
            <w:r>
              <w:rPr>
                <w:rFonts w:hint="eastAsia" w:cs="Times New Roman"/>
                <w:color w:val="000000" w:themeColor="text1"/>
                <w:spacing w:val="-2"/>
                <w:kern w:val="0"/>
                <w14:textFill>
                  <w14:solidFill>
                    <w14:schemeClr w14:val="tx1"/>
                  </w14:solidFill>
                </w14:textFill>
              </w:rPr>
              <w:t>类标准要求；</w:t>
            </w:r>
            <w:r>
              <w:rPr>
                <w:rFonts w:hint="eastAsia" w:cs="Times New Roman"/>
                <w:color w:val="000000" w:themeColor="text1"/>
                <w:spacing w:val="-2"/>
                <w:kern w:val="0"/>
                <w:lang w:val="en-US" w:eastAsia="zh-CN"/>
                <w14:textFill>
                  <w14:solidFill>
                    <w14:schemeClr w14:val="tx1"/>
                  </w14:solidFill>
                </w14:textFill>
              </w:rPr>
              <w:t>泗县工业污水处理厂尾水进入泗县鹏鹞污水处理有限公司（泗县中水处理厂）进一步处理，最终排放至石梁河。根据泗县鹏鹞水处理有限公司（泗县中水处理厂）尾水出水水质要求，COD排入外环境的浓度为30mg/L，氨氮排入外环境的浓度为1.5mg/L，可有效改善纳污水体石梁河水质。</w:t>
            </w:r>
          </w:p>
          <w:p w14:paraId="7813CB34">
            <w:pPr>
              <w:spacing w:line="360" w:lineRule="auto"/>
              <w:ind w:firstLine="472"/>
              <w:rPr>
                <w:rFonts w:hint="eastAsia" w:eastAsia="宋体" w:cs="Times New Roman"/>
                <w:color w:val="000000" w:themeColor="text1"/>
                <w:szCs w:val="24"/>
                <w:lang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2</w:t>
            </w: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水</w:t>
            </w:r>
            <w:r>
              <w:rPr>
                <w:rFonts w:hint="eastAsia" w:cs="Times New Roman"/>
                <w:color w:val="000000" w:themeColor="text1"/>
                <w:szCs w:val="24"/>
                <w:lang w:eastAsia="zh-CN"/>
                <w14:textFill>
                  <w14:solidFill>
                    <w14:schemeClr w14:val="tx1"/>
                  </w14:solidFill>
                </w14:textFill>
              </w:rPr>
              <w:t>环境分区管控</w:t>
            </w:r>
          </w:p>
          <w:p w14:paraId="3C37A26B">
            <w:pPr>
              <w:spacing w:line="360" w:lineRule="auto"/>
              <w:ind w:firstLine="472"/>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pacing w:val="-2"/>
                <w:kern w:val="0"/>
                <w14:textFill>
                  <w14:solidFill>
                    <w14:schemeClr w14:val="tx1"/>
                  </w14:solidFill>
                </w14:textFill>
              </w:rPr>
              <w:t>对照</w:t>
            </w:r>
            <w:r>
              <w:rPr>
                <w:rFonts w:hint="eastAsia" w:cs="Times New Roman"/>
                <w:color w:val="000000" w:themeColor="text1"/>
                <w:spacing w:val="-2"/>
                <w:kern w:val="0"/>
                <w:lang w:val="en-US" w:eastAsia="zh-CN"/>
                <w14:textFill>
                  <w14:solidFill>
                    <w14:schemeClr w14:val="tx1"/>
                  </w14:solidFill>
                </w14:textFill>
              </w:rPr>
              <w:t>宿州</w:t>
            </w:r>
            <w:r>
              <w:rPr>
                <w:rFonts w:hint="eastAsia" w:cs="Times New Roman"/>
                <w:color w:val="000000" w:themeColor="text1"/>
                <w:spacing w:val="-2"/>
                <w:kern w:val="0"/>
                <w14:textFill>
                  <w14:solidFill>
                    <w14:schemeClr w14:val="tx1"/>
                  </w14:solidFill>
                </w14:textFill>
              </w:rPr>
              <w:t>市</w:t>
            </w:r>
            <w:r>
              <w:rPr>
                <w:rFonts w:hint="eastAsia" w:cs="Times New Roman"/>
                <w:color w:val="000000" w:themeColor="text1"/>
                <w:spacing w:val="-2"/>
                <w:kern w:val="0"/>
                <w:lang w:val="en-US" w:eastAsia="zh-CN"/>
                <w14:textFill>
                  <w14:solidFill>
                    <w14:schemeClr w14:val="tx1"/>
                  </w14:solidFill>
                </w14:textFill>
              </w:rPr>
              <w:t>水</w:t>
            </w:r>
            <w:r>
              <w:rPr>
                <w:rFonts w:hint="eastAsia" w:cs="Times New Roman"/>
                <w:color w:val="000000" w:themeColor="text1"/>
                <w:spacing w:val="-2"/>
                <w:kern w:val="0"/>
                <w14:textFill>
                  <w14:solidFill>
                    <w14:schemeClr w14:val="tx1"/>
                  </w14:solidFill>
                </w14:textFill>
              </w:rPr>
              <w:t>环境分区管控图，项目位于</w:t>
            </w:r>
            <w:r>
              <w:rPr>
                <w:rFonts w:hint="eastAsia" w:cs="Times New Roman"/>
                <w:color w:val="000000" w:themeColor="text1"/>
                <w:spacing w:val="-2"/>
                <w:kern w:val="0"/>
                <w:lang w:val="en-US" w:eastAsia="zh-CN"/>
                <w14:textFill>
                  <w14:solidFill>
                    <w14:schemeClr w14:val="tx1"/>
                  </w14:solidFill>
                </w14:textFill>
              </w:rPr>
              <w:t>水环境工业污染重点</w:t>
            </w:r>
            <w:r>
              <w:rPr>
                <w:rFonts w:hint="eastAsia" w:cs="Times New Roman"/>
                <w:color w:val="000000" w:themeColor="text1"/>
                <w:spacing w:val="-2"/>
                <w:kern w:val="0"/>
                <w14:textFill>
                  <w14:solidFill>
                    <w14:schemeClr w14:val="tx1"/>
                  </w14:solidFill>
                </w14:textFill>
              </w:rPr>
              <w:t>管控区，</w:t>
            </w:r>
            <w:r>
              <w:rPr>
                <w:rFonts w:hint="eastAsia" w:cs="Times New Roman"/>
                <w:color w:val="000000" w:themeColor="text1"/>
                <w:spacing w:val="-2"/>
                <w:kern w:val="0"/>
                <w:lang w:val="en-US" w:eastAsia="zh-CN"/>
                <w14:textFill>
                  <w14:solidFill>
                    <w14:schemeClr w14:val="tx1"/>
                  </w14:solidFill>
                </w14:textFill>
              </w:rPr>
              <w:t>具体要求落实《中华人民共和国水污染防治法》、《水污染防治行动计划》、《安徽省水污染防治工作方案》及各市水污染防治工作方案对重点管控区实施管控；依据开发区规划、规划环评及审查意见相关要求对开发区实施管控；依据《长江经济带工业园区水污染整治专项行动工作方案》、开发区规划、规划环评及审查意见相关要求对开发区实施管控；落实《安徽省“十四五”生态环境保护规划》、《安徽省“十四五”节能减排实施方案》；宿州市生态环境保护委员会，关于印发《“十四五”生态环境保护规划》的通知，宿环委会【2022】2号；《宿州市水生态环境保护“十四五”规划要点》（宿州市人民政府，2020年11月）。</w:t>
            </w:r>
          </w:p>
          <w:p w14:paraId="02B83574">
            <w:pPr>
              <w:spacing w:line="360" w:lineRule="auto"/>
              <w:ind w:firstLine="472"/>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项目产生的生活污水经化粪池处理后进入泗县工业污水处理厂进一步处理</w:t>
            </w:r>
            <w:r>
              <w:rPr>
                <w:rFonts w:hint="eastAsia" w:cs="Times New Roman"/>
                <w:color w:val="000000" w:themeColor="text1"/>
                <w:szCs w:val="24"/>
                <w:lang w:val="en-US" w:eastAsia="zh-CN"/>
                <w14:textFill>
                  <w14:solidFill>
                    <w14:schemeClr w14:val="tx1"/>
                  </w14:solidFill>
                </w14:textFill>
              </w:rPr>
              <w:t>。项目的建设不会对区域地表水环境质量产生明显影响，不会降低区域地表水环境质量功能，能够满足区域地表水环境质量底线要求。综上，本项目满足水环境工业污染重点管控区要求。</w:t>
            </w:r>
          </w:p>
          <w:p w14:paraId="5F706E26">
            <w:pPr>
              <w:spacing w:line="360" w:lineRule="auto"/>
              <w:ind w:firstLine="472"/>
              <w:rPr>
                <w:rFonts w:hint="eastAsia" w:eastAsia="宋体" w:cs="Times New Roman"/>
                <w:color w:val="000000" w:themeColor="text1"/>
                <w:szCs w:val="24"/>
                <w:lang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（3）土壤环境质量底线及分区管控</w:t>
            </w:r>
          </w:p>
          <w:p w14:paraId="0FB76990">
            <w:pPr>
              <w:spacing w:line="360" w:lineRule="auto"/>
              <w:ind w:firstLine="472"/>
              <w:rPr>
                <w:rFonts w:hint="default"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1）土壤环境质量底线</w:t>
            </w:r>
          </w:p>
          <w:p w14:paraId="5E4C70CB">
            <w:pPr>
              <w:spacing w:line="360" w:lineRule="auto"/>
              <w:ind w:firstLine="472"/>
              <w:rPr>
                <w:rFonts w:hint="eastAsia"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根据《2024年宿州市环境质量状况新闻发布会》相关内容，2024年，宿州市坚持预防为主、保护优先、风险管控，土壤环境安全防线持续筑牢。全市受污染耕地安全利用率、污染地块安全利用率始终保持100%，土壤环境质量总体稳定，为农用地安全利用和建设用地开发建设撑起“保护伞”。</w:t>
            </w:r>
          </w:p>
          <w:p w14:paraId="156708FA">
            <w:pPr>
              <w:spacing w:line="360" w:lineRule="auto"/>
              <w:ind w:firstLine="472"/>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2</w:t>
            </w: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土壤环境分区管控</w:t>
            </w:r>
          </w:p>
          <w:p w14:paraId="310B19F1">
            <w:pPr>
              <w:spacing w:line="360" w:lineRule="auto"/>
              <w:ind w:firstLine="472"/>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参照宿州市土壤环境分区管控图，项目位于土壤环境风险一般管控区，落实要求：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宿州市“十四五”生态环境保护规划》对一般管控区实施管控。</w:t>
            </w:r>
          </w:p>
          <w:p w14:paraId="397B1215">
            <w:pPr>
              <w:spacing w:line="360" w:lineRule="auto"/>
              <w:ind w:firstLine="472"/>
              <w:rPr>
                <w:rFonts w:hint="default"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本项目采取分区防渗，辅料区和危险废物暂存间等容易造成污染的区域采取重点防渗，正常工况下不会对周围土壤环境造成污染。</w:t>
            </w:r>
          </w:p>
          <w:p w14:paraId="56A13062">
            <w:pPr>
              <w:spacing w:line="360" w:lineRule="auto"/>
              <w:ind w:firstLine="472"/>
              <w:rPr>
                <w:rFonts w:hint="default" w:eastAsia="宋体" w:cs="Times New Roman"/>
                <w:color w:val="000000" w:themeColor="text1"/>
                <w:szCs w:val="24"/>
                <w:lang w:val="en-US" w:eastAsia="zh-CN"/>
                <w14:textFill>
                  <w14:solidFill>
                    <w14:schemeClr w14:val="tx1"/>
                  </w14:solidFill>
                </w14:textFill>
              </w:rPr>
            </w:pPr>
            <w:r>
              <w:rPr>
                <w:rFonts w:hint="eastAsia" w:cs="Times New Roman"/>
                <w:b/>
                <w:bCs/>
                <w:color w:val="000000" w:themeColor="text1"/>
                <w:szCs w:val="24"/>
                <w:lang w:val="en-US" w:eastAsia="zh-CN"/>
                <w14:textFill>
                  <w14:solidFill>
                    <w14:schemeClr w14:val="tx1"/>
                  </w14:solidFill>
                </w14:textFill>
              </w:rPr>
              <w:t>（4）声环境质量底线</w:t>
            </w:r>
          </w:p>
          <w:p w14:paraId="0748E382">
            <w:pPr>
              <w:spacing w:line="360" w:lineRule="auto"/>
              <w:ind w:firstLine="472"/>
              <w:rPr>
                <w:rFonts w:hint="eastAsia" w:cs="Times New Roman"/>
                <w:color w:val="000000" w:themeColor="text1"/>
                <w:szCs w:val="24"/>
                <w:lang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项目所在区域主要为</w:t>
            </w:r>
            <w:r>
              <w:rPr>
                <w:color w:val="000000" w:themeColor="text1"/>
                <w:sz w:val="24"/>
                <w:szCs w:val="24"/>
                <w14:textFill>
                  <w14:solidFill>
                    <w14:schemeClr w14:val="tx1"/>
                  </w14:solidFill>
                </w14:textFill>
              </w:rPr>
              <w:t>工业生产、仓储物流区</w:t>
            </w:r>
            <w:r>
              <w:rPr>
                <w:rFonts w:hint="eastAsia"/>
                <w:color w:val="000000" w:themeColor="text1"/>
                <w:sz w:val="24"/>
                <w:szCs w:val="24"/>
                <w:lang w:eastAsia="zh-CN"/>
                <w14:textFill>
                  <w14:solidFill>
                    <w14:schemeClr w14:val="tx1"/>
                  </w14:solidFill>
                </w14:textFill>
              </w:rPr>
              <w:t>，</w:t>
            </w:r>
            <w:r>
              <w:rPr>
                <w:rFonts w:cs="Times New Roman"/>
                <w:color w:val="000000" w:themeColor="text1"/>
                <w:szCs w:val="24"/>
                <w14:textFill>
                  <w14:solidFill>
                    <w14:schemeClr w14:val="tx1"/>
                  </w14:solidFill>
                </w14:textFill>
              </w:rPr>
              <w:t>区域声环境质量</w:t>
            </w:r>
            <w:r>
              <w:rPr>
                <w:rFonts w:hint="eastAsia" w:cs="Times New Roman"/>
                <w:color w:val="000000" w:themeColor="text1"/>
                <w:szCs w:val="24"/>
                <w:lang w:val="en-US" w:eastAsia="zh-CN"/>
                <w14:textFill>
                  <w14:solidFill>
                    <w14:schemeClr w14:val="tx1"/>
                  </w14:solidFill>
                </w14:textFill>
              </w:rPr>
              <w:t>执行</w:t>
            </w:r>
            <w:r>
              <w:rPr>
                <w:rFonts w:cs="Times New Roman"/>
                <w:color w:val="000000" w:themeColor="text1"/>
                <w:szCs w:val="24"/>
                <w14:textFill>
                  <w14:solidFill>
                    <w14:schemeClr w14:val="tx1"/>
                  </w14:solidFill>
                </w14:textFill>
              </w:rPr>
              <w:t>《声环境质量标准》（GB3096-2008）</w:t>
            </w:r>
            <w:r>
              <w:rPr>
                <w:rFonts w:hint="eastAsia" w:cs="Times New Roman"/>
                <w:color w:val="000000" w:themeColor="text1"/>
                <w:szCs w:val="24"/>
                <w:lang w:val="en-US" w:eastAsia="zh-CN"/>
                <w14:textFill>
                  <w14:solidFill>
                    <w14:schemeClr w14:val="tx1"/>
                  </w14:solidFill>
                </w14:textFill>
              </w:rPr>
              <w:t>3</w:t>
            </w:r>
            <w:r>
              <w:rPr>
                <w:rFonts w:cs="Times New Roman"/>
                <w:color w:val="000000" w:themeColor="text1"/>
                <w:szCs w:val="24"/>
                <w14:textFill>
                  <w14:solidFill>
                    <w14:schemeClr w14:val="tx1"/>
                  </w14:solidFill>
                </w14:textFill>
              </w:rPr>
              <w:t>类区标准</w:t>
            </w: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项目产生的噪声经隔声、减振等措施后厂界噪声满足</w:t>
            </w:r>
            <w:r>
              <w:rPr>
                <w:color w:val="000000" w:themeColor="text1"/>
                <w14:textFill>
                  <w14:solidFill>
                    <w14:schemeClr w14:val="tx1"/>
                  </w14:solidFill>
                </w14:textFill>
              </w:rPr>
              <w:t>《工业企业厂界环境噪声排放标准》（GB12348-2008）中</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w:t>
            </w:r>
            <w:r>
              <w:rPr>
                <w:rFonts w:hint="eastAsia" w:cs="Times New Roman"/>
                <w:color w:val="000000" w:themeColor="text1"/>
                <w:szCs w:val="24"/>
                <w:lang w:eastAsia="zh-CN"/>
                <w14:textFill>
                  <w14:solidFill>
                    <w14:schemeClr w14:val="tx1"/>
                  </w14:solidFill>
                </w14:textFill>
              </w:rPr>
              <w:t>。</w:t>
            </w:r>
          </w:p>
          <w:p w14:paraId="64A41BB8">
            <w:pPr>
              <w:bidi w:val="0"/>
              <w:spacing w:line="360" w:lineRule="auto"/>
              <w:rPr>
                <w:rFonts w:hint="default"/>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default"/>
                <w:b/>
                <w:bCs/>
                <w:color w:val="000000" w:themeColor="text1"/>
                <w14:textFill>
                  <w14:solidFill>
                    <w14:schemeClr w14:val="tx1"/>
                  </w14:solidFill>
                </w14:textFill>
              </w:rPr>
              <w:t>资源利用上线及分区管控要求</w:t>
            </w:r>
          </w:p>
          <w:p w14:paraId="7B6B0AF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生产过程中所需资源主要为水、电</w:t>
            </w:r>
            <w:r>
              <w:rPr>
                <w:rFonts w:hint="eastAsia" w:cs="Times New Roman"/>
                <w:color w:val="000000" w:themeColor="text1"/>
                <w:sz w:val="24"/>
                <w:lang w:val="en-US" w:eastAsia="zh-CN"/>
                <w14:textFill>
                  <w14:solidFill>
                    <w14:schemeClr w14:val="tx1"/>
                  </w14:solidFill>
                </w14:textFill>
              </w:rPr>
              <w:t>和天然气</w:t>
            </w:r>
            <w:r>
              <w:rPr>
                <w:rFonts w:hint="default" w:ascii="Times New Roman" w:hAnsi="Times New Roman" w:cs="Times New Roman"/>
                <w:color w:val="000000" w:themeColor="text1"/>
                <w:sz w:val="24"/>
                <w14:textFill>
                  <w14:solidFill>
                    <w14:schemeClr w14:val="tx1"/>
                  </w14:solidFill>
                </w14:textFill>
              </w:rPr>
              <w:t>等，在同类型企业中水、电</w:t>
            </w:r>
            <w:r>
              <w:rPr>
                <w:rFonts w:hint="eastAsia" w:cs="Times New Roman"/>
                <w:color w:val="000000" w:themeColor="text1"/>
                <w:sz w:val="24"/>
                <w:lang w:val="en-US" w:eastAsia="zh-CN"/>
                <w14:textFill>
                  <w14:solidFill>
                    <w14:schemeClr w14:val="tx1"/>
                  </w14:solidFill>
                </w14:textFill>
              </w:rPr>
              <w:t>和天然气</w:t>
            </w:r>
            <w:r>
              <w:rPr>
                <w:rFonts w:hint="default" w:ascii="Times New Roman" w:hAnsi="Times New Roman" w:cs="Times New Roman"/>
                <w:color w:val="000000" w:themeColor="text1"/>
                <w:sz w:val="24"/>
                <w14:textFill>
                  <w14:solidFill>
                    <w14:schemeClr w14:val="tx1"/>
                  </w14:solidFill>
                </w14:textFill>
              </w:rPr>
              <w:t>等消耗均处于较低水平；项目不涉及煤炭资源的使用；项目所在地不属于资源、能源紧缺区域，项目运营期间水、电</w:t>
            </w:r>
            <w:r>
              <w:rPr>
                <w:rFonts w:hint="eastAsia" w:cs="Times New Roman"/>
                <w:color w:val="000000" w:themeColor="text1"/>
                <w:sz w:val="24"/>
                <w:lang w:val="en-US" w:eastAsia="zh-CN"/>
                <w14:textFill>
                  <w14:solidFill>
                    <w14:schemeClr w14:val="tx1"/>
                  </w14:solidFill>
                </w14:textFill>
              </w:rPr>
              <w:t>和天然气</w:t>
            </w:r>
            <w:r>
              <w:rPr>
                <w:rFonts w:hint="default" w:ascii="Times New Roman" w:hAnsi="Times New Roman" w:cs="Times New Roman"/>
                <w:color w:val="000000" w:themeColor="text1"/>
                <w:sz w:val="24"/>
                <w14:textFill>
                  <w14:solidFill>
                    <w14:schemeClr w14:val="tx1"/>
                  </w14:solidFill>
                </w14:textFill>
              </w:rPr>
              <w:t>等用量不会超过划定的资源利用上线。</w:t>
            </w:r>
          </w:p>
          <w:p w14:paraId="370AFF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水资源分区管控要求</w:t>
            </w:r>
          </w:p>
          <w:p w14:paraId="61B9C0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项目</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eastAsia="宋体" w:cs="Times New Roman"/>
                <w:color w:val="000000" w:themeColor="text1"/>
                <w:lang w:bidi="ar"/>
                <w14:textFill>
                  <w14:solidFill>
                    <w14:schemeClr w14:val="tx1"/>
                  </w14:solidFill>
                </w14:textFill>
              </w:rPr>
              <w:t>地下水开采重点管控区</w:t>
            </w:r>
            <w:r>
              <w:rPr>
                <w:rFonts w:hint="default" w:ascii="Times New Roman" w:hAnsi="Times New Roman" w:cs="Times New Roman"/>
                <w:color w:val="000000" w:themeColor="text1"/>
                <w:sz w:val="24"/>
                <w14:textFill>
                  <w14:solidFill>
                    <w14:schemeClr w14:val="tx1"/>
                  </w14:solidFill>
                </w14:textFill>
              </w:rPr>
              <w:t>，与水资源分区管控要求协调性见</w:t>
            </w:r>
            <w:r>
              <w:rPr>
                <w:rFonts w:hint="eastAsia" w:cs="Times New Roman"/>
                <w:color w:val="000000" w:themeColor="text1"/>
                <w:sz w:val="24"/>
                <w:lang w:val="en-US" w:eastAsia="zh-CN"/>
                <w14:textFill>
                  <w14:solidFill>
                    <w14:schemeClr w14:val="tx1"/>
                  </w14:solidFill>
                </w14:textFill>
              </w:rPr>
              <w:t>下</w:t>
            </w:r>
            <w:r>
              <w:rPr>
                <w:rFonts w:hint="default" w:ascii="Times New Roman" w:hAnsi="Times New Roman" w:cs="Times New Roman"/>
                <w:color w:val="000000" w:themeColor="text1"/>
                <w:sz w:val="24"/>
                <w14:textFill>
                  <w14:solidFill>
                    <w14:schemeClr w14:val="tx1"/>
                  </w14:solidFill>
                </w14:textFill>
              </w:rPr>
              <w:t>表。</w:t>
            </w:r>
          </w:p>
          <w:p w14:paraId="3EB13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000000" w:themeColor="text1"/>
                <w:sz w:val="24"/>
                <w14:textFill>
                  <w14:solidFill>
                    <w14:schemeClr w14:val="tx1"/>
                  </w14:solidFill>
                </w14:textFill>
              </w:rPr>
            </w:pPr>
            <w:bookmarkStart w:id="1" w:name="_Ref128316186"/>
          </w:p>
          <w:p w14:paraId="0F41F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000000" w:themeColor="text1"/>
                <w:sz w:val="24"/>
                <w14:textFill>
                  <w14:solidFill>
                    <w14:schemeClr w14:val="tx1"/>
                  </w14:solidFill>
                </w14:textFill>
              </w:rPr>
            </w:pPr>
            <w:r>
              <w:rPr>
                <w:rFonts w:hint="default" w:ascii="Times New Roman" w:hAnsi="Times New Roman" w:cs="Times New Roman"/>
                <w:b/>
                <w:snapToGrid w:val="0"/>
                <w:color w:val="000000" w:themeColor="text1"/>
                <w:sz w:val="24"/>
                <w14:textFill>
                  <w14:solidFill>
                    <w14:schemeClr w14:val="tx1"/>
                  </w14:solidFill>
                </w14:textFill>
              </w:rPr>
              <w:t>表</w:t>
            </w:r>
            <w:bookmarkEnd w:id="1"/>
            <w:r>
              <w:rPr>
                <w:rFonts w:hint="eastAsia" w:ascii="Times New Roman" w:hAnsi="Times New Roman" w:cs="Times New Roman"/>
                <w:b/>
                <w:snapToGrid w:val="0"/>
                <w:color w:val="000000" w:themeColor="text1"/>
                <w:sz w:val="24"/>
                <w:lang w:val="en-US" w:eastAsia="zh-CN"/>
                <w14:textFill>
                  <w14:solidFill>
                    <w14:schemeClr w14:val="tx1"/>
                  </w14:solidFill>
                </w14:textFill>
              </w:rPr>
              <w:t>1</w:t>
            </w:r>
            <w:r>
              <w:rPr>
                <w:rFonts w:hint="eastAsia" w:cs="Times New Roman"/>
                <w:b/>
                <w:snapToGrid w:val="0"/>
                <w:color w:val="000000" w:themeColor="text1"/>
                <w:sz w:val="24"/>
                <w:lang w:val="en-US" w:eastAsia="zh-CN"/>
                <w14:textFill>
                  <w14:solidFill>
                    <w14:schemeClr w14:val="tx1"/>
                  </w14:solidFill>
                </w14:textFill>
              </w:rPr>
              <w:t>-5</w:t>
            </w:r>
            <w:r>
              <w:rPr>
                <w:rFonts w:hint="default" w:ascii="Times New Roman" w:hAnsi="Times New Roman" w:cs="Times New Roman"/>
                <w:b/>
                <w:snapToGrid w:val="0"/>
                <w:color w:val="000000" w:themeColor="text1"/>
                <w:sz w:val="24"/>
                <w14:textFill>
                  <w14:solidFill>
                    <w14:schemeClr w14:val="tx1"/>
                  </w14:solidFill>
                </w14:textFill>
              </w:rPr>
              <w:t xml:space="preserve">  项目与水资源管控要求的协调性分析</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5026"/>
              <w:gridCol w:w="1197"/>
            </w:tblGrid>
            <w:tr w14:paraId="0976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noWrap w:val="0"/>
                  <w:vAlign w:val="center"/>
                </w:tcPr>
                <w:p w14:paraId="27906031">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管控单元分类</w:t>
                  </w:r>
                </w:p>
              </w:tc>
              <w:tc>
                <w:tcPr>
                  <w:tcW w:w="3577" w:type="pct"/>
                  <w:noWrap w:val="0"/>
                  <w:vAlign w:val="center"/>
                </w:tcPr>
                <w:p w14:paraId="1AD12D90">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环境管控要求</w:t>
                  </w:r>
                </w:p>
              </w:tc>
              <w:tc>
                <w:tcPr>
                  <w:tcW w:w="851" w:type="pct"/>
                  <w:noWrap w:val="0"/>
                  <w:vAlign w:val="center"/>
                </w:tcPr>
                <w:p w14:paraId="76982857">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协调性分析</w:t>
                  </w:r>
                </w:p>
              </w:tc>
            </w:tr>
            <w:tr w14:paraId="7AE2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1" w:type="pct"/>
                  <w:noWrap w:val="0"/>
                  <w:vAlign w:val="center"/>
                </w:tcPr>
                <w:p w14:paraId="6CEF8458">
                  <w:pPr>
                    <w:pStyle w:val="67"/>
                    <w:spacing w:before="24" w:after="24"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地下水开采重点管控区</w:t>
                  </w:r>
                </w:p>
              </w:tc>
              <w:tc>
                <w:tcPr>
                  <w:tcW w:w="3577" w:type="pct"/>
                  <w:noWrap w:val="0"/>
                  <w:vAlign w:val="center"/>
                </w:tcPr>
                <w:p w14:paraId="5CA4AF3B">
                  <w:pPr>
                    <w:pStyle w:val="67"/>
                    <w:spacing w:before="24" w:after="24"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落实《国务院办公厅关于印发实行最严格水资源管理制度考核办法的通知》、《水利部国家发展改革委关于印发</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用水总量和强度双控目标的通知》（水节约</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2022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113号）、《关于落实</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用水总量和强度双控目标的通知》（安徽省水利厅2022年8月）、《宿州市水利发展</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十四五</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规划》（宿州市水利局2021年12月）等要求</w:t>
                  </w:r>
                </w:p>
              </w:tc>
              <w:tc>
                <w:tcPr>
                  <w:tcW w:w="851" w:type="pct"/>
                  <w:noWrap w:val="0"/>
                  <w:vAlign w:val="center"/>
                </w:tcPr>
                <w:p w14:paraId="0560DBBD">
                  <w:pPr>
                    <w:pStyle w:val="67"/>
                    <w:spacing w:before="24" w:after="24"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用水为园区集中供水，不开采地下水</w:t>
                  </w:r>
                </w:p>
              </w:tc>
            </w:tr>
          </w:tbl>
          <w:p w14:paraId="3D3A203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土地资源管控分区</w:t>
            </w:r>
          </w:p>
          <w:p w14:paraId="7FE290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土地资源管控区划分为重点管控区和一般管控区，重点管控区一般是指具有一定经济基础、资源环境承载力较强、发展潜力较大、集聚人口和经济条件较好，可重点进行大规模工业化城镇化开发的区域，与《安徽省主体功能区规划》中的国家重点开发区域相符；除重点管控区以外的其他区域为一般管控区。根据《长江经济带战略环境评价宿州市</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三线一单</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》（动态更新成果），</w:t>
            </w:r>
            <w:r>
              <w:rPr>
                <w:rFonts w:hint="eastAsia" w:ascii="Times New Roman" w:hAnsi="Times New Roman" w:cs="Times New Roman"/>
                <w:color w:val="000000" w:themeColor="text1"/>
                <w:sz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14:textFill>
                  <w14:solidFill>
                    <w14:schemeClr w14:val="tx1"/>
                  </w14:solidFill>
                </w14:textFill>
              </w:rPr>
              <w:t>位于土地资源一般管控区，与土地资源一般分区管控要求协调性见</w:t>
            </w:r>
            <w:r>
              <w:rPr>
                <w:rFonts w:hint="eastAsia" w:cs="Times New Roman"/>
                <w:color w:val="000000" w:themeColor="text1"/>
                <w:sz w:val="24"/>
                <w:highlight w:val="none"/>
                <w:lang w:val="en-US" w:eastAsia="zh-CN"/>
                <w14:textFill>
                  <w14:solidFill>
                    <w14:schemeClr w14:val="tx1"/>
                  </w14:solidFill>
                </w14:textFill>
              </w:rPr>
              <w:t>下</w:t>
            </w:r>
            <w:r>
              <w:rPr>
                <w:rFonts w:hint="default" w:ascii="Times New Roman" w:hAnsi="Times New Roman" w:cs="Times New Roman"/>
                <w:color w:val="000000" w:themeColor="text1"/>
                <w:sz w:val="24"/>
                <w:highlight w:val="none"/>
                <w14:textFill>
                  <w14:solidFill>
                    <w14:schemeClr w14:val="tx1"/>
                  </w14:solidFill>
                </w14:textFill>
              </w:rPr>
              <w:t>表。</w:t>
            </w:r>
          </w:p>
          <w:p w14:paraId="1BE0A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000000" w:themeColor="text1"/>
                <w:sz w:val="24"/>
                <w14:textFill>
                  <w14:solidFill>
                    <w14:schemeClr w14:val="tx1"/>
                  </w14:solidFill>
                </w14:textFill>
              </w:rPr>
            </w:pPr>
            <w:r>
              <w:rPr>
                <w:rFonts w:hint="default" w:ascii="Times New Roman" w:hAnsi="Times New Roman" w:cs="Times New Roman"/>
                <w:b/>
                <w:snapToGrid w:val="0"/>
                <w:color w:val="000000" w:themeColor="text1"/>
                <w:sz w:val="24"/>
                <w14:textFill>
                  <w14:solidFill>
                    <w14:schemeClr w14:val="tx1"/>
                  </w14:solidFill>
                </w14:textFill>
              </w:rPr>
              <w:t>表</w:t>
            </w:r>
            <w:r>
              <w:rPr>
                <w:rFonts w:hint="eastAsia" w:ascii="Times New Roman" w:hAnsi="Times New Roman" w:cs="Times New Roman"/>
                <w:b/>
                <w:snapToGrid w:val="0"/>
                <w:color w:val="000000" w:themeColor="text1"/>
                <w:sz w:val="24"/>
                <w:lang w:val="en-US" w:eastAsia="zh-CN"/>
                <w14:textFill>
                  <w14:solidFill>
                    <w14:schemeClr w14:val="tx1"/>
                  </w14:solidFill>
                </w14:textFill>
              </w:rPr>
              <w:t>1</w:t>
            </w:r>
            <w:r>
              <w:rPr>
                <w:rFonts w:hint="eastAsia" w:cs="Times New Roman"/>
                <w:b/>
                <w:snapToGrid w:val="0"/>
                <w:color w:val="000000" w:themeColor="text1"/>
                <w:sz w:val="24"/>
                <w:lang w:val="en-US" w:eastAsia="zh-CN"/>
                <w14:textFill>
                  <w14:solidFill>
                    <w14:schemeClr w14:val="tx1"/>
                  </w14:solidFill>
                </w14:textFill>
              </w:rPr>
              <w:t>-6</w:t>
            </w:r>
            <w:r>
              <w:rPr>
                <w:rFonts w:hint="default" w:ascii="Times New Roman" w:hAnsi="Times New Roman" w:cs="Times New Roman"/>
                <w:b/>
                <w:snapToGrid w:val="0"/>
                <w:color w:val="000000" w:themeColor="text1"/>
                <w:sz w:val="24"/>
                <w14:textFill>
                  <w14:solidFill>
                    <w14:schemeClr w14:val="tx1"/>
                  </w14:solidFill>
                </w14:textFill>
              </w:rPr>
              <w:t xml:space="preserve">  与土地资源分区管控协调性分析</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4061"/>
              <w:gridCol w:w="2094"/>
            </w:tblGrid>
            <w:tr w14:paraId="60AE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noWrap w:val="0"/>
                  <w:vAlign w:val="center"/>
                </w:tcPr>
                <w:p w14:paraId="25C02F6C">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管控单元分类</w:t>
                  </w:r>
                </w:p>
              </w:tc>
              <w:tc>
                <w:tcPr>
                  <w:tcW w:w="2889" w:type="pct"/>
                  <w:noWrap w:val="0"/>
                  <w:vAlign w:val="center"/>
                </w:tcPr>
                <w:p w14:paraId="57F829CE">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环境管控要求</w:t>
                  </w:r>
                </w:p>
              </w:tc>
              <w:tc>
                <w:tcPr>
                  <w:tcW w:w="1490" w:type="pct"/>
                  <w:noWrap w:val="0"/>
                  <w:vAlign w:val="center"/>
                </w:tcPr>
                <w:p w14:paraId="4C9A27FB">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协调性分析</w:t>
                  </w:r>
                </w:p>
              </w:tc>
            </w:tr>
            <w:tr w14:paraId="6AAB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9" w:type="pct"/>
                  <w:noWrap w:val="0"/>
                  <w:vAlign w:val="center"/>
                </w:tcPr>
                <w:p w14:paraId="37281128">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一般管控区</w:t>
                  </w:r>
                </w:p>
              </w:tc>
              <w:tc>
                <w:tcPr>
                  <w:tcW w:w="2889" w:type="pct"/>
                  <w:noWrap w:val="0"/>
                  <w:vAlign w:val="center"/>
                </w:tcPr>
                <w:p w14:paraId="16AD6E45">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落实《宿州市土地利用总体规划（2006-2020年）》调整方案、《安徽省土地利用总体规划（2006-2020年）调整方案》、《关于落实</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14:textFill>
                        <w14:solidFill>
                          <w14:schemeClr w14:val="tx1"/>
                        </w14:solidFill>
                      </w14:textFill>
                    </w:rPr>
                    <w:t>五</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单位国内生产总值建设用地使用面积下降目标的指导意见的通知》、《国土资源</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14:textFill>
                        <w14:solidFill>
                          <w14:schemeClr w14:val="tx1"/>
                        </w14:solidFill>
                      </w14:textFill>
                    </w:rPr>
                    <w:t>五</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规划纲要》、《安徽省国土资源</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color w:val="000000" w:themeColor="text1"/>
                      <w:sz w:val="21"/>
                      <w:szCs w:val="21"/>
                      <w14:textFill>
                        <w14:solidFill>
                          <w14:schemeClr w14:val="tx1"/>
                        </w14:solidFill>
                      </w14:textFill>
                    </w:rPr>
                    <w:t>五</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规划》等要求</w:t>
                  </w:r>
                </w:p>
              </w:tc>
              <w:tc>
                <w:tcPr>
                  <w:tcW w:w="1490" w:type="pct"/>
                  <w:noWrap w:val="0"/>
                  <w:vAlign w:val="center"/>
                </w:tcPr>
                <w:p w14:paraId="58B5B1D6">
                  <w:pPr>
                    <w:pStyle w:val="67"/>
                    <w:spacing w:before="24" w:after="24" w:line="240" w:lineRule="auto"/>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项目位于</w:t>
                  </w:r>
                  <w:r>
                    <w:rPr>
                      <w:rFonts w:hint="eastAsia" w:ascii="Times New Roman" w:hAnsi="Times New Roman" w:cs="Times New Roman"/>
                      <w:color w:val="000000" w:themeColor="text1"/>
                      <w:sz w:val="21"/>
                      <w:szCs w:val="21"/>
                      <w:lang w:val="en-US" w:eastAsia="zh-CN"/>
                      <w14:textFill>
                        <w14:solidFill>
                          <w14:schemeClr w14:val="tx1"/>
                        </w14:solidFill>
                      </w14:textFill>
                    </w:rPr>
                    <w:t>泗县经济开发区</w:t>
                  </w:r>
                  <w:r>
                    <w:rPr>
                      <w:rFonts w:hint="default" w:ascii="Times New Roman" w:hAnsi="Times New Roman" w:cs="Times New Roman"/>
                      <w:color w:val="000000" w:themeColor="text1"/>
                      <w:sz w:val="21"/>
                      <w:szCs w:val="21"/>
                      <w14:textFill>
                        <w14:solidFill>
                          <w14:schemeClr w14:val="tx1"/>
                        </w14:solidFill>
                      </w14:textFill>
                    </w:rPr>
                    <w:t>，项目用地符合园区用地布局规划，相应土地利用等在规划制定阶段已充分考虑</w:t>
                  </w:r>
                </w:p>
              </w:tc>
            </w:tr>
          </w:tbl>
          <w:p w14:paraId="0AC83A8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综上所述，项目的建设符合资源利用上线的要求。</w:t>
            </w:r>
          </w:p>
          <w:p w14:paraId="54D7D7F3">
            <w:pPr>
              <w:spacing w:line="360" w:lineRule="auto"/>
              <w:rPr>
                <w:b/>
                <w:bCs w:val="0"/>
                <w:color w:val="000000" w:themeColor="text1"/>
                <w14:textFill>
                  <w14:solidFill>
                    <w14:schemeClr w14:val="tx1"/>
                  </w14:solidFill>
                </w14:textFill>
              </w:rPr>
            </w:pPr>
            <w:r>
              <w:rPr>
                <w:rFonts w:hint="eastAsia"/>
                <w:b/>
                <w:bCs w:val="0"/>
                <w:color w:val="000000" w:themeColor="text1"/>
                <w:lang w:val="en-US" w:eastAsia="zh-CN"/>
                <w14:textFill>
                  <w14:solidFill>
                    <w14:schemeClr w14:val="tx1"/>
                  </w14:solidFill>
                </w14:textFill>
              </w:rPr>
              <w:t>4、</w:t>
            </w:r>
            <w:r>
              <w:rPr>
                <w:rFonts w:hint="eastAsia" w:ascii="Times New Roman" w:hAnsi="Times New Roman"/>
                <w:b/>
                <w:bCs/>
                <w:color w:val="000000" w:themeColor="text1"/>
                <w:sz w:val="24"/>
                <w14:textFill>
                  <w14:solidFill>
                    <w14:schemeClr w14:val="tx1"/>
                  </w14:solidFill>
                </w14:textFill>
              </w:rPr>
              <w:t>生态环境准入清单</w:t>
            </w:r>
          </w:p>
          <w:p w14:paraId="13E3D5F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eastAsia="宋体" w:cs="Times New Roman"/>
                <w:b w:val="0"/>
                <w:bCs w:val="0"/>
                <w:color w:val="000000" w:themeColor="text1"/>
                <w:lang w:val="en-US" w:eastAsia="zh-CN"/>
                <w14:textFill>
                  <w14:solidFill>
                    <w14:schemeClr w14:val="tx1"/>
                  </w14:solidFill>
                </w14:textFill>
              </w:rPr>
              <w:t>1、与泗县经济开发区准入清单符合性</w:t>
            </w:r>
          </w:p>
          <w:p w14:paraId="5C5E6D29">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根据《安徽泗县经济开发区总体发展规划环境影响报告书》及其审查意见和《安徽泗县经济开发区总体发展规划环境影响跟踪评价报告书》及其审查意见，</w:t>
            </w:r>
            <w:r>
              <w:rPr>
                <w:color w:val="000000" w:themeColor="text1"/>
                <w14:textFill>
                  <w14:solidFill>
                    <w14:schemeClr w14:val="tx1"/>
                  </w14:solidFill>
                </w14:textFill>
              </w:rPr>
              <w:t>规划环评确定的开发区企业准入制度如下。</w:t>
            </w:r>
          </w:p>
          <w:p w14:paraId="3B1088E8">
            <w:pPr>
              <w:pStyle w:val="119"/>
              <w:spacing w:line="360" w:lineRule="auto"/>
              <w:rPr>
                <w:color w:val="000000" w:themeColor="text1"/>
                <w14:textFill>
                  <w14:solidFill>
                    <w14:schemeClr w14:val="tx1"/>
                  </w14:solidFill>
                </w14:textFill>
              </w:rPr>
            </w:pPr>
            <w:bookmarkStart w:id="2" w:name="_Toc155244497"/>
            <w:bookmarkStart w:id="3" w:name="_Toc158085406"/>
            <w:bookmarkStart w:id="4" w:name="_Toc173397761"/>
            <w:bookmarkStart w:id="5" w:name="_Toc156035225"/>
            <w:bookmarkStart w:id="6" w:name="_Toc158093506"/>
            <w:bookmarkStart w:id="7" w:name="_Toc294036862"/>
            <w:bookmarkStart w:id="8" w:name="_Toc343765610"/>
            <w:bookmarkStart w:id="9" w:name="_Toc168755543"/>
            <w:bookmarkStart w:id="10" w:name="_Toc163710552"/>
            <w:bookmarkStart w:id="11" w:name="_Toc260685592"/>
            <w:bookmarkStart w:id="12" w:name="_Toc292709117"/>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优先鼓励项目</w:t>
            </w:r>
            <w:bookmarkEnd w:id="2"/>
            <w:bookmarkEnd w:id="3"/>
            <w:bookmarkEnd w:id="4"/>
            <w:bookmarkEnd w:id="5"/>
            <w:bookmarkEnd w:id="6"/>
            <w:bookmarkEnd w:id="7"/>
            <w:bookmarkEnd w:id="8"/>
            <w:bookmarkEnd w:id="9"/>
            <w:bookmarkEnd w:id="10"/>
            <w:bookmarkEnd w:id="11"/>
            <w:bookmarkEnd w:id="12"/>
          </w:p>
          <w:p w14:paraId="37A1D0DE">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1）与规划主导产业结构相符合的工业项目</w:t>
            </w:r>
          </w:p>
          <w:p w14:paraId="0078A335">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规划区内构建</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3+1</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的重点产业体系，其中三大主导产业包括：重点做大做强机械电子这一首位主导产业；发展壮大纺织服装业；巩固提升农副产品深加工产业。</w:t>
            </w:r>
          </w:p>
          <w:p w14:paraId="2FB2B59E">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2）与开发区现有产业链相配套的企业</w:t>
            </w:r>
          </w:p>
          <w:p w14:paraId="481F3AEA">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鼓励开发区基础设施项目建设，如交通运输、邮电通讯、供水、供气、供热、污水处理等，也应积极招商引资，大力改善开发区投资环境，促进区域经济发展。</w:t>
            </w:r>
          </w:p>
          <w:p w14:paraId="3793A0BE">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鼓励发展其他规模效益好、能源资源消耗少、排污小的企业。包括清洁生产型企业、高新技术型企业和节水节能型企业。</w:t>
            </w:r>
          </w:p>
          <w:p w14:paraId="3C534CBA">
            <w:pPr>
              <w:pStyle w:val="119"/>
              <w:spacing w:line="360" w:lineRule="auto"/>
              <w:rPr>
                <w:color w:val="000000" w:themeColor="text1"/>
                <w14:textFill>
                  <w14:solidFill>
                    <w14:schemeClr w14:val="tx1"/>
                  </w14:solidFill>
                </w14:textFill>
              </w:rPr>
            </w:pPr>
            <w:bookmarkStart w:id="13" w:name="_Toc156035226"/>
            <w:bookmarkStart w:id="14" w:name="_Toc260685593"/>
            <w:bookmarkStart w:id="15" w:name="_Toc292709118"/>
            <w:bookmarkStart w:id="16" w:name="_Toc158085407"/>
            <w:bookmarkStart w:id="17" w:name="_Toc158093507"/>
            <w:bookmarkStart w:id="18" w:name="_Toc168755544"/>
            <w:bookmarkStart w:id="19" w:name="_Toc343765611"/>
            <w:bookmarkStart w:id="20" w:name="_Toc294036863"/>
            <w:bookmarkStart w:id="21" w:name="_Toc163710553"/>
            <w:bookmarkStart w:id="22" w:name="_Toc173397762"/>
            <w:bookmarkStart w:id="23" w:name="_Toc155244498"/>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限制发展项目</w:t>
            </w:r>
            <w:bookmarkEnd w:id="13"/>
            <w:bookmarkEnd w:id="14"/>
            <w:bookmarkEnd w:id="15"/>
            <w:bookmarkEnd w:id="16"/>
            <w:bookmarkEnd w:id="17"/>
            <w:bookmarkEnd w:id="18"/>
            <w:bookmarkEnd w:id="19"/>
            <w:bookmarkEnd w:id="20"/>
            <w:bookmarkEnd w:id="21"/>
            <w:bookmarkEnd w:id="22"/>
            <w:bookmarkEnd w:id="23"/>
          </w:p>
          <w:p w14:paraId="450EAC67">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限制发展能源、资源消耗量或排污量较大但效益相对较好的企业发展；开发区内规划的现代物流业禁止贮存和输送有毒、有害化学品和危险品；食品加工类严格限制酿造类项目。</w:t>
            </w:r>
          </w:p>
          <w:p w14:paraId="59F8CC3D">
            <w:pPr>
              <w:pStyle w:val="119"/>
              <w:spacing w:line="360" w:lineRule="auto"/>
              <w:rPr>
                <w:color w:val="000000" w:themeColor="text1"/>
                <w14:textFill>
                  <w14:solidFill>
                    <w14:schemeClr w14:val="tx1"/>
                  </w14:solidFill>
                </w14:textFill>
              </w:rPr>
            </w:pPr>
            <w:bookmarkStart w:id="24" w:name="_Toc173397763"/>
            <w:bookmarkStart w:id="25" w:name="_Toc343765612"/>
            <w:bookmarkStart w:id="26" w:name="_Toc260685594"/>
            <w:bookmarkStart w:id="27" w:name="_Toc294036864"/>
            <w:bookmarkStart w:id="28" w:name="_Toc158093508"/>
            <w:bookmarkStart w:id="29" w:name="_Toc158085408"/>
            <w:bookmarkStart w:id="30" w:name="_Toc292709119"/>
            <w:bookmarkStart w:id="31" w:name="_Toc155244499"/>
            <w:bookmarkStart w:id="32" w:name="_Toc156035227"/>
            <w:bookmarkStart w:id="33" w:name="_Toc163710554"/>
            <w:bookmarkStart w:id="34" w:name="_Toc168755545"/>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禁止发展项目</w:t>
            </w:r>
            <w:bookmarkEnd w:id="24"/>
            <w:bookmarkEnd w:id="25"/>
            <w:bookmarkEnd w:id="26"/>
            <w:bookmarkEnd w:id="27"/>
            <w:bookmarkEnd w:id="28"/>
            <w:bookmarkEnd w:id="29"/>
            <w:bookmarkEnd w:id="30"/>
            <w:bookmarkEnd w:id="31"/>
            <w:bookmarkEnd w:id="32"/>
            <w:bookmarkEnd w:id="33"/>
            <w:bookmarkEnd w:id="34"/>
          </w:p>
          <w:p w14:paraId="17E2225E">
            <w:pPr>
              <w:pStyle w:val="119"/>
              <w:spacing w:line="360" w:lineRule="auto"/>
              <w:rPr>
                <w:color w:val="000000" w:themeColor="text1"/>
                <w14:textFill>
                  <w14:solidFill>
                    <w14:schemeClr w14:val="tx1"/>
                  </w14:solidFill>
                </w14:textFill>
              </w:rPr>
            </w:pPr>
            <w:bookmarkStart w:id="35" w:name="_Toc343765613"/>
            <w:r>
              <w:rPr>
                <w:color w:val="000000" w:themeColor="text1"/>
                <w14:textFill>
                  <w14:solidFill>
                    <w14:schemeClr w14:val="tx1"/>
                  </w14:solidFill>
                </w14:textFill>
              </w:rPr>
              <w:t>1）国家明令禁止建设或投资的、不符合《产业结构调整指导目录》要求的建设项目不得进入开发区。</w:t>
            </w:r>
          </w:p>
          <w:p w14:paraId="4DD58CB9">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2）规模效益差、能源资源消耗大、环境影响严重的企业，严格控制高污染、高能耗、高水耗项目进入；</w:t>
            </w:r>
          </w:p>
          <w:p w14:paraId="7C57C966">
            <w:pPr>
              <w:pStyle w:val="119"/>
              <w:spacing w:line="360" w:lineRule="auto"/>
              <w:rPr>
                <w:color w:val="000000" w:themeColor="text1"/>
                <w14:textFill>
                  <w14:solidFill>
                    <w14:schemeClr w14:val="tx1"/>
                  </w14:solidFill>
                </w14:textFill>
              </w:rPr>
            </w:pPr>
            <w:r>
              <w:rPr>
                <w:color w:val="000000" w:themeColor="text1"/>
                <w14:textFill>
                  <w14:solidFill>
                    <w14:schemeClr w14:val="tx1"/>
                  </w14:solidFill>
                </w14:textFill>
              </w:rPr>
              <w:t>3）纺织服装类片区禁止新建印染和制革类项目；禁止新建每小时20蒸吨及以下燃煤锅炉的项目；</w:t>
            </w:r>
          </w:p>
          <w:bookmarkEnd w:id="35"/>
          <w:p w14:paraId="63F0C4C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生态环境准入清单如下：</w:t>
            </w:r>
          </w:p>
          <w:p w14:paraId="17FF77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lang w:val="en-US" w:eastAsia="zh-CN"/>
                <w14:textFill>
                  <w14:solidFill>
                    <w14:schemeClr w14:val="tx1"/>
                  </w14:solidFill>
                </w14:textFill>
              </w:rPr>
              <w:t>表1</w:t>
            </w:r>
            <w:r>
              <w:rPr>
                <w:rFonts w:hint="eastAsia" w:eastAsia="宋体" w:cs="Times New Roman"/>
                <w:b/>
                <w:color w:val="000000" w:themeColor="text1"/>
                <w:szCs w:val="21"/>
                <w:lang w:val="en-US" w:eastAsia="zh-CN"/>
                <w14:textFill>
                  <w14:solidFill>
                    <w14:schemeClr w14:val="tx1"/>
                  </w14:solidFill>
                </w14:textFill>
              </w:rPr>
              <w:t>-7</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Cs w:val="21"/>
                <w14:textFill>
                  <w14:solidFill>
                    <w14:schemeClr w14:val="tx1"/>
                  </w14:solidFill>
                </w14:textFill>
              </w:rPr>
              <w:t>开发区入园行业一览表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3018"/>
              <w:gridCol w:w="1096"/>
              <w:gridCol w:w="1114"/>
              <w:gridCol w:w="569"/>
            </w:tblGrid>
            <w:tr w14:paraId="7749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noWrap w:val="0"/>
                  <w:vAlign w:val="center"/>
                </w:tcPr>
                <w:p w14:paraId="27E67D0F">
                  <w:pPr>
                    <w:pStyle w:val="1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行业门类</w:t>
                  </w:r>
                </w:p>
              </w:tc>
              <w:tc>
                <w:tcPr>
                  <w:tcW w:w="2148" w:type="pct"/>
                  <w:noWrap w:val="0"/>
                  <w:vAlign w:val="center"/>
                </w:tcPr>
                <w:p w14:paraId="17467650">
                  <w:pPr>
                    <w:pStyle w:val="1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行业名称</w:t>
                  </w:r>
                </w:p>
              </w:tc>
              <w:tc>
                <w:tcPr>
                  <w:tcW w:w="780" w:type="pct"/>
                  <w:noWrap w:val="0"/>
                  <w:vAlign w:val="center"/>
                </w:tcPr>
                <w:p w14:paraId="4C246F64">
                  <w:pPr>
                    <w:pStyle w:val="1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入区建议</w:t>
                  </w:r>
                </w:p>
              </w:tc>
              <w:tc>
                <w:tcPr>
                  <w:tcW w:w="793" w:type="pct"/>
                  <w:noWrap w:val="0"/>
                  <w:vAlign w:val="center"/>
                </w:tcPr>
                <w:p w14:paraId="57DA6921">
                  <w:pPr>
                    <w:pStyle w:val="1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本项目情况</w:t>
                  </w:r>
                </w:p>
              </w:tc>
              <w:tc>
                <w:tcPr>
                  <w:tcW w:w="405" w:type="pct"/>
                  <w:noWrap w:val="0"/>
                  <w:vAlign w:val="center"/>
                </w:tcPr>
                <w:p w14:paraId="1883D23A">
                  <w:pPr>
                    <w:pStyle w:val="10"/>
                    <w:spacing w:line="240" w:lineRule="auto"/>
                    <w:ind w:firstLine="0" w:firstLineChars="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14:paraId="53AA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restart"/>
                  <w:noWrap w:val="0"/>
                  <w:vAlign w:val="center"/>
                </w:tcPr>
                <w:p w14:paraId="5A9C341F">
                  <w:pPr>
                    <w:pStyle w:val="1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机械电子</w:t>
                  </w:r>
                </w:p>
              </w:tc>
              <w:tc>
                <w:tcPr>
                  <w:tcW w:w="2148" w:type="pct"/>
                  <w:noWrap w:val="0"/>
                  <w:vAlign w:val="center"/>
                </w:tcPr>
                <w:p w14:paraId="386A6841">
                  <w:pPr>
                    <w:pStyle w:val="1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通用、专用设备制造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铁路运输设备制造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汽车、摩托车制造（发动机、零部件</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自行车制造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船舶及浮动装置制造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交通器材及其他交通运输设备制造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电气机械及器材制造(不含电池制造</w:t>
                  </w:r>
                  <w:r>
                    <w:rPr>
                      <w:rFonts w:hint="eastAsia"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仪器仪表及文化、办公用机械制造</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电子配件组装</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金属制品加工制造</w:t>
                  </w:r>
                </w:p>
              </w:tc>
              <w:tc>
                <w:tcPr>
                  <w:tcW w:w="780" w:type="pct"/>
                  <w:noWrap w:val="0"/>
                  <w:vAlign w:val="center"/>
                </w:tcPr>
                <w:p w14:paraId="4A74C9CE">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无电镀、喷漆工艺的</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优先入区</w:t>
                  </w:r>
                </w:p>
              </w:tc>
              <w:tc>
                <w:tcPr>
                  <w:tcW w:w="793" w:type="pct"/>
                  <w:vMerge w:val="restart"/>
                  <w:noWrap w:val="0"/>
                  <w:vAlign w:val="center"/>
                </w:tcPr>
                <w:p w14:paraId="5BD30DAE">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本项目行业类别为C2462游艺用品及室内游艺器材制造，主要生产麻将机配件，主要工艺为机械加工，与泗县经济开发区主导产业不完全相符，但属于低能耗、轻污染型产业，可以入区</w:t>
                  </w:r>
                </w:p>
              </w:tc>
              <w:tc>
                <w:tcPr>
                  <w:tcW w:w="405" w:type="pct"/>
                  <w:vMerge w:val="restart"/>
                  <w:noWrap w:val="0"/>
                  <w:vAlign w:val="center"/>
                </w:tcPr>
                <w:p w14:paraId="67F0BAA0">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规划环评</w:t>
                  </w:r>
                </w:p>
              </w:tc>
            </w:tr>
            <w:tr w14:paraId="5F55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continue"/>
                  <w:noWrap w:val="0"/>
                  <w:vAlign w:val="center"/>
                </w:tcPr>
                <w:p w14:paraId="19847A54">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2148" w:type="pct"/>
                  <w:noWrap w:val="0"/>
                  <w:vAlign w:val="center"/>
                </w:tcPr>
                <w:p w14:paraId="7E0FAF45">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集成电路生产，半导体器件生产</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印刷电路板，电真空器件</w:t>
                  </w:r>
                </w:p>
              </w:tc>
              <w:tc>
                <w:tcPr>
                  <w:tcW w:w="780" w:type="pct"/>
                  <w:noWrap w:val="0"/>
                  <w:vAlign w:val="center"/>
                </w:tcPr>
                <w:p w14:paraId="2BF2BBBB">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限制入区</w:t>
                  </w:r>
                </w:p>
              </w:tc>
              <w:tc>
                <w:tcPr>
                  <w:tcW w:w="793" w:type="pct"/>
                  <w:vMerge w:val="continue"/>
                  <w:noWrap w:val="0"/>
                  <w:vAlign w:val="center"/>
                </w:tcPr>
                <w:p w14:paraId="69EB76E4">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08BB0A31">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522C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continue"/>
                  <w:noWrap w:val="0"/>
                  <w:vAlign w:val="center"/>
                </w:tcPr>
                <w:p w14:paraId="768AF921">
                  <w:pPr>
                    <w:pStyle w:val="10"/>
                    <w:spacing w:line="240" w:lineRule="auto"/>
                    <w:ind w:firstLine="0" w:firstLineChars="0"/>
                    <w:jc w:val="center"/>
                    <w:rPr>
                      <w:color w:val="000000" w:themeColor="text1"/>
                      <w14:textFill>
                        <w14:solidFill>
                          <w14:schemeClr w14:val="tx1"/>
                        </w14:solidFill>
                      </w14:textFill>
                    </w:rPr>
                  </w:pPr>
                </w:p>
              </w:tc>
              <w:tc>
                <w:tcPr>
                  <w:tcW w:w="2148" w:type="pct"/>
                  <w:noWrap w:val="0"/>
                  <w:vAlign w:val="center"/>
                </w:tcPr>
                <w:p w14:paraId="2F504FF9">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电镀表面处理</w:t>
                  </w:r>
                </w:p>
              </w:tc>
              <w:tc>
                <w:tcPr>
                  <w:tcW w:w="780" w:type="pct"/>
                  <w:noWrap w:val="0"/>
                  <w:vAlign w:val="center"/>
                </w:tcPr>
                <w:p w14:paraId="49311A84">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禁止进入</w:t>
                  </w:r>
                </w:p>
              </w:tc>
              <w:tc>
                <w:tcPr>
                  <w:tcW w:w="793" w:type="pct"/>
                  <w:vMerge w:val="continue"/>
                  <w:noWrap w:val="0"/>
                  <w:vAlign w:val="center"/>
                </w:tcPr>
                <w:p w14:paraId="59465C10">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2B64D05E">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5386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restart"/>
                  <w:noWrap w:val="0"/>
                  <w:vAlign w:val="center"/>
                </w:tcPr>
                <w:p w14:paraId="3AFE1069">
                  <w:pPr>
                    <w:pStyle w:val="1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纺织服装</w:t>
                  </w:r>
                </w:p>
              </w:tc>
              <w:tc>
                <w:tcPr>
                  <w:tcW w:w="2148" w:type="pct"/>
                  <w:noWrap w:val="0"/>
                  <w:vAlign w:val="center"/>
                </w:tcPr>
                <w:p w14:paraId="74F867F5">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棉纺纱加工、棉织造加工</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毛条和毛纱线加工、毛织造加工</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麻纺织</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家用纺织制成品制造、非家用纺织制</w:t>
                  </w:r>
                </w:p>
              </w:tc>
              <w:tc>
                <w:tcPr>
                  <w:tcW w:w="780" w:type="pct"/>
                  <w:noWrap w:val="0"/>
                  <w:vAlign w:val="center"/>
                </w:tcPr>
                <w:p w14:paraId="3E09E40B">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优先性入区</w:t>
                  </w:r>
                </w:p>
              </w:tc>
              <w:tc>
                <w:tcPr>
                  <w:tcW w:w="793" w:type="pct"/>
                  <w:vMerge w:val="continue"/>
                  <w:noWrap w:val="0"/>
                  <w:vAlign w:val="center"/>
                </w:tcPr>
                <w:p w14:paraId="6AD05938">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05" w:type="pct"/>
                  <w:vMerge w:val="continue"/>
                  <w:noWrap w:val="0"/>
                  <w:vAlign w:val="center"/>
                </w:tcPr>
                <w:p w14:paraId="74D5D3FF">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4FC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continue"/>
                  <w:noWrap w:val="0"/>
                  <w:vAlign w:val="center"/>
                </w:tcPr>
                <w:p w14:paraId="0D3F27C5">
                  <w:pPr>
                    <w:pStyle w:val="10"/>
                    <w:spacing w:line="240" w:lineRule="auto"/>
                    <w:ind w:firstLine="0" w:firstLineChars="0"/>
                    <w:jc w:val="center"/>
                    <w:rPr>
                      <w:color w:val="000000" w:themeColor="text1"/>
                      <w14:textFill>
                        <w14:solidFill>
                          <w14:schemeClr w14:val="tx1"/>
                        </w14:solidFill>
                      </w14:textFill>
                    </w:rPr>
                  </w:pPr>
                </w:p>
              </w:tc>
              <w:tc>
                <w:tcPr>
                  <w:tcW w:w="2148" w:type="pct"/>
                  <w:noWrap w:val="0"/>
                  <w:vAlign w:val="center"/>
                </w:tcPr>
                <w:p w14:paraId="4D064875">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印染和制革</w:t>
                  </w:r>
                </w:p>
              </w:tc>
              <w:tc>
                <w:tcPr>
                  <w:tcW w:w="780" w:type="pct"/>
                  <w:noWrap w:val="0"/>
                  <w:vAlign w:val="center"/>
                </w:tcPr>
                <w:p w14:paraId="576797B8">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禁止进入</w:t>
                  </w:r>
                </w:p>
              </w:tc>
              <w:tc>
                <w:tcPr>
                  <w:tcW w:w="793" w:type="pct"/>
                  <w:vMerge w:val="continue"/>
                  <w:noWrap w:val="0"/>
                  <w:vAlign w:val="center"/>
                </w:tcPr>
                <w:p w14:paraId="707478C4">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4EC8F33A">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6043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restart"/>
                  <w:noWrap w:val="0"/>
                  <w:vAlign w:val="center"/>
                </w:tcPr>
                <w:p w14:paraId="3983E024">
                  <w:pPr>
                    <w:pStyle w:val="1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农副产品深加工</w:t>
                  </w:r>
                </w:p>
              </w:tc>
              <w:tc>
                <w:tcPr>
                  <w:tcW w:w="2148" w:type="pct"/>
                  <w:noWrap w:val="0"/>
                  <w:vAlign w:val="center"/>
                </w:tcPr>
                <w:p w14:paraId="7B647210">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谷物磨制，饲料加工，蔬菜、水果和坚果加工</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肉禽类加工，蛋品加工</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焙烤食品制造，糖果，巧克力及蜜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饯制造，方便食品制造</w:t>
                  </w:r>
                </w:p>
              </w:tc>
              <w:tc>
                <w:tcPr>
                  <w:tcW w:w="780" w:type="pct"/>
                  <w:noWrap w:val="0"/>
                  <w:vAlign w:val="center"/>
                </w:tcPr>
                <w:p w14:paraId="1245A13E">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优先性入区</w:t>
                  </w:r>
                </w:p>
              </w:tc>
              <w:tc>
                <w:tcPr>
                  <w:tcW w:w="793" w:type="pct"/>
                  <w:vMerge w:val="continue"/>
                  <w:noWrap w:val="0"/>
                  <w:vAlign w:val="center"/>
                </w:tcPr>
                <w:p w14:paraId="09BE15E8">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05" w:type="pct"/>
                  <w:vMerge w:val="continue"/>
                  <w:noWrap w:val="0"/>
                  <w:vAlign w:val="center"/>
                </w:tcPr>
                <w:p w14:paraId="0A4E8A07">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FC3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continue"/>
                  <w:noWrap w:val="0"/>
                  <w:vAlign w:val="center"/>
                </w:tcPr>
                <w:p w14:paraId="39425F61">
                  <w:pPr>
                    <w:pStyle w:val="10"/>
                    <w:spacing w:line="240" w:lineRule="auto"/>
                    <w:ind w:firstLine="0" w:firstLineChars="0"/>
                    <w:jc w:val="center"/>
                    <w:rPr>
                      <w:color w:val="000000" w:themeColor="text1"/>
                      <w14:textFill>
                        <w14:solidFill>
                          <w14:schemeClr w14:val="tx1"/>
                        </w14:solidFill>
                      </w14:textFill>
                    </w:rPr>
                  </w:pPr>
                </w:p>
              </w:tc>
              <w:tc>
                <w:tcPr>
                  <w:tcW w:w="2148" w:type="pct"/>
                  <w:noWrap w:val="0"/>
                  <w:vAlign w:val="center"/>
                </w:tcPr>
                <w:p w14:paraId="4288A27F">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植物油加工、制糖业、屠宰、酿造类企业</w:t>
                  </w:r>
                </w:p>
              </w:tc>
              <w:tc>
                <w:tcPr>
                  <w:tcW w:w="780" w:type="pct"/>
                  <w:noWrap w:val="0"/>
                  <w:vAlign w:val="center"/>
                </w:tcPr>
                <w:p w14:paraId="3C9C3F4F">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限制入区</w:t>
                  </w:r>
                </w:p>
              </w:tc>
              <w:tc>
                <w:tcPr>
                  <w:tcW w:w="793" w:type="pct"/>
                  <w:vMerge w:val="continue"/>
                  <w:noWrap w:val="0"/>
                  <w:vAlign w:val="center"/>
                </w:tcPr>
                <w:p w14:paraId="348A52E3">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709071AF">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3454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restart"/>
                  <w:noWrap w:val="0"/>
                  <w:vAlign w:val="center"/>
                </w:tcPr>
                <w:p w14:paraId="158428A8">
                  <w:pPr>
                    <w:pStyle w:val="10"/>
                    <w:spacing w:line="240" w:lineRule="auto"/>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其他</w:t>
                  </w:r>
                </w:p>
              </w:tc>
              <w:tc>
                <w:tcPr>
                  <w:tcW w:w="2148" w:type="pct"/>
                  <w:noWrap w:val="0"/>
                  <w:vAlign w:val="center"/>
                </w:tcPr>
                <w:p w14:paraId="51747035">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与主导产业不完全相符，但是低能耗、轻污染型周边产</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业</w:t>
                  </w:r>
                </w:p>
              </w:tc>
              <w:tc>
                <w:tcPr>
                  <w:tcW w:w="780" w:type="pct"/>
                  <w:noWrap w:val="0"/>
                  <w:vAlign w:val="center"/>
                </w:tcPr>
                <w:p w14:paraId="2DCD2606">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适度入区</w:t>
                  </w:r>
                </w:p>
              </w:tc>
              <w:tc>
                <w:tcPr>
                  <w:tcW w:w="793" w:type="pct"/>
                  <w:vMerge w:val="continue"/>
                  <w:noWrap w:val="0"/>
                  <w:vAlign w:val="center"/>
                </w:tcPr>
                <w:p w14:paraId="26011AF3">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7C9E55EA">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2416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2" w:type="pct"/>
                  <w:vMerge w:val="continue"/>
                  <w:noWrap w:val="0"/>
                  <w:vAlign w:val="center"/>
                </w:tcPr>
                <w:p w14:paraId="5FDD8D7B">
                  <w:pPr>
                    <w:pStyle w:val="10"/>
                    <w:spacing w:line="240" w:lineRule="auto"/>
                    <w:ind w:firstLine="0" w:firstLineChars="0"/>
                    <w:jc w:val="center"/>
                    <w:rPr>
                      <w:color w:val="000000" w:themeColor="text1"/>
                      <w14:textFill>
                        <w14:solidFill>
                          <w14:schemeClr w14:val="tx1"/>
                        </w14:solidFill>
                      </w14:textFill>
                    </w:rPr>
                  </w:pPr>
                </w:p>
              </w:tc>
              <w:tc>
                <w:tcPr>
                  <w:tcW w:w="2148" w:type="pct"/>
                  <w:noWrap w:val="0"/>
                  <w:vAlign w:val="center"/>
                </w:tcPr>
                <w:p w14:paraId="4D75FFAD">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高能耗、高污染型项目</w:t>
                  </w:r>
                </w:p>
              </w:tc>
              <w:tc>
                <w:tcPr>
                  <w:tcW w:w="780" w:type="pct"/>
                  <w:noWrap w:val="0"/>
                  <w:vAlign w:val="center"/>
                </w:tcPr>
                <w:p w14:paraId="78789D6C">
                  <w:pPr>
                    <w:pStyle w:val="10"/>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禁止入区</w:t>
                  </w:r>
                </w:p>
              </w:tc>
              <w:tc>
                <w:tcPr>
                  <w:tcW w:w="793" w:type="pct"/>
                  <w:vMerge w:val="continue"/>
                  <w:noWrap w:val="0"/>
                  <w:vAlign w:val="center"/>
                </w:tcPr>
                <w:p w14:paraId="16A9D52D">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628238A3">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1C1E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gridSpan w:val="2"/>
                  <w:noWrap w:val="0"/>
                  <w:vAlign w:val="center"/>
                </w:tcPr>
                <w:p w14:paraId="7A2E22E0">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鼓励引进和优先发展的行业主要以规划主导产业为主，鼓励清洁生产水平高、污染小的配套产业和高新技术产业项目的入驻;鼓励建设市政基础设施及技术改造项目；鼓励有利于园区内企业间循环经济的项目入驻,鼓励企业实施利用先进适用技术进行循环经济改造的项目</w:t>
                  </w:r>
                </w:p>
              </w:tc>
              <w:tc>
                <w:tcPr>
                  <w:tcW w:w="780" w:type="pct"/>
                  <w:noWrap w:val="0"/>
                  <w:vAlign w:val="center"/>
                </w:tcPr>
                <w:p w14:paraId="26C41D9C">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鼓励入园</w:t>
                  </w:r>
                </w:p>
              </w:tc>
              <w:tc>
                <w:tcPr>
                  <w:tcW w:w="793" w:type="pct"/>
                  <w:vMerge w:val="continue"/>
                  <w:noWrap w:val="0"/>
                  <w:vAlign w:val="center"/>
                </w:tcPr>
                <w:p w14:paraId="11611A93">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restart"/>
                  <w:noWrap w:val="0"/>
                  <w:vAlign w:val="center"/>
                </w:tcPr>
                <w:p w14:paraId="1B910A4C">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跟踪评价</w:t>
                  </w:r>
                </w:p>
              </w:tc>
            </w:tr>
            <w:tr w14:paraId="1072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gridSpan w:val="2"/>
                  <w:noWrap w:val="0"/>
                  <w:vAlign w:val="center"/>
                </w:tcPr>
                <w:p w14:paraId="429295F4">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基于园区的地理位置，为减少园区对泗县城区及园区居住地块的影响，评价建议限制引进排放毒性大的特征大气污染物项目</w:t>
                  </w:r>
                </w:p>
              </w:tc>
              <w:tc>
                <w:tcPr>
                  <w:tcW w:w="780" w:type="pct"/>
                  <w:noWrap w:val="0"/>
                  <w:vAlign w:val="center"/>
                </w:tcPr>
                <w:p w14:paraId="15C527C2">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限制入园</w:t>
                  </w:r>
                </w:p>
              </w:tc>
              <w:tc>
                <w:tcPr>
                  <w:tcW w:w="793" w:type="pct"/>
                  <w:vMerge w:val="continue"/>
                  <w:noWrap w:val="0"/>
                  <w:vAlign w:val="center"/>
                </w:tcPr>
                <w:p w14:paraId="4E2AEBB6">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020C05D5">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0930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21" w:type="pct"/>
                  <w:gridSpan w:val="2"/>
                  <w:noWrap w:val="0"/>
                  <w:vAlign w:val="center"/>
                </w:tcPr>
                <w:p w14:paraId="771AFE9F">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新（改、扩）建涉高VOCs含量溶剂型涂料、油墨、胶粘剂等生产和使用的项目禁止入区</w:t>
                  </w:r>
                </w:p>
              </w:tc>
              <w:tc>
                <w:tcPr>
                  <w:tcW w:w="780" w:type="pct"/>
                  <w:noWrap w:val="0"/>
                  <w:vAlign w:val="center"/>
                </w:tcPr>
                <w:p w14:paraId="2BA71711">
                  <w:pPr>
                    <w:pStyle w:val="1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禁止入园</w:t>
                  </w:r>
                </w:p>
              </w:tc>
              <w:tc>
                <w:tcPr>
                  <w:tcW w:w="793" w:type="pct"/>
                  <w:vMerge w:val="continue"/>
                  <w:noWrap w:val="0"/>
                  <w:vAlign w:val="center"/>
                </w:tcPr>
                <w:p w14:paraId="0F10AB83">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pct"/>
                  <w:vMerge w:val="continue"/>
                  <w:noWrap w:val="0"/>
                  <w:vAlign w:val="center"/>
                </w:tcPr>
                <w:p w14:paraId="0AE10958">
                  <w:pPr>
                    <w:pStyle w:val="10"/>
                    <w:spacing w:line="240" w:lineRule="auto"/>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14:paraId="36ADEBE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本项目为行业类别为</w:t>
            </w:r>
            <w:r>
              <w:rPr>
                <w:rFonts w:hint="eastAsia" w:cs="Times New Roman"/>
                <w:b w:val="0"/>
                <w:bCs w:val="0"/>
                <w:color w:val="000000" w:themeColor="text1"/>
                <w:lang w:val="en-US" w:eastAsia="zh-CN"/>
                <w14:textFill>
                  <w14:solidFill>
                    <w14:schemeClr w14:val="tx1"/>
                  </w14:solidFill>
                </w14:textFill>
              </w:rPr>
              <w:t>C2462游艺用品及室内游艺器材制造</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，主要生产麻将机配件，</w:t>
            </w:r>
            <w:r>
              <w:rPr>
                <w:rFonts w:hint="eastAsia"/>
                <w:color w:val="000000" w:themeColor="text1"/>
                <w:shd w:val="clear" w:color="auto" w:fill="FFFFFF"/>
                <w:lang w:val="en-US" w:eastAsia="zh-CN"/>
                <w14:textFill>
                  <w14:solidFill>
                    <w14:schemeClr w14:val="tx1"/>
                  </w14:solidFill>
                </w14:textFill>
              </w:rPr>
              <w:t>主要工艺为机械加工</w:t>
            </w:r>
            <w:r>
              <w:rPr>
                <w:rFonts w:hint="eastAsia" w:ascii="Times New Roman" w:hAnsi="Times New Roman"/>
                <w:color w:val="000000" w:themeColor="text1"/>
                <w:shd w:val="clear" w:color="auto" w:fill="FFFFFF"/>
                <w:lang w:eastAsia="zh-CN"/>
                <w14:textFill>
                  <w14:solidFill>
                    <w14:schemeClr w14:val="tx1"/>
                  </w14:solidFill>
                </w14:textFill>
              </w:rPr>
              <w:t>，</w:t>
            </w:r>
            <w:r>
              <w:rPr>
                <w:rFonts w:ascii="宋体" w:hAnsi="宋体" w:cs="宋体"/>
                <w:color w:val="000000" w:themeColor="text1"/>
                <w14:textFill>
                  <w14:solidFill>
                    <w14:schemeClr w14:val="tx1"/>
                  </w14:solidFill>
                </w14:textFill>
              </w:rPr>
              <w:t>与</w:t>
            </w:r>
            <w:r>
              <w:rPr>
                <w:color w:val="000000" w:themeColor="text1"/>
                <w:szCs w:val="32"/>
                <w14:textFill>
                  <w14:solidFill>
                    <w14:schemeClr w14:val="tx1"/>
                  </w14:solidFill>
                </w14:textFill>
              </w:rPr>
              <w:t>泗县经济</w:t>
            </w:r>
            <w:r>
              <w:rPr>
                <w:color w:val="000000" w:themeColor="text1"/>
                <w:kern w:val="0"/>
                <w14:textFill>
                  <w14:solidFill>
                    <w14:schemeClr w14:val="tx1"/>
                  </w14:solidFill>
                </w14:textFill>
              </w:rPr>
              <w:t>开发区</w:t>
            </w:r>
            <w:r>
              <w:rPr>
                <w:rFonts w:ascii="宋体" w:hAnsi="宋体" w:cs="宋体"/>
                <w:color w:val="000000" w:themeColor="text1"/>
                <w14:textFill>
                  <w14:solidFill>
                    <w14:schemeClr w14:val="tx1"/>
                  </w14:solidFill>
                </w14:textFill>
              </w:rPr>
              <w:t>主导产业</w:t>
            </w:r>
            <w:r>
              <w:rPr>
                <w:rFonts w:hint="eastAsia" w:ascii="宋体" w:hAnsi="宋体" w:cs="宋体"/>
                <w:color w:val="000000"/>
                <w:kern w:val="0"/>
              </w:rPr>
              <w:t>不完全相符，</w:t>
            </w:r>
            <w:r>
              <w:rPr>
                <w:rFonts w:hint="eastAsia" w:ascii="宋体" w:hAnsi="宋体" w:cs="宋体"/>
                <w:color w:val="000000"/>
                <w:kern w:val="0"/>
                <w:lang w:val="en-US" w:eastAsia="zh-CN"/>
              </w:rPr>
              <w:t>但</w:t>
            </w:r>
            <w:r>
              <w:rPr>
                <w:rFonts w:hint="eastAsia" w:ascii="宋体" w:hAnsi="宋体" w:cs="宋体"/>
                <w:color w:val="000000"/>
                <w:kern w:val="0"/>
              </w:rPr>
              <w:t>属于低能耗、轻污染型产业，可以入区</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p>
          <w:p w14:paraId="7DBDBE4B">
            <w:pPr>
              <w:bidi w:val="0"/>
              <w:spacing w:line="360" w:lineRule="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与宿州市</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三线一单</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生态环境分区管控相符性分析</w:t>
            </w:r>
          </w:p>
          <w:p w14:paraId="1FEA61E3">
            <w:pPr>
              <w:pStyle w:val="5"/>
              <w:keepNext/>
              <w:keepLines/>
              <w:pageBreakBefore w:val="0"/>
              <w:widowControl w:val="0"/>
              <w:kinsoku/>
              <w:wordWrap/>
              <w:overflowPunct/>
              <w:topLinePunct w:val="0"/>
              <w:autoSpaceDE/>
              <w:autoSpaceDN/>
              <w:bidi w:val="0"/>
              <w:adjustRightInd/>
              <w:snapToGrid/>
              <w:spacing w:before="0" w:after="0" w:line="360" w:lineRule="auto"/>
              <w:ind w:firstLine="482" w:firstLineChars="200"/>
              <w:jc w:val="left"/>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安徽省</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三线一单</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公共服务平台（具体见附图）。</w:t>
            </w:r>
          </w:p>
          <w:p w14:paraId="63C6B2BE">
            <w:pPr>
              <w:pStyle w:val="5"/>
              <w:keepNext/>
              <w:keepLines/>
              <w:spacing w:before="0" w:after="0" w:line="360" w:lineRule="auto"/>
              <w:ind w:firstLine="480" w:firstLineChars="200"/>
              <w:jc w:val="left"/>
              <w:rPr>
                <w:color w:val="000000" w:themeColor="text1"/>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根据《安徽省</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三线一单</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管控要求查询报告》环境管控单元管控要求符合性分析如下：</w:t>
            </w:r>
          </w:p>
          <w:p w14:paraId="267109C3">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 xml:space="preserve">-8 </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与</w:t>
            </w:r>
            <w:r>
              <w:rPr>
                <w:rFonts w:hint="eastAsia"/>
                <w:b/>
                <w:bCs/>
                <w:color w:val="000000" w:themeColor="text1"/>
                <w:lang w:val="en-US" w:eastAsia="zh-CN"/>
                <w14:textFill>
                  <w14:solidFill>
                    <w14:schemeClr w14:val="tx1"/>
                  </w14:solidFill>
                </w14:textFill>
              </w:rPr>
              <w:t>《安徽省“三线一单”管控要求查询报告》</w:t>
            </w:r>
            <w:r>
              <w:rPr>
                <w:rFonts w:hint="eastAsia"/>
                <w:b/>
                <w:bCs/>
                <w:color w:val="000000" w:themeColor="text1"/>
                <w14:textFill>
                  <w14:solidFill>
                    <w14:schemeClr w14:val="tx1"/>
                  </w14:solidFill>
                </w14:textFill>
              </w:rPr>
              <w:t>相符性分析一览表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0"/>
              <w:gridCol w:w="630"/>
              <w:gridCol w:w="765"/>
              <w:gridCol w:w="555"/>
              <w:gridCol w:w="1845"/>
              <w:gridCol w:w="2072"/>
              <w:gridCol w:w="409"/>
            </w:tblGrid>
            <w:tr w14:paraId="46CF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pct"/>
                  <w:noWrap w:val="0"/>
                  <w:vAlign w:val="center"/>
                </w:tcPr>
                <w:p w14:paraId="2CE03768">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000000" w:themeColor="text1"/>
                      <w:w w:val="100"/>
                      <w:sz w:val="21"/>
                      <w:szCs w:val="21"/>
                      <w14:textFill>
                        <w14:solidFill>
                          <w14:schemeClr w14:val="tx1"/>
                        </w14:solidFill>
                      </w14:textFill>
                    </w:rPr>
                  </w:pPr>
                  <w:r>
                    <w:rPr>
                      <w:rFonts w:hint="default" w:ascii="Times New Roman" w:hAnsi="Times New Roman" w:eastAsia="宋体" w:cs="Times New Roman"/>
                      <w:b/>
                      <w:bCs/>
                      <w:color w:val="000000" w:themeColor="text1"/>
                      <w:w w:val="100"/>
                      <w:sz w:val="21"/>
                      <w:szCs w:val="21"/>
                      <w14:textFill>
                        <w14:solidFill>
                          <w14:schemeClr w14:val="tx1"/>
                        </w14:solidFill>
                      </w14:textFill>
                    </w:rPr>
                    <w:t>环境管控单元编码</w:t>
                  </w:r>
                </w:p>
              </w:tc>
              <w:tc>
                <w:tcPr>
                  <w:tcW w:w="448" w:type="pct"/>
                  <w:noWrap w:val="0"/>
                  <w:vAlign w:val="center"/>
                </w:tcPr>
                <w:p w14:paraId="6C53059F">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000000" w:themeColor="text1"/>
                      <w:w w:val="100"/>
                      <w:sz w:val="21"/>
                      <w:szCs w:val="21"/>
                      <w14:textFill>
                        <w14:solidFill>
                          <w14:schemeClr w14:val="tx1"/>
                        </w14:solidFill>
                      </w14:textFill>
                    </w:rPr>
                  </w:pPr>
                  <w:r>
                    <w:rPr>
                      <w:rFonts w:hint="default" w:ascii="Times New Roman" w:hAnsi="Times New Roman" w:eastAsia="宋体" w:cs="Times New Roman"/>
                      <w:b/>
                      <w:bCs/>
                      <w:color w:val="000000" w:themeColor="text1"/>
                      <w:w w:val="100"/>
                      <w:sz w:val="21"/>
                      <w:szCs w:val="21"/>
                      <w14:textFill>
                        <w14:solidFill>
                          <w14:schemeClr w14:val="tx1"/>
                        </w14:solidFill>
                      </w14:textFill>
                    </w:rPr>
                    <w:t>环境管控单元分类</w:t>
                  </w:r>
                </w:p>
              </w:tc>
              <w:tc>
                <w:tcPr>
                  <w:tcW w:w="544" w:type="pct"/>
                  <w:noWrap w:val="0"/>
                  <w:vAlign w:val="center"/>
                </w:tcPr>
                <w:p w14:paraId="25B73ADF">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000000" w:themeColor="text1"/>
                      <w:w w:val="100"/>
                      <w:sz w:val="21"/>
                      <w:szCs w:val="21"/>
                      <w14:textFill>
                        <w14:solidFill>
                          <w14:schemeClr w14:val="tx1"/>
                        </w14:solidFill>
                      </w14:textFill>
                    </w:rPr>
                  </w:pPr>
                  <w:r>
                    <w:rPr>
                      <w:rFonts w:hint="default" w:ascii="Times New Roman" w:hAnsi="Times New Roman" w:eastAsia="宋体" w:cs="Times New Roman"/>
                      <w:b/>
                      <w:bCs/>
                      <w:color w:val="000000" w:themeColor="text1"/>
                      <w:w w:val="100"/>
                      <w:sz w:val="21"/>
                      <w:szCs w:val="21"/>
                      <w14:textFill>
                        <w14:solidFill>
                          <w14:schemeClr w14:val="tx1"/>
                        </w14:solidFill>
                      </w14:textFill>
                    </w:rPr>
                    <w:t>区域管控要求</w:t>
                  </w:r>
                </w:p>
              </w:tc>
              <w:tc>
                <w:tcPr>
                  <w:tcW w:w="394" w:type="pct"/>
                  <w:noWrap w:val="0"/>
                  <w:vAlign w:val="center"/>
                </w:tcPr>
                <w:p w14:paraId="4DD04C97">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000000" w:themeColor="text1"/>
                      <w:w w:val="100"/>
                      <w:sz w:val="21"/>
                      <w:szCs w:val="21"/>
                      <w14:textFill>
                        <w14:solidFill>
                          <w14:schemeClr w14:val="tx1"/>
                        </w14:solidFill>
                      </w14:textFill>
                    </w:rPr>
                  </w:pPr>
                  <w:r>
                    <w:rPr>
                      <w:rFonts w:hint="default" w:ascii="Times New Roman" w:hAnsi="Times New Roman" w:eastAsia="宋体" w:cs="Times New Roman"/>
                      <w:b/>
                      <w:bCs/>
                      <w:color w:val="000000" w:themeColor="text1"/>
                      <w:w w:val="100"/>
                      <w:sz w:val="21"/>
                      <w:szCs w:val="21"/>
                      <w14:textFill>
                        <w14:solidFill>
                          <w14:schemeClr w14:val="tx1"/>
                        </w14:solidFill>
                      </w14:textFill>
                    </w:rPr>
                    <w:t>管控类别</w:t>
                  </w:r>
                </w:p>
              </w:tc>
              <w:tc>
                <w:tcPr>
                  <w:tcW w:w="1312" w:type="pct"/>
                  <w:noWrap w:val="0"/>
                  <w:vAlign w:val="center"/>
                </w:tcPr>
                <w:p w14:paraId="0E6FAB13">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000000" w:themeColor="text1"/>
                      <w:w w:val="100"/>
                      <w:sz w:val="21"/>
                      <w:szCs w:val="21"/>
                      <w14:textFill>
                        <w14:solidFill>
                          <w14:schemeClr w14:val="tx1"/>
                        </w14:solidFill>
                      </w14:textFill>
                    </w:rPr>
                  </w:pPr>
                  <w:r>
                    <w:rPr>
                      <w:rFonts w:hint="default" w:ascii="Times New Roman" w:hAnsi="Times New Roman" w:eastAsia="宋体" w:cs="Times New Roman"/>
                      <w:b/>
                      <w:bCs/>
                      <w:color w:val="000000" w:themeColor="text1"/>
                      <w:w w:val="100"/>
                      <w:sz w:val="21"/>
                      <w:szCs w:val="21"/>
                      <w14:textFill>
                        <w14:solidFill>
                          <w14:schemeClr w14:val="tx1"/>
                        </w14:solidFill>
                      </w14:textFill>
                    </w:rPr>
                    <w:t>管控要求</w:t>
                  </w:r>
                </w:p>
              </w:tc>
              <w:tc>
                <w:tcPr>
                  <w:tcW w:w="1474" w:type="pct"/>
                  <w:noWrap w:val="0"/>
                  <w:vAlign w:val="center"/>
                </w:tcPr>
                <w:p w14:paraId="7D705B40">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b/>
                      <w:bCs/>
                      <w:color w:val="000000" w:themeColor="text1"/>
                      <w:w w:val="100"/>
                      <w:sz w:val="21"/>
                      <w:szCs w:val="21"/>
                      <w:lang w:val="en-US" w:eastAsia="zh-CN"/>
                      <w14:textFill>
                        <w14:solidFill>
                          <w14:schemeClr w14:val="tx1"/>
                        </w14:solidFill>
                      </w14:textFill>
                    </w:rPr>
                  </w:pPr>
                  <w:r>
                    <w:rPr>
                      <w:rFonts w:hint="eastAsia" w:ascii="Times New Roman" w:hAnsi="Times New Roman" w:cs="Times New Roman"/>
                      <w:b/>
                      <w:bCs/>
                      <w:color w:val="000000" w:themeColor="text1"/>
                      <w:w w:val="100"/>
                      <w:sz w:val="21"/>
                      <w:szCs w:val="21"/>
                      <w:lang w:val="en-US" w:eastAsia="zh-CN"/>
                      <w14:textFill>
                        <w14:solidFill>
                          <w14:schemeClr w14:val="tx1"/>
                        </w14:solidFill>
                      </w14:textFill>
                    </w:rPr>
                    <w:t>本项目内容</w:t>
                  </w:r>
                </w:p>
              </w:tc>
              <w:tc>
                <w:tcPr>
                  <w:tcW w:w="291" w:type="pct"/>
                  <w:noWrap w:val="0"/>
                  <w:vAlign w:val="center"/>
                </w:tcPr>
                <w:p w14:paraId="314FBDCE">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b/>
                      <w:bCs/>
                      <w:color w:val="000000" w:themeColor="text1"/>
                      <w:w w:val="100"/>
                      <w:sz w:val="21"/>
                      <w:szCs w:val="21"/>
                      <w:lang w:val="en-US" w:eastAsia="zh-CN"/>
                      <w14:textFill>
                        <w14:solidFill>
                          <w14:schemeClr w14:val="tx1"/>
                        </w14:solidFill>
                      </w14:textFill>
                    </w:rPr>
                  </w:pPr>
                  <w:r>
                    <w:rPr>
                      <w:rFonts w:hint="eastAsia" w:ascii="Times New Roman" w:hAnsi="Times New Roman" w:cs="Times New Roman"/>
                      <w:b/>
                      <w:bCs/>
                      <w:color w:val="000000" w:themeColor="text1"/>
                      <w:w w:val="100"/>
                      <w:sz w:val="21"/>
                      <w:szCs w:val="21"/>
                      <w:lang w:val="en-US" w:eastAsia="zh-CN"/>
                      <w14:textFill>
                        <w14:solidFill>
                          <w14:schemeClr w14:val="tx1"/>
                        </w14:solidFill>
                      </w14:textFill>
                    </w:rPr>
                    <w:t>相符性</w:t>
                  </w:r>
                </w:p>
              </w:tc>
            </w:tr>
            <w:tr w14:paraId="358B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pct"/>
                  <w:vMerge w:val="restart"/>
                  <w:noWrap w:val="0"/>
                  <w:vAlign w:val="center"/>
                </w:tcPr>
                <w:p w14:paraId="024B1FF0">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14:textFill>
                        <w14:solidFill>
                          <w14:schemeClr w14:val="tx1"/>
                        </w14:solidFill>
                      </w14:textFill>
                    </w:rPr>
                  </w:pPr>
                  <w:r>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t>ZH34132</w:t>
                  </w:r>
                  <w:r>
                    <w:rPr>
                      <w:rFonts w:hint="eastAsia" w:ascii="Times New Roman" w:hAnsi="Times New Roman" w:cs="Times New Roman"/>
                      <w:color w:val="000000" w:themeColor="text1"/>
                      <w:w w:val="10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t>20</w:t>
                  </w:r>
                  <w:r>
                    <w:rPr>
                      <w:rFonts w:hint="eastAsia" w:ascii="Times New Roman" w:hAnsi="Times New Roman" w:cs="Times New Roman"/>
                      <w:color w:val="000000" w:themeColor="text1"/>
                      <w:w w:val="100"/>
                      <w:sz w:val="21"/>
                      <w:szCs w:val="21"/>
                      <w:lang w:val="en-US" w:eastAsia="zh-CN"/>
                      <w14:textFill>
                        <w14:solidFill>
                          <w14:schemeClr w14:val="tx1"/>
                        </w14:solidFill>
                      </w14:textFill>
                    </w:rPr>
                    <w:t>021</w:t>
                  </w:r>
                </w:p>
              </w:tc>
              <w:tc>
                <w:tcPr>
                  <w:tcW w:w="448" w:type="pct"/>
                  <w:vMerge w:val="restart"/>
                  <w:noWrap w:val="0"/>
                  <w:vAlign w:val="center"/>
                </w:tcPr>
                <w:p w14:paraId="7E40BE04">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w w:val="100"/>
                      <w:sz w:val="21"/>
                      <w:szCs w:val="21"/>
                      <w:lang w:val="en-US" w:eastAsia="zh-CN"/>
                      <w14:textFill>
                        <w14:solidFill>
                          <w14:schemeClr w14:val="tx1"/>
                        </w14:solidFill>
                      </w14:textFill>
                    </w:rPr>
                    <w:t>重点</w:t>
                  </w:r>
                  <w:r>
                    <w:rPr>
                      <w:rFonts w:hint="eastAsia" w:ascii="Times New Roman" w:hAnsi="Times New Roman" w:cs="Times New Roman"/>
                      <w:color w:val="000000" w:themeColor="text1"/>
                      <w:w w:val="100"/>
                      <w:sz w:val="21"/>
                      <w:szCs w:val="21"/>
                      <w:lang w:val="en-US" w:eastAsia="zh-CN"/>
                      <w14:textFill>
                        <w14:solidFill>
                          <w14:schemeClr w14:val="tx1"/>
                        </w14:solidFill>
                      </w14:textFill>
                    </w:rPr>
                    <w:t>管控</w:t>
                  </w:r>
                  <w:r>
                    <w:rPr>
                      <w:rFonts w:hint="default" w:ascii="Times New Roman" w:hAnsi="Times New Roman" w:eastAsia="宋体" w:cs="Times New Roman"/>
                      <w:color w:val="000000" w:themeColor="text1"/>
                      <w:w w:val="100"/>
                      <w:sz w:val="21"/>
                      <w:szCs w:val="21"/>
                      <w14:textFill>
                        <w14:solidFill>
                          <w14:schemeClr w14:val="tx1"/>
                        </w14:solidFill>
                      </w14:textFill>
                    </w:rPr>
                    <w:t>单元</w:t>
                  </w:r>
                  <w:r>
                    <w:rPr>
                      <w:rFonts w:hint="eastAsia" w:ascii="Times New Roman" w:hAnsi="Times New Roman" w:cs="Times New Roman"/>
                      <w:color w:val="000000" w:themeColor="text1"/>
                      <w:w w:val="100"/>
                      <w:sz w:val="21"/>
                      <w:szCs w:val="21"/>
                      <w:lang w:val="en-US" w:eastAsia="zh-CN"/>
                      <w14:textFill>
                        <w14:solidFill>
                          <w14:schemeClr w14:val="tx1"/>
                        </w14:solidFill>
                      </w14:textFill>
                    </w:rPr>
                    <w:t>21</w:t>
                  </w:r>
                </w:p>
              </w:tc>
              <w:tc>
                <w:tcPr>
                  <w:tcW w:w="544" w:type="pct"/>
                  <w:vMerge w:val="restart"/>
                  <w:noWrap w:val="0"/>
                  <w:vAlign w:val="center"/>
                </w:tcPr>
                <w:p w14:paraId="2F9D1B84">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14:textFill>
                        <w14:solidFill>
                          <w14:schemeClr w14:val="tx1"/>
                        </w14:solidFill>
                      </w14:textFill>
                    </w:rPr>
                  </w:pPr>
                  <w:r>
                    <w:rPr>
                      <w:rFonts w:hint="eastAsia" w:ascii="Times New Roman" w:hAnsi="Times New Roman" w:cs="Times New Roman"/>
                      <w:color w:val="000000" w:themeColor="text1"/>
                      <w:w w:val="100"/>
                      <w:sz w:val="21"/>
                      <w:szCs w:val="21"/>
                      <w:lang w:val="en-US" w:eastAsia="zh-CN"/>
                      <w14:textFill>
                        <w14:solidFill>
                          <w14:schemeClr w14:val="tx1"/>
                        </w14:solidFill>
                      </w14:textFill>
                    </w:rPr>
                    <w:t>无</w:t>
                  </w:r>
                </w:p>
              </w:tc>
              <w:tc>
                <w:tcPr>
                  <w:tcW w:w="394" w:type="pct"/>
                  <w:vMerge w:val="restart"/>
                  <w:noWrap w:val="0"/>
                  <w:vAlign w:val="center"/>
                </w:tcPr>
                <w:p w14:paraId="4BBCA4CE">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空间布局约束</w:t>
                  </w:r>
                </w:p>
              </w:tc>
              <w:tc>
                <w:tcPr>
                  <w:tcW w:w="1312" w:type="pct"/>
                  <w:noWrap w:val="0"/>
                  <w:vAlign w:val="center"/>
                </w:tcPr>
                <w:p w14:paraId="3BFDBCBE">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t>在城市城区及其近郊禁止新建、扩建钢铁、有色、石化、水泥、化工等重污染企业</w:t>
                  </w:r>
                </w:p>
              </w:tc>
              <w:tc>
                <w:tcPr>
                  <w:tcW w:w="1474" w:type="pct"/>
                  <w:noWrap w:val="0"/>
                  <w:vAlign w:val="center"/>
                </w:tcPr>
                <w:p w14:paraId="330F40A1">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ascii="Times New Roman" w:hAnsi="Times New Roman" w:cs="Times New Roman"/>
                      <w:color w:val="000000" w:themeColor="text1"/>
                      <w:kern w:val="0"/>
                      <w:sz w:val="21"/>
                      <w:szCs w:val="21"/>
                      <w:lang w:eastAsia="zh-CN"/>
                      <w14:textFill>
                        <w14:solidFill>
                          <w14:schemeClr w14:val="tx1"/>
                        </w14:solidFill>
                      </w14:textFill>
                    </w:rPr>
                    <w:t>C2462游艺用品及室内游艺器材制造，</w:t>
                  </w:r>
                  <w:r>
                    <w:rPr>
                      <w:rFonts w:hint="eastAsia" w:ascii="Times New Roman" w:hAnsi="Times New Roman" w:cs="Times New Roman"/>
                      <w:color w:val="000000" w:themeColor="text1"/>
                      <w:kern w:val="0"/>
                      <w:sz w:val="21"/>
                      <w:szCs w:val="21"/>
                      <w:lang w:val="en-US" w:eastAsia="zh-CN"/>
                      <w14:textFill>
                        <w14:solidFill>
                          <w14:schemeClr w14:val="tx1"/>
                        </w14:solidFill>
                      </w14:textFill>
                    </w:rPr>
                    <w:t>不属于上述行业</w:t>
                  </w:r>
                </w:p>
              </w:tc>
              <w:tc>
                <w:tcPr>
                  <w:tcW w:w="291" w:type="pct"/>
                  <w:noWrap w:val="0"/>
                  <w:vAlign w:val="center"/>
                </w:tcPr>
                <w:p w14:paraId="5EE7402B">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符合</w:t>
                  </w:r>
                </w:p>
              </w:tc>
            </w:tr>
            <w:tr w14:paraId="5EE5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pct"/>
                  <w:vMerge w:val="continue"/>
                  <w:noWrap w:val="0"/>
                  <w:vAlign w:val="center"/>
                </w:tcPr>
                <w:p w14:paraId="0925B2A3">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448" w:type="pct"/>
                  <w:vMerge w:val="continue"/>
                  <w:noWrap w:val="0"/>
                  <w:vAlign w:val="center"/>
                </w:tcPr>
                <w:p w14:paraId="0A5CDF67">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544" w:type="pct"/>
                  <w:vMerge w:val="continue"/>
                  <w:noWrap w:val="0"/>
                  <w:vAlign w:val="center"/>
                </w:tcPr>
                <w:p w14:paraId="1C1EFC02">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394" w:type="pct"/>
                  <w:vMerge w:val="continue"/>
                  <w:noWrap w:val="0"/>
                  <w:vAlign w:val="center"/>
                </w:tcPr>
                <w:p w14:paraId="4069813B">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14:textFill>
                        <w14:solidFill>
                          <w14:schemeClr w14:val="tx1"/>
                        </w14:solidFill>
                      </w14:textFill>
                    </w:rPr>
                  </w:pPr>
                </w:p>
              </w:tc>
              <w:tc>
                <w:tcPr>
                  <w:tcW w:w="1312" w:type="pct"/>
                  <w:noWrap w:val="0"/>
                  <w:vAlign w:val="center"/>
                </w:tcPr>
                <w:p w14:paraId="114BC3DD">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t>严格执行国家关于“两高”产业准入目录和产能总量控制政策措施。严禁新增钢铁、焦化、电解铝、铸造、水泥和平板玻璃等产能</w:t>
                  </w:r>
                </w:p>
              </w:tc>
              <w:tc>
                <w:tcPr>
                  <w:tcW w:w="1474" w:type="pct"/>
                  <w:noWrap w:val="0"/>
                  <w:vAlign w:val="center"/>
                </w:tcPr>
                <w:p w14:paraId="0FCAF756">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ascii="Times New Roman" w:hAnsi="Times New Roman" w:cs="Times New Roman"/>
                      <w:color w:val="000000" w:themeColor="text1"/>
                      <w:kern w:val="0"/>
                      <w:sz w:val="21"/>
                      <w:szCs w:val="21"/>
                      <w:lang w:eastAsia="zh-CN"/>
                      <w14:textFill>
                        <w14:solidFill>
                          <w14:schemeClr w14:val="tx1"/>
                        </w14:solidFill>
                      </w14:textFill>
                    </w:rPr>
                    <w:t>C2462游艺用品及室内游艺器材制造，</w:t>
                  </w:r>
                  <w:r>
                    <w:rPr>
                      <w:rFonts w:hint="eastAsia" w:ascii="Times New Roman" w:hAnsi="Times New Roman" w:cs="Times New Roman"/>
                      <w:color w:val="000000" w:themeColor="text1"/>
                      <w:kern w:val="0"/>
                      <w:sz w:val="21"/>
                      <w:szCs w:val="21"/>
                      <w:lang w:val="en-US" w:eastAsia="zh-CN"/>
                      <w14:textFill>
                        <w14:solidFill>
                          <w14:schemeClr w14:val="tx1"/>
                        </w14:solidFill>
                      </w14:textFill>
                    </w:rPr>
                    <w:t>不属于“两高”行业</w:t>
                  </w:r>
                </w:p>
              </w:tc>
              <w:tc>
                <w:tcPr>
                  <w:tcW w:w="291" w:type="pct"/>
                  <w:noWrap w:val="0"/>
                  <w:vAlign w:val="center"/>
                </w:tcPr>
                <w:p w14:paraId="09984B11">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符合</w:t>
                  </w:r>
                </w:p>
              </w:tc>
            </w:tr>
            <w:tr w14:paraId="7A8B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pct"/>
                  <w:vMerge w:val="continue"/>
                  <w:noWrap w:val="0"/>
                  <w:vAlign w:val="center"/>
                </w:tcPr>
                <w:p w14:paraId="7493EAA8">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448" w:type="pct"/>
                  <w:vMerge w:val="continue"/>
                  <w:noWrap w:val="0"/>
                  <w:vAlign w:val="center"/>
                </w:tcPr>
                <w:p w14:paraId="1DBF428A">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544" w:type="pct"/>
                  <w:vMerge w:val="continue"/>
                  <w:noWrap w:val="0"/>
                  <w:vAlign w:val="center"/>
                </w:tcPr>
                <w:p w14:paraId="3DDA96F0">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394" w:type="pct"/>
                  <w:vMerge w:val="continue"/>
                  <w:noWrap w:val="0"/>
                  <w:vAlign w:val="center"/>
                </w:tcPr>
                <w:p w14:paraId="49674415">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14:textFill>
                        <w14:solidFill>
                          <w14:schemeClr w14:val="tx1"/>
                        </w14:solidFill>
                      </w14:textFill>
                    </w:rPr>
                  </w:pPr>
                </w:p>
              </w:tc>
              <w:tc>
                <w:tcPr>
                  <w:tcW w:w="1312" w:type="pct"/>
                  <w:noWrap w:val="0"/>
                  <w:vAlign w:val="center"/>
                </w:tcPr>
                <w:p w14:paraId="0D8FC659">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t>禁止建设生产和使用高挥发性有机物含量涂料、油墨、胶粘剂、清洗剂等项目</w:t>
                  </w:r>
                </w:p>
              </w:tc>
              <w:tc>
                <w:tcPr>
                  <w:tcW w:w="1474" w:type="pct"/>
                  <w:noWrap w:val="0"/>
                  <w:vAlign w:val="center"/>
                </w:tcPr>
                <w:p w14:paraId="162D7BB0">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sz w:val="21"/>
                      <w:szCs w:val="21"/>
                      <w:lang w:eastAsia="zh-CN"/>
                      <w14:textFill>
                        <w14:solidFill>
                          <w14:schemeClr w14:val="tx1"/>
                        </w14:solidFill>
                      </w14:textFill>
                    </w:rPr>
                    <w:t>本项目为</w:t>
                  </w:r>
                  <w:r>
                    <w:rPr>
                      <w:rFonts w:hint="default" w:ascii="Times New Roman" w:hAnsi="Times New Roman" w:cs="Times New Roman"/>
                      <w:color w:val="000000" w:themeColor="text1"/>
                      <w:kern w:val="0"/>
                      <w:sz w:val="21"/>
                      <w:szCs w:val="21"/>
                      <w:lang w:eastAsia="zh-CN"/>
                      <w14:textFill>
                        <w14:solidFill>
                          <w14:schemeClr w14:val="tx1"/>
                        </w14:solidFill>
                      </w14:textFill>
                    </w:rPr>
                    <w:t>C2462游艺用品及室内游艺器材制造</w:t>
                  </w:r>
                  <w:r>
                    <w:rPr>
                      <w:rFonts w:hint="default" w:ascii="Times New Roman" w:hAnsi="Times New Roman" w:eastAsia="宋体" w:cs="Times New Roman"/>
                      <w:color w:val="000000" w:themeColor="text1"/>
                      <w:spacing w:val="0"/>
                      <w:w w:val="100"/>
                      <w:sz w:val="21"/>
                      <w:szCs w:val="21"/>
                      <w:lang w:eastAsia="zh-CN"/>
                      <w14:textFill>
                        <w14:solidFill>
                          <w14:schemeClr w14:val="tx1"/>
                        </w14:solidFill>
                      </w14:textFill>
                    </w:rPr>
                    <w:t>，</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291" w:type="pct"/>
                  <w:noWrap w:val="0"/>
                  <w:vAlign w:val="center"/>
                </w:tcPr>
                <w:p w14:paraId="6DF04D76">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符合</w:t>
                  </w:r>
                </w:p>
              </w:tc>
            </w:tr>
            <w:tr w14:paraId="10E5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pct"/>
                  <w:vMerge w:val="continue"/>
                  <w:noWrap w:val="0"/>
                  <w:vAlign w:val="center"/>
                </w:tcPr>
                <w:p w14:paraId="7348AFC8">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448" w:type="pct"/>
                  <w:vMerge w:val="continue"/>
                  <w:noWrap w:val="0"/>
                  <w:vAlign w:val="center"/>
                </w:tcPr>
                <w:p w14:paraId="794337FB">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544" w:type="pct"/>
                  <w:vMerge w:val="continue"/>
                  <w:noWrap w:val="0"/>
                  <w:vAlign w:val="center"/>
                </w:tcPr>
                <w:p w14:paraId="18C1F05A">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394" w:type="pct"/>
                  <w:vMerge w:val="continue"/>
                  <w:noWrap w:val="0"/>
                  <w:vAlign w:val="center"/>
                </w:tcPr>
                <w:p w14:paraId="36F17EC3">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14:textFill>
                        <w14:solidFill>
                          <w14:schemeClr w14:val="tx1"/>
                        </w14:solidFill>
                      </w14:textFill>
                    </w:rPr>
                  </w:pPr>
                </w:p>
              </w:tc>
              <w:tc>
                <w:tcPr>
                  <w:tcW w:w="1312" w:type="pct"/>
                  <w:noWrap w:val="0"/>
                  <w:vAlign w:val="center"/>
                </w:tcPr>
                <w:p w14:paraId="1E18332A">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t>加大工业涂装、包装印刷等行业低挥发性有机物含量原辅材料替代力度，严格执行涂料、油墨、胶粘剂、清洗剂挥发性有机物含量限值标准，确保生产、销售、进口、使用符合标准的产品</w:t>
                  </w:r>
                </w:p>
              </w:tc>
              <w:tc>
                <w:tcPr>
                  <w:tcW w:w="1474" w:type="pct"/>
                  <w:noWrap w:val="0"/>
                  <w:vAlign w:val="center"/>
                </w:tcPr>
                <w:p w14:paraId="1C638C78">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t>本项目为</w:t>
                  </w:r>
                  <w:r>
                    <w:rPr>
                      <w:rFonts w:hint="eastAsia" w:ascii="Times New Roman" w:hAnsi="Times New Roman" w:cs="Times New Roman"/>
                      <w:color w:val="000000" w:themeColor="text1"/>
                      <w:kern w:val="0"/>
                      <w:sz w:val="21"/>
                      <w:szCs w:val="21"/>
                      <w:lang w:eastAsia="zh-CN"/>
                      <w14:textFill>
                        <w14:solidFill>
                          <w14:schemeClr w14:val="tx1"/>
                        </w14:solidFill>
                      </w14:textFill>
                    </w:rPr>
                    <w:t>C2462游艺用品及室内游艺器材制造</w:t>
                  </w:r>
                  <w:r>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t>，</w:t>
                  </w: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291" w:type="pct"/>
                  <w:noWrap w:val="0"/>
                  <w:vAlign w:val="center"/>
                </w:tcPr>
                <w:p w14:paraId="023D112B">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符合</w:t>
                  </w:r>
                </w:p>
              </w:tc>
            </w:tr>
            <w:tr w14:paraId="14FC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3" w:type="pct"/>
                  <w:vMerge w:val="continue"/>
                  <w:noWrap w:val="0"/>
                  <w:vAlign w:val="center"/>
                </w:tcPr>
                <w:p w14:paraId="63A47859">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448" w:type="pct"/>
                  <w:vMerge w:val="continue"/>
                  <w:noWrap w:val="0"/>
                  <w:vAlign w:val="center"/>
                </w:tcPr>
                <w:p w14:paraId="57B25DD7">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544" w:type="pct"/>
                  <w:vMerge w:val="continue"/>
                  <w:noWrap w:val="0"/>
                  <w:vAlign w:val="center"/>
                </w:tcPr>
                <w:p w14:paraId="7E4A6773">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p>
              </w:tc>
              <w:tc>
                <w:tcPr>
                  <w:tcW w:w="394" w:type="pct"/>
                  <w:vMerge w:val="continue"/>
                  <w:noWrap w:val="0"/>
                  <w:vAlign w:val="center"/>
                </w:tcPr>
                <w:p w14:paraId="7F6D34EE">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14:textFill>
                        <w14:solidFill>
                          <w14:schemeClr w14:val="tx1"/>
                        </w14:solidFill>
                      </w14:textFill>
                    </w:rPr>
                  </w:pPr>
                </w:p>
              </w:tc>
              <w:tc>
                <w:tcPr>
                  <w:tcW w:w="1312" w:type="pct"/>
                  <w:noWrap w:val="0"/>
                  <w:vAlign w:val="center"/>
                </w:tcPr>
                <w:p w14:paraId="26E64C9C">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w w:val="100"/>
                      <w:sz w:val="21"/>
                      <w:szCs w:val="21"/>
                      <w:lang w:val="en-US" w:eastAsia="zh-CN"/>
                      <w14:textFill>
                        <w14:solidFill>
                          <w14:schemeClr w14:val="tx1"/>
                        </w14:solidFill>
                      </w14:textFill>
                    </w:rPr>
                    <w:t>城市规划区内已建的大气污染严重的建设项目应当搬迁、改造，城市建成区应当在规定的时间内完成重污染企业搬迁、改造或者关闭退出。</w:t>
                  </w:r>
                </w:p>
              </w:tc>
              <w:tc>
                <w:tcPr>
                  <w:tcW w:w="1474" w:type="pct"/>
                  <w:noWrap w:val="0"/>
                  <w:vAlign w:val="center"/>
                </w:tcPr>
                <w:p w14:paraId="543A5ED0">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000000" w:themeColor="text1"/>
                      <w:spacing w:val="0"/>
                      <w:w w:val="10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ascii="Times New Roman" w:hAnsi="Times New Roman" w:cs="Times New Roman"/>
                      <w:color w:val="000000" w:themeColor="text1"/>
                      <w:kern w:val="0"/>
                      <w:sz w:val="21"/>
                      <w:szCs w:val="21"/>
                      <w:lang w:eastAsia="zh-CN"/>
                      <w14:textFill>
                        <w14:solidFill>
                          <w14:schemeClr w14:val="tx1"/>
                        </w14:solidFill>
                      </w14:textFill>
                    </w:rPr>
                    <w:t>C2462游艺用品及室内游艺器材制造</w:t>
                  </w:r>
                  <w:r>
                    <w:rPr>
                      <w:rFonts w:hint="eastAsia"/>
                      <w:color w:val="000000" w:themeColor="text1"/>
                      <w:sz w:val="21"/>
                      <w:szCs w:val="21"/>
                      <w:lang w:bidi="ar"/>
                      <w14:textFill>
                        <w14:solidFill>
                          <w14:schemeClr w14:val="tx1"/>
                        </w14:solidFill>
                      </w14:textFill>
                    </w:rPr>
                    <w:t>，不属于大气污染严重</w:t>
                  </w:r>
                  <w:r>
                    <w:rPr>
                      <w:rFonts w:hint="eastAsia"/>
                      <w:color w:val="000000" w:themeColor="text1"/>
                      <w:sz w:val="21"/>
                      <w:szCs w:val="21"/>
                      <w:lang w:val="en-US" w:eastAsia="zh-CN" w:bidi="ar"/>
                      <w14:textFill>
                        <w14:solidFill>
                          <w14:schemeClr w14:val="tx1"/>
                        </w14:solidFill>
                      </w14:textFill>
                    </w:rPr>
                    <w:t>的项目</w:t>
                  </w:r>
                  <w:r>
                    <w:rPr>
                      <w:rFonts w:hint="eastAsia"/>
                      <w:color w:val="000000" w:themeColor="text1"/>
                      <w:sz w:val="21"/>
                      <w:szCs w:val="21"/>
                      <w:lang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主要污染物排放总量</w:t>
                  </w:r>
                  <w:r>
                    <w:rPr>
                      <w:rFonts w:hint="eastAsia"/>
                      <w:color w:val="000000" w:themeColor="text1"/>
                      <w:kern w:val="0"/>
                      <w:sz w:val="21"/>
                      <w:szCs w:val="21"/>
                      <w14:textFill>
                        <w14:solidFill>
                          <w14:schemeClr w14:val="tx1"/>
                        </w14:solidFill>
                      </w14:textFill>
                    </w:rPr>
                    <w:t>已经宿州市生态环境局审批，符合总量控制要求</w:t>
                  </w:r>
                </w:p>
              </w:tc>
              <w:tc>
                <w:tcPr>
                  <w:tcW w:w="291" w:type="pct"/>
                  <w:noWrap w:val="0"/>
                  <w:vAlign w:val="center"/>
                </w:tcPr>
                <w:p w14:paraId="4718B7FC">
                  <w:pPr>
                    <w:pStyle w:val="8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符合</w:t>
                  </w:r>
                </w:p>
              </w:tc>
            </w:tr>
          </w:tbl>
          <w:p w14:paraId="6D3F6CEF">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0" w:firstLineChars="200"/>
              <w:textAlignment w:val="auto"/>
              <w:rPr>
                <w:rFonts w:hint="eastAsia"/>
                <w:color w:val="000000" w:themeColor="text1"/>
                <w:lang w:val="en-US" w:eastAsia="zh-CN"/>
                <w14:textFill>
                  <w14:solidFill>
                    <w14:schemeClr w14:val="tx1"/>
                  </w14:solidFill>
                </w14:textFill>
              </w:rPr>
            </w:pPr>
            <w:r>
              <w:rPr>
                <w:color w:val="000000" w:themeColor="text1"/>
                <w:sz w:val="24"/>
                <w:szCs w:val="24"/>
                <w:lang w:bidi="ar"/>
                <w14:textFill>
                  <w14:solidFill>
                    <w14:schemeClr w14:val="tx1"/>
                  </w14:solidFill>
                </w14:textFill>
              </w:rPr>
              <w:t>综上分析，本项目建设符合</w:t>
            </w:r>
            <w:r>
              <w:rPr>
                <w:rFonts w:hint="eastAsia"/>
                <w:color w:val="000000" w:themeColor="text1"/>
                <w:sz w:val="24"/>
                <w:szCs w:val="24"/>
                <w:lang w:eastAsia="zh-CN" w:bidi="ar"/>
                <w14:textFill>
                  <w14:solidFill>
                    <w14:schemeClr w14:val="tx1"/>
                  </w14:solidFill>
                </w14:textFill>
              </w:rPr>
              <w:t>“</w:t>
            </w:r>
            <w:r>
              <w:rPr>
                <w:color w:val="000000" w:themeColor="text1"/>
                <w:sz w:val="24"/>
                <w:szCs w:val="24"/>
                <w:lang w:bidi="ar"/>
                <w14:textFill>
                  <w14:solidFill>
                    <w14:schemeClr w14:val="tx1"/>
                  </w14:solidFill>
                </w14:textFill>
              </w:rPr>
              <w:t>三线一单</w:t>
            </w:r>
            <w:r>
              <w:rPr>
                <w:rFonts w:hint="eastAsia"/>
                <w:color w:val="000000" w:themeColor="text1"/>
                <w:sz w:val="24"/>
                <w:szCs w:val="24"/>
                <w:lang w:eastAsia="zh-CN" w:bidi="ar"/>
                <w14:textFill>
                  <w14:solidFill>
                    <w14:schemeClr w14:val="tx1"/>
                  </w14:solidFill>
                </w14:textFill>
              </w:rPr>
              <w:t>”</w:t>
            </w:r>
            <w:r>
              <w:rPr>
                <w:rFonts w:hint="eastAsia"/>
                <w:color w:val="000000" w:themeColor="text1"/>
                <w:sz w:val="24"/>
                <w:szCs w:val="24"/>
                <w:lang w:val="en-US" w:eastAsia="zh-CN" w:bidi="ar"/>
                <w14:textFill>
                  <w14:solidFill>
                    <w14:schemeClr w14:val="tx1"/>
                  </w14:solidFill>
                </w14:textFill>
              </w:rPr>
              <w:t>及分区管控</w:t>
            </w:r>
            <w:r>
              <w:rPr>
                <w:color w:val="000000" w:themeColor="text1"/>
                <w:sz w:val="24"/>
                <w:szCs w:val="24"/>
                <w:lang w:bidi="ar"/>
                <w14:textFill>
                  <w14:solidFill>
                    <w14:schemeClr w14:val="tx1"/>
                  </w14:solidFill>
                </w14:textFill>
              </w:rPr>
              <w:t>的要求。</w:t>
            </w:r>
          </w:p>
          <w:p w14:paraId="3506B4B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bCs/>
                <w:color w:val="000000" w:themeColor="text1"/>
                <w:lang w:bidi="ar"/>
                <w14:textFill>
                  <w14:solidFill>
                    <w14:schemeClr w14:val="tx1"/>
                  </w14:solidFill>
                </w14:textFill>
              </w:rPr>
            </w:pPr>
            <w:r>
              <w:rPr>
                <w:rFonts w:hint="eastAsia"/>
                <w:b/>
                <w:bCs/>
                <w:color w:val="000000" w:themeColor="text1"/>
                <w:lang w:val="en-US" w:eastAsia="zh-CN" w:bidi="ar"/>
                <w14:textFill>
                  <w14:solidFill>
                    <w14:schemeClr w14:val="tx1"/>
                  </w14:solidFill>
                </w14:textFill>
              </w:rPr>
              <w:t>2</w:t>
            </w:r>
            <w:r>
              <w:rPr>
                <w:rFonts w:hint="eastAsia"/>
                <w:b/>
                <w:bCs/>
                <w:color w:val="000000" w:themeColor="text1"/>
                <w:lang w:eastAsia="zh-CN" w:bidi="ar"/>
                <w14:textFill>
                  <w14:solidFill>
                    <w14:schemeClr w14:val="tx1"/>
                  </w14:solidFill>
                </w14:textFill>
              </w:rPr>
              <w:t>）</w:t>
            </w:r>
            <w:r>
              <w:rPr>
                <w:b/>
                <w:bCs/>
                <w:color w:val="000000" w:themeColor="text1"/>
                <w:lang w:bidi="ar"/>
                <w14:textFill>
                  <w14:solidFill>
                    <w14:schemeClr w14:val="tx1"/>
                  </w14:solidFill>
                </w14:textFill>
              </w:rPr>
              <w:t>项目与宿州市</w:t>
            </w:r>
            <w:r>
              <w:rPr>
                <w:rFonts w:hint="eastAsia"/>
                <w:b/>
                <w:bCs/>
                <w:color w:val="000000" w:themeColor="text1"/>
                <w:lang w:eastAsia="zh-CN" w:bidi="ar"/>
                <w14:textFill>
                  <w14:solidFill>
                    <w14:schemeClr w14:val="tx1"/>
                  </w14:solidFill>
                </w14:textFill>
              </w:rPr>
              <w:t>“</w:t>
            </w:r>
            <w:r>
              <w:rPr>
                <w:b/>
                <w:bCs/>
                <w:color w:val="000000" w:themeColor="text1"/>
                <w:lang w:bidi="ar"/>
                <w14:textFill>
                  <w14:solidFill>
                    <w14:schemeClr w14:val="tx1"/>
                  </w14:solidFill>
                </w14:textFill>
              </w:rPr>
              <w:t>三线一单</w:t>
            </w:r>
            <w:r>
              <w:rPr>
                <w:rFonts w:hint="eastAsia"/>
                <w:b/>
                <w:bCs/>
                <w:color w:val="000000" w:themeColor="text1"/>
                <w:lang w:eastAsia="zh-CN" w:bidi="ar"/>
                <w14:textFill>
                  <w14:solidFill>
                    <w14:schemeClr w14:val="tx1"/>
                  </w14:solidFill>
                </w14:textFill>
              </w:rPr>
              <w:t>”</w:t>
            </w:r>
            <w:r>
              <w:rPr>
                <w:b/>
                <w:bCs/>
                <w:color w:val="000000" w:themeColor="text1"/>
                <w:lang w:bidi="ar"/>
                <w14:textFill>
                  <w14:solidFill>
                    <w14:schemeClr w14:val="tx1"/>
                  </w14:solidFill>
                </w14:textFill>
              </w:rPr>
              <w:t>生态环境准入清单符合性分析见下表。</w:t>
            </w:r>
          </w:p>
          <w:p w14:paraId="4CF9E9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根据《宿州市生态环境准入清单》</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2023年12月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项目位于泗县经济开发区，属于</w:t>
            </w:r>
            <w:r>
              <w:rPr>
                <w:rFonts w:hint="eastAsia"/>
                <w:color w:val="000000" w:themeColor="text1"/>
                <w14:textFill>
                  <w14:solidFill>
                    <w14:schemeClr w14:val="tx1"/>
                  </w14:solidFill>
                </w14:textFill>
              </w:rPr>
              <w:t>大气</w:t>
            </w:r>
            <w:r>
              <w:rPr>
                <w:rFonts w:hint="eastAsia"/>
                <w:color w:val="000000" w:themeColor="text1"/>
                <w:lang w:val="en-US" w:eastAsia="zh-CN"/>
                <w14:textFill>
                  <w14:solidFill>
                    <w14:schemeClr w14:val="tx1"/>
                  </w14:solidFill>
                </w14:textFill>
              </w:rPr>
              <w:t>重点</w:t>
            </w:r>
            <w:r>
              <w:rPr>
                <w:rFonts w:hint="eastAsia"/>
                <w:color w:val="000000" w:themeColor="text1"/>
                <w14:textFill>
                  <w14:solidFill>
                    <w14:schemeClr w14:val="tx1"/>
                  </w14:solidFill>
                </w14:textFill>
              </w:rPr>
              <w:t>管控区、水环境</w:t>
            </w:r>
            <w:r>
              <w:rPr>
                <w:rFonts w:hint="eastAsia"/>
                <w:color w:val="000000" w:themeColor="text1"/>
                <w:lang w:val="en-US" w:eastAsia="zh-CN"/>
                <w14:textFill>
                  <w14:solidFill>
                    <w14:schemeClr w14:val="tx1"/>
                  </w14:solidFill>
                </w14:textFill>
              </w:rPr>
              <w:t>重点</w:t>
            </w:r>
            <w:r>
              <w:rPr>
                <w:rFonts w:hint="eastAsia"/>
                <w:color w:val="000000" w:themeColor="text1"/>
                <w14:textFill>
                  <w14:solidFill>
                    <w14:schemeClr w14:val="tx1"/>
                  </w14:solidFill>
                </w14:textFill>
              </w:rPr>
              <w:t>管控区以及土壤一般管控区，具体内容见下表以及附图</w:t>
            </w:r>
            <w:r>
              <w:rPr>
                <w:color w:val="000000" w:themeColor="text1"/>
                <w14:textFill>
                  <w14:solidFill>
                    <w14:schemeClr w14:val="tx1"/>
                  </w14:solidFill>
                </w14:textFill>
              </w:rPr>
              <w:t>。</w:t>
            </w:r>
          </w:p>
          <w:p w14:paraId="2339D34B">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-9</w:t>
            </w:r>
            <w:r>
              <w:rPr>
                <w:b/>
                <w:bCs/>
                <w:color w:val="000000" w:themeColor="text1"/>
                <w14:textFill>
                  <w14:solidFill>
                    <w14:schemeClr w14:val="tx1"/>
                  </w14:solidFill>
                </w14:textFill>
              </w:rPr>
              <w:t xml:space="preserve">  </w:t>
            </w:r>
            <w:r>
              <w:rPr>
                <w:b/>
                <w:bCs/>
                <w:color w:val="000000" w:themeColor="text1"/>
                <w:lang w:bidi="ar"/>
                <w14:textFill>
                  <w14:solidFill>
                    <w14:schemeClr w14:val="tx1"/>
                  </w14:solidFill>
                </w14:textFill>
              </w:rPr>
              <w:t>项目与宿州市“三线一单”生态环境准入清单符合性分析表</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472"/>
              <w:gridCol w:w="529"/>
              <w:gridCol w:w="566"/>
              <w:gridCol w:w="2484"/>
              <w:gridCol w:w="2028"/>
              <w:gridCol w:w="471"/>
            </w:tblGrid>
            <w:tr w14:paraId="089B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Align w:val="center"/>
                </w:tcPr>
                <w:p w14:paraId="17E85150">
                  <w:pPr>
                    <w:adjustRightInd w:val="0"/>
                    <w:snapToGrid w:val="0"/>
                    <w:jc w:val="center"/>
                    <w:rPr>
                      <w:b/>
                      <w:bCs/>
                      <w:color w:val="000000" w:themeColor="text1"/>
                      <w:kern w:val="0"/>
                      <w:sz w:val="21"/>
                      <w:szCs w:val="21"/>
                      <w14:textFill>
                        <w14:solidFill>
                          <w14:schemeClr w14:val="tx1"/>
                        </w14:solidFill>
                      </w14:textFill>
                    </w:rPr>
                  </w:pPr>
                  <w:r>
                    <w:rPr>
                      <w:rFonts w:hint="eastAsia" w:ascii="Calibri"/>
                      <w:b/>
                      <w:bCs/>
                      <w:color w:val="000000" w:themeColor="text1"/>
                      <w:kern w:val="0"/>
                      <w:sz w:val="21"/>
                      <w:szCs w:val="21"/>
                      <w14:textFill>
                        <w14:solidFill>
                          <w14:schemeClr w14:val="tx1"/>
                        </w14:solidFill>
                      </w14:textFill>
                    </w:rPr>
                    <w:t>分类</w:t>
                  </w:r>
                </w:p>
              </w:tc>
              <w:tc>
                <w:tcPr>
                  <w:tcW w:w="779" w:type="pct"/>
                  <w:gridSpan w:val="2"/>
                  <w:vAlign w:val="center"/>
                </w:tcPr>
                <w:p w14:paraId="0D7AF5C8">
                  <w:pPr>
                    <w:adjustRightInd w:val="0"/>
                    <w:snapToGrid w:val="0"/>
                    <w:jc w:val="center"/>
                    <w:rPr>
                      <w:rFonts w:ascii="Calibri"/>
                      <w:b/>
                      <w:bCs/>
                      <w:color w:val="000000" w:themeColor="text1"/>
                      <w:kern w:val="0"/>
                      <w:sz w:val="21"/>
                      <w:szCs w:val="21"/>
                      <w14:textFill>
                        <w14:solidFill>
                          <w14:schemeClr w14:val="tx1"/>
                        </w14:solidFill>
                      </w14:textFill>
                    </w:rPr>
                  </w:pPr>
                  <w:r>
                    <w:rPr>
                      <w:rFonts w:hint="eastAsia" w:ascii="Calibri"/>
                      <w:b/>
                      <w:bCs/>
                      <w:color w:val="000000" w:themeColor="text1"/>
                      <w:kern w:val="0"/>
                      <w:sz w:val="21"/>
                      <w:szCs w:val="21"/>
                      <w14:textFill>
                        <w14:solidFill>
                          <w14:schemeClr w14:val="tx1"/>
                        </w14:solidFill>
                      </w14:textFill>
                    </w:rPr>
                    <w:t>管控</w:t>
                  </w:r>
                </w:p>
              </w:tc>
              <w:tc>
                <w:tcPr>
                  <w:tcW w:w="1769" w:type="pct"/>
                  <w:vAlign w:val="center"/>
                </w:tcPr>
                <w:p w14:paraId="523C3D81">
                  <w:pPr>
                    <w:adjustRightInd w:val="0"/>
                    <w:snapToGrid w:val="0"/>
                    <w:jc w:val="center"/>
                    <w:rPr>
                      <w:b/>
                      <w:bCs/>
                      <w:color w:val="000000" w:themeColor="text1"/>
                      <w:kern w:val="0"/>
                      <w:sz w:val="21"/>
                      <w:szCs w:val="21"/>
                      <w14:textFill>
                        <w14:solidFill>
                          <w14:schemeClr w14:val="tx1"/>
                        </w14:solidFill>
                      </w14:textFill>
                    </w:rPr>
                  </w:pPr>
                  <w:r>
                    <w:rPr>
                      <w:rFonts w:hint="eastAsia" w:ascii="Calibri"/>
                      <w:b/>
                      <w:bCs/>
                      <w:color w:val="000000" w:themeColor="text1"/>
                      <w:kern w:val="0"/>
                      <w:sz w:val="21"/>
                      <w:szCs w:val="21"/>
                      <w14:textFill>
                        <w14:solidFill>
                          <w14:schemeClr w14:val="tx1"/>
                        </w14:solidFill>
                      </w14:textFill>
                    </w:rPr>
                    <w:t>管控要求</w:t>
                  </w:r>
                </w:p>
              </w:tc>
              <w:tc>
                <w:tcPr>
                  <w:tcW w:w="1444" w:type="pct"/>
                  <w:vAlign w:val="center"/>
                </w:tcPr>
                <w:p w14:paraId="7721C8F2">
                  <w:pPr>
                    <w:adjustRightInd w:val="0"/>
                    <w:snapToGrid w:val="0"/>
                    <w:jc w:val="center"/>
                    <w:rPr>
                      <w:b/>
                      <w:bCs/>
                      <w:color w:val="000000" w:themeColor="text1"/>
                      <w:kern w:val="0"/>
                      <w:sz w:val="21"/>
                      <w:szCs w:val="21"/>
                      <w14:textFill>
                        <w14:solidFill>
                          <w14:schemeClr w14:val="tx1"/>
                        </w14:solidFill>
                      </w14:textFill>
                    </w:rPr>
                  </w:pPr>
                  <w:r>
                    <w:rPr>
                      <w:rFonts w:hint="eastAsia" w:ascii="Calibri"/>
                      <w:b/>
                      <w:bCs/>
                      <w:color w:val="000000" w:themeColor="text1"/>
                      <w:kern w:val="0"/>
                      <w:sz w:val="21"/>
                      <w:szCs w:val="21"/>
                      <w14:textFill>
                        <w14:solidFill>
                          <w14:schemeClr w14:val="tx1"/>
                        </w14:solidFill>
                      </w14:textFill>
                    </w:rPr>
                    <w:t>项目情况</w:t>
                  </w:r>
                </w:p>
              </w:tc>
              <w:tc>
                <w:tcPr>
                  <w:tcW w:w="335" w:type="pct"/>
                  <w:vAlign w:val="center"/>
                </w:tcPr>
                <w:p w14:paraId="7D5B612F">
                  <w:pPr>
                    <w:adjustRightInd w:val="0"/>
                    <w:snapToGrid w:val="0"/>
                    <w:jc w:val="center"/>
                    <w:rPr>
                      <w:b/>
                      <w:bCs/>
                      <w:color w:val="000000" w:themeColor="text1"/>
                      <w:kern w:val="0"/>
                      <w:sz w:val="21"/>
                      <w:szCs w:val="21"/>
                      <w14:textFill>
                        <w14:solidFill>
                          <w14:schemeClr w14:val="tx1"/>
                        </w14:solidFill>
                      </w14:textFill>
                    </w:rPr>
                  </w:pPr>
                  <w:r>
                    <w:rPr>
                      <w:rFonts w:hint="eastAsia" w:ascii="Calibri"/>
                      <w:b/>
                      <w:bCs/>
                      <w:color w:val="000000" w:themeColor="text1"/>
                      <w:kern w:val="0"/>
                      <w:sz w:val="21"/>
                      <w:szCs w:val="21"/>
                      <w14:textFill>
                        <w14:solidFill>
                          <w14:schemeClr w14:val="tx1"/>
                        </w14:solidFill>
                      </w14:textFill>
                    </w:rPr>
                    <w:t>符合性</w:t>
                  </w:r>
                </w:p>
              </w:tc>
            </w:tr>
            <w:tr w14:paraId="1670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restart"/>
                  <w:vAlign w:val="center"/>
                </w:tcPr>
                <w:p w14:paraId="7214D196">
                  <w:pPr>
                    <w:adjustRightInd w:val="0"/>
                    <w:snapToGrid w:val="0"/>
                    <w:jc w:val="center"/>
                    <w:rPr>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大气重点管控区</w:t>
                  </w:r>
                </w:p>
              </w:tc>
              <w:tc>
                <w:tcPr>
                  <w:tcW w:w="377" w:type="pct"/>
                  <w:vMerge w:val="restart"/>
                  <w:vAlign w:val="center"/>
                </w:tcPr>
                <w:p w14:paraId="78164E32">
                  <w:pPr>
                    <w:adjustRightInd w:val="0"/>
                    <w:snapToGrid w:val="0"/>
                    <w:jc w:val="center"/>
                    <w:rPr>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空间布局约束</w:t>
                  </w:r>
                </w:p>
              </w:tc>
              <w:tc>
                <w:tcPr>
                  <w:tcW w:w="402" w:type="pct"/>
                  <w:vMerge w:val="restart"/>
                  <w:vAlign w:val="center"/>
                </w:tcPr>
                <w:p w14:paraId="4E4A9A42">
                  <w:pPr>
                    <w:adjustRightInd w:val="0"/>
                    <w:snapToGrid w:val="0"/>
                    <w:jc w:val="center"/>
                    <w:rPr>
                      <w:rFonts w:ascii="Calibri"/>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禁止开发建设活动的要求</w:t>
                  </w:r>
                </w:p>
              </w:tc>
              <w:tc>
                <w:tcPr>
                  <w:tcW w:w="1769" w:type="pct"/>
                  <w:vAlign w:val="center"/>
                </w:tcPr>
                <w:p w14:paraId="1BDE484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在城市城区及其近郊禁止新建、扩建钢铁、有色、石化、水泥、化工等重污染企业。</w:t>
                  </w:r>
                </w:p>
              </w:tc>
              <w:tc>
                <w:tcPr>
                  <w:tcW w:w="1444" w:type="pct"/>
                  <w:vAlign w:val="center"/>
                </w:tcPr>
                <w:p w14:paraId="435EDA68">
                  <w:pPr>
                    <w:jc w:val="center"/>
                    <w:rPr>
                      <w:color w:val="000000" w:themeColor="text1"/>
                      <w:kern w:val="0"/>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ascii="Calibri"/>
                      <w:color w:val="000000" w:themeColor="text1"/>
                      <w:kern w:val="0"/>
                      <w:sz w:val="21"/>
                      <w:szCs w:val="21"/>
                      <w14:textFill>
                        <w14:solidFill>
                          <w14:schemeClr w14:val="tx1"/>
                        </w14:solidFill>
                      </w14:textFill>
                    </w:rPr>
                    <w:t>，</w:t>
                  </w:r>
                  <w:r>
                    <w:rPr>
                      <w:rFonts w:hint="eastAsia" w:ascii="Calibri"/>
                      <w:color w:val="000000" w:themeColor="text1"/>
                      <w:kern w:val="0"/>
                      <w:sz w:val="21"/>
                      <w:szCs w:val="21"/>
                      <w:lang w:val="en-US" w:eastAsia="zh-CN"/>
                      <w14:textFill>
                        <w14:solidFill>
                          <w14:schemeClr w14:val="tx1"/>
                        </w14:solidFill>
                      </w14:textFill>
                    </w:rPr>
                    <w:t>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ascii="Calibri"/>
                      <w:color w:val="000000" w:themeColor="text1"/>
                      <w:kern w:val="0"/>
                      <w:sz w:val="21"/>
                      <w:szCs w:val="21"/>
                      <w:lang w:val="en-US" w:eastAsia="zh-CN"/>
                      <w14:textFill>
                        <w14:solidFill>
                          <w14:schemeClr w14:val="tx1"/>
                        </w14:solidFill>
                      </w14:textFill>
                    </w:rPr>
                    <w:t>，</w:t>
                  </w:r>
                  <w:r>
                    <w:rPr>
                      <w:rFonts w:hint="eastAsia" w:ascii="Calibri"/>
                      <w:color w:val="000000" w:themeColor="text1"/>
                      <w:kern w:val="0"/>
                      <w:sz w:val="21"/>
                      <w:szCs w:val="21"/>
                      <w14:textFill>
                        <w14:solidFill>
                          <w14:schemeClr w14:val="tx1"/>
                        </w14:solidFill>
                      </w14:textFill>
                    </w:rPr>
                    <w:t>不属于重污染企业</w:t>
                  </w:r>
                </w:p>
              </w:tc>
              <w:tc>
                <w:tcPr>
                  <w:tcW w:w="335" w:type="pct"/>
                  <w:vAlign w:val="center"/>
                </w:tcPr>
                <w:p w14:paraId="4B2D2EC9">
                  <w:pPr>
                    <w:adjustRightInd w:val="0"/>
                    <w:snapToGrid w:val="0"/>
                    <w:jc w:val="center"/>
                    <w:rPr>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符合</w:t>
                  </w:r>
                </w:p>
              </w:tc>
            </w:tr>
            <w:tr w14:paraId="3639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25BF06BE">
                  <w:pPr>
                    <w:adjustRightInd w:val="0"/>
                    <w:snapToGrid w:val="0"/>
                    <w:jc w:val="center"/>
                    <w:rPr>
                      <w:rFonts w:ascii="Calibri"/>
                      <w:color w:val="000000" w:themeColor="text1"/>
                      <w:kern w:val="0"/>
                      <w:sz w:val="21"/>
                      <w:szCs w:val="21"/>
                      <w14:textFill>
                        <w14:solidFill>
                          <w14:schemeClr w14:val="tx1"/>
                        </w14:solidFill>
                      </w14:textFill>
                    </w:rPr>
                  </w:pPr>
                </w:p>
              </w:tc>
              <w:tc>
                <w:tcPr>
                  <w:tcW w:w="377" w:type="pct"/>
                  <w:vMerge w:val="continue"/>
                  <w:vAlign w:val="center"/>
                </w:tcPr>
                <w:p w14:paraId="018DBCC9">
                  <w:pPr>
                    <w:adjustRightInd w:val="0"/>
                    <w:snapToGrid w:val="0"/>
                    <w:jc w:val="center"/>
                    <w:rPr>
                      <w:rFonts w:ascii="Calibri"/>
                      <w:color w:val="000000" w:themeColor="text1"/>
                      <w:kern w:val="0"/>
                      <w:sz w:val="21"/>
                      <w:szCs w:val="21"/>
                      <w14:textFill>
                        <w14:solidFill>
                          <w14:schemeClr w14:val="tx1"/>
                        </w14:solidFill>
                      </w14:textFill>
                    </w:rPr>
                  </w:pPr>
                </w:p>
              </w:tc>
              <w:tc>
                <w:tcPr>
                  <w:tcW w:w="402" w:type="pct"/>
                  <w:vMerge w:val="continue"/>
                  <w:vAlign w:val="center"/>
                </w:tcPr>
                <w:p w14:paraId="777367B5">
                  <w:pPr>
                    <w:adjustRightInd w:val="0"/>
                    <w:snapToGrid w:val="0"/>
                    <w:jc w:val="center"/>
                    <w:rPr>
                      <w:rFonts w:ascii="Calibri"/>
                      <w:color w:val="000000" w:themeColor="text1"/>
                      <w:kern w:val="0"/>
                      <w:sz w:val="21"/>
                      <w:szCs w:val="21"/>
                      <w14:textFill>
                        <w14:solidFill>
                          <w14:schemeClr w14:val="tx1"/>
                        </w14:solidFill>
                      </w14:textFill>
                    </w:rPr>
                  </w:pPr>
                </w:p>
              </w:tc>
              <w:tc>
                <w:tcPr>
                  <w:tcW w:w="1769" w:type="pct"/>
                  <w:vAlign w:val="center"/>
                </w:tcPr>
                <w:p w14:paraId="128998D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禁止新建燃料类煤气发生炉（园区现有企业统一建设的清洁煤制气中心除外）。</w:t>
                  </w:r>
                </w:p>
              </w:tc>
              <w:tc>
                <w:tcPr>
                  <w:tcW w:w="1444" w:type="pct"/>
                  <w:vAlign w:val="center"/>
                </w:tcPr>
                <w:p w14:paraId="289BE955">
                  <w:pPr>
                    <w:jc w:val="center"/>
                    <w:rPr>
                      <w:rFonts w:ascii="Calibri"/>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项目无煤气发生炉建设</w:t>
                  </w:r>
                </w:p>
              </w:tc>
              <w:tc>
                <w:tcPr>
                  <w:tcW w:w="335" w:type="pct"/>
                  <w:vAlign w:val="center"/>
                </w:tcPr>
                <w:p w14:paraId="5D8B858C">
                  <w:pPr>
                    <w:adjustRightInd w:val="0"/>
                    <w:snapToGrid w:val="0"/>
                    <w:jc w:val="center"/>
                    <w:rPr>
                      <w:rFonts w:ascii="Calibri"/>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符合</w:t>
                  </w:r>
                </w:p>
              </w:tc>
            </w:tr>
            <w:tr w14:paraId="2EB76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5EDA18BD">
                  <w:pPr>
                    <w:adjustRightInd w:val="0"/>
                    <w:snapToGrid w:val="0"/>
                    <w:jc w:val="center"/>
                    <w:rPr>
                      <w:rFonts w:ascii="Calibri"/>
                      <w:color w:val="000000" w:themeColor="text1"/>
                      <w:kern w:val="0"/>
                      <w:sz w:val="21"/>
                      <w:szCs w:val="21"/>
                      <w14:textFill>
                        <w14:solidFill>
                          <w14:schemeClr w14:val="tx1"/>
                        </w14:solidFill>
                      </w14:textFill>
                    </w:rPr>
                  </w:pPr>
                </w:p>
              </w:tc>
              <w:tc>
                <w:tcPr>
                  <w:tcW w:w="377" w:type="pct"/>
                  <w:vMerge w:val="continue"/>
                  <w:vAlign w:val="center"/>
                </w:tcPr>
                <w:p w14:paraId="1704312D">
                  <w:pPr>
                    <w:adjustRightInd w:val="0"/>
                    <w:snapToGrid w:val="0"/>
                    <w:jc w:val="center"/>
                    <w:rPr>
                      <w:rFonts w:ascii="Calibri"/>
                      <w:color w:val="000000" w:themeColor="text1"/>
                      <w:kern w:val="0"/>
                      <w:sz w:val="21"/>
                      <w:szCs w:val="21"/>
                      <w14:textFill>
                        <w14:solidFill>
                          <w14:schemeClr w14:val="tx1"/>
                        </w14:solidFill>
                      </w14:textFill>
                    </w:rPr>
                  </w:pPr>
                </w:p>
              </w:tc>
              <w:tc>
                <w:tcPr>
                  <w:tcW w:w="402" w:type="pct"/>
                  <w:vMerge w:val="continue"/>
                  <w:vAlign w:val="center"/>
                </w:tcPr>
                <w:p w14:paraId="1636954A">
                  <w:pPr>
                    <w:adjustRightInd w:val="0"/>
                    <w:snapToGrid w:val="0"/>
                    <w:jc w:val="center"/>
                    <w:rPr>
                      <w:rFonts w:ascii="Calibri"/>
                      <w:color w:val="000000" w:themeColor="text1"/>
                      <w:kern w:val="0"/>
                      <w:sz w:val="21"/>
                      <w:szCs w:val="21"/>
                      <w14:textFill>
                        <w14:solidFill>
                          <w14:schemeClr w14:val="tx1"/>
                        </w14:solidFill>
                      </w14:textFill>
                    </w:rPr>
                  </w:pPr>
                </w:p>
              </w:tc>
              <w:tc>
                <w:tcPr>
                  <w:tcW w:w="1769" w:type="pct"/>
                  <w:vAlign w:val="center"/>
                </w:tcPr>
                <w:p w14:paraId="38D6BF5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严格执行国家关于“两高”产业准入目录和产能总量控制政策措施。严禁新增钢铁、焦化、电解铝、铸造、水泥和平板玻璃等产能；新、改、扩建涉及大宗物料运输的建设项目，原则上不得采用公路运输。</w:t>
                  </w:r>
                </w:p>
              </w:tc>
              <w:tc>
                <w:tcPr>
                  <w:tcW w:w="1444" w:type="pct"/>
                  <w:vAlign w:val="center"/>
                </w:tcPr>
                <w:p w14:paraId="38929C4A">
                  <w:pPr>
                    <w:jc w:val="center"/>
                    <w:rPr>
                      <w:rFonts w:ascii="Calibri"/>
                      <w:color w:val="000000" w:themeColor="text1"/>
                      <w:kern w:val="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根据</w:t>
                  </w:r>
                  <w:r>
                    <w:rPr>
                      <w:color w:val="000000" w:themeColor="text1"/>
                      <w:sz w:val="21"/>
                      <w:szCs w:val="21"/>
                      <w14:textFill>
                        <w14:solidFill>
                          <w14:schemeClr w14:val="tx1"/>
                        </w14:solidFill>
                      </w14:textFill>
                    </w:rPr>
                    <w:t>《安徽省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两高</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项目管理目录（试行）》（皖节能【2022】2号），</w:t>
                  </w: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ascii="Calibri"/>
                      <w:color w:val="000000" w:themeColor="text1"/>
                      <w:kern w:val="0"/>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不属于“两高”行业</w:t>
                  </w:r>
                </w:p>
              </w:tc>
              <w:tc>
                <w:tcPr>
                  <w:tcW w:w="335" w:type="pct"/>
                  <w:vAlign w:val="center"/>
                </w:tcPr>
                <w:p w14:paraId="32BA95FF">
                  <w:pPr>
                    <w:adjustRightInd w:val="0"/>
                    <w:snapToGrid w:val="0"/>
                    <w:jc w:val="center"/>
                    <w:rPr>
                      <w:rFonts w:ascii="Calibri"/>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符合</w:t>
                  </w:r>
                </w:p>
              </w:tc>
            </w:tr>
            <w:tr w14:paraId="0E6B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123A82CD">
                  <w:pPr>
                    <w:adjustRightInd w:val="0"/>
                    <w:snapToGrid w:val="0"/>
                    <w:jc w:val="center"/>
                    <w:rPr>
                      <w:rFonts w:ascii="Calibri"/>
                      <w:color w:val="000000" w:themeColor="text1"/>
                      <w:kern w:val="0"/>
                      <w:sz w:val="21"/>
                      <w:szCs w:val="21"/>
                      <w14:textFill>
                        <w14:solidFill>
                          <w14:schemeClr w14:val="tx1"/>
                        </w14:solidFill>
                      </w14:textFill>
                    </w:rPr>
                  </w:pPr>
                </w:p>
              </w:tc>
              <w:tc>
                <w:tcPr>
                  <w:tcW w:w="377" w:type="pct"/>
                  <w:vMerge w:val="continue"/>
                  <w:vAlign w:val="center"/>
                </w:tcPr>
                <w:p w14:paraId="6BB52055">
                  <w:pPr>
                    <w:adjustRightInd w:val="0"/>
                    <w:snapToGrid w:val="0"/>
                    <w:jc w:val="center"/>
                    <w:rPr>
                      <w:rFonts w:ascii="Calibri"/>
                      <w:color w:val="000000" w:themeColor="text1"/>
                      <w:kern w:val="0"/>
                      <w:sz w:val="21"/>
                      <w:szCs w:val="21"/>
                      <w14:textFill>
                        <w14:solidFill>
                          <w14:schemeClr w14:val="tx1"/>
                        </w14:solidFill>
                      </w14:textFill>
                    </w:rPr>
                  </w:pPr>
                </w:p>
              </w:tc>
              <w:tc>
                <w:tcPr>
                  <w:tcW w:w="402" w:type="pct"/>
                  <w:vMerge w:val="continue"/>
                  <w:vAlign w:val="center"/>
                </w:tcPr>
                <w:p w14:paraId="6B66BE78">
                  <w:pPr>
                    <w:adjustRightInd w:val="0"/>
                    <w:snapToGrid w:val="0"/>
                    <w:jc w:val="center"/>
                    <w:rPr>
                      <w:rFonts w:ascii="Calibri"/>
                      <w:color w:val="000000" w:themeColor="text1"/>
                      <w:kern w:val="0"/>
                      <w:sz w:val="21"/>
                      <w:szCs w:val="21"/>
                      <w14:textFill>
                        <w14:solidFill>
                          <w14:schemeClr w14:val="tx1"/>
                        </w14:solidFill>
                      </w14:textFill>
                    </w:rPr>
                  </w:pPr>
                </w:p>
              </w:tc>
              <w:tc>
                <w:tcPr>
                  <w:tcW w:w="1769" w:type="pct"/>
                  <w:vAlign w:val="center"/>
                </w:tcPr>
                <w:p w14:paraId="4A2D5C25">
                  <w:pPr>
                    <w:jc w:val="center"/>
                    <w:rPr>
                      <w:b/>
                      <w:bCs/>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禁止建设生产和使用高VOCs含量的溶剂型涂料、油墨、胶粘剂等项目。</w:t>
                  </w:r>
                </w:p>
              </w:tc>
              <w:tc>
                <w:tcPr>
                  <w:tcW w:w="1444" w:type="pct"/>
                  <w:vAlign w:val="center"/>
                </w:tcPr>
                <w:p w14:paraId="5BB24B47">
                  <w:pPr>
                    <w:jc w:val="center"/>
                    <w:rPr>
                      <w:rFonts w:hint="eastAsia" w:ascii="Calibri" w:eastAsia="宋体"/>
                      <w:color w:val="000000" w:themeColor="text1"/>
                      <w:kern w:val="0"/>
                      <w:sz w:val="21"/>
                      <w:szCs w:val="21"/>
                      <w:lang w:val="en-US" w:eastAsia="zh-CN"/>
                      <w14:textFill>
                        <w14:solidFill>
                          <w14:schemeClr w14:val="tx1"/>
                        </w14:solidFill>
                      </w14:textFill>
                    </w:rPr>
                  </w:pP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ascii="Calibri"/>
                      <w:color w:val="000000" w:themeColor="text1"/>
                      <w:kern w:val="0"/>
                      <w:sz w:val="21"/>
                      <w:szCs w:val="21"/>
                      <w14:textFill>
                        <w14:solidFill>
                          <w14:schemeClr w14:val="tx1"/>
                        </w14:solidFill>
                      </w14:textFill>
                    </w:rPr>
                    <w:t>，</w:t>
                  </w:r>
                  <w:r>
                    <w:rPr>
                      <w:rFonts w:hint="eastAsia" w:ascii="Calibri"/>
                      <w:color w:val="000000" w:themeColor="text1"/>
                      <w:kern w:val="0"/>
                      <w:sz w:val="21"/>
                      <w:szCs w:val="21"/>
                      <w:lang w:val="en-US" w:eastAsia="zh-CN"/>
                      <w14:textFill>
                        <w14:solidFill>
                          <w14:schemeClr w14:val="tx1"/>
                        </w14:solidFill>
                      </w14:textFill>
                    </w:rPr>
                    <w:t>不使用</w:t>
                  </w:r>
                  <w:r>
                    <w:rPr>
                      <w:color w:val="000000" w:themeColor="text1"/>
                      <w:kern w:val="0"/>
                      <w:sz w:val="21"/>
                      <w:szCs w:val="21"/>
                      <w14:textFill>
                        <w14:solidFill>
                          <w14:schemeClr w14:val="tx1"/>
                        </w14:solidFill>
                      </w14:textFill>
                    </w:rPr>
                    <w:t>高VOCs含量的溶剂型涂料、油墨、胶粘剂</w:t>
                  </w:r>
                  <w:r>
                    <w:rPr>
                      <w:rFonts w:hint="eastAsia"/>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eastAsia" w:cs="Times New Roman"/>
                      <w:color w:val="000000" w:themeColor="text1"/>
                      <w:spacing w:val="0"/>
                      <w:w w:val="10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335" w:type="pct"/>
                  <w:vAlign w:val="center"/>
                </w:tcPr>
                <w:p w14:paraId="0F7201EC">
                  <w:pPr>
                    <w:adjustRightInd w:val="0"/>
                    <w:snapToGrid w:val="0"/>
                    <w:jc w:val="center"/>
                    <w:rPr>
                      <w:rFonts w:ascii="Calibri"/>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符合</w:t>
                  </w:r>
                </w:p>
              </w:tc>
            </w:tr>
            <w:tr w14:paraId="63E7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63237709">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2305F671">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684FE1AD">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717C3431">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在城市规划区内禁止新建、扩建大气污染严重的建设项目。</w:t>
                  </w:r>
                </w:p>
              </w:tc>
              <w:tc>
                <w:tcPr>
                  <w:tcW w:w="1444" w:type="pct"/>
                  <w:vAlign w:val="center"/>
                </w:tcPr>
                <w:p w14:paraId="657DEF1A">
                  <w:pPr>
                    <w:jc w:val="center"/>
                    <w:rPr>
                      <w:rFonts w:hint="default" w:eastAsia="宋体"/>
                      <w:color w:val="000000" w:themeColor="text1"/>
                      <w:kern w:val="0"/>
                      <w:sz w:val="21"/>
                      <w:szCs w:val="21"/>
                      <w:lang w:val="en-US" w:eastAsia="zh-CN"/>
                      <w14:textFill>
                        <w14:solidFill>
                          <w14:schemeClr w14:val="tx1"/>
                        </w14:solidFill>
                      </w14:textFill>
                    </w:rPr>
                  </w:pPr>
                  <w:r>
                    <w:rPr>
                      <w:rFonts w:hint="default" w:eastAsia="宋体"/>
                      <w:color w:val="000000" w:themeColor="text1"/>
                      <w:kern w:val="0"/>
                      <w:sz w:val="21"/>
                      <w:szCs w:val="21"/>
                      <w:lang w:val="en-US" w:eastAsia="zh-CN"/>
                      <w14:textFill>
                        <w14:solidFill>
                          <w14:schemeClr w14:val="tx1"/>
                        </w14:solidFill>
                      </w14:textFill>
                    </w:rPr>
                    <w:t>项目产生的废气经过废气处理措施处理后排放</w:t>
                  </w:r>
                </w:p>
              </w:tc>
              <w:tc>
                <w:tcPr>
                  <w:tcW w:w="335" w:type="pct"/>
                  <w:vAlign w:val="center"/>
                </w:tcPr>
                <w:p w14:paraId="20649E99">
                  <w:pPr>
                    <w:adjustRightInd w:val="0"/>
                    <w:snapToGrid w:val="0"/>
                    <w:jc w:val="center"/>
                    <w:rPr>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符合</w:t>
                  </w:r>
                </w:p>
              </w:tc>
            </w:tr>
            <w:tr w14:paraId="5B1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3E5EB25E">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2283136B">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3E0C23ED">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578782BE">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在燃气管网和集中供热管网覆盖的区域，不得新建、扩建、改建燃烧煤炭、重油、渣油的供热设施；原有分散的中小型燃煤供热锅炉应当限期拆除。</w:t>
                  </w:r>
                </w:p>
              </w:tc>
              <w:tc>
                <w:tcPr>
                  <w:tcW w:w="1444" w:type="pct"/>
                  <w:vAlign w:val="center"/>
                </w:tcPr>
                <w:p w14:paraId="2CCC2F5E">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项目不建设煤炭锅炉</w:t>
                  </w:r>
                </w:p>
              </w:tc>
              <w:tc>
                <w:tcPr>
                  <w:tcW w:w="335" w:type="pct"/>
                  <w:vAlign w:val="center"/>
                </w:tcPr>
                <w:p w14:paraId="061864F6">
                  <w:pPr>
                    <w:adjustRightInd w:val="0"/>
                    <w:snapToGrid w:val="0"/>
                    <w:jc w:val="center"/>
                    <w:rPr>
                      <w:color w:val="000000" w:themeColor="text1"/>
                      <w:kern w:val="0"/>
                      <w:sz w:val="21"/>
                      <w:szCs w:val="21"/>
                      <w14:textFill>
                        <w14:solidFill>
                          <w14:schemeClr w14:val="tx1"/>
                        </w14:solidFill>
                      </w14:textFill>
                    </w:rPr>
                  </w:pPr>
                  <w:r>
                    <w:rPr>
                      <w:rFonts w:hint="eastAsia" w:ascii="Calibri"/>
                      <w:color w:val="000000" w:themeColor="text1"/>
                      <w:kern w:val="0"/>
                      <w:sz w:val="21"/>
                      <w:szCs w:val="21"/>
                      <w14:textFill>
                        <w14:solidFill>
                          <w14:schemeClr w14:val="tx1"/>
                        </w14:solidFill>
                      </w14:textFill>
                    </w:rPr>
                    <w:t>符合</w:t>
                  </w:r>
                </w:p>
              </w:tc>
            </w:tr>
            <w:tr w14:paraId="521D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77445AD8">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6C9AAC6B">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4011C06B">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2487BDE3">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在城市建成区，禁止新建VOCs高污染企业。</w:t>
                  </w:r>
                </w:p>
              </w:tc>
              <w:tc>
                <w:tcPr>
                  <w:tcW w:w="1444" w:type="pct"/>
                  <w:vAlign w:val="center"/>
                </w:tcPr>
                <w:p w14:paraId="755245EA">
                  <w:pPr>
                    <w:jc w:val="center"/>
                    <w:rPr>
                      <w:rFonts w:hint="default" w:eastAsia="宋体"/>
                      <w:color w:val="000000" w:themeColor="text1"/>
                      <w:kern w:val="0"/>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项目产生的固化废气、注塑废气</w:t>
                  </w:r>
                  <w:r>
                    <w:rPr>
                      <w:rFonts w:hint="default" w:ascii="Times New Roman" w:hAnsi="Times New Roman" w:cs="Times New Roman"/>
                      <w:color w:val="000000" w:themeColor="text1"/>
                      <w:sz w:val="21"/>
                      <w:szCs w:val="21"/>
                      <w:lang w:bidi="ar"/>
                      <w14:textFill>
                        <w14:solidFill>
                          <w14:schemeClr w14:val="tx1"/>
                        </w14:solidFill>
                      </w14:textFill>
                    </w:rPr>
                    <w:t>经集气罩</w:t>
                  </w:r>
                  <w:r>
                    <w:rPr>
                      <w:rFonts w:hint="eastAsia" w:cs="Times New Roman"/>
                      <w:color w:val="000000" w:themeColor="text1"/>
                      <w:sz w:val="21"/>
                      <w:szCs w:val="21"/>
                      <w:lang w:val="en-US" w:eastAsia="zh-CN" w:bidi="ar"/>
                      <w14:textFill>
                        <w14:solidFill>
                          <w14:schemeClr w14:val="tx1"/>
                        </w14:solidFill>
                      </w14:textFill>
                    </w:rPr>
                    <w:t>收集</w:t>
                  </w:r>
                  <w:r>
                    <w:rPr>
                      <w:rFonts w:hint="default" w:ascii="Times New Roman" w:hAnsi="Times New Roman" w:cs="Times New Roman"/>
                      <w:color w:val="000000" w:themeColor="text1"/>
                      <w:sz w:val="21"/>
                      <w:szCs w:val="21"/>
                      <w:lang w:bidi="ar"/>
                      <w14:textFill>
                        <w14:solidFill>
                          <w14:schemeClr w14:val="tx1"/>
                        </w14:solidFill>
                      </w14:textFill>
                    </w:rPr>
                    <w:t>，采取</w:t>
                  </w:r>
                  <w:r>
                    <w:rPr>
                      <w:rFonts w:hint="eastAsia" w:cs="Times New Roman"/>
                      <w:color w:val="000000" w:themeColor="text1"/>
                      <w:sz w:val="21"/>
                      <w:szCs w:val="21"/>
                      <w:lang w:eastAsia="zh-CN" w:bidi="ar"/>
                      <w14:textFill>
                        <w14:solidFill>
                          <w14:schemeClr w14:val="tx1"/>
                        </w14:solidFill>
                      </w14:textFill>
                    </w:rPr>
                    <w:t>“</w:t>
                  </w:r>
                  <w:r>
                    <w:rPr>
                      <w:rFonts w:hint="default" w:ascii="Times New Roman" w:hAnsi="Times New Roman" w:cs="Times New Roman"/>
                      <w:color w:val="000000" w:themeColor="text1"/>
                      <w:sz w:val="21"/>
                      <w:szCs w:val="21"/>
                      <w:lang w:bidi="ar"/>
                      <w14:textFill>
                        <w14:solidFill>
                          <w14:schemeClr w14:val="tx1"/>
                        </w14:solidFill>
                      </w14:textFill>
                    </w:rPr>
                    <w:t>二级活性炭吸附装置</w:t>
                  </w:r>
                  <w:r>
                    <w:rPr>
                      <w:rFonts w:hint="eastAsia" w:cs="Times New Roman"/>
                      <w:color w:val="000000" w:themeColor="text1"/>
                      <w:sz w:val="21"/>
                      <w:szCs w:val="21"/>
                      <w:lang w:eastAsia="zh-CN" w:bidi="ar"/>
                      <w14:textFill>
                        <w14:solidFill>
                          <w14:schemeClr w14:val="tx1"/>
                        </w14:solidFill>
                      </w14:textFill>
                    </w:rPr>
                    <w:t>”</w:t>
                  </w:r>
                  <w:r>
                    <w:rPr>
                      <w:rFonts w:hint="default" w:ascii="Times New Roman" w:hAnsi="Times New Roman" w:cs="Times New Roman"/>
                      <w:color w:val="000000" w:themeColor="text1"/>
                      <w:sz w:val="21"/>
                      <w:szCs w:val="21"/>
                      <w:lang w:bidi="ar"/>
                      <w14:textFill>
                        <w14:solidFill>
                          <w14:schemeClr w14:val="tx1"/>
                        </w14:solidFill>
                      </w14:textFill>
                    </w:rPr>
                    <w:t>工艺处理有机废气</w:t>
                  </w:r>
                </w:p>
              </w:tc>
              <w:tc>
                <w:tcPr>
                  <w:tcW w:w="335" w:type="pct"/>
                  <w:vAlign w:val="center"/>
                </w:tcPr>
                <w:p w14:paraId="63A11492">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6986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132DB290">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1C714B74">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5FF0F4C4">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7D333AE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全面开展“散乱污”企业及集群综合整治行动。细化“散乱污”企业及集群整治标准。列入整合搬迁类的，要按照产业发展规模化、现代化的原则，搬迁至合规工业园区并实施升级改造。</w:t>
                  </w:r>
                </w:p>
              </w:tc>
              <w:tc>
                <w:tcPr>
                  <w:tcW w:w="1444" w:type="pct"/>
                  <w:vAlign w:val="center"/>
                </w:tcPr>
                <w:p w14:paraId="35D9D6F9">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，不属于“散乱污”企业</w:t>
                  </w:r>
                </w:p>
              </w:tc>
              <w:tc>
                <w:tcPr>
                  <w:tcW w:w="335" w:type="pct"/>
                  <w:vAlign w:val="center"/>
                </w:tcPr>
                <w:p w14:paraId="18C4A537">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708B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64734E94">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14F1B111">
                  <w:pPr>
                    <w:adjustRightInd w:val="0"/>
                    <w:snapToGrid w:val="0"/>
                    <w:jc w:val="center"/>
                    <w:rPr>
                      <w:color w:val="000000" w:themeColor="text1"/>
                      <w:kern w:val="0"/>
                      <w:sz w:val="21"/>
                      <w:szCs w:val="21"/>
                      <w14:textFill>
                        <w14:solidFill>
                          <w14:schemeClr w14:val="tx1"/>
                        </w14:solidFill>
                      </w14:textFill>
                    </w:rPr>
                  </w:pPr>
                </w:p>
              </w:tc>
              <w:tc>
                <w:tcPr>
                  <w:tcW w:w="402" w:type="pct"/>
                  <w:vMerge w:val="restart"/>
                  <w:vAlign w:val="center"/>
                </w:tcPr>
                <w:p w14:paraId="5272AB13">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其他空间布局约束要求</w:t>
                  </w:r>
                </w:p>
              </w:tc>
              <w:tc>
                <w:tcPr>
                  <w:tcW w:w="1769" w:type="pct"/>
                  <w:vAlign w:val="center"/>
                </w:tcPr>
                <w:p w14:paraId="47B61044">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强化“散乱污”企业综合整治。全面开展“散乱污”企业及集群综合整治行动。根据产业政策、产业布局规划，以及土地、环保、质量、安全、能耗等要求，制定“散乱污”企业及集群整治标准。按照“先停后治”的原则，实施分类处置。</w:t>
                  </w:r>
                </w:p>
              </w:tc>
              <w:tc>
                <w:tcPr>
                  <w:tcW w:w="1444" w:type="pct"/>
                  <w:vAlign w:val="center"/>
                </w:tcPr>
                <w:p w14:paraId="72F1540E">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，不属于“散乱污”企业</w:t>
                  </w:r>
                </w:p>
              </w:tc>
              <w:tc>
                <w:tcPr>
                  <w:tcW w:w="335" w:type="pct"/>
                  <w:vAlign w:val="center"/>
                </w:tcPr>
                <w:p w14:paraId="766B8E1D">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6AD9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7CD1732E">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45C687FE">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0152C179">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5FDA4174">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444" w:type="pct"/>
                  <w:vAlign w:val="center"/>
                </w:tcPr>
                <w:p w14:paraId="5E0994C0">
                  <w:pPr>
                    <w:jc w:val="center"/>
                    <w:rPr>
                      <w:color w:val="000000" w:themeColor="text1"/>
                      <w:kern w:val="0"/>
                      <w:sz w:val="21"/>
                      <w:szCs w:val="21"/>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项目产生的固化废气、注塑废气</w:t>
                  </w:r>
                  <w:r>
                    <w:rPr>
                      <w:rFonts w:hint="default" w:ascii="Times New Roman" w:hAnsi="Times New Roman" w:cs="Times New Roman"/>
                      <w:color w:val="000000" w:themeColor="text1"/>
                      <w:sz w:val="21"/>
                      <w:szCs w:val="21"/>
                      <w:lang w:bidi="ar"/>
                      <w14:textFill>
                        <w14:solidFill>
                          <w14:schemeClr w14:val="tx1"/>
                        </w14:solidFill>
                      </w14:textFill>
                    </w:rPr>
                    <w:t>经集气罩</w:t>
                  </w:r>
                  <w:r>
                    <w:rPr>
                      <w:rFonts w:hint="eastAsia" w:cs="Times New Roman"/>
                      <w:color w:val="000000" w:themeColor="text1"/>
                      <w:sz w:val="21"/>
                      <w:szCs w:val="21"/>
                      <w:lang w:val="en-US" w:eastAsia="zh-CN" w:bidi="ar"/>
                      <w14:textFill>
                        <w14:solidFill>
                          <w14:schemeClr w14:val="tx1"/>
                        </w14:solidFill>
                      </w14:textFill>
                    </w:rPr>
                    <w:t>收集</w:t>
                  </w:r>
                  <w:r>
                    <w:rPr>
                      <w:rFonts w:hint="default" w:ascii="Times New Roman" w:hAnsi="Times New Roman" w:cs="Times New Roman"/>
                      <w:color w:val="000000" w:themeColor="text1"/>
                      <w:sz w:val="21"/>
                      <w:szCs w:val="21"/>
                      <w:lang w:bidi="ar"/>
                      <w14:textFill>
                        <w14:solidFill>
                          <w14:schemeClr w14:val="tx1"/>
                        </w14:solidFill>
                      </w14:textFill>
                    </w:rPr>
                    <w:t>，采取</w:t>
                  </w:r>
                  <w:r>
                    <w:rPr>
                      <w:rFonts w:hint="eastAsia" w:cs="Times New Roman"/>
                      <w:color w:val="000000" w:themeColor="text1"/>
                      <w:sz w:val="21"/>
                      <w:szCs w:val="21"/>
                      <w:lang w:eastAsia="zh-CN" w:bidi="ar"/>
                      <w14:textFill>
                        <w14:solidFill>
                          <w14:schemeClr w14:val="tx1"/>
                        </w14:solidFill>
                      </w14:textFill>
                    </w:rPr>
                    <w:t>“</w:t>
                  </w:r>
                  <w:r>
                    <w:rPr>
                      <w:rFonts w:hint="default" w:ascii="Times New Roman" w:hAnsi="Times New Roman" w:cs="Times New Roman"/>
                      <w:color w:val="000000" w:themeColor="text1"/>
                      <w:sz w:val="21"/>
                      <w:szCs w:val="21"/>
                      <w:lang w:bidi="ar"/>
                      <w14:textFill>
                        <w14:solidFill>
                          <w14:schemeClr w14:val="tx1"/>
                        </w14:solidFill>
                      </w14:textFill>
                    </w:rPr>
                    <w:t>二级活性炭吸附装置</w:t>
                  </w:r>
                  <w:r>
                    <w:rPr>
                      <w:rFonts w:hint="eastAsia" w:cs="Times New Roman"/>
                      <w:color w:val="000000" w:themeColor="text1"/>
                      <w:sz w:val="21"/>
                      <w:szCs w:val="21"/>
                      <w:lang w:eastAsia="zh-CN" w:bidi="ar"/>
                      <w14:textFill>
                        <w14:solidFill>
                          <w14:schemeClr w14:val="tx1"/>
                        </w14:solidFill>
                      </w14:textFill>
                    </w:rPr>
                    <w:t>”</w:t>
                  </w:r>
                  <w:r>
                    <w:rPr>
                      <w:rFonts w:hint="default" w:ascii="Times New Roman" w:hAnsi="Times New Roman" w:cs="Times New Roman"/>
                      <w:color w:val="000000" w:themeColor="text1"/>
                      <w:sz w:val="21"/>
                      <w:szCs w:val="21"/>
                      <w:lang w:bidi="ar"/>
                      <w14:textFill>
                        <w14:solidFill>
                          <w14:schemeClr w14:val="tx1"/>
                        </w14:solidFill>
                      </w14:textFill>
                    </w:rPr>
                    <w:t>工艺处理有机废气</w:t>
                  </w:r>
                </w:p>
              </w:tc>
              <w:tc>
                <w:tcPr>
                  <w:tcW w:w="335" w:type="pct"/>
                  <w:vAlign w:val="center"/>
                </w:tcPr>
                <w:p w14:paraId="000C3C4F">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062E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5B2A9945">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79247825">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37E61415">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1B3BAFB9">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全面开展“散乱污”企业及集群综合整治行动。细化“散乱污”企业及集群整治标准。列入升级改造类的，树立行业标杆，实施清洁生产技术改造，全面提升污染治理水平。</w:t>
                  </w:r>
                </w:p>
              </w:tc>
              <w:tc>
                <w:tcPr>
                  <w:tcW w:w="1444" w:type="pct"/>
                  <w:vAlign w:val="center"/>
                </w:tcPr>
                <w:p w14:paraId="66297A3F">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，不属于“散乱污”企业</w:t>
                  </w:r>
                </w:p>
              </w:tc>
              <w:tc>
                <w:tcPr>
                  <w:tcW w:w="335" w:type="pct"/>
                  <w:vAlign w:val="center"/>
                </w:tcPr>
                <w:p w14:paraId="675EF4D2">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3AF8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5643AAB2">
                  <w:pPr>
                    <w:adjustRightInd w:val="0"/>
                    <w:snapToGrid w:val="0"/>
                    <w:jc w:val="center"/>
                    <w:rPr>
                      <w:color w:val="000000" w:themeColor="text1"/>
                      <w:kern w:val="0"/>
                      <w:sz w:val="21"/>
                      <w:szCs w:val="21"/>
                      <w14:textFill>
                        <w14:solidFill>
                          <w14:schemeClr w14:val="tx1"/>
                        </w14:solidFill>
                      </w14:textFill>
                    </w:rPr>
                  </w:pPr>
                </w:p>
              </w:tc>
              <w:tc>
                <w:tcPr>
                  <w:tcW w:w="377" w:type="pct"/>
                  <w:vMerge w:val="restart"/>
                  <w:vAlign w:val="center"/>
                </w:tcPr>
                <w:p w14:paraId="04063C8B">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污染物排放管控</w:t>
                  </w:r>
                </w:p>
              </w:tc>
              <w:tc>
                <w:tcPr>
                  <w:tcW w:w="402" w:type="pct"/>
                  <w:vAlign w:val="center"/>
                </w:tcPr>
                <w:p w14:paraId="37AECCCB">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允许排放量要求</w:t>
                  </w:r>
                </w:p>
              </w:tc>
              <w:tc>
                <w:tcPr>
                  <w:tcW w:w="1769" w:type="pct"/>
                  <w:vAlign w:val="center"/>
                </w:tcPr>
                <w:p w14:paraId="727076EC">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新建、改建、扩建排放重点大气污染物的项目不符合总量控制要求的，不得通过环境影响评价。</w:t>
                  </w:r>
                </w:p>
              </w:tc>
              <w:tc>
                <w:tcPr>
                  <w:tcW w:w="1444" w:type="pct"/>
                  <w:vAlign w:val="center"/>
                </w:tcPr>
                <w:p w14:paraId="7271868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本项目废气经过处理后排放，且总控已经宿州市生态环境局审批，符合总量控控制要求</w:t>
                  </w:r>
                </w:p>
              </w:tc>
              <w:tc>
                <w:tcPr>
                  <w:tcW w:w="335" w:type="pct"/>
                  <w:vAlign w:val="center"/>
                </w:tcPr>
                <w:p w14:paraId="417B74D6">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7055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265088BE">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3A6CC92C">
                  <w:pPr>
                    <w:adjustRightInd w:val="0"/>
                    <w:snapToGrid w:val="0"/>
                    <w:jc w:val="center"/>
                    <w:rPr>
                      <w:color w:val="000000" w:themeColor="text1"/>
                      <w:kern w:val="0"/>
                      <w:sz w:val="21"/>
                      <w:szCs w:val="21"/>
                      <w14:textFill>
                        <w14:solidFill>
                          <w14:schemeClr w14:val="tx1"/>
                        </w14:solidFill>
                      </w14:textFill>
                    </w:rPr>
                  </w:pPr>
                </w:p>
              </w:tc>
              <w:tc>
                <w:tcPr>
                  <w:tcW w:w="402" w:type="pct"/>
                  <w:vMerge w:val="restart"/>
                  <w:vAlign w:val="center"/>
                </w:tcPr>
                <w:p w14:paraId="78108419">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区域大气污染物削减/替代要求</w:t>
                  </w:r>
                </w:p>
              </w:tc>
              <w:tc>
                <w:tcPr>
                  <w:tcW w:w="1769" w:type="pct"/>
                  <w:vAlign w:val="center"/>
                </w:tcPr>
                <w:p w14:paraId="2B262D10">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444" w:type="pct"/>
                  <w:vAlign w:val="center"/>
                </w:tcPr>
                <w:p w14:paraId="1C3EA47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w:t>
                  </w:r>
                  <w:r>
                    <w:rPr>
                      <w:rFonts w:hint="eastAsia"/>
                      <w:color w:val="000000" w:themeColor="text1"/>
                      <w:kern w:val="0"/>
                      <w:sz w:val="21"/>
                      <w:szCs w:val="21"/>
                      <w:lang w:val="en-US" w:eastAsia="zh-CN"/>
                      <w14:textFill>
                        <w14:solidFill>
                          <w14:schemeClr w14:val="tx1"/>
                        </w14:solidFill>
                      </w14:textFill>
                    </w:rPr>
                    <w:t>喷塑后固化</w:t>
                  </w:r>
                  <w:r>
                    <w:rPr>
                      <w:rFonts w:hint="eastAsia"/>
                      <w:color w:val="000000" w:themeColor="text1"/>
                      <w:kern w:val="0"/>
                      <w:sz w:val="21"/>
                      <w:szCs w:val="21"/>
                      <w14:textFill>
                        <w14:solidFill>
                          <w14:schemeClr w14:val="tx1"/>
                        </w14:solidFill>
                      </w14:textFill>
                    </w:rPr>
                    <w:t>废气</w:t>
                  </w:r>
                  <w:r>
                    <w:rPr>
                      <w:color w:val="000000" w:themeColor="text1"/>
                      <w:kern w:val="0"/>
                      <w:sz w:val="21"/>
                      <w:szCs w:val="21"/>
                      <w14:textFill>
                        <w14:solidFill>
                          <w14:schemeClr w14:val="tx1"/>
                        </w14:solidFill>
                      </w14:textFill>
                    </w:rPr>
                    <w:t>通过</w:t>
                  </w:r>
                  <w:r>
                    <w:rPr>
                      <w:rFonts w:hint="eastAsia"/>
                      <w:color w:val="000000" w:themeColor="text1"/>
                      <w:kern w:val="0"/>
                      <w:sz w:val="21"/>
                      <w:szCs w:val="21"/>
                      <w:lang w:val="en-US" w:eastAsia="zh-CN"/>
                      <w14:textFill>
                        <w14:solidFill>
                          <w14:schemeClr w14:val="tx1"/>
                        </w14:solidFill>
                      </w14:textFill>
                    </w:rPr>
                    <w:t>二级活性炭吸附</w:t>
                  </w:r>
                  <w:r>
                    <w:rPr>
                      <w:rFonts w:hint="eastAsia"/>
                      <w:color w:val="000000" w:themeColor="text1"/>
                      <w:kern w:val="0"/>
                      <w:sz w:val="21"/>
                      <w:szCs w:val="21"/>
                      <w14:textFill>
                        <w14:solidFill>
                          <w14:schemeClr w14:val="tx1"/>
                        </w14:solidFill>
                      </w14:textFill>
                    </w:rPr>
                    <w:t>装置</w:t>
                  </w:r>
                  <w:r>
                    <w:rPr>
                      <w:color w:val="000000" w:themeColor="text1"/>
                      <w:kern w:val="0"/>
                      <w:sz w:val="21"/>
                      <w:szCs w:val="21"/>
                      <w14:textFill>
                        <w14:solidFill>
                          <w14:schemeClr w14:val="tx1"/>
                        </w14:solidFill>
                      </w14:textFill>
                    </w:rPr>
                    <w:t>处理后</w:t>
                  </w:r>
                  <w:r>
                    <w:rPr>
                      <w:rFonts w:hint="eastAsia"/>
                      <w:color w:val="000000" w:themeColor="text1"/>
                      <w:kern w:val="0"/>
                      <w:sz w:val="21"/>
                      <w:szCs w:val="21"/>
                      <w14:textFill>
                        <w14:solidFill>
                          <w14:schemeClr w14:val="tx1"/>
                        </w14:solidFill>
                      </w14:textFill>
                    </w:rPr>
                    <w:t>达标</w:t>
                  </w:r>
                  <w:r>
                    <w:rPr>
                      <w:color w:val="000000" w:themeColor="text1"/>
                      <w:kern w:val="0"/>
                      <w:sz w:val="21"/>
                      <w:szCs w:val="21"/>
                      <w14:textFill>
                        <w14:solidFill>
                          <w14:schemeClr w14:val="tx1"/>
                        </w14:solidFill>
                      </w14:textFill>
                    </w:rPr>
                    <w:t>排放</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注塑废气</w:t>
                  </w:r>
                  <w:r>
                    <w:rPr>
                      <w:color w:val="000000" w:themeColor="text1"/>
                      <w:kern w:val="0"/>
                      <w:sz w:val="21"/>
                      <w:szCs w:val="21"/>
                      <w14:textFill>
                        <w14:solidFill>
                          <w14:schemeClr w14:val="tx1"/>
                        </w14:solidFill>
                      </w14:textFill>
                    </w:rPr>
                    <w:t>通过</w:t>
                  </w:r>
                  <w:r>
                    <w:rPr>
                      <w:rFonts w:hint="eastAsia"/>
                      <w:color w:val="000000" w:themeColor="text1"/>
                      <w:kern w:val="0"/>
                      <w:sz w:val="21"/>
                      <w:szCs w:val="21"/>
                      <w:lang w:val="en-US" w:eastAsia="zh-CN"/>
                      <w14:textFill>
                        <w14:solidFill>
                          <w14:schemeClr w14:val="tx1"/>
                        </w14:solidFill>
                      </w14:textFill>
                    </w:rPr>
                    <w:t>二级活性炭吸附</w:t>
                  </w:r>
                  <w:r>
                    <w:rPr>
                      <w:rFonts w:hint="eastAsia"/>
                      <w:color w:val="000000" w:themeColor="text1"/>
                      <w:kern w:val="0"/>
                      <w:sz w:val="21"/>
                      <w:szCs w:val="21"/>
                      <w14:textFill>
                        <w14:solidFill>
                          <w14:schemeClr w14:val="tx1"/>
                        </w14:solidFill>
                      </w14:textFill>
                    </w:rPr>
                    <w:t>装置</w:t>
                  </w:r>
                  <w:r>
                    <w:rPr>
                      <w:color w:val="000000" w:themeColor="text1"/>
                      <w:kern w:val="0"/>
                      <w:sz w:val="21"/>
                      <w:szCs w:val="21"/>
                      <w14:textFill>
                        <w14:solidFill>
                          <w14:schemeClr w14:val="tx1"/>
                        </w14:solidFill>
                      </w14:textFill>
                    </w:rPr>
                    <w:t>处理后</w:t>
                  </w:r>
                  <w:r>
                    <w:rPr>
                      <w:rFonts w:hint="eastAsia"/>
                      <w:color w:val="000000" w:themeColor="text1"/>
                      <w:kern w:val="0"/>
                      <w:sz w:val="21"/>
                      <w:szCs w:val="21"/>
                      <w14:textFill>
                        <w14:solidFill>
                          <w14:schemeClr w14:val="tx1"/>
                        </w14:solidFill>
                      </w14:textFill>
                    </w:rPr>
                    <w:t>达标</w:t>
                  </w:r>
                  <w:r>
                    <w:rPr>
                      <w:color w:val="000000" w:themeColor="text1"/>
                      <w:kern w:val="0"/>
                      <w:sz w:val="21"/>
                      <w:szCs w:val="21"/>
                      <w14:textFill>
                        <w14:solidFill>
                          <w14:schemeClr w14:val="tx1"/>
                        </w14:solidFill>
                      </w14:textFill>
                    </w:rPr>
                    <w:t>排放</w:t>
                  </w:r>
                  <w:r>
                    <w:rPr>
                      <w:rFonts w:hint="eastAsia"/>
                      <w:color w:val="000000" w:themeColor="text1"/>
                      <w:kern w:val="0"/>
                      <w:sz w:val="21"/>
                      <w:szCs w:val="21"/>
                      <w:lang w:eastAsia="zh-CN"/>
                      <w14:textFill>
                        <w14:solidFill>
                          <w14:schemeClr w14:val="tx1"/>
                        </w14:solidFill>
                      </w14:textFill>
                    </w:rPr>
                    <w:t>，</w:t>
                  </w:r>
                  <w:r>
                    <w:rPr>
                      <w:color w:val="000000" w:themeColor="text1"/>
                      <w:kern w:val="0"/>
                      <w:sz w:val="21"/>
                      <w:szCs w:val="21"/>
                      <w14:textFill>
                        <w14:solidFill>
                          <w14:schemeClr w14:val="tx1"/>
                        </w14:solidFill>
                      </w14:textFill>
                    </w:rPr>
                    <w:t>处理效率</w:t>
                  </w:r>
                  <w:r>
                    <w:rPr>
                      <w:rFonts w:hint="eastAsia"/>
                      <w:color w:val="000000" w:themeColor="text1"/>
                      <w:kern w:val="0"/>
                      <w:sz w:val="21"/>
                      <w:szCs w:val="21"/>
                      <w14:textFill>
                        <w14:solidFill>
                          <w14:schemeClr w14:val="tx1"/>
                        </w14:solidFill>
                      </w14:textFill>
                    </w:rPr>
                    <w:t>均</w:t>
                  </w:r>
                  <w:r>
                    <w:rPr>
                      <w:color w:val="000000" w:themeColor="text1"/>
                      <w:kern w:val="0"/>
                      <w:sz w:val="21"/>
                      <w:szCs w:val="21"/>
                      <w14:textFill>
                        <w14:solidFill>
                          <w14:schemeClr w14:val="tx1"/>
                        </w14:solidFill>
                      </w14:textFill>
                    </w:rPr>
                    <w:t>高于80%</w:t>
                  </w:r>
                </w:p>
              </w:tc>
              <w:tc>
                <w:tcPr>
                  <w:tcW w:w="335" w:type="pct"/>
                  <w:vAlign w:val="center"/>
                </w:tcPr>
                <w:p w14:paraId="74CF32B8">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406B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2CDFF2B6">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52CA9FF8">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2911581A">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496C57E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将控制挥发性有机物排放列入建设项目环境影响评价重要内容，严格环境准入，严控“两高”行业新增产能。建立VOCs排放总量控制制度。重点行业建设项目报批环评文件时应附VOCs等量替代的来源说明，并落实相应的有机废气治理措施。</w:t>
                  </w:r>
                </w:p>
              </w:tc>
              <w:tc>
                <w:tcPr>
                  <w:tcW w:w="1444" w:type="pct"/>
                  <w:vAlign w:val="center"/>
                </w:tcPr>
                <w:p w14:paraId="7FD0DBC8">
                  <w:pPr>
                    <w:jc w:val="center"/>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根据《安徽省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两高</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项目管理目录（试行）》（皖节能【2022】2号），</w:t>
                  </w: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default" w:eastAsia="宋体"/>
                      <w:color w:val="000000" w:themeColor="text1"/>
                      <w:kern w:val="0"/>
                      <w:sz w:val="21"/>
                      <w:szCs w:val="21"/>
                      <w:lang w:val="en-US" w:eastAsia="zh-CN"/>
                      <w14:textFill>
                        <w14:solidFill>
                          <w14:schemeClr w14:val="tx1"/>
                        </w14:solidFill>
                      </w14:textFill>
                    </w:rPr>
                    <w:t>项目不属于两高行业</w:t>
                  </w:r>
                  <w:r>
                    <w:rPr>
                      <w:rFonts w:hint="eastAsia"/>
                      <w:color w:val="000000" w:themeColor="text1"/>
                      <w:kern w:val="0"/>
                      <w:sz w:val="21"/>
                      <w:szCs w:val="21"/>
                      <w:lang w:val="en-US" w:eastAsia="zh-CN"/>
                      <w14:textFill>
                        <w14:solidFill>
                          <w14:schemeClr w14:val="tx1"/>
                        </w14:solidFill>
                      </w14:textFill>
                    </w:rPr>
                    <w:t>，</w:t>
                  </w:r>
                  <w:r>
                    <w:rPr>
                      <w:rFonts w:hint="eastAsia"/>
                      <w:color w:val="000000" w:themeColor="text1"/>
                      <w:sz w:val="21"/>
                      <w:szCs w:val="21"/>
                      <w:lang w:eastAsia="zh-CN" w:bidi="ar"/>
                      <w14:textFill>
                        <w14:solidFill>
                          <w14:schemeClr w14:val="tx1"/>
                        </w14:solidFill>
                      </w14:textFill>
                    </w:rPr>
                    <w:t>产生的VOCs经处理后排放，总量已经宿州市生态环境局</w:t>
                  </w:r>
                  <w:r>
                    <w:rPr>
                      <w:rFonts w:hint="eastAsia"/>
                      <w:color w:val="000000" w:themeColor="text1"/>
                      <w:sz w:val="21"/>
                      <w:szCs w:val="21"/>
                      <w:lang w:val="en-US" w:eastAsia="zh-CN" w:bidi="ar"/>
                      <w14:textFill>
                        <w14:solidFill>
                          <w14:schemeClr w14:val="tx1"/>
                        </w14:solidFill>
                      </w14:textFill>
                    </w:rPr>
                    <w:t>核定</w:t>
                  </w:r>
                </w:p>
              </w:tc>
              <w:tc>
                <w:tcPr>
                  <w:tcW w:w="335" w:type="pct"/>
                  <w:vAlign w:val="center"/>
                </w:tcPr>
                <w:p w14:paraId="6D102850">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283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0E561D74">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62A66687">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420F9EF6">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474674B5">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新建、迁建VOCs排放量大的企业应入工业园区并符合规划要求，必须建设挥发性有机物污染治理施，安装废气收集、回收或净化装置，原则上总净化效率不得低于90%。</w:t>
                  </w:r>
                </w:p>
              </w:tc>
              <w:tc>
                <w:tcPr>
                  <w:tcW w:w="1444" w:type="pct"/>
                  <w:vAlign w:val="center"/>
                </w:tcPr>
                <w:p w14:paraId="027103C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w:t>
                  </w:r>
                  <w:r>
                    <w:rPr>
                      <w:rFonts w:hint="eastAsia"/>
                      <w:color w:val="000000" w:themeColor="text1"/>
                      <w:kern w:val="0"/>
                      <w:sz w:val="21"/>
                      <w:szCs w:val="21"/>
                      <w:lang w:val="en-US" w:eastAsia="zh-CN"/>
                      <w14:textFill>
                        <w14:solidFill>
                          <w14:schemeClr w14:val="tx1"/>
                        </w14:solidFill>
                      </w14:textFill>
                    </w:rPr>
                    <w:t>属于新建</w:t>
                  </w:r>
                  <w:r>
                    <w:rPr>
                      <w:rFonts w:hint="eastAsia"/>
                      <w:color w:val="000000" w:themeColor="text1"/>
                      <w:kern w:val="0"/>
                      <w:sz w:val="21"/>
                      <w:szCs w:val="21"/>
                      <w14:textFill>
                        <w14:solidFill>
                          <w14:schemeClr w14:val="tx1"/>
                        </w14:solidFill>
                      </w14:textFill>
                    </w:rPr>
                    <w:t>，位于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产生的VOCs</w:t>
                  </w:r>
                  <w:r>
                    <w:rPr>
                      <w:rFonts w:hint="eastAsia"/>
                      <w:color w:val="000000" w:themeColor="text1"/>
                      <w:kern w:val="0"/>
                      <w:sz w:val="21"/>
                      <w:szCs w:val="21"/>
                      <w14:textFill>
                        <w14:solidFill>
                          <w14:schemeClr w14:val="tx1"/>
                        </w14:solidFill>
                      </w14:textFill>
                    </w:rPr>
                    <w:t>均</w:t>
                  </w:r>
                  <w:r>
                    <w:rPr>
                      <w:color w:val="000000" w:themeColor="text1"/>
                      <w:kern w:val="0"/>
                      <w:sz w:val="21"/>
                      <w:szCs w:val="21"/>
                      <w14:textFill>
                        <w14:solidFill>
                          <w14:schemeClr w14:val="tx1"/>
                        </w14:solidFill>
                      </w14:textFill>
                    </w:rPr>
                    <w:t>经</w:t>
                  </w:r>
                  <w:r>
                    <w:rPr>
                      <w:rFonts w:hint="eastAsia"/>
                      <w:color w:val="000000" w:themeColor="text1"/>
                      <w:kern w:val="0"/>
                      <w:sz w:val="21"/>
                      <w:szCs w:val="21"/>
                      <w14:textFill>
                        <w14:solidFill>
                          <w14:schemeClr w14:val="tx1"/>
                        </w14:solidFill>
                      </w14:textFill>
                    </w:rPr>
                    <w:t>过环保措施</w:t>
                  </w:r>
                  <w:r>
                    <w:rPr>
                      <w:color w:val="000000" w:themeColor="text1"/>
                      <w:kern w:val="0"/>
                      <w:sz w:val="21"/>
                      <w:szCs w:val="21"/>
                      <w14:textFill>
                        <w14:solidFill>
                          <w14:schemeClr w14:val="tx1"/>
                        </w14:solidFill>
                      </w14:textFill>
                    </w:rPr>
                    <w:t>处理后排放；总净化效率不低于90%</w:t>
                  </w:r>
                </w:p>
              </w:tc>
              <w:tc>
                <w:tcPr>
                  <w:tcW w:w="335" w:type="pct"/>
                  <w:vAlign w:val="center"/>
                </w:tcPr>
                <w:p w14:paraId="33EB2FA3">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530F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4A731660">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5997703B">
                  <w:pPr>
                    <w:adjustRightInd w:val="0"/>
                    <w:snapToGrid w:val="0"/>
                    <w:jc w:val="center"/>
                    <w:rPr>
                      <w:color w:val="000000" w:themeColor="text1"/>
                      <w:kern w:val="0"/>
                      <w:sz w:val="21"/>
                      <w:szCs w:val="21"/>
                      <w14:textFill>
                        <w14:solidFill>
                          <w14:schemeClr w14:val="tx1"/>
                        </w14:solidFill>
                      </w14:textFill>
                    </w:rPr>
                  </w:pPr>
                </w:p>
              </w:tc>
              <w:tc>
                <w:tcPr>
                  <w:tcW w:w="402" w:type="pct"/>
                  <w:vMerge w:val="restart"/>
                  <w:vAlign w:val="center"/>
                </w:tcPr>
                <w:p w14:paraId="26F05726">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其他污染物排放管控要求</w:t>
                  </w:r>
                </w:p>
              </w:tc>
              <w:tc>
                <w:tcPr>
                  <w:tcW w:w="1769" w:type="pct"/>
                  <w:vAlign w:val="center"/>
                </w:tcPr>
                <w:p w14:paraId="6FA68DAC">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强化工业企业无组织排放管理，推进挥发性有机物排放综合整治，开展大气氨排放控制试点。</w:t>
                  </w:r>
                </w:p>
              </w:tc>
              <w:tc>
                <w:tcPr>
                  <w:tcW w:w="1444" w:type="pct"/>
                  <w:vAlign w:val="center"/>
                </w:tcPr>
                <w:p w14:paraId="0CA9B0D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项目加强通风管理，且项目不涉及大气氨的排放</w:t>
                  </w:r>
                </w:p>
              </w:tc>
              <w:tc>
                <w:tcPr>
                  <w:tcW w:w="335" w:type="pct"/>
                  <w:vAlign w:val="center"/>
                </w:tcPr>
                <w:p w14:paraId="1A5AA870">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7263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1" w:type="pct"/>
                  <w:gridSpan w:val="2"/>
                  <w:vMerge w:val="continue"/>
                  <w:vAlign w:val="center"/>
                </w:tcPr>
                <w:p w14:paraId="6F713CF2">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235AC8E9">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08BE9D97">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1A5592C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深化工业污染治理，工业污染源全面达标排放，未达标排放的企业一律依法停产整治。</w:t>
                  </w:r>
                </w:p>
              </w:tc>
              <w:tc>
                <w:tcPr>
                  <w:tcW w:w="1444" w:type="pct"/>
                  <w:vAlign w:val="center"/>
                </w:tcPr>
                <w:p w14:paraId="6A566800">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w:t>
                  </w:r>
                  <w:r>
                    <w:rPr>
                      <w:rFonts w:hint="eastAsia"/>
                      <w:color w:val="000000" w:themeColor="text1"/>
                      <w:kern w:val="0"/>
                      <w:sz w:val="21"/>
                      <w:szCs w:val="21"/>
                      <w:lang w:val="en-US" w:eastAsia="zh-CN"/>
                      <w14:textFill>
                        <w14:solidFill>
                          <w14:schemeClr w14:val="tx1"/>
                        </w14:solidFill>
                      </w14:textFill>
                    </w:rPr>
                    <w:t>属于新建</w:t>
                  </w:r>
                  <w:r>
                    <w:rPr>
                      <w:rFonts w:hint="eastAsia"/>
                      <w:color w:val="000000" w:themeColor="text1"/>
                      <w:kern w:val="0"/>
                      <w:sz w:val="21"/>
                      <w:szCs w:val="21"/>
                      <w14:textFill>
                        <w14:solidFill>
                          <w14:schemeClr w14:val="tx1"/>
                        </w14:solidFill>
                      </w14:textFill>
                    </w:rPr>
                    <w:t>，位于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，产生的废气经过处理后达标排放</w:t>
                  </w:r>
                </w:p>
              </w:tc>
              <w:tc>
                <w:tcPr>
                  <w:tcW w:w="335" w:type="pct"/>
                  <w:vAlign w:val="center"/>
                </w:tcPr>
                <w:p w14:paraId="51396DC1">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262E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7AE2C61C">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水重点管控区</w:t>
                  </w:r>
                </w:p>
              </w:tc>
              <w:tc>
                <w:tcPr>
                  <w:tcW w:w="336" w:type="pct"/>
                  <w:vMerge w:val="restart"/>
                  <w:vAlign w:val="center"/>
                </w:tcPr>
                <w:p w14:paraId="478D5E07">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工业重点管控区</w:t>
                  </w:r>
                </w:p>
              </w:tc>
              <w:tc>
                <w:tcPr>
                  <w:tcW w:w="377" w:type="pct"/>
                  <w:vMerge w:val="restart"/>
                  <w:vAlign w:val="center"/>
                </w:tcPr>
                <w:p w14:paraId="53D8BD9A">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空间布局约束</w:t>
                  </w:r>
                </w:p>
              </w:tc>
              <w:tc>
                <w:tcPr>
                  <w:tcW w:w="402" w:type="pct"/>
                  <w:vMerge w:val="restart"/>
                  <w:vAlign w:val="center"/>
                </w:tcPr>
                <w:p w14:paraId="1DC459E2">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禁止开发建设活动的要求</w:t>
                  </w:r>
                </w:p>
              </w:tc>
              <w:tc>
                <w:tcPr>
                  <w:tcW w:w="1769" w:type="pct"/>
                  <w:vAlign w:val="center"/>
                </w:tcPr>
                <w:p w14:paraId="74525720">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取缔“十小”企业。全面排查装备水平低、环保设施差的小型工业企业。按照水污染防治法律法规要求，全面排查和取缔不符合国家产业政策的小型造纸、制革、印染、染料、炼焦、炼硫、炼砷、炼油、电镀、农药等严重污染水环境的生产项目。</w:t>
                  </w:r>
                </w:p>
              </w:tc>
              <w:tc>
                <w:tcPr>
                  <w:tcW w:w="1444" w:type="pct"/>
                  <w:vAlign w:val="center"/>
                </w:tcPr>
                <w:p w14:paraId="24A76B72">
                  <w:pPr>
                    <w:jc w:val="center"/>
                    <w:rPr>
                      <w:color w:val="000000" w:themeColor="text1"/>
                      <w:kern w:val="0"/>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color w:val="000000" w:themeColor="text1"/>
                      <w:kern w:val="0"/>
                      <w:sz w:val="21"/>
                      <w:szCs w:val="21"/>
                      <w14:textFill>
                        <w14:solidFill>
                          <w14:schemeClr w14:val="tx1"/>
                        </w14:solidFill>
                      </w14:textFill>
                    </w:rPr>
                    <w:t>，不属于小型造纸、制革、印染、染料、炼焦、炼硫、炼砷、炼油、电镀、农药等生产项目</w:t>
                  </w:r>
                </w:p>
              </w:tc>
              <w:tc>
                <w:tcPr>
                  <w:tcW w:w="335" w:type="pct"/>
                  <w:vAlign w:val="center"/>
                </w:tcPr>
                <w:p w14:paraId="3F8C940F">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25AC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17C6C78B">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6E0A92B5">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29A03089">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29BB905C">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1786D070">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严格城市规划蓝线管理，城市规划区范围内应保留一定比例的水域面积，现有水域面积不得减少。新建项目一律不得违规占用水域。</w:t>
                  </w:r>
                </w:p>
              </w:tc>
              <w:tc>
                <w:tcPr>
                  <w:tcW w:w="1444" w:type="pct"/>
                  <w:vAlign w:val="center"/>
                </w:tcPr>
                <w:p w14:paraId="0037451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，不涉及水域面积的违规占用</w:t>
                  </w:r>
                </w:p>
              </w:tc>
              <w:tc>
                <w:tcPr>
                  <w:tcW w:w="335" w:type="pct"/>
                  <w:vAlign w:val="center"/>
                </w:tcPr>
                <w:p w14:paraId="5EE691BD">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1A8C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55BECBE9">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6247BF99">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1F471D46">
                  <w:pPr>
                    <w:adjustRightInd w:val="0"/>
                    <w:snapToGrid w:val="0"/>
                    <w:jc w:val="center"/>
                    <w:rPr>
                      <w:color w:val="000000" w:themeColor="text1"/>
                      <w:kern w:val="0"/>
                      <w:sz w:val="21"/>
                      <w:szCs w:val="21"/>
                      <w14:textFill>
                        <w14:solidFill>
                          <w14:schemeClr w14:val="tx1"/>
                        </w14:solidFill>
                      </w14:textFill>
                    </w:rPr>
                  </w:pPr>
                </w:p>
              </w:tc>
              <w:tc>
                <w:tcPr>
                  <w:tcW w:w="402" w:type="pct"/>
                  <w:vAlign w:val="center"/>
                </w:tcPr>
                <w:p w14:paraId="70E9753A">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允许开发建设活动的特殊要求</w:t>
                  </w:r>
                </w:p>
              </w:tc>
              <w:tc>
                <w:tcPr>
                  <w:tcW w:w="1769" w:type="pct"/>
                  <w:vAlign w:val="center"/>
                </w:tcPr>
                <w:p w14:paraId="6DA8F236">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合理确定发展布局、结构和规模。充分考虑水环境承载能力和水资源开发利用效率，以水定城、以水定地、以水定人、以水定产。重大项目原则上布局在优化开发区和重点开发区，并符合城乡规划和土地利用总体规划。</w:t>
                  </w:r>
                </w:p>
              </w:tc>
              <w:tc>
                <w:tcPr>
                  <w:tcW w:w="1444" w:type="pct"/>
                  <w:vAlign w:val="center"/>
                </w:tcPr>
                <w:p w14:paraId="6221C65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，且符合园区发展规划和土地总体利用规划</w:t>
                  </w:r>
                </w:p>
              </w:tc>
              <w:tc>
                <w:tcPr>
                  <w:tcW w:w="335" w:type="pct"/>
                  <w:vAlign w:val="center"/>
                </w:tcPr>
                <w:p w14:paraId="32DF30DE">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1AB6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1F936A13">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6D622AE6">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75291C6B">
                  <w:pPr>
                    <w:adjustRightInd w:val="0"/>
                    <w:snapToGrid w:val="0"/>
                    <w:jc w:val="center"/>
                    <w:rPr>
                      <w:color w:val="000000" w:themeColor="text1"/>
                      <w:kern w:val="0"/>
                      <w:sz w:val="21"/>
                      <w:szCs w:val="21"/>
                      <w14:textFill>
                        <w14:solidFill>
                          <w14:schemeClr w14:val="tx1"/>
                        </w14:solidFill>
                      </w14:textFill>
                    </w:rPr>
                  </w:pPr>
                </w:p>
              </w:tc>
              <w:tc>
                <w:tcPr>
                  <w:tcW w:w="402" w:type="pct"/>
                  <w:vMerge w:val="restart"/>
                  <w:vAlign w:val="center"/>
                </w:tcPr>
                <w:p w14:paraId="4BB99A19">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不符合空间布局要求活动的退出要求</w:t>
                  </w:r>
                </w:p>
              </w:tc>
              <w:tc>
                <w:tcPr>
                  <w:tcW w:w="1769" w:type="pct"/>
                  <w:vAlign w:val="center"/>
                </w:tcPr>
                <w:p w14:paraId="066D88D1">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调整产业结构。依法淘汰落后产能。各地要制定实施分年度的落后产能淘汰方案，未完成淘汰任务的地区，暂停审批和核准其相关行业新建项目。</w:t>
                  </w:r>
                </w:p>
              </w:tc>
              <w:tc>
                <w:tcPr>
                  <w:tcW w:w="1444" w:type="pct"/>
                  <w:vAlign w:val="center"/>
                </w:tcPr>
                <w:p w14:paraId="28AB4409">
                  <w:pPr>
                    <w:jc w:val="center"/>
                    <w:rPr>
                      <w:color w:val="000000" w:themeColor="text1"/>
                      <w:kern w:val="0"/>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color w:val="000000" w:themeColor="text1"/>
                      <w:kern w:val="0"/>
                      <w:sz w:val="21"/>
                      <w:szCs w:val="21"/>
                      <w14:textFill>
                        <w14:solidFill>
                          <w14:schemeClr w14:val="tx1"/>
                        </w14:solidFill>
                      </w14:textFill>
                    </w:rPr>
                    <w:t>，不属于淘汰行业</w:t>
                  </w:r>
                </w:p>
              </w:tc>
              <w:tc>
                <w:tcPr>
                  <w:tcW w:w="335" w:type="pct"/>
                  <w:vAlign w:val="center"/>
                </w:tcPr>
                <w:p w14:paraId="0DA87069">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2536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4F6913A0">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2F2DE4F4">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72F93978">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59328C0C">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0CA1ADA6">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国家禁止新建不符合国家产业政策的小型造纸、制革、印染、染料、炼焦、炼硫、炼砷、炼汞、炼油、电镀、农药、石棉、水泥、玻璃、钢铁、火电以及其他严重污染水环境的生产项目。</w:t>
                  </w:r>
                </w:p>
              </w:tc>
              <w:tc>
                <w:tcPr>
                  <w:tcW w:w="1444" w:type="pct"/>
                  <w:vAlign w:val="center"/>
                </w:tcPr>
                <w:p w14:paraId="6C3F5F03">
                  <w:pPr>
                    <w:jc w:val="center"/>
                    <w:rPr>
                      <w:color w:val="000000" w:themeColor="text1"/>
                      <w:kern w:val="0"/>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color w:val="000000" w:themeColor="text1"/>
                      <w:kern w:val="0"/>
                      <w:sz w:val="21"/>
                      <w:szCs w:val="21"/>
                      <w14:textFill>
                        <w14:solidFill>
                          <w14:schemeClr w14:val="tx1"/>
                        </w14:solidFill>
                      </w14:textFill>
                    </w:rPr>
                    <w:t>，不属于上述严重污染水环境的项目</w:t>
                  </w:r>
                </w:p>
              </w:tc>
              <w:tc>
                <w:tcPr>
                  <w:tcW w:w="335" w:type="pct"/>
                  <w:vAlign w:val="center"/>
                </w:tcPr>
                <w:p w14:paraId="2E5C1653">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2ED1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6CF4206E">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0095DCAF">
                  <w:pPr>
                    <w:adjustRightInd w:val="0"/>
                    <w:snapToGrid w:val="0"/>
                    <w:jc w:val="center"/>
                    <w:rPr>
                      <w:color w:val="000000" w:themeColor="text1"/>
                      <w:kern w:val="0"/>
                      <w:sz w:val="21"/>
                      <w:szCs w:val="21"/>
                      <w14:textFill>
                        <w14:solidFill>
                          <w14:schemeClr w14:val="tx1"/>
                        </w14:solidFill>
                      </w14:textFill>
                    </w:rPr>
                  </w:pPr>
                </w:p>
              </w:tc>
              <w:tc>
                <w:tcPr>
                  <w:tcW w:w="377" w:type="pct"/>
                  <w:vMerge w:val="restart"/>
                  <w:vAlign w:val="center"/>
                </w:tcPr>
                <w:p w14:paraId="7865BED6">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污染物排放管控</w:t>
                  </w:r>
                </w:p>
              </w:tc>
              <w:tc>
                <w:tcPr>
                  <w:tcW w:w="402" w:type="pct"/>
                  <w:vMerge w:val="restart"/>
                  <w:vAlign w:val="center"/>
                </w:tcPr>
                <w:p w14:paraId="2C828851">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区域水污染物削减/替代要求</w:t>
                  </w:r>
                </w:p>
              </w:tc>
              <w:tc>
                <w:tcPr>
                  <w:tcW w:w="1769" w:type="pct"/>
                  <w:vAlign w:val="center"/>
                </w:tcPr>
                <w:p w14:paraId="21F86E4E">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444" w:type="pct"/>
                  <w:vAlign w:val="center"/>
                </w:tcPr>
                <w:p w14:paraId="132349A4">
                  <w:pPr>
                    <w:jc w:val="center"/>
                    <w:rPr>
                      <w:rFonts w:hint="default" w:eastAsia="宋体"/>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项目</w:t>
                  </w:r>
                  <w:r>
                    <w:rPr>
                      <w:rFonts w:hint="eastAsia"/>
                      <w:color w:val="000000" w:themeColor="text1"/>
                      <w:kern w:val="0"/>
                      <w:sz w:val="21"/>
                      <w:szCs w:val="21"/>
                      <w:lang w:val="en-US" w:eastAsia="zh-CN"/>
                      <w14:textFill>
                        <w14:solidFill>
                          <w14:schemeClr w14:val="tx1"/>
                        </w14:solidFill>
                      </w14:textFill>
                    </w:rPr>
                    <w:t>生活污水</w:t>
                  </w:r>
                  <w:r>
                    <w:rPr>
                      <w:rFonts w:hint="eastAsia"/>
                      <w:color w:val="000000" w:themeColor="text1"/>
                      <w:kern w:val="0"/>
                      <w:sz w:val="21"/>
                      <w:szCs w:val="21"/>
                      <w14:textFill>
                        <w14:solidFill>
                          <w14:schemeClr w14:val="tx1"/>
                        </w14:solidFill>
                      </w14:textFill>
                    </w:rPr>
                    <w:t>经化粪池处理</w:t>
                  </w:r>
                  <w:r>
                    <w:rPr>
                      <w:rFonts w:hint="eastAsia"/>
                      <w:color w:val="000000" w:themeColor="text1"/>
                      <w:kern w:val="0"/>
                      <w:sz w:val="21"/>
                      <w:szCs w:val="21"/>
                      <w:lang w:val="en-US" w:eastAsia="zh-CN"/>
                      <w14:textFill>
                        <w14:solidFill>
                          <w14:schemeClr w14:val="tx1"/>
                        </w14:solidFill>
                      </w14:textFill>
                    </w:rPr>
                    <w:t>后</w:t>
                  </w:r>
                  <w:r>
                    <w:rPr>
                      <w:rFonts w:hint="eastAsia"/>
                      <w:color w:val="000000" w:themeColor="text1"/>
                      <w:kern w:val="0"/>
                      <w:sz w:val="21"/>
                      <w:szCs w:val="21"/>
                      <w14:textFill>
                        <w14:solidFill>
                          <w14:schemeClr w14:val="tx1"/>
                        </w14:solidFill>
                      </w14:textFill>
                    </w:rPr>
                    <w:t>满足《污水综合排放标准》（GB8978-1996）中三级标准并满足污水处理厂接管要求</w:t>
                  </w:r>
                  <w:r>
                    <w:rPr>
                      <w:color w:val="000000" w:themeColor="text1"/>
                      <w:kern w:val="0"/>
                      <w:sz w:val="21"/>
                      <w:szCs w:val="21"/>
                      <w14:textFill>
                        <w14:solidFill>
                          <w14:schemeClr w14:val="tx1"/>
                        </w14:solidFill>
                      </w14:textFill>
                    </w:rPr>
                    <w:t>，排放总量</w:t>
                  </w:r>
                  <w:r>
                    <w:rPr>
                      <w:rFonts w:hint="eastAsia"/>
                      <w:color w:val="000000" w:themeColor="text1"/>
                      <w:kern w:val="0"/>
                      <w:sz w:val="21"/>
                      <w:szCs w:val="21"/>
                      <w14:textFill>
                        <w14:solidFill>
                          <w14:schemeClr w14:val="tx1"/>
                        </w14:solidFill>
                      </w14:textFill>
                    </w:rPr>
                    <w:t>纳入污水处理厂总量指标</w:t>
                  </w:r>
                </w:p>
              </w:tc>
              <w:tc>
                <w:tcPr>
                  <w:tcW w:w="335" w:type="pct"/>
                  <w:vAlign w:val="center"/>
                </w:tcPr>
                <w:p w14:paraId="509E129D">
                  <w:pPr>
                    <w:adjustRightInd w:val="0"/>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14:paraId="03A6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21DA32A2">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08D85196">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453F206D">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064D62EA">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543EFAF9">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严格控制缺水地区、水污染严重地区和敏感区域高耗水、高污染行业发展，新建、改建、扩建重点行业建设项目实行主要污染物排放减量置换。</w:t>
                  </w:r>
                </w:p>
              </w:tc>
              <w:tc>
                <w:tcPr>
                  <w:tcW w:w="2028" w:type="dxa"/>
                  <w:vAlign w:val="center"/>
                </w:tcPr>
                <w:p w14:paraId="526EE78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w:t>
                  </w:r>
                  <w:r>
                    <w:rPr>
                      <w:rFonts w:hint="eastAsia"/>
                      <w:color w:val="000000" w:themeColor="text1"/>
                      <w:kern w:val="0"/>
                      <w:sz w:val="21"/>
                      <w:szCs w:val="21"/>
                      <w14:textFill>
                        <w14:solidFill>
                          <w14:schemeClr w14:val="tx1"/>
                        </w14:solidFill>
                      </w14:textFill>
                    </w:rPr>
                    <w:t>水</w:t>
                  </w:r>
                  <w:r>
                    <w:rPr>
                      <w:color w:val="000000" w:themeColor="text1"/>
                      <w:kern w:val="0"/>
                      <w:sz w:val="21"/>
                      <w:szCs w:val="21"/>
                      <w14:textFill>
                        <w14:solidFill>
                          <w14:schemeClr w14:val="tx1"/>
                        </w14:solidFill>
                      </w14:textFill>
                    </w:rPr>
                    <w:t>污染物排放已</w:t>
                  </w:r>
                  <w:r>
                    <w:rPr>
                      <w:rFonts w:hint="eastAsia"/>
                      <w:color w:val="000000" w:themeColor="text1"/>
                      <w:kern w:val="0"/>
                      <w:sz w:val="21"/>
                      <w:szCs w:val="21"/>
                      <w14:textFill>
                        <w14:solidFill>
                          <w14:schemeClr w14:val="tx1"/>
                        </w14:solidFill>
                      </w14:textFill>
                    </w:rPr>
                    <w:t>计入污水处理厂总量控制指标</w:t>
                  </w:r>
                </w:p>
              </w:tc>
              <w:tc>
                <w:tcPr>
                  <w:tcW w:w="335" w:type="pct"/>
                  <w:vAlign w:val="center"/>
                </w:tcPr>
                <w:p w14:paraId="635688BE">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3D70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59AF54E0">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11914DB9">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319E8F1F">
                  <w:pPr>
                    <w:adjustRightInd w:val="0"/>
                    <w:snapToGrid w:val="0"/>
                    <w:jc w:val="center"/>
                    <w:rPr>
                      <w:color w:val="000000" w:themeColor="text1"/>
                      <w:kern w:val="0"/>
                      <w:sz w:val="21"/>
                      <w:szCs w:val="21"/>
                      <w14:textFill>
                        <w14:solidFill>
                          <w14:schemeClr w14:val="tx1"/>
                        </w14:solidFill>
                      </w14:textFill>
                    </w:rPr>
                  </w:pPr>
                </w:p>
              </w:tc>
              <w:tc>
                <w:tcPr>
                  <w:tcW w:w="402" w:type="pct"/>
                  <w:vMerge w:val="restart"/>
                  <w:vAlign w:val="center"/>
                </w:tcPr>
                <w:p w14:paraId="320B5194">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水污染控制措施要求</w:t>
                  </w:r>
                </w:p>
              </w:tc>
              <w:tc>
                <w:tcPr>
                  <w:tcW w:w="1769" w:type="pct"/>
                  <w:vAlign w:val="center"/>
                </w:tcPr>
                <w:p w14:paraId="6EF49F2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2028" w:type="dxa"/>
                  <w:vAlign w:val="center"/>
                </w:tcPr>
                <w:p w14:paraId="1B5D639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w:t>
                  </w:r>
                  <w:r>
                    <w:rPr>
                      <w:rFonts w:hint="eastAsia"/>
                      <w:color w:val="000000" w:themeColor="text1"/>
                      <w:kern w:val="0"/>
                      <w:sz w:val="21"/>
                      <w:szCs w:val="21"/>
                      <w:lang w:val="en-US" w:eastAsia="zh-CN"/>
                      <w14:textFill>
                        <w14:solidFill>
                          <w14:schemeClr w14:val="tx1"/>
                        </w14:solidFill>
                      </w14:textFill>
                    </w:rPr>
                    <w:t>生活污水</w:t>
                  </w:r>
                  <w:r>
                    <w:rPr>
                      <w:rFonts w:hint="eastAsia"/>
                      <w:color w:val="000000" w:themeColor="text1"/>
                      <w:kern w:val="0"/>
                      <w:sz w:val="21"/>
                      <w:szCs w:val="21"/>
                      <w14:textFill>
                        <w14:solidFill>
                          <w14:schemeClr w14:val="tx1"/>
                        </w14:solidFill>
                      </w14:textFill>
                    </w:rPr>
                    <w:t>经化粪池处理</w:t>
                  </w:r>
                  <w:r>
                    <w:rPr>
                      <w:rFonts w:hint="eastAsia"/>
                      <w:color w:val="000000" w:themeColor="text1"/>
                      <w:kern w:val="0"/>
                      <w:sz w:val="21"/>
                      <w:szCs w:val="21"/>
                      <w:lang w:val="en-US" w:eastAsia="zh-CN"/>
                      <w14:textFill>
                        <w14:solidFill>
                          <w14:schemeClr w14:val="tx1"/>
                        </w14:solidFill>
                      </w14:textFill>
                    </w:rPr>
                    <w:t>后</w:t>
                  </w:r>
                  <w:r>
                    <w:rPr>
                      <w:rFonts w:hint="eastAsia"/>
                      <w:color w:val="000000" w:themeColor="text1"/>
                      <w:kern w:val="0"/>
                      <w:sz w:val="21"/>
                      <w:szCs w:val="21"/>
                      <w14:textFill>
                        <w14:solidFill>
                          <w14:schemeClr w14:val="tx1"/>
                        </w14:solidFill>
                      </w14:textFill>
                    </w:rPr>
                    <w:t>满足《污水综合排放标准》（GB8978-1996）中三级标准并满足污水处理厂接管要求</w:t>
                  </w:r>
                  <w:r>
                    <w:rPr>
                      <w:color w:val="000000" w:themeColor="text1"/>
                      <w:kern w:val="0"/>
                      <w:sz w:val="21"/>
                      <w:szCs w:val="21"/>
                      <w14:textFill>
                        <w14:solidFill>
                          <w14:schemeClr w14:val="tx1"/>
                        </w14:solidFill>
                      </w14:textFill>
                    </w:rPr>
                    <w:t>，排放总量</w:t>
                  </w:r>
                  <w:r>
                    <w:rPr>
                      <w:rFonts w:hint="eastAsia"/>
                      <w:color w:val="000000" w:themeColor="text1"/>
                      <w:kern w:val="0"/>
                      <w:sz w:val="21"/>
                      <w:szCs w:val="21"/>
                      <w14:textFill>
                        <w14:solidFill>
                          <w14:schemeClr w14:val="tx1"/>
                        </w14:solidFill>
                      </w14:textFill>
                    </w:rPr>
                    <w:t>纳入污水处理厂总量指标</w:t>
                  </w:r>
                </w:p>
              </w:tc>
              <w:tc>
                <w:tcPr>
                  <w:tcW w:w="335" w:type="pct"/>
                  <w:vAlign w:val="center"/>
                </w:tcPr>
                <w:p w14:paraId="67BC14B5">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3130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30766F76">
                  <w:pPr>
                    <w:adjustRightInd w:val="0"/>
                    <w:snapToGrid w:val="0"/>
                    <w:jc w:val="center"/>
                    <w:rPr>
                      <w:color w:val="000000" w:themeColor="text1"/>
                      <w:kern w:val="0"/>
                      <w:sz w:val="21"/>
                      <w:szCs w:val="21"/>
                      <w14:textFill>
                        <w14:solidFill>
                          <w14:schemeClr w14:val="tx1"/>
                        </w14:solidFill>
                      </w14:textFill>
                    </w:rPr>
                  </w:pPr>
                </w:p>
              </w:tc>
              <w:tc>
                <w:tcPr>
                  <w:tcW w:w="336" w:type="pct"/>
                  <w:vMerge w:val="continue"/>
                  <w:vAlign w:val="center"/>
                </w:tcPr>
                <w:p w14:paraId="03D81B63">
                  <w:pPr>
                    <w:adjustRightInd w:val="0"/>
                    <w:snapToGrid w:val="0"/>
                    <w:jc w:val="center"/>
                    <w:rPr>
                      <w:color w:val="000000" w:themeColor="text1"/>
                      <w:kern w:val="0"/>
                      <w:sz w:val="21"/>
                      <w:szCs w:val="21"/>
                      <w14:textFill>
                        <w14:solidFill>
                          <w14:schemeClr w14:val="tx1"/>
                        </w14:solidFill>
                      </w14:textFill>
                    </w:rPr>
                  </w:pPr>
                </w:p>
              </w:tc>
              <w:tc>
                <w:tcPr>
                  <w:tcW w:w="377" w:type="pct"/>
                  <w:vMerge w:val="continue"/>
                  <w:vAlign w:val="center"/>
                </w:tcPr>
                <w:p w14:paraId="3C194D34">
                  <w:pPr>
                    <w:adjustRightInd w:val="0"/>
                    <w:snapToGrid w:val="0"/>
                    <w:jc w:val="center"/>
                    <w:rPr>
                      <w:color w:val="000000" w:themeColor="text1"/>
                      <w:kern w:val="0"/>
                      <w:sz w:val="21"/>
                      <w:szCs w:val="21"/>
                      <w14:textFill>
                        <w14:solidFill>
                          <w14:schemeClr w14:val="tx1"/>
                        </w14:solidFill>
                      </w14:textFill>
                    </w:rPr>
                  </w:pPr>
                </w:p>
              </w:tc>
              <w:tc>
                <w:tcPr>
                  <w:tcW w:w="402" w:type="pct"/>
                  <w:vMerge w:val="continue"/>
                  <w:vAlign w:val="center"/>
                </w:tcPr>
                <w:p w14:paraId="6AFC65F7">
                  <w:pPr>
                    <w:adjustRightInd w:val="0"/>
                    <w:snapToGrid w:val="0"/>
                    <w:jc w:val="center"/>
                    <w:rPr>
                      <w:color w:val="000000" w:themeColor="text1"/>
                      <w:kern w:val="0"/>
                      <w:sz w:val="21"/>
                      <w:szCs w:val="21"/>
                      <w14:textFill>
                        <w14:solidFill>
                          <w14:schemeClr w14:val="tx1"/>
                        </w14:solidFill>
                      </w14:textFill>
                    </w:rPr>
                  </w:pPr>
                </w:p>
              </w:tc>
              <w:tc>
                <w:tcPr>
                  <w:tcW w:w="1769" w:type="pct"/>
                  <w:vAlign w:val="center"/>
                </w:tcPr>
                <w:p w14:paraId="0B0C11B9">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444" w:type="pct"/>
                  <w:vAlign w:val="center"/>
                </w:tcPr>
                <w:p w14:paraId="3AEFFE99">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w:t>
                  </w:r>
                  <w:r>
                    <w:rPr>
                      <w:rFonts w:hint="eastAsia"/>
                      <w:b w:val="0"/>
                      <w:bCs w:val="0"/>
                      <w:color w:val="000000" w:themeColor="text1"/>
                      <w:kern w:val="0"/>
                      <w:sz w:val="21"/>
                      <w:szCs w:val="21"/>
                      <w:vertAlign w:val="baseline"/>
                      <w:lang w:val="en-US" w:eastAsia="zh-CN"/>
                      <w14:textFill>
                        <w14:solidFill>
                          <w14:schemeClr w14:val="tx1"/>
                        </w14:solidFill>
                      </w14:textFill>
                    </w:rPr>
                    <w:t>泗县经济开发区内</w:t>
                  </w:r>
                  <w:r>
                    <w:rPr>
                      <w:rFonts w:hint="eastAsia"/>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产生的生活污水</w:t>
                  </w:r>
                  <w:r>
                    <w:rPr>
                      <w:rFonts w:hint="eastAsia"/>
                      <w:color w:val="000000" w:themeColor="text1"/>
                      <w:kern w:val="0"/>
                      <w:sz w:val="21"/>
                      <w:szCs w:val="21"/>
                      <w14:textFill>
                        <w14:solidFill>
                          <w14:schemeClr w14:val="tx1"/>
                        </w14:solidFill>
                      </w14:textFill>
                    </w:rPr>
                    <w:t>经化粪池处理</w:t>
                  </w:r>
                  <w:r>
                    <w:rPr>
                      <w:rFonts w:hint="eastAsia"/>
                      <w:color w:val="000000" w:themeColor="text1"/>
                      <w:kern w:val="0"/>
                      <w:sz w:val="21"/>
                      <w:szCs w:val="21"/>
                      <w:lang w:val="en-US" w:eastAsia="zh-CN"/>
                      <w14:textFill>
                        <w14:solidFill>
                          <w14:schemeClr w14:val="tx1"/>
                        </w14:solidFill>
                      </w14:textFill>
                    </w:rPr>
                    <w:t>后</w:t>
                  </w:r>
                  <w:r>
                    <w:rPr>
                      <w:rFonts w:hint="eastAsia"/>
                      <w:color w:val="000000" w:themeColor="text1"/>
                      <w:kern w:val="0"/>
                      <w:sz w:val="21"/>
                      <w:szCs w:val="21"/>
                      <w14:textFill>
                        <w14:solidFill>
                          <w14:schemeClr w14:val="tx1"/>
                        </w14:solidFill>
                      </w14:textFill>
                    </w:rPr>
                    <w:t>满足《污水综合排放标准》（GB8978-1996）中三级标准并满足污水处理厂接管要求</w:t>
                  </w:r>
                  <w:r>
                    <w:rPr>
                      <w:color w:val="000000" w:themeColor="text1"/>
                      <w:kern w:val="0"/>
                      <w:sz w:val="21"/>
                      <w:szCs w:val="21"/>
                      <w14:textFill>
                        <w14:solidFill>
                          <w14:schemeClr w14:val="tx1"/>
                        </w14:solidFill>
                      </w14:textFill>
                    </w:rPr>
                    <w:t>，排放总量</w:t>
                  </w:r>
                  <w:r>
                    <w:rPr>
                      <w:rFonts w:hint="eastAsia"/>
                      <w:color w:val="000000" w:themeColor="text1"/>
                      <w:kern w:val="0"/>
                      <w:sz w:val="21"/>
                      <w:szCs w:val="21"/>
                      <w14:textFill>
                        <w14:solidFill>
                          <w14:schemeClr w14:val="tx1"/>
                        </w14:solidFill>
                      </w14:textFill>
                    </w:rPr>
                    <w:t>纳入污水处理厂总量指标</w:t>
                  </w:r>
                </w:p>
              </w:tc>
              <w:tc>
                <w:tcPr>
                  <w:tcW w:w="335" w:type="pct"/>
                  <w:vAlign w:val="center"/>
                </w:tcPr>
                <w:p w14:paraId="341EAC3A">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770D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1" w:type="pct"/>
                  <w:gridSpan w:val="4"/>
                  <w:vAlign w:val="center"/>
                </w:tcPr>
                <w:p w14:paraId="74C19F24">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土壤一般管控区</w:t>
                  </w:r>
                </w:p>
              </w:tc>
              <w:tc>
                <w:tcPr>
                  <w:tcW w:w="1769" w:type="pct"/>
                  <w:vAlign w:val="center"/>
                </w:tcPr>
                <w:p w14:paraId="7F65CC6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依据《中华人民共和国土壤污染防治法》《土壤污染防治行动计划》《安徽省土壤污染防治工作方案》《安徽省“十三五”环境保护规划》《宿州市土壤污染防治工作方案》等要求对一般管控区实施管控。</w:t>
                  </w:r>
                </w:p>
              </w:tc>
              <w:tc>
                <w:tcPr>
                  <w:tcW w:w="1444" w:type="pct"/>
                  <w:vAlign w:val="center"/>
                </w:tcPr>
                <w:p w14:paraId="6F4E8AD0">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项目的建设和生产均符合现有法律法规和政策文件</w:t>
                  </w:r>
                </w:p>
              </w:tc>
              <w:tc>
                <w:tcPr>
                  <w:tcW w:w="335" w:type="pct"/>
                  <w:vAlign w:val="center"/>
                </w:tcPr>
                <w:p w14:paraId="642905A1">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14:paraId="04EC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51" w:type="pct"/>
                  <w:gridSpan w:val="4"/>
                  <w:vAlign w:val="center"/>
                </w:tcPr>
                <w:p w14:paraId="618D53F6">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其他一般管控单元</w:t>
                  </w:r>
                </w:p>
              </w:tc>
              <w:tc>
                <w:tcPr>
                  <w:tcW w:w="1769" w:type="pct"/>
                  <w:vAlign w:val="center"/>
                </w:tcPr>
                <w:p w14:paraId="59D7801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一般管控单元内，执行现有法律法规和政策文件。</w:t>
                  </w:r>
                </w:p>
              </w:tc>
              <w:tc>
                <w:tcPr>
                  <w:tcW w:w="1444" w:type="pct"/>
                  <w:vAlign w:val="center"/>
                </w:tcPr>
                <w:p w14:paraId="61A137DE">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项目的建设和生产均符合现有法律法规和政策文件</w:t>
                  </w:r>
                </w:p>
              </w:tc>
              <w:tc>
                <w:tcPr>
                  <w:tcW w:w="335" w:type="pct"/>
                  <w:vAlign w:val="center"/>
                </w:tcPr>
                <w:p w14:paraId="3E07366F">
                  <w:pPr>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bl>
          <w:p w14:paraId="50736120">
            <w:pPr>
              <w:pStyle w:val="78"/>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color w:val="000000" w:themeColor="text1"/>
                <w14:textFill>
                  <w14:solidFill>
                    <w14:schemeClr w14:val="tx1"/>
                  </w14:solidFill>
                </w14:textFill>
              </w:rPr>
            </w:pPr>
            <w:r>
              <w:rPr>
                <w:color w:val="000000" w:themeColor="text1"/>
                <w:lang w:bidi="ar"/>
                <w14:textFill>
                  <w14:solidFill>
                    <w14:schemeClr w14:val="tx1"/>
                  </w14:solidFill>
                </w14:textFill>
              </w:rPr>
              <w:t>综上分析，本项目建设符合</w:t>
            </w:r>
            <w:r>
              <w:rPr>
                <w:rFonts w:hint="eastAsia"/>
                <w:color w:val="000000" w:themeColor="text1"/>
                <w:lang w:eastAsia="zh-CN" w:bidi="ar"/>
                <w14:textFill>
                  <w14:solidFill>
                    <w14:schemeClr w14:val="tx1"/>
                  </w14:solidFill>
                </w14:textFill>
              </w:rPr>
              <w:t>“</w:t>
            </w:r>
            <w:r>
              <w:rPr>
                <w:color w:val="000000" w:themeColor="text1"/>
                <w:lang w:bidi="ar"/>
                <w14:textFill>
                  <w14:solidFill>
                    <w14:schemeClr w14:val="tx1"/>
                  </w14:solidFill>
                </w14:textFill>
              </w:rPr>
              <w:t>三线一单</w:t>
            </w:r>
            <w:r>
              <w:rPr>
                <w:rFonts w:hint="eastAsia"/>
                <w:color w:val="000000" w:themeColor="text1"/>
                <w:lang w:eastAsia="zh-CN" w:bidi="ar"/>
                <w14:textFill>
                  <w14:solidFill>
                    <w14:schemeClr w14:val="tx1"/>
                  </w14:solidFill>
                </w14:textFill>
              </w:rPr>
              <w:t>”</w:t>
            </w:r>
            <w:r>
              <w:rPr>
                <w:color w:val="000000" w:themeColor="text1"/>
                <w:lang w:bidi="ar"/>
                <w14:textFill>
                  <w14:solidFill>
                    <w14:schemeClr w14:val="tx1"/>
                  </w14:solidFill>
                </w14:textFill>
              </w:rPr>
              <w:t>的要求。</w:t>
            </w:r>
          </w:p>
          <w:p w14:paraId="58D6EE32">
            <w:pPr>
              <w:spacing w:line="360" w:lineRule="auto"/>
              <w:rPr>
                <w:b/>
                <w:color w:val="000000" w:themeColor="text1"/>
                <w:kern w:val="0"/>
                <w14:textFill>
                  <w14:solidFill>
                    <w14:schemeClr w14:val="tx1"/>
                  </w14:solidFill>
                </w14:textFill>
              </w:rPr>
            </w:pPr>
            <w:r>
              <w:rPr>
                <w:b/>
                <w:color w:val="000000" w:themeColor="text1"/>
                <w14:textFill>
                  <w14:solidFill>
                    <w14:schemeClr w14:val="tx1"/>
                  </w14:solidFill>
                </w14:textFill>
              </w:rPr>
              <w:t>四、</w:t>
            </w:r>
            <w:r>
              <w:rPr>
                <w:b/>
                <w:color w:val="000000" w:themeColor="text1"/>
                <w:kern w:val="0"/>
                <w14:textFill>
                  <w14:solidFill>
                    <w14:schemeClr w14:val="tx1"/>
                  </w14:solidFill>
                </w14:textFill>
              </w:rPr>
              <w:t>与相关政策相符性</w:t>
            </w:r>
          </w:p>
          <w:p w14:paraId="5B42BB10">
            <w:pPr>
              <w:pStyle w:val="120"/>
              <w:spacing w:before="0" w:beforeAutospacing="0" w:after="0" w:afterAutospacing="0" w:line="360" w:lineRule="auto"/>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lang w:bidi="ar"/>
                <w14:textFill>
                  <w14:solidFill>
                    <w14:schemeClr w14:val="tx1"/>
                  </w14:solidFill>
                </w14:textFill>
              </w:rPr>
              <w:t>1、</w:t>
            </w:r>
            <w:r>
              <w:rPr>
                <w:rFonts w:hint="eastAsia" w:ascii="Times New Roman" w:hAnsi="Times New Roman" w:cs="Times New Roman"/>
                <w:b/>
                <w:bCs/>
                <w:color w:val="000000" w:themeColor="text1"/>
                <w14:textFill>
                  <w14:solidFill>
                    <w14:schemeClr w14:val="tx1"/>
                  </w14:solidFill>
                </w14:textFill>
              </w:rPr>
              <w:t>与《国务院关于印发“十四五”节能减排综合工作方案的通知》</w:t>
            </w:r>
            <w:r>
              <w:rPr>
                <w:rFonts w:ascii="Times New Roman" w:hAnsi="Times New Roman" w:cs="Times New Roman"/>
                <w:b/>
                <w:bCs/>
                <w:color w:val="000000" w:themeColor="text1"/>
                <w14:textFill>
                  <w14:solidFill>
                    <w14:schemeClr w14:val="tx1"/>
                  </w14:solidFill>
                </w14:textFill>
              </w:rPr>
              <w:t>相符性分析</w:t>
            </w:r>
          </w:p>
          <w:p w14:paraId="3858C85F">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-10</w:t>
            </w:r>
            <w:r>
              <w:rPr>
                <w:b/>
                <w:bCs/>
                <w:color w:val="000000" w:themeColor="text1"/>
                <w14:textFill>
                  <w14:solidFill>
                    <w14:schemeClr w14:val="tx1"/>
                  </w14:solidFill>
                </w14:textFill>
              </w:rPr>
              <w:t xml:space="preserve">  与</w:t>
            </w:r>
            <w:r>
              <w:rPr>
                <w:rFonts w:hint="eastAsia"/>
                <w:b/>
                <w:bCs/>
                <w:color w:val="000000" w:themeColor="text1"/>
                <w14:textFill>
                  <w14:solidFill>
                    <w14:schemeClr w14:val="tx1"/>
                  </w14:solidFill>
                </w14:textFill>
              </w:rPr>
              <w:t>《国务院关于印发“十四五”节能减排综合工作方案的通知》</w:t>
            </w:r>
            <w:r>
              <w:rPr>
                <w:b/>
                <w:bCs/>
                <w:color w:val="000000" w:themeColor="text1"/>
                <w14:textFill>
                  <w14:solidFill>
                    <w14:schemeClr w14:val="tx1"/>
                  </w14:solidFill>
                </w14:textFill>
              </w:rPr>
              <w:t>相符性分析一览表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451"/>
              <w:gridCol w:w="1844"/>
              <w:gridCol w:w="1072"/>
            </w:tblGrid>
            <w:tr w14:paraId="0387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vAlign w:val="center"/>
                </w:tcPr>
                <w:p w14:paraId="26363667">
                  <w:pPr>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序号</w:t>
                  </w:r>
                </w:p>
              </w:tc>
              <w:tc>
                <w:tcPr>
                  <w:tcW w:w="2455" w:type="pct"/>
                  <w:vAlign w:val="center"/>
                </w:tcPr>
                <w:p w14:paraId="1CA115A1">
                  <w:pPr>
                    <w:jc w:val="center"/>
                    <w:rPr>
                      <w:b/>
                      <w:bCs/>
                      <w:color w:val="000000" w:themeColor="text1"/>
                      <w:sz w:val="21"/>
                      <w:szCs w:val="21"/>
                      <w:lang w:bidi="ar"/>
                      <w14:textFill>
                        <w14:solidFill>
                          <w14:schemeClr w14:val="tx1"/>
                        </w14:solidFill>
                      </w14:textFill>
                    </w:rPr>
                  </w:pPr>
                  <w:r>
                    <w:rPr>
                      <w:rFonts w:hint="eastAsia"/>
                      <w:b/>
                      <w:bCs/>
                      <w:color w:val="000000" w:themeColor="text1"/>
                      <w:sz w:val="21"/>
                      <w:szCs w:val="21"/>
                      <w:lang w:bidi="ar"/>
                      <w14:textFill>
                        <w14:solidFill>
                          <w14:schemeClr w14:val="tx1"/>
                        </w14:solidFill>
                      </w14:textFill>
                    </w:rPr>
                    <w:t>方案内容</w:t>
                  </w:r>
                </w:p>
              </w:tc>
              <w:tc>
                <w:tcPr>
                  <w:tcW w:w="1312" w:type="pct"/>
                  <w:vAlign w:val="center"/>
                </w:tcPr>
                <w:p w14:paraId="37D7627D">
                  <w:pPr>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项目情况</w:t>
                  </w:r>
                </w:p>
              </w:tc>
              <w:tc>
                <w:tcPr>
                  <w:tcW w:w="762" w:type="pct"/>
                  <w:vAlign w:val="center"/>
                </w:tcPr>
                <w:p w14:paraId="6166BCB8">
                  <w:pPr>
                    <w:jc w:val="center"/>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相符性</w:t>
                  </w:r>
                </w:p>
              </w:tc>
            </w:tr>
            <w:tr w14:paraId="1483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vAlign w:val="center"/>
                </w:tcPr>
                <w:p w14:paraId="7EF1B296">
                  <w:pPr>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1</w:t>
                  </w:r>
                </w:p>
              </w:tc>
              <w:tc>
                <w:tcPr>
                  <w:tcW w:w="2455" w:type="pct"/>
                  <w:vAlign w:val="center"/>
                </w:tcPr>
                <w:p w14:paraId="2FC35C37">
                  <w:pPr>
                    <w:autoSpaceDE w:val="0"/>
                    <w:autoSpaceDN w:val="0"/>
                    <w:adjustRightInd w:val="0"/>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重点行业绿色升级工程。以钢铁、有色金属、建材、石化化工等行业为重点，推进节能改造和污染物深度治理。推广高效精馏系统、高温高压干熄焦、富氧强化熔炼等节能技术，鼓励将高炉—转炉长流程炼钢转型为电炉短流程炼钢。推进钢铁、水泥、焦化行业及燃煤锅炉超低排放改造，到2025年，完成5.3亿吨钢铁产能超低排放改造，大气污染防治重点区域燃煤锅炉全面实现超低排放</w:t>
                  </w:r>
                </w:p>
              </w:tc>
              <w:tc>
                <w:tcPr>
                  <w:tcW w:w="1312" w:type="pct"/>
                  <w:vAlign w:val="center"/>
                </w:tcPr>
                <w:p w14:paraId="51ACB9EA">
                  <w:pPr>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本项目为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color w:val="000000" w:themeColor="text1"/>
                      <w:sz w:val="21"/>
                      <w:szCs w:val="21"/>
                      <w:lang w:bidi="ar"/>
                      <w14:textFill>
                        <w14:solidFill>
                          <w14:schemeClr w14:val="tx1"/>
                        </w14:solidFill>
                      </w14:textFill>
                    </w:rPr>
                    <w:t>，不属于上述行业</w:t>
                  </w:r>
                </w:p>
              </w:tc>
              <w:tc>
                <w:tcPr>
                  <w:tcW w:w="762" w:type="pct"/>
                  <w:vAlign w:val="center"/>
                </w:tcPr>
                <w:p w14:paraId="37CE3C9F">
                  <w:pPr>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相符</w:t>
                  </w:r>
                </w:p>
              </w:tc>
            </w:tr>
            <w:tr w14:paraId="6500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9" w:type="pct"/>
                  <w:vAlign w:val="center"/>
                </w:tcPr>
                <w:p w14:paraId="6CD2D104">
                  <w:pPr>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2</w:t>
                  </w:r>
                </w:p>
              </w:tc>
              <w:tc>
                <w:tcPr>
                  <w:tcW w:w="2455" w:type="pct"/>
                  <w:vAlign w:val="center"/>
                </w:tcPr>
                <w:p w14:paraId="24E78CC9">
                  <w:pPr>
                    <w:autoSpaceDE w:val="0"/>
                    <w:autoSpaceDN w:val="0"/>
                    <w:adjustRightInd w:val="0"/>
                    <w:jc w:val="center"/>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园区节能环保提升工程。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绿岛”项目建设。到2025年，建成一批节能环保示范园区</w:t>
                  </w:r>
                </w:p>
              </w:tc>
              <w:tc>
                <w:tcPr>
                  <w:tcW w:w="1312" w:type="pct"/>
                  <w:vAlign w:val="center"/>
                </w:tcPr>
                <w:p w14:paraId="78FE1799">
                  <w:pPr>
                    <w:jc w:val="center"/>
                    <w:rPr>
                      <w:rFonts w:hint="default"/>
                      <w:color w:val="000000" w:themeColor="text1"/>
                      <w:sz w:val="21"/>
                      <w:szCs w:val="21"/>
                      <w:lang w:val="en-US" w:bidi="ar"/>
                      <w14:textFill>
                        <w14:solidFill>
                          <w14:schemeClr w14:val="tx1"/>
                        </w14:solidFill>
                      </w14:textFill>
                    </w:rPr>
                  </w:pPr>
                  <w:r>
                    <w:rPr>
                      <w:color w:val="000000" w:themeColor="text1"/>
                      <w:sz w:val="21"/>
                      <w:szCs w:val="21"/>
                      <w:lang w:bidi="ar"/>
                      <w14:textFill>
                        <w14:solidFill>
                          <w14:schemeClr w14:val="tx1"/>
                        </w14:solidFill>
                      </w14:textFill>
                    </w:rPr>
                    <w:t>项目位于</w:t>
                  </w:r>
                  <w:r>
                    <w:rPr>
                      <w:rFonts w:hint="eastAsia"/>
                      <w:color w:val="000000" w:themeColor="text1"/>
                      <w:sz w:val="21"/>
                      <w:szCs w:val="21"/>
                      <w:lang w:eastAsia="zh-CN" w:bidi="ar"/>
                      <w14:textFill>
                        <w14:solidFill>
                          <w14:schemeClr w14:val="tx1"/>
                        </w14:solidFill>
                      </w14:textFill>
                    </w:rPr>
                    <w:t>泗县经济开发区</w:t>
                  </w:r>
                  <w:r>
                    <w:rPr>
                      <w:rFonts w:hint="eastAsia"/>
                      <w:color w:val="000000" w:themeColor="text1"/>
                      <w:sz w:val="21"/>
                      <w:szCs w:val="21"/>
                      <w:lang w:val="en-US" w:eastAsia="zh-CN" w:bidi="ar"/>
                      <w14:textFill>
                        <w14:solidFill>
                          <w14:schemeClr w14:val="tx1"/>
                        </w14:solidFill>
                      </w14:textFill>
                    </w:rPr>
                    <w:t>内</w:t>
                  </w:r>
                  <w:r>
                    <w:rPr>
                      <w:color w:val="000000" w:themeColor="text1"/>
                      <w:sz w:val="21"/>
                      <w:szCs w:val="21"/>
                      <w:lang w:bidi="ar"/>
                      <w14:textFill>
                        <w14:solidFill>
                          <w14:schemeClr w14:val="tx1"/>
                        </w14:solidFill>
                      </w14:textFill>
                    </w:rPr>
                    <w:t>，不属于</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散乱污</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企业</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项目产生</w:t>
                  </w:r>
                  <w:r>
                    <w:rPr>
                      <w:rFonts w:hint="eastAsia"/>
                      <w:color w:val="000000" w:themeColor="text1"/>
                      <w:sz w:val="21"/>
                      <w:szCs w:val="21"/>
                      <w:lang w:val="en-US" w:eastAsia="zh-CN" w:bidi="ar"/>
                      <w14:textFill>
                        <w14:solidFill>
                          <w14:schemeClr w14:val="tx1"/>
                        </w14:solidFill>
                      </w14:textFill>
                    </w:rPr>
                    <w:t>的生活污水</w:t>
                  </w:r>
                  <w:r>
                    <w:rPr>
                      <w:rFonts w:hint="eastAsia"/>
                      <w:color w:val="000000" w:themeColor="text1"/>
                      <w:kern w:val="0"/>
                      <w:sz w:val="21"/>
                      <w:szCs w:val="21"/>
                      <w14:textFill>
                        <w14:solidFill>
                          <w14:schemeClr w14:val="tx1"/>
                        </w14:solidFill>
                      </w14:textFill>
                    </w:rPr>
                    <w:t>化粪池处理</w:t>
                  </w:r>
                  <w:r>
                    <w:rPr>
                      <w:rFonts w:hint="eastAsia"/>
                      <w:color w:val="000000" w:themeColor="text1"/>
                      <w:kern w:val="0"/>
                      <w:sz w:val="21"/>
                      <w:szCs w:val="21"/>
                      <w:lang w:val="en-US" w:eastAsia="zh-CN"/>
                      <w14:textFill>
                        <w14:solidFill>
                          <w14:schemeClr w14:val="tx1"/>
                        </w14:solidFill>
                      </w14:textFill>
                    </w:rPr>
                    <w:t>后通过污水管网排入泗县工业污水处理厂进一步处理</w:t>
                  </w:r>
                </w:p>
              </w:tc>
              <w:tc>
                <w:tcPr>
                  <w:tcW w:w="762" w:type="pct"/>
                  <w:vAlign w:val="center"/>
                </w:tcPr>
                <w:p w14:paraId="707E6924">
                  <w:pPr>
                    <w:jc w:val="center"/>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相符</w:t>
                  </w:r>
                </w:p>
              </w:tc>
            </w:tr>
          </w:tbl>
          <w:p w14:paraId="2DD7E2B7">
            <w:pPr>
              <w:autoSpaceDE w:val="0"/>
              <w:autoSpaceDN w:val="0"/>
              <w:adjustRightInd w:val="0"/>
              <w:snapToGrid w:val="0"/>
              <w:spacing w:before="156" w:beforeLines="50" w:line="360" w:lineRule="auto"/>
              <w:rPr>
                <w:b/>
                <w:color w:val="000000" w:themeColor="text1"/>
                <w:kern w:val="0"/>
                <w14:textFill>
                  <w14:solidFill>
                    <w14:schemeClr w14:val="tx1"/>
                  </w14:solidFill>
                </w14:textFill>
              </w:rPr>
            </w:pPr>
            <w:r>
              <w:rPr>
                <w:rFonts w:hint="eastAsia"/>
                <w:b/>
                <w:color w:val="000000" w:themeColor="text1"/>
                <w:lang w:val="en-US" w:eastAsia="zh-CN"/>
                <w14:textFill>
                  <w14:solidFill>
                    <w14:schemeClr w14:val="tx1"/>
                  </w14:solidFill>
                </w14:textFill>
              </w:rPr>
              <w:t>2</w:t>
            </w:r>
            <w:r>
              <w:rPr>
                <w:b/>
                <w:color w:val="000000" w:themeColor="text1"/>
                <w14:textFill>
                  <w14:solidFill>
                    <w14:schemeClr w14:val="tx1"/>
                  </w14:solidFill>
                </w14:textFill>
              </w:rPr>
              <w:t>、</w:t>
            </w:r>
            <w:r>
              <w:rPr>
                <w:b/>
                <w:color w:val="000000" w:themeColor="text1"/>
                <w:kern w:val="0"/>
                <w14:textFill>
                  <w14:solidFill>
                    <w14:schemeClr w14:val="tx1"/>
                  </w14:solidFill>
                </w14:textFill>
              </w:rPr>
              <w:t>与《宿州市</w:t>
            </w:r>
            <w:r>
              <w:rPr>
                <w:rFonts w:hint="eastAsia"/>
                <w:b/>
                <w:color w:val="000000" w:themeColor="text1"/>
                <w:kern w:val="0"/>
                <w:lang w:eastAsia="zh-CN"/>
                <w14:textFill>
                  <w14:solidFill>
                    <w14:schemeClr w14:val="tx1"/>
                  </w14:solidFill>
                </w14:textFill>
              </w:rPr>
              <w:t>“</w:t>
            </w:r>
            <w:r>
              <w:rPr>
                <w:b/>
                <w:color w:val="000000" w:themeColor="text1"/>
                <w:kern w:val="0"/>
                <w14:textFill>
                  <w14:solidFill>
                    <w14:schemeClr w14:val="tx1"/>
                  </w14:solidFill>
                </w14:textFill>
              </w:rPr>
              <w:t>十四五</w:t>
            </w:r>
            <w:r>
              <w:rPr>
                <w:rFonts w:hint="eastAsia"/>
                <w:b/>
                <w:color w:val="000000" w:themeColor="text1"/>
                <w:kern w:val="0"/>
                <w:lang w:eastAsia="zh-CN"/>
                <w14:textFill>
                  <w14:solidFill>
                    <w14:schemeClr w14:val="tx1"/>
                  </w14:solidFill>
                </w14:textFill>
              </w:rPr>
              <w:t>”</w:t>
            </w:r>
            <w:r>
              <w:rPr>
                <w:b/>
                <w:color w:val="000000" w:themeColor="text1"/>
                <w:kern w:val="0"/>
                <w14:textFill>
                  <w14:solidFill>
                    <w14:schemeClr w14:val="tx1"/>
                  </w14:solidFill>
                </w14:textFill>
              </w:rPr>
              <w:t>生态环境保护规划（宿环委会【2022】2号）》的相符性</w:t>
            </w:r>
          </w:p>
          <w:p w14:paraId="2EE5736E">
            <w:pPr>
              <w:pStyle w:val="82"/>
              <w:ind w:firstLine="0" w:firstLineChars="0"/>
              <w:jc w:val="center"/>
              <w:rPr>
                <w:b/>
                <w:color w:val="000000" w:themeColor="text1"/>
                <w:szCs w:val="24"/>
                <w:lang w:val="en-US"/>
                <w14:textFill>
                  <w14:solidFill>
                    <w14:schemeClr w14:val="tx1"/>
                  </w14:solidFill>
                </w14:textFill>
              </w:rPr>
            </w:pPr>
            <w:r>
              <w:rPr>
                <w:b/>
                <w:color w:val="000000" w:themeColor="text1"/>
                <w:szCs w:val="24"/>
                <w:lang w:val="en-US"/>
                <w14:textFill>
                  <w14:solidFill>
                    <w14:schemeClr w14:val="tx1"/>
                  </w14:solidFill>
                </w14:textFill>
              </w:rPr>
              <w:t>表1</w:t>
            </w:r>
            <w:r>
              <w:rPr>
                <w:rFonts w:hint="eastAsia"/>
                <w:b/>
                <w:color w:val="000000" w:themeColor="text1"/>
                <w:szCs w:val="24"/>
                <w:lang w:val="en-US" w:eastAsia="zh-CN"/>
                <w14:textFill>
                  <w14:solidFill>
                    <w14:schemeClr w14:val="tx1"/>
                  </w14:solidFill>
                </w14:textFill>
              </w:rPr>
              <w:t>-11</w:t>
            </w:r>
            <w:r>
              <w:rPr>
                <w:b/>
                <w:color w:val="000000" w:themeColor="text1"/>
                <w:szCs w:val="24"/>
                <w:lang w:val="en-US"/>
                <w14:textFill>
                  <w14:solidFill>
                    <w14:schemeClr w14:val="tx1"/>
                  </w14:solidFill>
                </w14:textFill>
              </w:rPr>
              <w:t xml:space="preserve">  与《宿州市</w:t>
            </w:r>
            <w:r>
              <w:rPr>
                <w:rFonts w:hint="eastAsia"/>
                <w:b/>
                <w:color w:val="000000" w:themeColor="text1"/>
                <w:kern w:val="0"/>
                <w:lang w:eastAsia="zh-CN"/>
                <w14:textFill>
                  <w14:solidFill>
                    <w14:schemeClr w14:val="tx1"/>
                  </w14:solidFill>
                </w14:textFill>
              </w:rPr>
              <w:t>“</w:t>
            </w:r>
            <w:r>
              <w:rPr>
                <w:b/>
                <w:color w:val="000000" w:themeColor="text1"/>
                <w:kern w:val="0"/>
                <w14:textFill>
                  <w14:solidFill>
                    <w14:schemeClr w14:val="tx1"/>
                  </w14:solidFill>
                </w14:textFill>
              </w:rPr>
              <w:t>十四五</w:t>
            </w:r>
            <w:r>
              <w:rPr>
                <w:rFonts w:hint="eastAsia"/>
                <w:b/>
                <w:color w:val="000000" w:themeColor="text1"/>
                <w:kern w:val="0"/>
                <w:lang w:eastAsia="zh-CN"/>
                <w14:textFill>
                  <w14:solidFill>
                    <w14:schemeClr w14:val="tx1"/>
                  </w14:solidFill>
                </w14:textFill>
              </w:rPr>
              <w:t>”</w:t>
            </w:r>
            <w:r>
              <w:rPr>
                <w:b/>
                <w:color w:val="000000" w:themeColor="text1"/>
                <w:szCs w:val="24"/>
                <w:lang w:val="en-US"/>
                <w14:textFill>
                  <w14:solidFill>
                    <w14:schemeClr w14:val="tx1"/>
                  </w14:solidFill>
                </w14:textFill>
              </w:rPr>
              <w:t>生态环境保护规划》符合性分析一览表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424"/>
              <w:gridCol w:w="1800"/>
              <w:gridCol w:w="1008"/>
            </w:tblGrid>
            <w:tr w14:paraId="794E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5" w:type="pct"/>
                  <w:vAlign w:val="center"/>
                </w:tcPr>
                <w:p w14:paraId="131F5CBC">
                  <w:pPr>
                    <w:jc w:val="center"/>
                    <w:rPr>
                      <w:rFonts w:hint="default" w:ascii="Times New Roman" w:hAnsi="Times New Roman" w:eastAsia="宋体" w:cs="Times New Roman"/>
                      <w:b/>
                      <w:bCs/>
                      <w:color w:val="000000" w:themeColor="text1"/>
                      <w:sz w:val="21"/>
                      <w:szCs w:val="21"/>
                      <w:lang w:bidi="ar"/>
                      <w14:textFill>
                        <w14:solidFill>
                          <w14:schemeClr w14:val="tx1"/>
                        </w14:solidFill>
                      </w14:textFill>
                    </w:rPr>
                  </w:pPr>
                  <w:r>
                    <w:rPr>
                      <w:rFonts w:hint="default" w:ascii="Times New Roman" w:hAnsi="Times New Roman" w:eastAsia="宋体" w:cs="Times New Roman"/>
                      <w:b/>
                      <w:bCs/>
                      <w:color w:val="000000" w:themeColor="text1"/>
                      <w:sz w:val="21"/>
                      <w:szCs w:val="21"/>
                      <w:lang w:bidi="ar"/>
                      <w14:textFill>
                        <w14:solidFill>
                          <w14:schemeClr w14:val="tx1"/>
                        </w14:solidFill>
                      </w14:textFill>
                    </w:rPr>
                    <w:t>序号</w:t>
                  </w:r>
                </w:p>
              </w:tc>
              <w:tc>
                <w:tcPr>
                  <w:tcW w:w="2437" w:type="pct"/>
                  <w:vAlign w:val="center"/>
                </w:tcPr>
                <w:p w14:paraId="3D0AEB66">
                  <w:pPr>
                    <w:jc w:val="center"/>
                    <w:rPr>
                      <w:rFonts w:hint="default" w:ascii="Times New Roman" w:hAnsi="Times New Roman" w:eastAsia="宋体" w:cs="Times New Roman"/>
                      <w:b/>
                      <w:bCs/>
                      <w:color w:val="000000" w:themeColor="text1"/>
                      <w:sz w:val="21"/>
                      <w:szCs w:val="21"/>
                      <w:lang w:bidi="ar"/>
                      <w14:textFill>
                        <w14:solidFill>
                          <w14:schemeClr w14:val="tx1"/>
                        </w14:solidFill>
                      </w14:textFill>
                    </w:rPr>
                  </w:pPr>
                  <w:r>
                    <w:rPr>
                      <w:rFonts w:hint="default" w:ascii="Times New Roman" w:hAnsi="Times New Roman" w:eastAsia="宋体" w:cs="Times New Roman"/>
                      <w:b/>
                      <w:bCs/>
                      <w:color w:val="000000" w:themeColor="text1"/>
                      <w:sz w:val="21"/>
                      <w:szCs w:val="21"/>
                      <w:lang w:bidi="ar"/>
                      <w14:textFill>
                        <w14:solidFill>
                          <w14:schemeClr w14:val="tx1"/>
                        </w14:solidFill>
                      </w14:textFill>
                    </w:rPr>
                    <w:t>方案内容</w:t>
                  </w:r>
                </w:p>
              </w:tc>
              <w:tc>
                <w:tcPr>
                  <w:tcW w:w="1281" w:type="pct"/>
                  <w:vAlign w:val="center"/>
                </w:tcPr>
                <w:p w14:paraId="1D2F3FCA">
                  <w:pPr>
                    <w:jc w:val="center"/>
                    <w:rPr>
                      <w:rFonts w:hint="default" w:ascii="Times New Roman" w:hAnsi="Times New Roman" w:eastAsia="宋体" w:cs="Times New Roman"/>
                      <w:b/>
                      <w:bCs/>
                      <w:color w:val="000000" w:themeColor="text1"/>
                      <w:sz w:val="21"/>
                      <w:szCs w:val="21"/>
                      <w:lang w:bidi="ar"/>
                      <w14:textFill>
                        <w14:solidFill>
                          <w14:schemeClr w14:val="tx1"/>
                        </w14:solidFill>
                      </w14:textFill>
                    </w:rPr>
                  </w:pPr>
                  <w:r>
                    <w:rPr>
                      <w:rFonts w:hint="default" w:ascii="Times New Roman" w:hAnsi="Times New Roman" w:eastAsia="宋体" w:cs="Times New Roman"/>
                      <w:b/>
                      <w:bCs/>
                      <w:color w:val="000000" w:themeColor="text1"/>
                      <w:sz w:val="21"/>
                      <w:szCs w:val="21"/>
                      <w:lang w:bidi="ar"/>
                      <w14:textFill>
                        <w14:solidFill>
                          <w14:schemeClr w14:val="tx1"/>
                        </w14:solidFill>
                      </w14:textFill>
                    </w:rPr>
                    <w:t>项目情况</w:t>
                  </w:r>
                </w:p>
              </w:tc>
              <w:tc>
                <w:tcPr>
                  <w:tcW w:w="717" w:type="pct"/>
                  <w:vAlign w:val="center"/>
                </w:tcPr>
                <w:p w14:paraId="3A726B3A">
                  <w:pPr>
                    <w:jc w:val="center"/>
                    <w:rPr>
                      <w:rFonts w:hint="default" w:ascii="Times New Roman" w:hAnsi="Times New Roman" w:eastAsia="宋体" w:cs="Times New Roman"/>
                      <w:b/>
                      <w:bCs/>
                      <w:color w:val="000000" w:themeColor="text1"/>
                      <w:sz w:val="21"/>
                      <w:szCs w:val="21"/>
                      <w:lang w:bidi="ar"/>
                      <w14:textFill>
                        <w14:solidFill>
                          <w14:schemeClr w14:val="tx1"/>
                        </w14:solidFill>
                      </w14:textFill>
                    </w:rPr>
                  </w:pPr>
                  <w:r>
                    <w:rPr>
                      <w:rFonts w:hint="default" w:ascii="Times New Roman" w:hAnsi="Times New Roman" w:eastAsia="宋体" w:cs="Times New Roman"/>
                      <w:b/>
                      <w:bCs/>
                      <w:color w:val="000000" w:themeColor="text1"/>
                      <w:sz w:val="21"/>
                      <w:szCs w:val="21"/>
                      <w:lang w:bidi="ar"/>
                      <w14:textFill>
                        <w14:solidFill>
                          <w14:schemeClr w14:val="tx1"/>
                        </w14:solidFill>
                      </w14:textFill>
                    </w:rPr>
                    <w:t>相符性</w:t>
                  </w:r>
                </w:p>
              </w:tc>
            </w:tr>
            <w:tr w14:paraId="5CC1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5" w:type="pct"/>
                  <w:vAlign w:val="center"/>
                </w:tcPr>
                <w:p w14:paraId="1DEEE00D">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1</w:t>
                  </w:r>
                </w:p>
              </w:tc>
              <w:tc>
                <w:tcPr>
                  <w:tcW w:w="2437" w:type="pct"/>
                  <w:vAlign w:val="center"/>
                </w:tcPr>
                <w:p w14:paraId="294D07A7">
                  <w:pPr>
                    <w:autoSpaceDE w:val="0"/>
                    <w:autoSpaceDN w:val="0"/>
                    <w:adjustRightInd w:val="0"/>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强化重点行业企业综合治理。加强重点行业脱硫脱硝、除尘设施运行监管，持续开展水泥、制药等重点行业废气排放提标改造，鼓励企业实施超低排放改造，推广多污染物协同控制技术。</w:t>
                  </w:r>
                </w:p>
                <w:p w14:paraId="3E4B35B4">
                  <w:pPr>
                    <w:autoSpaceDE w:val="0"/>
                    <w:autoSpaceDN w:val="0"/>
                    <w:adjustRightInd w:val="0"/>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深入开展锅炉、炉窑综合整治。实施重点涉工业炉窑企业深度治理或清洁能源替代，完成65蒸吨及以上燃煤锅炉节能改造。持续开展散煤污染治理行动，严格查处非法销售、使用非清洁散煤等行为</w:t>
                  </w:r>
                </w:p>
              </w:tc>
              <w:tc>
                <w:tcPr>
                  <w:tcW w:w="1281" w:type="pct"/>
                  <w:vAlign w:val="center"/>
                </w:tcPr>
                <w:p w14:paraId="730DA6C6">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color w:val="000000" w:themeColor="text1"/>
                      <w:sz w:val="21"/>
                      <w:szCs w:val="21"/>
                      <w:lang w:eastAsia="zh-CN"/>
                      <w14:textFill>
                        <w14:solidFill>
                          <w14:schemeClr w14:val="tx1"/>
                        </w14:solidFill>
                      </w14:textFill>
                    </w:rPr>
                    <w:t>C2462游艺用品及室内游艺器材制造</w:t>
                  </w:r>
                  <w:r>
                    <w:rPr>
                      <w:rFonts w:hint="default" w:ascii="Times New Roman" w:hAnsi="Times New Roman" w:eastAsia="宋体" w:cs="Times New Roman"/>
                      <w:color w:val="000000" w:themeColor="text1"/>
                      <w:sz w:val="21"/>
                      <w:szCs w:val="21"/>
                      <w:lang w:bidi="ar"/>
                      <w14:textFill>
                        <w14:solidFill>
                          <w14:schemeClr w14:val="tx1"/>
                        </w14:solidFill>
                      </w14:textFill>
                    </w:rPr>
                    <w:t>，不属于上述行业，不新建锅炉、炉窑等燃煤设施</w:t>
                  </w:r>
                </w:p>
              </w:tc>
              <w:tc>
                <w:tcPr>
                  <w:tcW w:w="717" w:type="pct"/>
                  <w:vAlign w:val="center"/>
                </w:tcPr>
                <w:p w14:paraId="21D9744B">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相符</w:t>
                  </w:r>
                </w:p>
              </w:tc>
            </w:tr>
            <w:tr w14:paraId="67B1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5" w:type="pct"/>
                  <w:vAlign w:val="center"/>
                </w:tcPr>
                <w:p w14:paraId="432E33B4">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2</w:t>
                  </w:r>
                </w:p>
              </w:tc>
              <w:tc>
                <w:tcPr>
                  <w:tcW w:w="2437" w:type="pct"/>
                  <w:vAlign w:val="center"/>
                </w:tcPr>
                <w:p w14:paraId="4B5A6F4D">
                  <w:pPr>
                    <w:autoSpaceDE w:val="0"/>
                    <w:autoSpaceDN w:val="0"/>
                    <w:adjustRightInd w:val="0"/>
                    <w:jc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tc>
              <w:tc>
                <w:tcPr>
                  <w:tcW w:w="1281" w:type="pct"/>
                  <w:vAlign w:val="center"/>
                </w:tcPr>
                <w:p w14:paraId="50CAAAD7">
                  <w:pPr>
                    <w:jc w:val="center"/>
                    <w:rPr>
                      <w:rFonts w:hint="default" w:ascii="Times New Roman" w:hAnsi="Times New Roman" w:eastAsia="宋体" w:cs="Times New Roman"/>
                      <w:color w:val="000000" w:themeColor="text1"/>
                      <w:sz w:val="21"/>
                      <w:szCs w:val="21"/>
                      <w:lang w:val="en-US"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color w:val="000000" w:themeColor="text1"/>
                      <w:sz w:val="21"/>
                      <w:szCs w:val="21"/>
                      <w:lang w:eastAsia="zh-CN"/>
                      <w14:textFill>
                        <w14:solidFill>
                          <w14:schemeClr w14:val="tx1"/>
                        </w14:solidFill>
                      </w14:textFill>
                    </w:rPr>
                    <w:t>C2462游艺用品及室内游艺器材制造</w:t>
                  </w:r>
                  <w:r>
                    <w:rPr>
                      <w:rFonts w:hint="default" w:ascii="Times New Roman" w:hAnsi="Times New Roman" w:eastAsia="宋体" w:cs="Times New Roman"/>
                      <w:color w:val="000000" w:themeColor="text1"/>
                      <w:sz w:val="21"/>
                      <w:szCs w:val="21"/>
                      <w:lang w:bidi="ar"/>
                      <w14:textFill>
                        <w14:solidFill>
                          <w14:schemeClr w14:val="tx1"/>
                        </w14:solidFill>
                      </w14:textFill>
                    </w:rPr>
                    <w:t>，</w:t>
                  </w: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717" w:type="pct"/>
                  <w:vAlign w:val="center"/>
                </w:tcPr>
                <w:p w14:paraId="16813F69">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相符</w:t>
                  </w:r>
                </w:p>
              </w:tc>
            </w:tr>
          </w:tbl>
          <w:p w14:paraId="7E5933D5">
            <w:pPr>
              <w:keepNext w:val="0"/>
              <w:keepLines w:val="0"/>
              <w:pageBreakBefore w:val="0"/>
              <w:widowControl w:val="0"/>
              <w:kinsoku/>
              <w:wordWrap/>
              <w:overflowPunct/>
              <w:topLinePunct w:val="0"/>
              <w:autoSpaceDE w:val="0"/>
              <w:autoSpaceDN/>
              <w:bidi w:val="0"/>
              <w:adjustRightInd w:val="0"/>
              <w:snapToGrid w:val="0"/>
              <w:spacing w:before="157" w:beforeLines="50" w:line="360" w:lineRule="auto"/>
              <w:ind w:firstLine="482" w:firstLineChars="200"/>
              <w:textAlignment w:val="auto"/>
              <w:rPr>
                <w:b/>
                <w:bCs/>
                <w:color w:val="000000" w:themeColor="text1"/>
                <w14:textFill>
                  <w14:solidFill>
                    <w14:schemeClr w14:val="tx1"/>
                  </w14:solidFill>
                </w14:textFill>
              </w:rPr>
            </w:pPr>
            <w:r>
              <w:rPr>
                <w:b/>
                <w:color w:val="000000" w:themeColor="text1"/>
                <w:kern w:val="0"/>
                <w14:textFill>
                  <w14:solidFill>
                    <w14:schemeClr w14:val="tx1"/>
                  </w14:solidFill>
                </w14:textFill>
              </w:rPr>
              <w:t>3、</w:t>
            </w:r>
            <w:r>
              <w:rPr>
                <w:b/>
                <w:bCs/>
                <w:color w:val="000000" w:themeColor="text1"/>
                <w14:textFill>
                  <w14:solidFill>
                    <w14:schemeClr w14:val="tx1"/>
                  </w14:solidFill>
                </w14:textFill>
              </w:rPr>
              <w:t>与</w:t>
            </w:r>
            <w:r>
              <w:rPr>
                <w:rFonts w:hint="eastAsia"/>
                <w:b/>
                <w:bCs/>
                <w:color w:val="000000" w:themeColor="text1"/>
                <w14:textFill>
                  <w14:solidFill>
                    <w14:schemeClr w14:val="tx1"/>
                  </w14:solidFill>
                </w14:textFill>
              </w:rPr>
              <w:t>《宿州市2024-2025年空气质量提升攻坚行动方案》</w:t>
            </w:r>
            <w:r>
              <w:rPr>
                <w:b/>
                <w:bCs/>
                <w:color w:val="000000" w:themeColor="text1"/>
                <w14:textFill>
                  <w14:solidFill>
                    <w14:schemeClr w14:val="tx1"/>
                  </w14:solidFill>
                </w14:textFill>
              </w:rPr>
              <w:t>的符合性分析</w:t>
            </w:r>
          </w:p>
          <w:p w14:paraId="2A2C5865">
            <w:pPr>
              <w:autoSpaceDE w:val="0"/>
              <w:jc w:val="center"/>
              <w:rPr>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12</w:t>
            </w:r>
            <w:r>
              <w:rPr>
                <w:rFonts w:hint="eastAsia"/>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 xml:space="preserve"> </w:t>
            </w:r>
            <w:r>
              <w:rPr>
                <w:b/>
                <w:bCs/>
                <w:color w:val="000000" w:themeColor="text1"/>
                <w14:textFill>
                  <w14:solidFill>
                    <w14:schemeClr w14:val="tx1"/>
                  </w14:solidFill>
                </w14:textFill>
              </w:rPr>
              <w:t>项目与</w:t>
            </w:r>
            <w:r>
              <w:rPr>
                <w:rFonts w:hint="eastAsia"/>
                <w:b/>
                <w:bCs/>
                <w:color w:val="000000" w:themeColor="text1"/>
                <w14:textFill>
                  <w14:solidFill>
                    <w14:schemeClr w14:val="tx1"/>
                  </w14:solidFill>
                </w14:textFill>
              </w:rPr>
              <w:t>宿州市2024-2025年空气质量提升攻坚行动方案》</w:t>
            </w:r>
            <w:r>
              <w:rPr>
                <w:b/>
                <w:bCs/>
                <w:color w:val="000000" w:themeColor="text1"/>
                <w14:textFill>
                  <w14:solidFill>
                    <w14:schemeClr w14:val="tx1"/>
                  </w14:solidFill>
                </w14:textFill>
              </w:rPr>
              <w:t>符合性</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358"/>
              <w:gridCol w:w="2058"/>
              <w:gridCol w:w="972"/>
            </w:tblGrid>
            <w:tr w14:paraId="5234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tcBorders>
                    <w:top w:val="single" w:color="auto" w:sz="4" w:space="0"/>
                    <w:left w:val="single" w:color="auto" w:sz="4" w:space="0"/>
                    <w:bottom w:val="single" w:color="auto" w:sz="4" w:space="0"/>
                    <w:right w:val="single" w:color="auto" w:sz="4" w:space="0"/>
                  </w:tcBorders>
                  <w:vAlign w:val="center"/>
                </w:tcPr>
                <w:p w14:paraId="36B72F9E">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2389" w:type="pct"/>
                  <w:tcBorders>
                    <w:top w:val="single" w:color="auto" w:sz="4" w:space="0"/>
                    <w:left w:val="nil"/>
                    <w:bottom w:val="single" w:color="auto" w:sz="4" w:space="0"/>
                    <w:right w:val="single" w:color="auto" w:sz="4" w:space="0"/>
                  </w:tcBorders>
                  <w:vAlign w:val="center"/>
                </w:tcPr>
                <w:p w14:paraId="3E277453">
                  <w:pPr>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文件要求</w:t>
                  </w:r>
                </w:p>
              </w:tc>
              <w:tc>
                <w:tcPr>
                  <w:tcW w:w="1464" w:type="pct"/>
                  <w:tcBorders>
                    <w:top w:val="single" w:color="auto" w:sz="4" w:space="0"/>
                    <w:left w:val="nil"/>
                    <w:bottom w:val="single" w:color="auto" w:sz="4" w:space="0"/>
                    <w:right w:val="single" w:color="auto" w:sz="4" w:space="0"/>
                  </w:tcBorders>
                  <w:vAlign w:val="center"/>
                </w:tcPr>
                <w:p w14:paraId="7BEBE3B3">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项目情况</w:t>
                  </w:r>
                </w:p>
              </w:tc>
              <w:tc>
                <w:tcPr>
                  <w:tcW w:w="691" w:type="pct"/>
                  <w:tcBorders>
                    <w:top w:val="single" w:color="auto" w:sz="4" w:space="0"/>
                    <w:left w:val="nil"/>
                    <w:bottom w:val="single" w:color="auto" w:sz="4" w:space="0"/>
                    <w:right w:val="single" w:color="auto" w:sz="4" w:space="0"/>
                  </w:tcBorders>
                  <w:vAlign w:val="center"/>
                </w:tcPr>
                <w:p w14:paraId="0CDCE491">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相符性</w:t>
                  </w:r>
                </w:p>
              </w:tc>
            </w:tr>
            <w:tr w14:paraId="4E69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tcBorders>
                    <w:top w:val="single" w:color="auto" w:sz="4" w:space="0"/>
                    <w:left w:val="single" w:color="auto" w:sz="4" w:space="0"/>
                    <w:bottom w:val="single" w:color="auto" w:sz="4" w:space="0"/>
                    <w:right w:val="single" w:color="auto" w:sz="4" w:space="0"/>
                  </w:tcBorders>
                  <w:vAlign w:val="center"/>
                </w:tcPr>
                <w:p w14:paraId="3E796EB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2389" w:type="pct"/>
                  <w:tcBorders>
                    <w:top w:val="single" w:color="auto" w:sz="4" w:space="0"/>
                    <w:left w:val="nil"/>
                    <w:bottom w:val="single" w:color="auto" w:sz="4" w:space="0"/>
                    <w:right w:val="single" w:color="auto" w:sz="4" w:space="0"/>
                  </w:tcBorders>
                  <w:vAlign w:val="center"/>
                </w:tcPr>
                <w:p w14:paraId="26BE716C">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优化产业结构，推动产业产品绿色升级。坚决遏制“两高”项目盲目发展。对水泥、陶瓷等“两高”项目动态监控，严格落实错峰生产和重污染天气应急管理措施</w:t>
                  </w:r>
                </w:p>
              </w:tc>
              <w:tc>
                <w:tcPr>
                  <w:tcW w:w="1464" w:type="pct"/>
                  <w:tcBorders>
                    <w:top w:val="single" w:color="auto" w:sz="4" w:space="0"/>
                    <w:left w:val="nil"/>
                    <w:bottom w:val="single" w:color="auto" w:sz="4" w:space="0"/>
                    <w:right w:val="single" w:color="auto" w:sz="4" w:space="0"/>
                  </w:tcBorders>
                  <w:vAlign w:val="center"/>
                </w:tcPr>
                <w:p w14:paraId="54EBF308">
                  <w:pPr>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根据</w:t>
                  </w:r>
                  <w:r>
                    <w:rPr>
                      <w:color w:val="000000" w:themeColor="text1"/>
                      <w:sz w:val="21"/>
                      <w:szCs w:val="21"/>
                      <w14:textFill>
                        <w14:solidFill>
                          <w14:schemeClr w14:val="tx1"/>
                        </w14:solidFill>
                      </w14:textFill>
                    </w:rPr>
                    <w:t>《安徽省</w:t>
                  </w:r>
                  <w:r>
                    <w:rPr>
                      <w:rFonts w:hint="eastAsia"/>
                      <w:color w:val="000000" w:themeColor="text1"/>
                      <w:sz w:val="21"/>
                      <w:szCs w:val="21"/>
                      <w14:textFill>
                        <w14:solidFill>
                          <w14:schemeClr w14:val="tx1"/>
                        </w14:solidFill>
                      </w14:textFill>
                    </w:rPr>
                    <w:t>“两高”</w:t>
                  </w:r>
                  <w:r>
                    <w:rPr>
                      <w:color w:val="000000" w:themeColor="text1"/>
                      <w:sz w:val="21"/>
                      <w:szCs w:val="21"/>
                      <w14:textFill>
                        <w14:solidFill>
                          <w14:schemeClr w14:val="tx1"/>
                        </w14:solidFill>
                      </w14:textFill>
                    </w:rPr>
                    <w:t>项目管理目录（试行）》（皖节能【2022】2号），</w:t>
                  </w:r>
                  <w:r>
                    <w:rPr>
                      <w:rFonts w:hint="eastAsia" w:ascii="Calibri"/>
                      <w:color w:val="000000" w:themeColor="text1"/>
                      <w:kern w:val="0"/>
                      <w:sz w:val="21"/>
                      <w:szCs w:val="21"/>
                      <w14:textFill>
                        <w14:solidFill>
                          <w14:schemeClr w14:val="tx1"/>
                        </w14:solidFill>
                      </w14:textFill>
                    </w:rPr>
                    <w:t>本项目</w:t>
                  </w:r>
                  <w:r>
                    <w:rPr>
                      <w:rFonts w:hint="eastAsia"/>
                      <w:color w:val="000000" w:themeColor="text1"/>
                      <w:sz w:val="21"/>
                      <w:szCs w:val="21"/>
                      <w14:textFill>
                        <w14:solidFill>
                          <w14:schemeClr w14:val="tx1"/>
                        </w14:solidFill>
                      </w14:textFill>
                    </w:rPr>
                    <w:t>为</w:t>
                  </w:r>
                  <w:r>
                    <w:rPr>
                      <w:rFonts w:hint="eastAsia"/>
                      <w:color w:val="000000" w:themeColor="text1"/>
                      <w:sz w:val="21"/>
                      <w:szCs w:val="21"/>
                      <w:lang w:eastAsia="zh-CN"/>
                      <w14:textFill>
                        <w14:solidFill>
                          <w14:schemeClr w14:val="tx1"/>
                        </w14:solidFill>
                      </w14:textFill>
                    </w:rPr>
                    <w:t>C2462游艺用品及室内游艺器材制造</w:t>
                  </w:r>
                  <w:r>
                    <w:rPr>
                      <w:rFonts w:hint="eastAsia"/>
                      <w:color w:val="000000" w:themeColor="text1"/>
                      <w:sz w:val="21"/>
                      <w:szCs w:val="21"/>
                      <w14:textFill>
                        <w14:solidFill>
                          <w14:schemeClr w14:val="tx1"/>
                        </w14:solidFill>
                      </w14:textFill>
                    </w:rPr>
                    <w:t>，不属于“两高”行业</w:t>
                  </w:r>
                </w:p>
              </w:tc>
              <w:tc>
                <w:tcPr>
                  <w:tcW w:w="691" w:type="pct"/>
                  <w:tcBorders>
                    <w:top w:val="single" w:color="auto" w:sz="4" w:space="0"/>
                    <w:left w:val="nil"/>
                    <w:bottom w:val="single" w:color="auto" w:sz="4" w:space="0"/>
                    <w:right w:val="single" w:color="auto" w:sz="4" w:space="0"/>
                  </w:tcBorders>
                  <w:vAlign w:val="center"/>
                </w:tcPr>
                <w:p w14:paraId="03672A6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69BE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tcBorders>
                    <w:top w:val="single" w:color="auto" w:sz="4" w:space="0"/>
                    <w:left w:val="single" w:color="auto" w:sz="4" w:space="0"/>
                    <w:bottom w:val="single" w:color="auto" w:sz="4" w:space="0"/>
                    <w:right w:val="single" w:color="auto" w:sz="4" w:space="0"/>
                  </w:tcBorders>
                  <w:vAlign w:val="center"/>
                </w:tcPr>
                <w:p w14:paraId="3AF73A3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389" w:type="pct"/>
                  <w:tcBorders>
                    <w:top w:val="single" w:color="auto" w:sz="4" w:space="0"/>
                    <w:left w:val="nil"/>
                    <w:bottom w:val="single" w:color="auto" w:sz="4" w:space="0"/>
                    <w:right w:val="single" w:color="auto" w:sz="4" w:space="0"/>
                  </w:tcBorders>
                  <w:vAlign w:val="center"/>
                </w:tcPr>
                <w:p w14:paraId="269B21F2">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开展</w:t>
                  </w:r>
                  <w:r>
                    <w:rPr>
                      <w:rFonts w:hint="eastAsia"/>
                      <w:color w:val="000000" w:themeColor="text1"/>
                      <w:kern w:val="0"/>
                      <w:sz w:val="21"/>
                      <w:szCs w:val="21"/>
                      <w14:textFill>
                        <w14:solidFill>
                          <w14:schemeClr w14:val="tx1"/>
                        </w14:solidFill>
                      </w14:textFill>
                    </w:rPr>
                    <w:t>“散乱污”</w:t>
                  </w:r>
                  <w:r>
                    <w:rPr>
                      <w:rFonts w:hint="default"/>
                      <w:color w:val="000000" w:themeColor="text1"/>
                      <w:sz w:val="21"/>
                      <w:szCs w:val="21"/>
                      <w:lang w:val="en-US" w:eastAsia="zh-CN"/>
                      <w14:textFill>
                        <w14:solidFill>
                          <w14:schemeClr w14:val="tx1"/>
                        </w14:solidFill>
                      </w14:textFill>
                    </w:rPr>
                    <w:t>企业整治回头看专项行动。全面排查塑料加工、人造板、木材加工、家具制造、合成革、包装印刷、石材加工、煤和矸石破碎加工（含煤球等）、粮食饲料加工、中药材加工、不规范搅拌站、汽车维修（抛光、打磨）、黑色和有色金属熔炼加工、陶瓷烧制、砖瓦窑等涉气</w:t>
                  </w:r>
                  <w:r>
                    <w:rPr>
                      <w:rFonts w:hint="eastAsia"/>
                      <w:color w:val="000000" w:themeColor="text1"/>
                      <w:kern w:val="0"/>
                      <w:sz w:val="21"/>
                      <w:szCs w:val="21"/>
                      <w14:textFill>
                        <w14:solidFill>
                          <w14:schemeClr w14:val="tx1"/>
                        </w14:solidFill>
                      </w14:textFill>
                    </w:rPr>
                    <w:t>“散乱污”</w:t>
                  </w:r>
                  <w:r>
                    <w:rPr>
                      <w:rFonts w:hint="default"/>
                      <w:color w:val="000000" w:themeColor="text1"/>
                      <w:sz w:val="21"/>
                      <w:szCs w:val="21"/>
                      <w:lang w:val="en-US" w:eastAsia="zh-CN"/>
                      <w14:textFill>
                        <w14:solidFill>
                          <w14:schemeClr w14:val="tx1"/>
                        </w14:solidFill>
                      </w14:textFill>
                    </w:rPr>
                    <w:t>企业，实施清单管理，动态清零，依法依规限期退出，推动相关产业转型升级。</w:t>
                  </w:r>
                </w:p>
              </w:tc>
              <w:tc>
                <w:tcPr>
                  <w:tcW w:w="1464" w:type="pct"/>
                  <w:tcBorders>
                    <w:top w:val="single" w:color="auto" w:sz="4" w:space="0"/>
                    <w:left w:val="nil"/>
                    <w:bottom w:val="single" w:color="auto" w:sz="4" w:space="0"/>
                    <w:right w:val="single" w:color="auto" w:sz="4" w:space="0"/>
                  </w:tcBorders>
                  <w:vAlign w:val="center"/>
                </w:tcPr>
                <w:p w14:paraId="54290EC3">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为新建项目，位于泗县经济开发区内，不属于</w:t>
                  </w:r>
                  <w:r>
                    <w:rPr>
                      <w:rFonts w:hint="eastAsia"/>
                      <w:color w:val="000000" w:themeColor="text1"/>
                      <w:kern w:val="0"/>
                      <w:sz w:val="21"/>
                      <w:szCs w:val="21"/>
                      <w14:textFill>
                        <w14:solidFill>
                          <w14:schemeClr w14:val="tx1"/>
                        </w14:solidFill>
                      </w14:textFill>
                    </w:rPr>
                    <w:t>“散乱污”</w:t>
                  </w:r>
                  <w:r>
                    <w:rPr>
                      <w:rFonts w:hint="eastAsia"/>
                      <w:color w:val="000000" w:themeColor="text1"/>
                      <w:sz w:val="21"/>
                      <w:szCs w:val="21"/>
                      <w:lang w:val="en-US" w:eastAsia="zh-CN"/>
                      <w14:textFill>
                        <w14:solidFill>
                          <w14:schemeClr w14:val="tx1"/>
                        </w14:solidFill>
                      </w14:textFill>
                    </w:rPr>
                    <w:t>企业</w:t>
                  </w:r>
                </w:p>
              </w:tc>
              <w:tc>
                <w:tcPr>
                  <w:tcW w:w="691" w:type="pct"/>
                  <w:tcBorders>
                    <w:top w:val="single" w:color="auto" w:sz="4" w:space="0"/>
                    <w:left w:val="nil"/>
                    <w:bottom w:val="single" w:color="auto" w:sz="4" w:space="0"/>
                    <w:right w:val="single" w:color="auto" w:sz="4" w:space="0"/>
                  </w:tcBorders>
                  <w:vAlign w:val="center"/>
                </w:tcPr>
                <w:p w14:paraId="7E00817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r w14:paraId="5099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pct"/>
                  <w:tcBorders>
                    <w:top w:val="single" w:color="auto" w:sz="4" w:space="0"/>
                    <w:left w:val="single" w:color="auto" w:sz="4" w:space="0"/>
                    <w:bottom w:val="single" w:color="auto" w:sz="4" w:space="0"/>
                    <w:right w:val="single" w:color="auto" w:sz="4" w:space="0"/>
                  </w:tcBorders>
                  <w:vAlign w:val="center"/>
                </w:tcPr>
                <w:p w14:paraId="2B74276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389" w:type="pct"/>
                  <w:tcBorders>
                    <w:top w:val="single" w:color="auto" w:sz="4" w:space="0"/>
                    <w:left w:val="nil"/>
                    <w:bottom w:val="single" w:color="auto" w:sz="4" w:space="0"/>
                    <w:right w:val="single" w:color="auto" w:sz="4" w:space="0"/>
                  </w:tcBorders>
                  <w:vAlign w:val="center"/>
                </w:tcPr>
                <w:p w14:paraId="187CE0F8">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强化挥发性有机物深度治理。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加快推进采用单一低温等离子、光氧化、光催化以及非水溶性VOCs废气采用单一喷淋吸收等治理技术且无法稳定达标的治理设施升级改造。持续开展挥发性有机物无组织排放问题排查整治。到2025年底，完成“十四五”挥发性有机物的减排目标任务</w:t>
                  </w:r>
                </w:p>
              </w:tc>
              <w:tc>
                <w:tcPr>
                  <w:tcW w:w="1464" w:type="pct"/>
                  <w:tcBorders>
                    <w:top w:val="single" w:color="auto" w:sz="4" w:space="0"/>
                    <w:left w:val="nil"/>
                    <w:bottom w:val="single" w:color="auto" w:sz="4" w:space="0"/>
                    <w:right w:val="single" w:color="auto" w:sz="4" w:space="0"/>
                  </w:tcBorders>
                  <w:vAlign w:val="center"/>
                </w:tcPr>
                <w:p w14:paraId="6ADD66C6">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项目组装工序使用</w:t>
                  </w:r>
                  <w:r>
                    <w:rPr>
                      <w:rFonts w:hint="eastAsia" w:cs="Times New Roman"/>
                      <w:color w:val="000000" w:themeColor="text1"/>
                      <w:sz w:val="21"/>
                      <w:szCs w:val="21"/>
                      <w:lang w:val="en-US" w:eastAsia="zh-CN" w:bidi="ar"/>
                      <w14:textFill>
                        <w14:solidFill>
                          <w14:schemeClr w14:val="tx1"/>
                        </w14:solidFill>
                      </w14:textFill>
                    </w:rPr>
                    <w:t>亚克力密封胶，</w:t>
                  </w:r>
                  <w:r>
                    <w:rPr>
                      <w:rFonts w:hint="eastAsia"/>
                      <w:color w:val="000000" w:themeColor="text1"/>
                      <w:sz w:val="21"/>
                      <w:szCs w:val="21"/>
                      <w:lang w:val="en-US" w:eastAsia="zh-CN"/>
                      <w14:textFill>
                        <w14:solidFill>
                          <w14:schemeClr w14:val="tx1"/>
                        </w14:solidFill>
                      </w14:textFill>
                    </w:rPr>
                    <w:t>产生的少量挥发性有机物以无组织形式排放。</w:t>
                  </w: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喷塑后固化废气经收集后通过二级活性炭吸附装置出炉后达标排放。注塑废气经收集后通过二级活性炭吸附装置出炉后达标排放</w:t>
                  </w:r>
                </w:p>
              </w:tc>
              <w:tc>
                <w:tcPr>
                  <w:tcW w:w="691" w:type="pct"/>
                  <w:tcBorders>
                    <w:top w:val="single" w:color="auto" w:sz="4" w:space="0"/>
                    <w:left w:val="nil"/>
                    <w:bottom w:val="single" w:color="auto" w:sz="4" w:space="0"/>
                    <w:right w:val="single" w:color="auto" w:sz="4" w:space="0"/>
                  </w:tcBorders>
                  <w:vAlign w:val="center"/>
                </w:tcPr>
                <w:p w14:paraId="0FD31D2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w:t>
                  </w:r>
                </w:p>
              </w:tc>
            </w:tr>
          </w:tbl>
          <w:p w14:paraId="5A0FC96B">
            <w:pPr>
              <w:spacing w:before="156" w:beforeLines="50" w:line="360" w:lineRule="auto"/>
              <w:ind w:firstLine="482" w:firstLineChars="200"/>
              <w:jc w:val="left"/>
              <w:rPr>
                <w:b/>
                <w:bCs/>
                <w:color w:val="000000" w:themeColor="text1"/>
                <w:lang w:bidi="ar"/>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b/>
                <w:bCs/>
                <w:color w:val="000000" w:themeColor="text1"/>
                <w14:textFill>
                  <w14:solidFill>
                    <w14:schemeClr w14:val="tx1"/>
                  </w14:solidFill>
                </w14:textFill>
              </w:rPr>
              <w:t>、</w:t>
            </w:r>
            <w:r>
              <w:rPr>
                <w:b/>
                <w:bCs/>
                <w:color w:val="000000" w:themeColor="text1"/>
                <w:lang w:bidi="ar"/>
                <w14:textFill>
                  <w14:solidFill>
                    <w14:schemeClr w14:val="tx1"/>
                  </w14:solidFill>
                </w14:textFill>
              </w:rPr>
              <w:t>与《宿州市全速推进挥发性有机物专项整治工作》的相符性分析</w:t>
            </w:r>
          </w:p>
          <w:p w14:paraId="4B9047EF">
            <w:pPr>
              <w:pStyle w:val="29"/>
              <w:spacing w:after="0"/>
              <w:ind w:left="0" w:leftChars="0" w:firstLine="0"/>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表1</w:t>
            </w:r>
            <w:r>
              <w:rPr>
                <w:rFonts w:hint="eastAsia"/>
                <w:b/>
                <w:bCs/>
                <w:color w:val="000000" w:themeColor="text1"/>
                <w:szCs w:val="24"/>
                <w:lang w:val="en-US" w:eastAsia="zh-CN"/>
                <w14:textFill>
                  <w14:solidFill>
                    <w14:schemeClr w14:val="tx1"/>
                  </w14:solidFill>
                </w14:textFill>
              </w:rPr>
              <w:t>-13</w:t>
            </w:r>
            <w:r>
              <w:rPr>
                <w:b/>
                <w:bCs/>
                <w:color w:val="000000" w:themeColor="text1"/>
                <w:szCs w:val="24"/>
                <w14:textFill>
                  <w14:solidFill>
                    <w14:schemeClr w14:val="tx1"/>
                  </w14:solidFill>
                </w14:textFill>
              </w:rPr>
              <w:t xml:space="preserve"> </w:t>
            </w:r>
            <w:r>
              <w:rPr>
                <w:rFonts w:hint="eastAsia"/>
                <w:b/>
                <w:bCs/>
                <w:color w:val="000000" w:themeColor="text1"/>
                <w:szCs w:val="24"/>
                <w:lang w:val="en-US" w:eastAsia="zh-CN"/>
                <w14:textFill>
                  <w14:solidFill>
                    <w14:schemeClr w14:val="tx1"/>
                  </w14:solidFill>
                </w14:textFill>
              </w:rPr>
              <w:t xml:space="preserve"> </w:t>
            </w:r>
            <w:r>
              <w:rPr>
                <w:b/>
                <w:bCs/>
                <w:color w:val="000000" w:themeColor="text1"/>
                <w:szCs w:val="24"/>
                <w14:textFill>
                  <w14:solidFill>
                    <w14:schemeClr w14:val="tx1"/>
                  </w14:solidFill>
                </w14:textFill>
              </w:rPr>
              <w:t>与《宿州市全速推进挥发性有机物专项整治工作》的相符性分析一览表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415"/>
              <w:gridCol w:w="1795"/>
              <w:gridCol w:w="992"/>
            </w:tblGrid>
            <w:tr w14:paraId="1B31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Align w:val="center"/>
                </w:tcPr>
                <w:p w14:paraId="7332498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430" w:type="pct"/>
                  <w:vAlign w:val="center"/>
                </w:tcPr>
                <w:p w14:paraId="696C3D59">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方案内容</w:t>
                  </w:r>
                </w:p>
              </w:tc>
              <w:tc>
                <w:tcPr>
                  <w:tcW w:w="1277" w:type="pct"/>
                  <w:vAlign w:val="center"/>
                </w:tcPr>
                <w:p w14:paraId="260967F2">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项目情况</w:t>
                  </w:r>
                </w:p>
              </w:tc>
              <w:tc>
                <w:tcPr>
                  <w:tcW w:w="705" w:type="pct"/>
                  <w:vAlign w:val="center"/>
                </w:tcPr>
                <w:p w14:paraId="38AD94D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相符性</w:t>
                  </w:r>
                </w:p>
              </w:tc>
            </w:tr>
            <w:tr w14:paraId="1DA9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6" w:type="pct"/>
                  <w:vAlign w:val="center"/>
                </w:tcPr>
                <w:p w14:paraId="22E96D53">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430" w:type="pct"/>
                  <w:vAlign w:val="center"/>
                </w:tcPr>
                <w:p w14:paraId="12DFFE3F">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认真梳理涉VOCs行业产业分布状况，采取一系列措施，突出抓好有机化工、包装印刷、工业涂装、塑料制造、橡胶制品、造革制鞋等共11类行业治理和企业管控，全速推进VOCs污染专项整治工作；针对产生VOCs排放的储存、运送、搅拌、清洗及涂装等处理工序，提出严格的无组织管控要求；针对末端治理设施，确认了是否选用高效的治理设施，并确保末端的治理设备有效运行；结合实际，统一整治标准，统一整改时限，标杆建设一批、改造提升一批、优化整合一批、淘汰退出一批。进一步完善监测监控体系，提高精准治理水平。坚持帮扶执法结合，提高监管效能。依托科技支撑、执法检查等工作，向企业送政策、送技术、送服务，宣传VOCs治理相关法律法规、政策标准，引导企业自觉守法</w:t>
                  </w:r>
                </w:p>
              </w:tc>
              <w:tc>
                <w:tcPr>
                  <w:tcW w:w="1277" w:type="pct"/>
                  <w:vAlign w:val="center"/>
                </w:tcPr>
                <w:p w14:paraId="4B6504B9">
                  <w:pPr>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cs="Times New Roman"/>
                      <w:color w:val="000000" w:themeColor="text1"/>
                      <w:kern w:val="0"/>
                      <w:sz w:val="21"/>
                      <w:szCs w:val="21"/>
                      <w:lang w:eastAsia="zh-CN"/>
                      <w14:textFill>
                        <w14:solidFill>
                          <w14:schemeClr w14:val="tx1"/>
                        </w14:solidFill>
                      </w14:textFill>
                    </w:rPr>
                    <w:t>C2462游艺用品及室内游艺器材制造</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不使用涂料、油墨等，</w:t>
                  </w: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705" w:type="pct"/>
                  <w:vAlign w:val="center"/>
                </w:tcPr>
                <w:p w14:paraId="662F27DD">
                  <w:pPr>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3C843DEB">
            <w:pPr>
              <w:adjustRightInd w:val="0"/>
              <w:snapToGrid w:val="0"/>
              <w:spacing w:before="120" w:beforeLines="50" w:line="360" w:lineRule="auto"/>
              <w:ind w:firstLine="0" w:firstLineChars="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eastAsia"/>
                <w:b/>
                <w:bCs/>
                <w:color w:val="000000" w:themeColor="text1"/>
                <w14:textFill>
                  <w14:solidFill>
                    <w14:schemeClr w14:val="tx1"/>
                  </w14:solidFill>
                </w14:textFill>
              </w:rPr>
              <w:t>与《宿州市人民政府办公室关于印发宿州市2024-2025 年空气质量提升攻坚行动方案的通知》的相符性分析</w:t>
            </w:r>
          </w:p>
          <w:p w14:paraId="786A5A68">
            <w:pPr>
              <w:jc w:val="center"/>
              <w:rPr>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lang w:val="en-US" w:eastAsia="zh-CN"/>
                <w14:textFill>
                  <w14:solidFill>
                    <w14:schemeClr w14:val="tx1"/>
                  </w14:solidFill>
                </w14:textFill>
              </w:rPr>
              <w:t>-14</w:t>
            </w:r>
            <w:r>
              <w:rPr>
                <w:rFonts w:hint="eastAsia"/>
                <w:b/>
                <w:bCs/>
                <w:color w:val="000000" w:themeColor="text1"/>
                <w14:textFill>
                  <w14:solidFill>
                    <w14:schemeClr w14:val="tx1"/>
                  </w14:solidFill>
                </w14:textFill>
              </w:rPr>
              <w:t xml:space="preserve">  </w:t>
            </w:r>
            <w:r>
              <w:rPr>
                <w:rFonts w:ascii="宋体" w:hAnsi="宋体"/>
                <w:b/>
                <w:bCs/>
                <w:color w:val="000000" w:themeColor="text1"/>
                <w14:textFill>
                  <w14:solidFill>
                    <w14:schemeClr w14:val="tx1"/>
                  </w14:solidFill>
                </w14:textFill>
              </w:rPr>
              <w:t>与</w:t>
            </w:r>
            <w:r>
              <w:rPr>
                <w:rFonts w:hint="eastAsia"/>
                <w:b/>
                <w:bCs/>
                <w:color w:val="000000" w:themeColor="text1"/>
                <w14:textFill>
                  <w14:solidFill>
                    <w14:schemeClr w14:val="tx1"/>
                  </w14:solidFill>
                </w14:textFill>
              </w:rPr>
              <w:t>《宿州市人民政府办公室关于印发宿州市2024-2025 年空气质量提升攻坚行动方案的通知》</w:t>
            </w:r>
            <w:r>
              <w:rPr>
                <w:rFonts w:ascii="宋体" w:hAnsi="宋体"/>
                <w:b/>
                <w:bCs/>
                <w:color w:val="000000" w:themeColor="text1"/>
                <w14:textFill>
                  <w14:solidFill>
                    <w14:schemeClr w14:val="tx1"/>
                  </w14:solidFill>
                </w14:textFill>
              </w:rPr>
              <w:t>相符性</w:t>
            </w:r>
            <w:r>
              <w:rPr>
                <w:b/>
                <w:bCs/>
                <w:color w:val="000000" w:themeColor="text1"/>
                <w14:textFill>
                  <w14:solidFill>
                    <w14:schemeClr w14:val="tx1"/>
                  </w14:solidFill>
                </w14:textFill>
              </w:rPr>
              <w:t>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379"/>
              <w:gridCol w:w="1914"/>
              <w:gridCol w:w="978"/>
            </w:tblGrid>
            <w:tr w14:paraId="64BA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Align w:val="center"/>
                </w:tcPr>
                <w:p w14:paraId="69F69427">
                  <w:pPr>
                    <w:jc w:val="center"/>
                    <w:rPr>
                      <w:b/>
                      <w:bCs/>
                      <w:color w:val="000000" w:themeColor="text1"/>
                      <w14:textFill>
                        <w14:solidFill>
                          <w14:schemeClr w14:val="tx1"/>
                        </w14:solidFill>
                      </w14:textFill>
                    </w:rPr>
                  </w:pPr>
                  <w:r>
                    <w:rPr>
                      <w:b/>
                      <w:bCs/>
                      <w:color w:val="000000" w:themeColor="text1"/>
                      <w:sz w:val="21"/>
                      <w:szCs w:val="21"/>
                      <w14:textFill>
                        <w14:solidFill>
                          <w14:schemeClr w14:val="tx1"/>
                        </w14:solidFill>
                      </w14:textFill>
                    </w:rPr>
                    <w:t>序号</w:t>
                  </w:r>
                </w:p>
              </w:tc>
              <w:tc>
                <w:tcPr>
                  <w:tcW w:w="2404" w:type="pct"/>
                  <w:vAlign w:val="center"/>
                </w:tcPr>
                <w:p w14:paraId="5500A71E">
                  <w:pPr>
                    <w:jc w:val="center"/>
                    <w:rPr>
                      <w:b/>
                      <w:bCs/>
                      <w:color w:val="000000" w:themeColor="text1"/>
                      <w14:textFill>
                        <w14:solidFill>
                          <w14:schemeClr w14:val="tx1"/>
                        </w14:solidFill>
                      </w14:textFill>
                    </w:rPr>
                  </w:pPr>
                  <w:r>
                    <w:rPr>
                      <w:rFonts w:hint="eastAsia"/>
                      <w:b/>
                      <w:bCs/>
                      <w:color w:val="000000" w:themeColor="text1"/>
                      <w:sz w:val="21"/>
                      <w:szCs w:val="21"/>
                      <w:lang w:bidi="ar"/>
                      <w14:textFill>
                        <w14:solidFill>
                          <w14:schemeClr w14:val="tx1"/>
                        </w14:solidFill>
                      </w14:textFill>
                    </w:rPr>
                    <w:t>方案内容</w:t>
                  </w:r>
                </w:p>
              </w:tc>
              <w:tc>
                <w:tcPr>
                  <w:tcW w:w="1362" w:type="pct"/>
                  <w:vAlign w:val="center"/>
                </w:tcPr>
                <w:p w14:paraId="5501851C">
                  <w:pPr>
                    <w:jc w:val="center"/>
                    <w:rPr>
                      <w:b/>
                      <w:bCs/>
                      <w:color w:val="000000" w:themeColor="text1"/>
                      <w14:textFill>
                        <w14:solidFill>
                          <w14:schemeClr w14:val="tx1"/>
                        </w14:solidFill>
                      </w14:textFill>
                    </w:rPr>
                  </w:pPr>
                  <w:r>
                    <w:rPr>
                      <w:b/>
                      <w:bCs/>
                      <w:color w:val="000000" w:themeColor="text1"/>
                      <w:sz w:val="21"/>
                      <w:szCs w:val="21"/>
                      <w14:textFill>
                        <w14:solidFill>
                          <w14:schemeClr w14:val="tx1"/>
                        </w14:solidFill>
                      </w14:textFill>
                    </w:rPr>
                    <w:t>项目情况</w:t>
                  </w:r>
                </w:p>
              </w:tc>
              <w:tc>
                <w:tcPr>
                  <w:tcW w:w="695" w:type="pct"/>
                  <w:vAlign w:val="center"/>
                </w:tcPr>
                <w:p w14:paraId="0A09D30A">
                  <w:pPr>
                    <w:jc w:val="center"/>
                    <w:rPr>
                      <w:b/>
                      <w:bCs/>
                      <w:color w:val="000000" w:themeColor="text1"/>
                      <w14:textFill>
                        <w14:solidFill>
                          <w14:schemeClr w14:val="tx1"/>
                        </w14:solidFill>
                      </w14:textFill>
                    </w:rPr>
                  </w:pPr>
                  <w:r>
                    <w:rPr>
                      <w:b/>
                      <w:bCs/>
                      <w:color w:val="000000" w:themeColor="text1"/>
                      <w:sz w:val="21"/>
                      <w:szCs w:val="21"/>
                      <w14:textFill>
                        <w14:solidFill>
                          <w14:schemeClr w14:val="tx1"/>
                        </w14:solidFill>
                      </w14:textFill>
                    </w:rPr>
                    <w:t>相符性</w:t>
                  </w:r>
                </w:p>
              </w:tc>
            </w:tr>
            <w:tr w14:paraId="4A4C9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Align w:val="center"/>
                </w:tcPr>
                <w:p w14:paraId="50FF720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404" w:type="pct"/>
                  <w:vAlign w:val="center"/>
                </w:tcPr>
                <w:p w14:paraId="091802B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坚决遏制“两高”项目盲目发展。对水泥、陶瓷等“两高项目动态监控，严格落实错峰生产和重污染天气应急管理措施；实施排污权储备管理，对没有倍量替代的县（区）、市管各园区新建项目，不予总量审批。</w:t>
                  </w:r>
                </w:p>
              </w:tc>
              <w:tc>
                <w:tcPr>
                  <w:tcW w:w="1362" w:type="pct"/>
                  <w:vAlign w:val="center"/>
                </w:tcPr>
                <w:p w14:paraId="0BCDF5C6">
                  <w:pPr>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cs="Times New Roman"/>
                      <w:color w:val="000000" w:themeColor="text1"/>
                      <w:kern w:val="0"/>
                      <w:sz w:val="21"/>
                      <w:szCs w:val="21"/>
                      <w:lang w:eastAsia="zh-CN"/>
                      <w14:textFill>
                        <w14:solidFill>
                          <w14:schemeClr w14:val="tx1"/>
                        </w14:solidFill>
                      </w14:textFill>
                    </w:rPr>
                    <w:t>C2462游艺用品及室内游艺器材制造</w:t>
                  </w:r>
                  <w:r>
                    <w:rPr>
                      <w:rFonts w:hint="eastAsia"/>
                      <w:color w:val="000000" w:themeColor="text1"/>
                      <w:sz w:val="21"/>
                      <w:szCs w:val="21"/>
                      <w:lang w:bidi="ar"/>
                      <w14:textFill>
                        <w14:solidFill>
                          <w14:schemeClr w14:val="tx1"/>
                        </w14:solidFill>
                      </w14:textFill>
                    </w:rPr>
                    <w:t>，不属于</w:t>
                  </w:r>
                  <w:r>
                    <w:rPr>
                      <w:rFonts w:hint="eastAsia"/>
                      <w:color w:val="000000" w:themeColor="text1"/>
                      <w:sz w:val="21"/>
                      <w:szCs w:val="21"/>
                      <w14:textFill>
                        <w14:solidFill>
                          <w14:schemeClr w14:val="tx1"/>
                        </w14:solidFill>
                      </w14:textFill>
                    </w:rPr>
                    <w:t>“两高”</w:t>
                  </w:r>
                  <w:r>
                    <w:rPr>
                      <w:color w:val="000000" w:themeColor="text1"/>
                      <w:sz w:val="21"/>
                      <w:szCs w:val="21"/>
                      <w:lang w:bidi="ar"/>
                      <w14:textFill>
                        <w14:solidFill>
                          <w14:schemeClr w14:val="tx1"/>
                        </w14:solidFill>
                      </w14:textFill>
                    </w:rPr>
                    <w:t>行业</w:t>
                  </w:r>
                  <w:r>
                    <w:rPr>
                      <w:rFonts w:hint="eastAsia"/>
                      <w:color w:val="000000" w:themeColor="text1"/>
                      <w:sz w:val="21"/>
                      <w:szCs w:val="21"/>
                      <w:lang w:bidi="ar"/>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主要污染物排放总量</w:t>
                  </w:r>
                  <w:r>
                    <w:rPr>
                      <w:rFonts w:hint="eastAsia"/>
                      <w:color w:val="000000" w:themeColor="text1"/>
                      <w:kern w:val="0"/>
                      <w:sz w:val="21"/>
                      <w:szCs w:val="21"/>
                      <w14:textFill>
                        <w14:solidFill>
                          <w14:schemeClr w14:val="tx1"/>
                        </w14:solidFill>
                      </w14:textFill>
                    </w:rPr>
                    <w:t>已经宿州市生态环境局审批，符合总量控制要求</w:t>
                  </w:r>
                </w:p>
              </w:tc>
              <w:tc>
                <w:tcPr>
                  <w:tcW w:w="695" w:type="pct"/>
                  <w:vAlign w:val="center"/>
                </w:tcPr>
                <w:p w14:paraId="07525B13">
                  <w:pPr>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0B2A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Align w:val="center"/>
                </w:tcPr>
                <w:p w14:paraId="069AB5A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404" w:type="pct"/>
                  <w:vAlign w:val="center"/>
                </w:tcPr>
                <w:p w14:paraId="7705B12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开展“散乱污”企业整治回头看专项行动。全面排查塑料加工、人造板、木材加工、家具制造、合成革、包装印刷、石材加工、煤和矸石破碎加工（含煤球等）、粮食饲料加工、中药材加工、不规范搅拌站、汽车维修（抛光、打磨）、黑色和有色金属熔炼加工、陶瓷烧制、砖瓦窑等涉气“散乱污”企业，实施清单管理，动态清零，依法依规限期退出，推动相关产业转型升级。</w:t>
                  </w:r>
                </w:p>
              </w:tc>
              <w:tc>
                <w:tcPr>
                  <w:tcW w:w="1362" w:type="pct"/>
                  <w:vAlign w:val="center"/>
                </w:tcPr>
                <w:p w14:paraId="75379C0C">
                  <w:pPr>
                    <w:jc w:val="center"/>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项目位于</w:t>
                  </w:r>
                  <w:r>
                    <w:rPr>
                      <w:rFonts w:hint="eastAsia"/>
                      <w:color w:val="000000" w:themeColor="text1"/>
                      <w:sz w:val="21"/>
                      <w:szCs w:val="21"/>
                      <w:lang w:eastAsia="zh-CN" w:bidi="ar"/>
                      <w14:textFill>
                        <w14:solidFill>
                          <w14:schemeClr w14:val="tx1"/>
                        </w14:solidFill>
                      </w14:textFill>
                    </w:rPr>
                    <w:t>泗县经济开发区</w:t>
                  </w:r>
                  <w:r>
                    <w:rPr>
                      <w:rFonts w:hint="eastAsia"/>
                      <w:color w:val="000000" w:themeColor="text1"/>
                      <w:sz w:val="21"/>
                      <w:szCs w:val="21"/>
                      <w:lang w:val="en-US" w:eastAsia="zh-CN" w:bidi="ar"/>
                      <w14:textFill>
                        <w14:solidFill>
                          <w14:schemeClr w14:val="tx1"/>
                        </w14:solidFill>
                      </w14:textFill>
                    </w:rPr>
                    <w:t>内</w:t>
                  </w:r>
                  <w:r>
                    <w:rPr>
                      <w:color w:val="000000" w:themeColor="text1"/>
                      <w:sz w:val="21"/>
                      <w:szCs w:val="21"/>
                      <w:lang w:bidi="ar"/>
                      <w14:textFill>
                        <w14:solidFill>
                          <w14:schemeClr w14:val="tx1"/>
                        </w14:solidFill>
                      </w14:textFill>
                    </w:rPr>
                    <w:t>，不属于</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散乱污</w:t>
                  </w:r>
                  <w:r>
                    <w:rPr>
                      <w:rFonts w:hint="eastAsia"/>
                      <w:color w:val="000000" w:themeColor="text1"/>
                      <w:sz w:val="21"/>
                      <w:szCs w:val="21"/>
                      <w:lang w:bidi="ar"/>
                      <w14:textFill>
                        <w14:solidFill>
                          <w14:schemeClr w14:val="tx1"/>
                        </w14:solidFill>
                      </w14:textFill>
                    </w:rPr>
                    <w:t>”</w:t>
                  </w:r>
                  <w:r>
                    <w:rPr>
                      <w:color w:val="000000" w:themeColor="text1"/>
                      <w:sz w:val="21"/>
                      <w:szCs w:val="21"/>
                      <w:lang w:bidi="ar"/>
                      <w14:textFill>
                        <w14:solidFill>
                          <w14:schemeClr w14:val="tx1"/>
                        </w14:solidFill>
                      </w14:textFill>
                    </w:rPr>
                    <w:t>企业</w:t>
                  </w:r>
                </w:p>
              </w:tc>
              <w:tc>
                <w:tcPr>
                  <w:tcW w:w="695" w:type="pct"/>
                  <w:vAlign w:val="center"/>
                </w:tcPr>
                <w:p w14:paraId="649F2C5C">
                  <w:pPr>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DD0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pct"/>
                  <w:vAlign w:val="center"/>
                </w:tcPr>
                <w:p w14:paraId="7107264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404" w:type="pct"/>
                  <w:vAlign w:val="center"/>
                </w:tcPr>
                <w:p w14:paraId="64958CB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强化挥发性有机物深度治理。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加快推进采用单一低温等离子、光氧化、光催化以及非水溶性 VOCs 废气采用单一喷淋吸收等治理技术且无法稳定达标的治理设施升级改造。持续开展挥发性有机物无组织排放问题排查整治。到2025年底，完成“十四五”挥发性有机物的减排目标任务。</w:t>
                  </w:r>
                </w:p>
              </w:tc>
              <w:tc>
                <w:tcPr>
                  <w:tcW w:w="1362" w:type="pct"/>
                  <w:vAlign w:val="center"/>
                </w:tcPr>
                <w:p w14:paraId="3E1103F8">
                  <w:pPr>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本项目为</w:t>
                  </w:r>
                  <w:r>
                    <w:rPr>
                      <w:rFonts w:hint="eastAsia" w:cs="Times New Roman"/>
                      <w:color w:val="000000" w:themeColor="text1"/>
                      <w:kern w:val="0"/>
                      <w:sz w:val="21"/>
                      <w:szCs w:val="21"/>
                      <w:lang w:eastAsia="zh-CN"/>
                      <w14:textFill>
                        <w14:solidFill>
                          <w14:schemeClr w14:val="tx1"/>
                        </w14:solidFill>
                      </w14:textFill>
                    </w:rPr>
                    <w:t>C2462游艺用品及室内游艺器材制造</w:t>
                  </w:r>
                  <w:r>
                    <w:rPr>
                      <w:rFonts w:hint="eastAsia"/>
                      <w:color w:val="000000" w:themeColor="text1"/>
                      <w:sz w:val="21"/>
                      <w:szCs w:val="21"/>
                      <w:lang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不使用涂料、油墨等，</w:t>
                  </w: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695" w:type="pct"/>
                  <w:vAlign w:val="center"/>
                </w:tcPr>
                <w:p w14:paraId="38EAE6EF">
                  <w:pPr>
                    <w:jc w:val="center"/>
                    <w:rPr>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3A170B8A">
            <w:pPr>
              <w:spacing w:before="156" w:beforeLines="50" w:line="360" w:lineRule="auto"/>
              <w:jc w:val="left"/>
              <w:rPr>
                <w:rFonts w:hint="default" w:ascii="Times New Roman" w:hAnsi="Times New Roman" w:cs="Times New Roman"/>
                <w:b/>
                <w:bCs/>
                <w:color w:val="000000" w:themeColor="text1"/>
                <w:lang w:bidi="ar"/>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14:textFill>
                  <w14:solidFill>
                    <w14:schemeClr w14:val="tx1"/>
                  </w14:solidFill>
                </w14:textFill>
              </w:rPr>
              <w:t>、</w:t>
            </w:r>
            <w:r>
              <w:rPr>
                <w:rFonts w:hint="default" w:ascii="Times New Roman" w:hAnsi="Times New Roman" w:cs="Times New Roman"/>
                <w:b/>
                <w:bCs/>
                <w:color w:val="000000" w:themeColor="text1"/>
                <w:lang w:bidi="ar"/>
                <w14:textFill>
                  <w14:solidFill>
                    <w14:schemeClr w14:val="tx1"/>
                  </w14:solidFill>
                </w14:textFill>
              </w:rPr>
              <w:t>与《安徽省低挥发性有机物含量原辅材料替代工作方案》</w:t>
            </w:r>
            <w:r>
              <w:rPr>
                <w:rFonts w:hint="eastAsia" w:cs="Times New Roman"/>
                <w:b/>
                <w:bCs/>
                <w:color w:val="000000" w:themeColor="text1"/>
                <w:lang w:eastAsia="zh-CN" w:bidi="ar"/>
                <w14:textFill>
                  <w14:solidFill>
                    <w14:schemeClr w14:val="tx1"/>
                  </w14:solidFill>
                </w14:textFill>
              </w:rPr>
              <w:t>（</w:t>
            </w:r>
            <w:r>
              <w:rPr>
                <w:rFonts w:hint="eastAsia" w:cs="Times New Roman"/>
                <w:b/>
                <w:bCs/>
                <w:color w:val="000000" w:themeColor="text1"/>
                <w:lang w:val="en-US" w:eastAsia="zh-CN" w:bidi="ar"/>
                <w14:textFill>
                  <w14:solidFill>
                    <w14:schemeClr w14:val="tx1"/>
                  </w14:solidFill>
                </w14:textFill>
              </w:rPr>
              <w:t>皖环发【2024】1号</w:t>
            </w:r>
            <w:r>
              <w:rPr>
                <w:rFonts w:hint="eastAsia" w:cs="Times New Roman"/>
                <w:b/>
                <w:bCs/>
                <w:color w:val="000000" w:themeColor="text1"/>
                <w:lang w:eastAsia="zh-CN" w:bidi="ar"/>
                <w14:textFill>
                  <w14:solidFill>
                    <w14:schemeClr w14:val="tx1"/>
                  </w14:solidFill>
                </w14:textFill>
              </w:rPr>
              <w:t>）</w:t>
            </w:r>
            <w:r>
              <w:rPr>
                <w:rFonts w:hint="default" w:ascii="Times New Roman" w:hAnsi="Times New Roman" w:cs="Times New Roman"/>
                <w:b/>
                <w:bCs/>
                <w:color w:val="000000" w:themeColor="text1"/>
                <w:lang w:bidi="ar"/>
                <w14:textFill>
                  <w14:solidFill>
                    <w14:schemeClr w14:val="tx1"/>
                  </w14:solidFill>
                </w14:textFill>
              </w:rPr>
              <w:t>的相符性分析</w:t>
            </w:r>
          </w:p>
          <w:p w14:paraId="41EB3F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 xml:space="preserve">表1-15  </w:t>
            </w:r>
            <w:r>
              <w:rPr>
                <w:rFonts w:hint="default" w:ascii="Times New Roman" w:hAnsi="Times New Roman" w:cs="Times New Roman"/>
                <w:b/>
                <w:bCs/>
                <w:color w:val="000000" w:themeColor="text1"/>
                <w:lang w:bidi="ar"/>
                <w14:textFill>
                  <w14:solidFill>
                    <w14:schemeClr w14:val="tx1"/>
                  </w14:solidFill>
                </w14:textFill>
              </w:rPr>
              <w:t>《安徽省低挥发性有机物含量原辅材料替代工作方案》</w:t>
            </w:r>
            <w:r>
              <w:rPr>
                <w:rFonts w:hint="eastAsia" w:cs="Times New Roman"/>
                <w:b/>
                <w:bCs/>
                <w:color w:val="000000" w:themeColor="text1"/>
                <w:lang w:val="en-US" w:eastAsia="zh-CN" w:bidi="ar"/>
                <w14:textFill>
                  <w14:solidFill>
                    <w14:schemeClr w14:val="tx1"/>
                  </w14:solidFill>
                </w14:textFill>
              </w:rPr>
              <w:t>相符性分析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435"/>
              <w:gridCol w:w="1965"/>
              <w:gridCol w:w="951"/>
            </w:tblGrid>
            <w:tr w14:paraId="2551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2B2701EA">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444" w:type="pct"/>
                  <w:vAlign w:val="center"/>
                </w:tcPr>
                <w:p w14:paraId="3ED89023">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lang w:bidi="ar"/>
                      <w14:textFill>
                        <w14:solidFill>
                          <w14:schemeClr w14:val="tx1"/>
                        </w14:solidFill>
                      </w14:textFill>
                    </w:rPr>
                    <w:t>方案内容</w:t>
                  </w:r>
                </w:p>
              </w:tc>
              <w:tc>
                <w:tcPr>
                  <w:tcW w:w="1398" w:type="pct"/>
                  <w:vAlign w:val="center"/>
                </w:tcPr>
                <w:p w14:paraId="119F2CA1">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项目情况</w:t>
                  </w:r>
                </w:p>
              </w:tc>
              <w:tc>
                <w:tcPr>
                  <w:tcW w:w="676" w:type="pct"/>
                  <w:vAlign w:val="center"/>
                </w:tcPr>
                <w:p w14:paraId="2D1C83ED">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相符性</w:t>
                  </w:r>
                </w:p>
              </w:tc>
            </w:tr>
            <w:tr w14:paraId="07EC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113F464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444" w:type="pct"/>
                  <w:vAlign w:val="center"/>
                </w:tcPr>
                <w:p w14:paraId="480928BB">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一</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加强替代管理。工业涂装、包装印刷、竹木加工、家具制造、汽车修理与维护、鞋和皮革制品制造等重点行业企业，要按照《低挥发性有机物含量原辅材料源头替代技术指引</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试行</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附件3</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要求，开展低VOCs原辅材料和生产方式替代，优化管控台账及档案管理，持续提升环境管理水平。各地要根据《关于深入开展挥发性有机物污染治理工作的通知》(皖大气办</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2021</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4号)要求，在认真梳理2021至2023年度VOCs源头削减治理项目清单基础上，对涉VOCs重点行业和使用溶剂型涂料、油墨、胶粘剂、清洗剂以及涉及有机化工生产的产业集群进行再排查</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将含VOCs 原辅材料使用企业全面纳入源头替代企业排查台账</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附件2</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，对具备替代条件的，加强调度指导</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对无法替代的，要开展论证核实，严格把关并逐一说明。</w:t>
                  </w:r>
                </w:p>
              </w:tc>
              <w:tc>
                <w:tcPr>
                  <w:tcW w:w="1398" w:type="pct"/>
                  <w:vAlign w:val="center"/>
                </w:tcPr>
                <w:p w14:paraId="2A6B075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676" w:type="pct"/>
                  <w:vAlign w:val="center"/>
                </w:tcPr>
                <w:p w14:paraId="26B5EA5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2871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7891A36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444" w:type="pct"/>
                  <w:vAlign w:val="center"/>
                </w:tcPr>
                <w:p w14:paraId="557AF91F">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二</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严格项目准入。根据《低挥发性有机化合物含量涂料产品技术要求》</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GB/T 38597-2020</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要求，进一步完善 VOCs 排放管控地方标准建设，细化相关行业涂料种类及各项污染物指标限值</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无</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VOCs含量限值要求。省内市场上流通的水性涂料等低 VOCs含量涂料产品，执行《低挥发性有机化合物含量涂料产品技术要求》，应在包装标志或产品说明上标明符合标准的分类、产品类别及产品类型</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或施涂方式</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p>
              </w:tc>
              <w:tc>
                <w:tcPr>
                  <w:tcW w:w="1398" w:type="pct"/>
                  <w:vAlign w:val="center"/>
                </w:tcPr>
                <w:p w14:paraId="28FF1B2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676" w:type="pct"/>
                  <w:vAlign w:val="center"/>
                </w:tcPr>
                <w:p w14:paraId="5C5F328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6B4E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Align w:val="center"/>
                </w:tcPr>
                <w:p w14:paraId="4973CB4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444" w:type="pct"/>
                  <w:vAlign w:val="center"/>
                </w:tcPr>
                <w:p w14:paraId="02B058DD">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三</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强化示范带动。结合产业特点，实施工业涂装、包装印刷重点行业低VOCs含量原辅材料源头替代企业豁免末端治理设施试点，完善建立含VOCs物料生产端和使用端清洁原辅材料替代正面清单。</w:t>
                  </w:r>
                </w:p>
              </w:tc>
              <w:tc>
                <w:tcPr>
                  <w:tcW w:w="1398" w:type="pct"/>
                  <w:vAlign w:val="center"/>
                </w:tcPr>
                <w:p w14:paraId="4D650A2B">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676" w:type="pct"/>
                  <w:vAlign w:val="center"/>
                </w:tcPr>
                <w:p w14:paraId="1641CB1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29791145">
            <w:pPr>
              <w:spacing w:before="156" w:beforeLines="50" w:line="360" w:lineRule="auto"/>
              <w:jc w:val="left"/>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7、项目与《环境空气细颗粒物污染综合防治技术政策》（2013 年 第59号）符合性分析</w:t>
            </w:r>
          </w:p>
          <w:p w14:paraId="234B93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 xml:space="preserve">表1-16  </w:t>
            </w:r>
            <w:r>
              <w:rPr>
                <w:rFonts w:hint="default" w:ascii="Times New Roman" w:hAnsi="Times New Roman" w:cs="Times New Roman"/>
                <w:b/>
                <w:bCs/>
                <w:color w:val="000000" w:themeColor="text1"/>
                <w:lang w:bidi="ar"/>
                <w14:textFill>
                  <w14:solidFill>
                    <w14:schemeClr w14:val="tx1"/>
                  </w14:solidFill>
                </w14:textFill>
              </w:rPr>
              <w:t>《环境空气细颗粒物污染综合防治技术政策》</w:t>
            </w:r>
            <w:r>
              <w:rPr>
                <w:rFonts w:hint="eastAsia" w:cs="Times New Roman"/>
                <w:b/>
                <w:bCs/>
                <w:color w:val="000000" w:themeColor="text1"/>
                <w:lang w:val="en-US" w:eastAsia="zh-CN" w:bidi="ar"/>
                <w14:textFill>
                  <w14:solidFill>
                    <w14:schemeClr w14:val="tx1"/>
                  </w14:solidFill>
                </w14:textFill>
              </w:rPr>
              <w:t>相符性分析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095"/>
              <w:gridCol w:w="2365"/>
              <w:gridCol w:w="897"/>
            </w:tblGrid>
            <w:tr w14:paraId="7039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463E1AD6">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202" w:type="pct"/>
                  <w:vAlign w:val="center"/>
                </w:tcPr>
                <w:p w14:paraId="480887D3">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lang w:bidi="ar"/>
                      <w14:textFill>
                        <w14:solidFill>
                          <w14:schemeClr w14:val="tx1"/>
                        </w14:solidFill>
                      </w14:textFill>
                    </w:rPr>
                    <w:t>方案内容</w:t>
                  </w:r>
                </w:p>
              </w:tc>
              <w:tc>
                <w:tcPr>
                  <w:tcW w:w="1683" w:type="pct"/>
                  <w:vAlign w:val="center"/>
                </w:tcPr>
                <w:p w14:paraId="79789DB5">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项目情况</w:t>
                  </w:r>
                </w:p>
              </w:tc>
              <w:tc>
                <w:tcPr>
                  <w:tcW w:w="638" w:type="pct"/>
                  <w:vAlign w:val="center"/>
                </w:tcPr>
                <w:p w14:paraId="150A2EFE">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相符性</w:t>
                  </w:r>
                </w:p>
              </w:tc>
            </w:tr>
            <w:tr w14:paraId="7514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3DFBFCA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202" w:type="pct"/>
                  <w:vAlign w:val="center"/>
                </w:tcPr>
                <w:p w14:paraId="4E1354C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tc>
              <w:tc>
                <w:tcPr>
                  <w:tcW w:w="1683" w:type="pct"/>
                  <w:vAlign w:val="center"/>
                </w:tcPr>
                <w:p w14:paraId="5BBC9B3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项目行业类别为</w:t>
                  </w:r>
                  <w:r>
                    <w:rPr>
                      <w:rFonts w:hint="eastAsia" w:cs="Times New Roman"/>
                      <w:color w:val="000000" w:themeColor="text1"/>
                      <w:kern w:val="0"/>
                      <w:sz w:val="21"/>
                      <w:szCs w:val="21"/>
                      <w:lang w:eastAsia="zh-CN"/>
                      <w14:textFill>
                        <w14:solidFill>
                          <w14:schemeClr w14:val="tx1"/>
                        </w14:solidFill>
                      </w14:textFill>
                    </w:rPr>
                    <w:t>C2462游艺用品及室内游艺器材制造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下料工序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产生的颗粒物采取</w:t>
                  </w:r>
                  <w:r>
                    <w:rPr>
                      <w:rFonts w:hint="eastAsia" w:cs="Times New Roman"/>
                      <w:color w:val="000000" w:themeColor="text1"/>
                      <w:sz w:val="21"/>
                      <w:szCs w:val="21"/>
                      <w:lang w:val="en-US" w:eastAsia="zh-CN"/>
                      <w14:textFill>
                        <w14:solidFill>
                          <w14:schemeClr w14:val="tx1"/>
                        </w14:solidFill>
                      </w14:textFill>
                    </w:rPr>
                    <w:t>袋式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除尘器处理后有组织排放</w:t>
                  </w:r>
                  <w:r>
                    <w:rPr>
                      <w:rFonts w:hint="eastAsia" w:cs="Times New Roman"/>
                      <w:color w:val="000000" w:themeColor="text1"/>
                      <w:sz w:val="21"/>
                      <w:szCs w:val="21"/>
                      <w:lang w:val="en-US" w:eastAsia="zh-CN"/>
                      <w14:textFill>
                        <w14:solidFill>
                          <w14:schemeClr w14:val="tx1"/>
                        </w14:solidFill>
                      </w14:textFill>
                    </w:rPr>
                    <w:t>，喷塑工序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产生的颗粒物</w:t>
                  </w:r>
                  <w:r>
                    <w:rPr>
                      <w:rFonts w:hint="eastAsia" w:ascii="Times New Roman" w:hAnsi="Times New Roman" w:cs="Times New Roman"/>
                      <w:color w:val="000000" w:themeColor="text1"/>
                      <w:sz w:val="21"/>
                      <w:szCs w:val="21"/>
                      <w:lang w:val="en-US" w:eastAsia="zh-CN"/>
                      <w14:textFill>
                        <w14:solidFill>
                          <w14:schemeClr w14:val="tx1"/>
                        </w14:solidFill>
                      </w14:textFill>
                    </w:rPr>
                    <w:t>经设备自带二级滤芯+自带旋风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处理后有组织排放</w:t>
                  </w:r>
                </w:p>
              </w:tc>
              <w:tc>
                <w:tcPr>
                  <w:tcW w:w="638" w:type="pct"/>
                  <w:vAlign w:val="center"/>
                </w:tcPr>
                <w:p w14:paraId="1A5B4EF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3463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6D5EE5E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2202" w:type="pct"/>
                  <w:vAlign w:val="center"/>
                </w:tcPr>
                <w:p w14:paraId="060407A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确保污染治理设施稳定运行，切实落实企业环保责任。鼓励采用低能耗、低污染的生产工艺，提高各个行业的清洁生产水平，降低污染物产生量。</w:t>
                  </w:r>
                </w:p>
              </w:tc>
              <w:tc>
                <w:tcPr>
                  <w:tcW w:w="1683" w:type="pct"/>
                  <w:vAlign w:val="center"/>
                </w:tcPr>
                <w:p w14:paraId="3393A45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项目建成后，建设单位承诺污染治理设施稳定运行，采取的工艺属于低能耗，低污染的生产工艺</w:t>
                  </w:r>
                </w:p>
              </w:tc>
              <w:tc>
                <w:tcPr>
                  <w:tcW w:w="638" w:type="pct"/>
                  <w:vAlign w:val="center"/>
                </w:tcPr>
                <w:p w14:paraId="5E25966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71C0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196379B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2202" w:type="pct"/>
                  <w:vAlign w:val="center"/>
                </w:tcPr>
                <w:p w14:paraId="3B3D2DC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1683" w:type="pct"/>
                  <w:vAlign w:val="center"/>
                </w:tcPr>
                <w:p w14:paraId="40CEABE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下料工序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产生的颗粒物采取</w:t>
                  </w:r>
                  <w:r>
                    <w:rPr>
                      <w:rFonts w:hint="eastAsia" w:cs="Times New Roman"/>
                      <w:color w:val="000000" w:themeColor="text1"/>
                      <w:sz w:val="21"/>
                      <w:szCs w:val="21"/>
                      <w:lang w:val="en-US" w:eastAsia="zh-CN"/>
                      <w14:textFill>
                        <w14:solidFill>
                          <w14:schemeClr w14:val="tx1"/>
                        </w14:solidFill>
                      </w14:textFill>
                    </w:rPr>
                    <w:t>袋式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除尘器处理后有组织排放</w:t>
                  </w:r>
                  <w:r>
                    <w:rPr>
                      <w:rFonts w:hint="eastAsia" w:cs="Times New Roman"/>
                      <w:color w:val="000000" w:themeColor="text1"/>
                      <w:sz w:val="21"/>
                      <w:szCs w:val="21"/>
                      <w:lang w:val="en-US" w:eastAsia="zh-CN"/>
                      <w14:textFill>
                        <w14:solidFill>
                          <w14:schemeClr w14:val="tx1"/>
                        </w14:solidFill>
                      </w14:textFill>
                    </w:rPr>
                    <w:t>，喷塑工序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产生的颗粒物</w:t>
                  </w:r>
                  <w:r>
                    <w:rPr>
                      <w:rFonts w:hint="eastAsia" w:ascii="Times New Roman" w:hAnsi="Times New Roman" w:cs="Times New Roman"/>
                      <w:color w:val="000000" w:themeColor="text1"/>
                      <w:sz w:val="21"/>
                      <w:szCs w:val="21"/>
                      <w:lang w:val="en-US" w:eastAsia="zh-CN"/>
                      <w14:textFill>
                        <w14:solidFill>
                          <w14:schemeClr w14:val="tx1"/>
                        </w14:solidFill>
                      </w14:textFill>
                    </w:rPr>
                    <w:t>经设备自带二级滤芯+自带旋风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处理后有组织排放</w:t>
                  </w:r>
                </w:p>
              </w:tc>
              <w:tc>
                <w:tcPr>
                  <w:tcW w:w="638" w:type="pct"/>
                  <w:vAlign w:val="center"/>
                </w:tcPr>
                <w:p w14:paraId="32C5FA9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247C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468FB60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2202" w:type="pct"/>
                  <w:vAlign w:val="center"/>
                </w:tcPr>
                <w:p w14:paraId="6222976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于排放前体污染物的工业污染源，应分别采用去除硫氧化物、氮氧化物、挥发性有机物和氨的治理技术。对于排放废气中的挥发性有机物应尽量进行回收处理，若无法回收，应采用焚烧等方式销毁（含卤素的有机物除外）。采用氨作为还原剂的氮氧化物净化装置，应在保证氮氧化物达标排放的前提下，合理设置氨的加注工艺参数，防止氨过量造成污染。鼓励在各类生产中采用挥发性有机物替代技术。</w:t>
                  </w:r>
                </w:p>
              </w:tc>
              <w:tc>
                <w:tcPr>
                  <w:tcW w:w="1683" w:type="pct"/>
                  <w:vAlign w:val="center"/>
                </w:tcPr>
                <w:p w14:paraId="5B797B7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项目不涉及其他前体污染物</w:t>
                  </w:r>
                  <w:r>
                    <w:rPr>
                      <w:rFonts w:hint="eastAsia" w:cs="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项目喷塑后固化废气经收集后通过二级活性炭吸附装置处理后达标排放；注塑废气经收集后通过二级活性炭吸附装置处理后达标排放；</w:t>
                  </w:r>
                  <w:r>
                    <w:rPr>
                      <w:rFonts w:hint="eastAsia"/>
                      <w:color w:val="000000" w:themeColor="text1"/>
                      <w:sz w:val="21"/>
                      <w:szCs w:val="21"/>
                      <w:lang w:val="en-US" w:eastAsia="zh-CN"/>
                      <w14:textFill>
                        <w14:solidFill>
                          <w14:schemeClr w14:val="tx1"/>
                        </w14:solidFill>
                      </w14:textFill>
                    </w:rPr>
                    <w:t>项目组装工序使用</w:t>
                  </w:r>
                  <w:r>
                    <w:rPr>
                      <w:rFonts w:hint="eastAsia" w:cs="Times New Roman"/>
                      <w:color w:val="000000" w:themeColor="text1"/>
                      <w:sz w:val="21"/>
                      <w:szCs w:val="21"/>
                      <w:lang w:val="en-US" w:eastAsia="zh-CN" w:bidi="ar"/>
                      <w14:textFill>
                        <w14:solidFill>
                          <w14:schemeClr w14:val="tx1"/>
                        </w14:solidFill>
                      </w14:textFill>
                    </w:rPr>
                    <w:t>亚克力密封胶，</w:t>
                  </w:r>
                  <w:r>
                    <w:rPr>
                      <w:rFonts w:hint="eastAsia"/>
                      <w:color w:val="000000" w:themeColor="text1"/>
                      <w:sz w:val="21"/>
                      <w:szCs w:val="21"/>
                      <w:lang w:val="en-US" w:eastAsia="zh-CN"/>
                      <w14:textFill>
                        <w14:solidFill>
                          <w14:schemeClr w14:val="tx1"/>
                        </w14:solidFill>
                      </w14:textFill>
                    </w:rPr>
                    <w:t>产生的少量挥发性有机物以无组织形式排放</w:t>
                  </w:r>
                </w:p>
              </w:tc>
              <w:tc>
                <w:tcPr>
                  <w:tcW w:w="638" w:type="pct"/>
                  <w:vAlign w:val="center"/>
                </w:tcPr>
                <w:p w14:paraId="50544C7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r w14:paraId="3205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5824EBE7">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2202" w:type="pct"/>
                  <w:vAlign w:val="center"/>
                </w:tcPr>
                <w:p w14:paraId="594BB82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产生大气颗粒物及其前体物污染物的生产活动应尽量采用密闭装置，避免无组织排放；无法完全密闭的，应安装集气装置收集逸散的污染物，经净化后排放。</w:t>
                  </w:r>
                </w:p>
              </w:tc>
              <w:tc>
                <w:tcPr>
                  <w:tcW w:w="1683" w:type="pct"/>
                  <w:vAlign w:val="center"/>
                </w:tcPr>
                <w:p w14:paraId="6EBF452D">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下料工序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产生的颗粒物采取</w:t>
                  </w:r>
                  <w:r>
                    <w:rPr>
                      <w:rFonts w:hint="eastAsia" w:cs="Times New Roman"/>
                      <w:color w:val="000000" w:themeColor="text1"/>
                      <w:sz w:val="21"/>
                      <w:szCs w:val="21"/>
                      <w:lang w:val="en-US" w:eastAsia="zh-CN"/>
                      <w14:textFill>
                        <w14:solidFill>
                          <w14:schemeClr w14:val="tx1"/>
                        </w14:solidFill>
                      </w14:textFill>
                    </w:rPr>
                    <w:t>袋式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除尘器处理后有组织排放</w:t>
                  </w:r>
                  <w:r>
                    <w:rPr>
                      <w:rFonts w:hint="eastAsia" w:cs="Times New Roman"/>
                      <w:color w:val="000000" w:themeColor="text1"/>
                      <w:sz w:val="21"/>
                      <w:szCs w:val="21"/>
                      <w:lang w:val="en-US" w:eastAsia="zh-CN"/>
                      <w14:textFill>
                        <w14:solidFill>
                          <w14:schemeClr w14:val="tx1"/>
                        </w14:solidFill>
                      </w14:textFill>
                    </w:rPr>
                    <w:t>，喷塑工序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产生的颗粒物</w:t>
                  </w:r>
                  <w:r>
                    <w:rPr>
                      <w:rFonts w:hint="eastAsia" w:ascii="Times New Roman" w:hAnsi="Times New Roman" w:cs="Times New Roman"/>
                      <w:color w:val="000000" w:themeColor="text1"/>
                      <w:sz w:val="21"/>
                      <w:szCs w:val="21"/>
                      <w:lang w:val="en-US" w:eastAsia="zh-CN"/>
                      <w14:textFill>
                        <w14:solidFill>
                          <w14:schemeClr w14:val="tx1"/>
                        </w14:solidFill>
                      </w14:textFill>
                    </w:rPr>
                    <w:t>经设备自带二级滤芯+自带旋风</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处理后有组织排放。焊接产生的焊接烟尘经移动式烟尘净化器处理后无组织排放；</w:t>
                  </w:r>
                  <w:r>
                    <w:rPr>
                      <w:rFonts w:hint="eastAsia" w:cs="Times New Roman"/>
                      <w:color w:val="000000" w:themeColor="text1"/>
                      <w:sz w:val="21"/>
                      <w:szCs w:val="21"/>
                      <w:lang w:val="en-US" w:eastAsia="zh-CN"/>
                      <w14:textFill>
                        <w14:solidFill>
                          <w14:schemeClr w14:val="tx1"/>
                        </w14:solidFill>
                      </w14:textFill>
                    </w:rPr>
                    <w:t>组装工序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和</w:t>
                  </w:r>
                  <w:r>
                    <w:rPr>
                      <w:rFonts w:hint="eastAsia" w:cs="Times New Roman"/>
                      <w:color w:val="000000" w:themeColor="text1"/>
                      <w:sz w:val="21"/>
                      <w:szCs w:val="21"/>
                      <w:lang w:val="en-US" w:eastAsia="zh-CN"/>
                      <w14:textFill>
                        <w14:solidFill>
                          <w14:schemeClr w14:val="tx1"/>
                        </w14:solidFill>
                      </w14:textFill>
                    </w:rPr>
                    <w:t>机加工</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产生的非甲烷总烃量较少，以无组织形式排放</w:t>
                  </w:r>
                </w:p>
              </w:tc>
              <w:tc>
                <w:tcPr>
                  <w:tcW w:w="638" w:type="pct"/>
                  <w:vAlign w:val="center"/>
                </w:tcPr>
                <w:p w14:paraId="0533D56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相符</w:t>
                  </w:r>
                </w:p>
              </w:tc>
            </w:tr>
          </w:tbl>
          <w:p w14:paraId="6E9B3DC0">
            <w:pPr>
              <w:pStyle w:val="12"/>
              <w:keepNext w:val="0"/>
              <w:keepLines w:val="0"/>
              <w:pageBreakBefore w:val="0"/>
              <w:widowControl/>
              <w:numPr>
                <w:ilvl w:val="0"/>
                <w:numId w:val="0"/>
              </w:numPr>
              <w:kinsoku/>
              <w:wordWrap/>
              <w:overflowPunct/>
              <w:topLinePunct w:val="0"/>
              <w:autoSpaceDE/>
              <w:autoSpaceDN/>
              <w:bidi w:val="0"/>
              <w:adjustRightInd w:val="0"/>
              <w:snapToGrid w:val="0"/>
              <w:spacing w:before="157" w:beforeLines="50" w:after="0" w:line="360" w:lineRule="auto"/>
              <w:ind w:right="0" w:rightChars="0"/>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8、项目与宿州市贯彻落实《安徽省空气质量持续改善行动方案》任务清单符合性分析</w:t>
            </w:r>
          </w:p>
          <w:p w14:paraId="278C2E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 xml:space="preserve">表1-17  </w:t>
            </w:r>
            <w:r>
              <w:rPr>
                <w:rFonts w:hint="default" w:ascii="Times New Roman" w:hAnsi="Times New Roman" w:cs="Times New Roman"/>
                <w:b/>
                <w:bCs/>
                <w:color w:val="000000" w:themeColor="text1"/>
                <w:lang w:bidi="ar"/>
                <w14:textFill>
                  <w14:solidFill>
                    <w14:schemeClr w14:val="tx1"/>
                  </w14:solidFill>
                </w14:textFill>
              </w:rPr>
              <w:t>《</w:t>
            </w:r>
            <w:r>
              <w:rPr>
                <w:rFonts w:hint="eastAsia"/>
                <w:b/>
                <w:bCs/>
                <w:color w:val="000000" w:themeColor="text1"/>
                <w:sz w:val="24"/>
                <w:szCs w:val="24"/>
                <w:lang w:val="en-US" w:eastAsia="zh-CN"/>
                <w14:textFill>
                  <w14:solidFill>
                    <w14:schemeClr w14:val="tx1"/>
                  </w14:solidFill>
                </w14:textFill>
              </w:rPr>
              <w:t>安徽省空气质量持续改善行动方案</w:t>
            </w:r>
            <w:r>
              <w:rPr>
                <w:rFonts w:hint="default" w:ascii="Times New Roman" w:hAnsi="Times New Roman" w:cs="Times New Roman"/>
                <w:b/>
                <w:bCs/>
                <w:color w:val="000000" w:themeColor="text1"/>
                <w:lang w:bidi="ar"/>
                <w14:textFill>
                  <w14:solidFill>
                    <w14:schemeClr w14:val="tx1"/>
                  </w14:solidFill>
                </w14:textFill>
              </w:rPr>
              <w:t>》</w:t>
            </w:r>
            <w:r>
              <w:rPr>
                <w:rFonts w:hint="eastAsia" w:cs="Times New Roman"/>
                <w:b/>
                <w:bCs/>
                <w:color w:val="000000" w:themeColor="text1"/>
                <w:lang w:val="en-US" w:eastAsia="zh-CN" w:bidi="ar"/>
                <w14:textFill>
                  <w14:solidFill>
                    <w14:schemeClr w14:val="tx1"/>
                  </w14:solidFill>
                </w14:textFill>
              </w:rPr>
              <w:t>相符性分析</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334"/>
              <w:gridCol w:w="2126"/>
              <w:gridCol w:w="897"/>
            </w:tblGrid>
            <w:tr w14:paraId="2455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654001AD">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372" w:type="pct"/>
                  <w:vAlign w:val="center"/>
                </w:tcPr>
                <w:p w14:paraId="6C983932">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lang w:bidi="ar"/>
                      <w14:textFill>
                        <w14:solidFill>
                          <w14:schemeClr w14:val="tx1"/>
                        </w14:solidFill>
                      </w14:textFill>
                    </w:rPr>
                    <w:t>方案内容</w:t>
                  </w:r>
                </w:p>
              </w:tc>
              <w:tc>
                <w:tcPr>
                  <w:tcW w:w="1512" w:type="pct"/>
                  <w:vAlign w:val="center"/>
                </w:tcPr>
                <w:p w14:paraId="0478C6BF">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项目情况</w:t>
                  </w:r>
                </w:p>
              </w:tc>
              <w:tc>
                <w:tcPr>
                  <w:tcW w:w="638" w:type="pct"/>
                  <w:vAlign w:val="center"/>
                </w:tcPr>
                <w:p w14:paraId="14967659">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相符性</w:t>
                  </w:r>
                </w:p>
              </w:tc>
            </w:tr>
            <w:tr w14:paraId="085D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58357B6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372" w:type="pct"/>
                  <w:vAlign w:val="center"/>
                </w:tcPr>
                <w:p w14:paraId="5FAE6CF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新改扩建项目严格落实国家产业规划、产业政策、生态环境分区管控方案、规划环评、项目环评、节能审查、产能置换、重点污染物总量控制、污染物排放区域削减、碳排放达峰目标等相关要求，原则上采用清洁运输方式。实施</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高污染、高耗能</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项目部门联审，严格论证项目建设必要性、可行性，推动行业集约发展和绿色转型</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512" w:type="pct"/>
                  <w:vAlign w:val="center"/>
                </w:tcPr>
                <w:p w14:paraId="56F23E9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根据</w:t>
                  </w:r>
                  <w:r>
                    <w:rPr>
                      <w:color w:val="000000" w:themeColor="text1"/>
                      <w:sz w:val="21"/>
                      <w:szCs w:val="21"/>
                      <w14:textFill>
                        <w14:solidFill>
                          <w14:schemeClr w14:val="tx1"/>
                        </w14:solidFill>
                      </w14:textFill>
                    </w:rPr>
                    <w:t>《安徽省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两高</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项目管理目录（试行）》（皖节能【2022】2号），</w:t>
                  </w:r>
                  <w:r>
                    <w:rPr>
                      <w:rFonts w:hint="eastAsia"/>
                      <w:color w:val="000000" w:themeColor="text1"/>
                      <w:sz w:val="21"/>
                      <w:szCs w:val="21"/>
                      <w:lang w:bidi="ar"/>
                      <w14:textFill>
                        <w14:solidFill>
                          <w14:schemeClr w14:val="tx1"/>
                        </w14:solidFill>
                      </w14:textFill>
                    </w:rPr>
                    <w:t>项目为</w:t>
                  </w:r>
                  <w:r>
                    <w:rPr>
                      <w:rFonts w:hint="eastAsia"/>
                      <w:color w:val="000000" w:themeColor="text1"/>
                      <w:sz w:val="21"/>
                      <w:szCs w:val="21"/>
                      <w:lang w:eastAsia="zh-CN" w:bidi="ar"/>
                      <w14:textFill>
                        <w14:solidFill>
                          <w14:schemeClr w14:val="tx1"/>
                        </w14:solidFill>
                      </w14:textFill>
                    </w:rPr>
                    <w:t>C2462游艺用品及室内游艺器材制造</w:t>
                  </w:r>
                  <w:r>
                    <w:rPr>
                      <w:rFonts w:hint="eastAsia" w:ascii="Calibri"/>
                      <w:color w:val="000000" w:themeColor="text1"/>
                      <w:kern w:val="0"/>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不属于“两高”行业</w:t>
                  </w:r>
                </w:p>
              </w:tc>
              <w:tc>
                <w:tcPr>
                  <w:tcW w:w="638" w:type="pct"/>
                  <w:vAlign w:val="center"/>
                </w:tcPr>
                <w:p w14:paraId="0F8B839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1288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2DDCF8F5">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2372" w:type="pct"/>
                  <w:vAlign w:val="center"/>
                </w:tcPr>
                <w:p w14:paraId="5DF582B6">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严禁违规新增钢铁、水泥（熟料）、焦化、电解铝、平板玻璃（不含光伏压延玻璃）产能。强化塑料加工、人造板、木材加工、家具制造、合成革、包装印刷、石材加工、煤和矸石破碎加工（含煤球等）、粮食饲料加工、不规范搅拌站、汽车维修（抛光、打磨）、黑色和有色金属熔炼加工、陶瓷烧制、砖瓦窑等涉气</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“散乱污”</w:t>
                  </w:r>
                  <w:r>
                    <w:rPr>
                      <w:rFonts w:hint="default" w:ascii="Times New Roman" w:hAnsi="Times New Roman" w:cs="Times New Roman"/>
                      <w:color w:val="000000" w:themeColor="text1"/>
                      <w:sz w:val="21"/>
                      <w:szCs w:val="21"/>
                      <w:lang w:val="en-US" w:eastAsia="zh-CN"/>
                      <w14:textFill>
                        <w14:solidFill>
                          <w14:schemeClr w14:val="tx1"/>
                        </w14:solidFill>
                      </w14:textFill>
                    </w:rPr>
                    <w:t>企业治理，实现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“散乱污”</w:t>
                  </w:r>
                  <w:r>
                    <w:rPr>
                      <w:rFonts w:hint="default" w:ascii="Times New Roman" w:hAnsi="Times New Roman" w:cs="Times New Roman"/>
                      <w:color w:val="000000" w:themeColor="text1"/>
                      <w:sz w:val="21"/>
                      <w:szCs w:val="21"/>
                      <w:lang w:val="en-US" w:eastAsia="zh-CN"/>
                      <w14:textFill>
                        <w14:solidFill>
                          <w14:schemeClr w14:val="tx1"/>
                        </w14:solidFill>
                      </w14:textFill>
                    </w:rPr>
                    <w:t>企业动态清零，推动相关产业转型升级。</w:t>
                  </w:r>
                </w:p>
              </w:tc>
              <w:tc>
                <w:tcPr>
                  <w:tcW w:w="1512" w:type="pct"/>
                  <w:vAlign w:val="center"/>
                </w:tcPr>
                <w:p w14:paraId="0AA8237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项目不属于上述行业，项目位于泗县经济开发区内，不属于“散乱污”企业</w:t>
                  </w:r>
                </w:p>
              </w:tc>
              <w:tc>
                <w:tcPr>
                  <w:tcW w:w="638" w:type="pct"/>
                  <w:vAlign w:val="center"/>
                </w:tcPr>
                <w:p w14:paraId="3A982A3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r w14:paraId="4E70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pct"/>
                  <w:vAlign w:val="center"/>
                </w:tcPr>
                <w:p w14:paraId="57948866">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2372" w:type="pct"/>
                  <w:vAlign w:val="center"/>
                </w:tcPr>
                <w:p w14:paraId="238C9C4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推动现有高VOCs含量产品生产企业加快产品升级转型，提高水性、高固体分、无溶剂、粉末、辐射固化等（无）低VOCs含量产品的比重</w:t>
                  </w:r>
                  <w:r>
                    <w:rPr>
                      <w:rFonts w:hint="eastAsia" w:ascii="Times New Roman" w:hAnsi="Times New Roman" w:cs="Times New Roman"/>
                      <w:color w:val="000000" w:themeColor="text1"/>
                      <w:sz w:val="21"/>
                      <w:szCs w:val="21"/>
                      <w:lang w:val="en-US" w:eastAsia="zh-CN"/>
                      <w14:textFill>
                        <w14:solidFill>
                          <w14:schemeClr w14:val="tx1"/>
                        </w14:solidFill>
                      </w14:textFill>
                    </w:rPr>
                    <w:t>。落实安徽省低挥发性有机物原辅材料源头替代工作方案，严格控制生产和使用高VOCs含量涂料、油墨、胶粘剂、清洗剂等建设项目。</w:t>
                  </w:r>
                </w:p>
              </w:tc>
              <w:tc>
                <w:tcPr>
                  <w:tcW w:w="1512" w:type="pct"/>
                  <w:vAlign w:val="center"/>
                </w:tcPr>
                <w:p w14:paraId="772257B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bidi="ar"/>
                      <w14:textFill>
                        <w14:solidFill>
                          <w14:schemeClr w14:val="tx1"/>
                        </w14:solidFill>
                      </w14:textFill>
                    </w:rPr>
                    <w:t>项目</w:t>
                  </w:r>
                  <w:r>
                    <w:rPr>
                      <w:rFonts w:hint="eastAsia" w:ascii="Calibri"/>
                      <w:color w:val="000000" w:themeColor="text1"/>
                      <w:kern w:val="0"/>
                      <w:sz w:val="21"/>
                      <w:szCs w:val="21"/>
                      <w:lang w:val="en-US" w:eastAsia="zh-CN"/>
                      <w14:textFill>
                        <w14:solidFill>
                          <w14:schemeClr w14:val="tx1"/>
                        </w14:solidFill>
                      </w14:textFill>
                    </w:rPr>
                    <w:t>不使用</w:t>
                  </w:r>
                  <w:r>
                    <w:rPr>
                      <w:color w:val="000000" w:themeColor="text1"/>
                      <w:kern w:val="0"/>
                      <w:sz w:val="21"/>
                      <w:szCs w:val="21"/>
                      <w14:textFill>
                        <w14:solidFill>
                          <w14:schemeClr w14:val="tx1"/>
                        </w14:solidFill>
                      </w14:textFill>
                    </w:rPr>
                    <w:t>高VOCs含量的溶剂型涂料、油墨、胶粘剂</w:t>
                  </w:r>
                  <w:r>
                    <w:rPr>
                      <w:rFonts w:hint="eastAsia"/>
                      <w:color w:val="000000" w:themeColor="text1"/>
                      <w:kern w:val="0"/>
                      <w:sz w:val="21"/>
                      <w:szCs w:val="21"/>
                      <w:lang w:eastAsia="zh-CN"/>
                      <w14:textFill>
                        <w14:solidFill>
                          <w14:schemeClr w14:val="tx1"/>
                        </w14:solidFill>
                      </w14:textFill>
                    </w:rPr>
                    <w:t>，</w:t>
                  </w:r>
                  <w:r>
                    <w:rPr>
                      <w:rFonts w:hint="eastAsia" w:ascii="Times New Roman" w:hAnsi="Times New Roman" w:cs="Times New Roman"/>
                      <w:color w:val="000000" w:themeColor="text1"/>
                      <w:spacing w:val="0"/>
                      <w:w w:val="100"/>
                      <w:sz w:val="21"/>
                      <w:szCs w:val="21"/>
                      <w:lang w:val="en-US" w:eastAsia="zh-CN"/>
                      <w14:textFill>
                        <w14:solidFill>
                          <w14:schemeClr w14:val="tx1"/>
                        </w14:solidFill>
                      </w14:textFill>
                    </w:rPr>
                    <w:t>项目有喷塑线和注塑工艺，使用的塑粉和PP作为原料，不属于高挥发性有机物含量的原辅料</w:t>
                  </w:r>
                  <w:r>
                    <w:rPr>
                      <w:rFonts w:hint="eastAsia" w:cs="Times New Roman"/>
                      <w:color w:val="000000" w:themeColor="text1"/>
                      <w:spacing w:val="0"/>
                      <w:w w:val="100"/>
                      <w:sz w:val="21"/>
                      <w:szCs w:val="21"/>
                      <w:lang w:val="en-US" w:eastAsia="zh-CN"/>
                      <w14:textFill>
                        <w14:solidFill>
                          <w14:schemeClr w14:val="tx1"/>
                        </w14:solidFill>
                      </w14:textFill>
                    </w:rPr>
                    <w:t>。</w:t>
                  </w:r>
                  <w:r>
                    <w:rPr>
                      <w:rFonts w:hint="default" w:ascii="Times New Roman" w:hAnsi="Times New Roman" w:cs="Times New Roman"/>
                      <w:color w:val="000000" w:themeColor="text1"/>
                      <w:spacing w:val="0"/>
                      <w:w w:val="100"/>
                      <w:sz w:val="21"/>
                      <w:szCs w:val="21"/>
                      <w:lang w:val="en-US" w:eastAsia="zh-CN"/>
                      <w14:textFill>
                        <w14:solidFill>
                          <w14:schemeClr w14:val="tx1"/>
                        </w14:solidFill>
                      </w14:textFill>
                    </w:rPr>
                    <w:t>组装工序</w:t>
                  </w:r>
                  <w:r>
                    <w:rPr>
                      <w:rFonts w:hint="default" w:ascii="Times New Roman" w:hAnsi="Times New Roman" w:cs="Times New Roman"/>
                      <w:color w:val="000000" w:themeColor="text1"/>
                      <w:sz w:val="21"/>
                      <w:szCs w:val="21"/>
                      <w:lang w:val="en-US" w:eastAsia="zh-CN" w:bidi="ar"/>
                      <w14:textFill>
                        <w14:solidFill>
                          <w14:schemeClr w14:val="tx1"/>
                        </w14:solidFill>
                      </w14:textFill>
                    </w:rPr>
                    <w:t>使用的亚克力密封胶满足</w:t>
                  </w:r>
                  <w:r>
                    <w:rPr>
                      <w:rFonts w:hint="eastAsia" w:ascii="Times New Roman" w:hAnsi="Times New Roman" w:cs="Times New Roman"/>
                      <w:color w:val="000000" w:themeColor="text1"/>
                      <w:sz w:val="21"/>
                      <w:szCs w:val="21"/>
                      <w:lang w:val="en-US" w:eastAsia="zh-CN" w:bidi="ar"/>
                      <w14:textFill>
                        <w14:solidFill>
                          <w14:schemeClr w14:val="tx1"/>
                        </w14:solidFill>
                      </w14:textFill>
                    </w:rPr>
                    <w:t>《胶黏剂挥发性有机化合物限量》（GB38507-2020）中的VOC含量限值≤200g/L的要求</w:t>
                  </w:r>
                </w:p>
              </w:tc>
              <w:tc>
                <w:tcPr>
                  <w:tcW w:w="638" w:type="pct"/>
                  <w:vAlign w:val="center"/>
                </w:tcPr>
                <w:p w14:paraId="7E8F351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相符</w:t>
                  </w:r>
                </w:p>
              </w:tc>
            </w:tr>
          </w:tbl>
          <w:p w14:paraId="6AA087B5">
            <w:pPr>
              <w:pStyle w:val="12"/>
              <w:keepNext w:val="0"/>
              <w:keepLines w:val="0"/>
              <w:pageBreakBefore w:val="0"/>
              <w:widowControl/>
              <w:numPr>
                <w:ilvl w:val="0"/>
                <w:numId w:val="0"/>
              </w:numPr>
              <w:kinsoku/>
              <w:wordWrap/>
              <w:overflowPunct/>
              <w:topLinePunct w:val="0"/>
              <w:autoSpaceDE/>
              <w:autoSpaceDN/>
              <w:bidi w:val="0"/>
              <w:adjustRightInd w:val="0"/>
              <w:snapToGrid w:val="0"/>
              <w:spacing w:before="157" w:beforeLines="50" w:after="0" w:line="360" w:lineRule="auto"/>
              <w:ind w:right="0" w:rightChars="0"/>
              <w:textAlignment w:val="auto"/>
              <w:rPr>
                <w:rFonts w:hint="default" w:eastAsia="宋体"/>
                <w:color w:val="000000" w:themeColor="text1"/>
                <w:lang w:val="en-US" w:eastAsia="zh-CN"/>
                <w14:textFill>
                  <w14:solidFill>
                    <w14:schemeClr w14:val="tx1"/>
                  </w14:solidFill>
                </w14:textFill>
              </w:rPr>
            </w:pPr>
          </w:p>
        </w:tc>
      </w:tr>
    </w:tbl>
    <w:p w14:paraId="7A117667">
      <w:pPr>
        <w:spacing w:line="360" w:lineRule="auto"/>
        <w:outlineLvl w:val="0"/>
        <w:rPr>
          <w:color w:val="000000" w:themeColor="text1"/>
          <w:sz w:val="30"/>
          <w14:textFill>
            <w14:solidFill>
              <w14:schemeClr w14:val="tx1"/>
            </w14:solidFill>
          </w14:textFill>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p w14:paraId="144F82BD">
      <w:pPr>
        <w:pStyle w:val="26"/>
        <w:jc w:val="center"/>
        <w:outlineLvl w:val="0"/>
        <w:rPr>
          <w:rFonts w:hint="default" w:ascii="Times New Roman" w:hAnsi="Times New Roman" w:eastAsia="宋体" w:cs="Times New Roman"/>
          <w:b/>
          <w:bCs/>
          <w:snapToGrid w:val="0"/>
          <w:color w:val="000000" w:themeColor="text1"/>
          <w:sz w:val="30"/>
          <w:szCs w:val="30"/>
          <w14:textFill>
            <w14:solidFill>
              <w14:schemeClr w14:val="tx1"/>
            </w14:solidFill>
          </w14:textFill>
        </w:rPr>
      </w:pPr>
      <w:r>
        <w:rPr>
          <w:rFonts w:hint="default" w:ascii="Times New Roman" w:hAnsi="Times New Roman" w:eastAsia="宋体" w:cs="Times New Roman"/>
          <w:b/>
          <w:bCs/>
          <w:snapToGrid w:val="0"/>
          <w:color w:val="000000" w:themeColor="text1"/>
          <w:sz w:val="30"/>
          <w:szCs w:val="30"/>
          <w14:textFill>
            <w14:solidFill>
              <w14:schemeClr w14:val="tx1"/>
            </w14:solidFill>
          </w14:textFill>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8201"/>
      </w:tblGrid>
      <w:tr w14:paraId="1C073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783" w:type="dxa"/>
            <w:vAlign w:val="center"/>
          </w:tcPr>
          <w:p w14:paraId="76B4A81B">
            <w:pPr>
              <w:pStyle w:val="26"/>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201" w:type="dxa"/>
          </w:tcPr>
          <w:p w14:paraId="2E59501E">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default" w:eastAsia="宋体"/>
                <w:b/>
                <w:bCs/>
                <w:color w:val="000000" w:themeColor="text1"/>
                <w:kern w:val="0"/>
                <w:lang w:val="en-US" w:eastAsia="zh-CN"/>
                <w14:textFill>
                  <w14:solidFill>
                    <w14:schemeClr w14:val="tx1"/>
                  </w14:solidFill>
                </w14:textFill>
              </w:rPr>
            </w:pPr>
            <w:r>
              <w:rPr>
                <w:rFonts w:hint="eastAsia"/>
                <w:b/>
                <w:bCs/>
                <w:color w:val="000000" w:themeColor="text1"/>
                <w:kern w:val="0"/>
                <w:lang w:val="en-US" w:eastAsia="zh-CN"/>
                <w14:textFill>
                  <w14:solidFill>
                    <w14:schemeClr w14:val="tx1"/>
                  </w14:solidFill>
                </w14:textFill>
              </w:rPr>
              <w:t>1、项目建设背景</w:t>
            </w:r>
          </w:p>
          <w:p w14:paraId="7DD7C4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lang w:eastAsia="zh-CN"/>
                <w14:textFill>
                  <w14:solidFill>
                    <w14:schemeClr w14:val="tx1"/>
                  </w14:solidFill>
                </w14:textFill>
              </w:rPr>
            </w:pPr>
            <w:r>
              <w:rPr>
                <w:rFonts w:hint="eastAsia"/>
                <w:color w:val="000000" w:themeColor="text1"/>
                <w:lang w:val="en-US" w:eastAsia="zh-CN"/>
                <w14:textFill>
                  <w14:solidFill>
                    <w14:schemeClr w14:val="tx1"/>
                  </w14:solidFill>
                </w14:textFill>
              </w:rPr>
              <w:t>泗县盛源金属科技有限公司拟在</w:t>
            </w:r>
            <w:r>
              <w:rPr>
                <w:rFonts w:hint="eastAsia"/>
                <w:color w:val="000000" w:themeColor="text1"/>
                <w:sz w:val="24"/>
                <w:lang w:val="en-US" w:eastAsia="zh-CN"/>
                <w14:textFill>
                  <w14:solidFill>
                    <w14:schemeClr w14:val="tx1"/>
                  </w14:solidFill>
                </w14:textFill>
              </w:rPr>
              <w:t>安徽省宿州市泗县经济开发区泗县强宇体育设施公司2#厂房建设</w:t>
            </w:r>
            <w:r>
              <w:rPr>
                <w:rFonts w:hint="eastAsia"/>
                <w:color w:val="000000" w:themeColor="text1"/>
                <w:sz w:val="24"/>
                <w:lang w:eastAsia="zh-CN"/>
                <w14:textFill>
                  <w14:solidFill>
                    <w14:schemeClr w14:val="tx1"/>
                  </w14:solidFill>
                </w14:textFill>
              </w:rPr>
              <w:t>年产100万套麻将机配件生产项目，</w:t>
            </w:r>
            <w:r>
              <w:rPr>
                <w:rFonts w:hint="eastAsia"/>
                <w:color w:val="000000" w:themeColor="text1"/>
                <w:sz w:val="24"/>
                <w:szCs w:val="24"/>
                <w:lang w:val="en-US" w:eastAsia="zh-CN"/>
                <w14:textFill>
                  <w14:solidFill>
                    <w14:schemeClr w14:val="tx1"/>
                  </w14:solidFill>
                </w14:textFill>
              </w:rPr>
              <w:t>项目租赁厂房面积约2206.5平方米</w:t>
            </w:r>
            <w:r>
              <w:rPr>
                <w:rFonts w:hint="eastAsia"/>
                <w:color w:val="000000" w:themeColor="text1"/>
                <w:sz w:val="24"/>
                <w:szCs w:val="24"/>
                <w14:textFill>
                  <w14:solidFill>
                    <w14:schemeClr w14:val="tx1"/>
                  </w14:solidFill>
                </w14:textFill>
              </w:rPr>
              <w:t>，</w:t>
            </w:r>
            <w:r>
              <w:rPr>
                <w:rFonts w:hint="eastAsia"/>
                <w:color w:val="000000" w:themeColor="text1"/>
                <w:lang w:val="en-US" w:eastAsia="zh-CN"/>
                <w14:textFill>
                  <w14:solidFill>
                    <w14:schemeClr w14:val="tx1"/>
                  </w14:solidFill>
                </w14:textFill>
              </w:rPr>
              <w:t>项目总投资3500万元，项目购置激光切管机、冲床、喷塑线、注塑机等相关生产设备，建成</w:t>
            </w:r>
            <w:r>
              <w:rPr>
                <w:rFonts w:hint="default" w:ascii="Times New Roman" w:hAnsi="Times New Roman" w:cs="Times New Roman"/>
                <w:color w:val="000000" w:themeColor="text1"/>
                <w:lang w:val="en-US" w:eastAsia="zh-CN"/>
                <w14:textFill>
                  <w14:solidFill>
                    <w14:schemeClr w14:val="tx1"/>
                  </w14:solidFill>
                </w14:textFill>
              </w:rPr>
              <w:t>年产100万套麻将机配件</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的生产能力</w:t>
            </w:r>
            <w:r>
              <w:rPr>
                <w:rFonts w:hint="default" w:ascii="Times New Roman" w:hAnsi="Times New Roman" w:cs="Times New Roman"/>
                <w:color w:val="000000" w:themeColor="text1"/>
                <w:sz w:val="24"/>
                <w14:textFill>
                  <w14:solidFill>
                    <w14:schemeClr w14:val="tx1"/>
                  </w14:solidFill>
                </w14:textFill>
              </w:rPr>
              <w:t>。</w:t>
            </w:r>
          </w:p>
          <w:p w14:paraId="505FC5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Times New Roman" w:hAnsi="Times New Roman" w:cs="Times New Roman"/>
                <w:color w:val="auto"/>
                <w:sz w:val="24"/>
                <w:lang w:val="en-US" w:eastAsia="zh-CN"/>
              </w:rPr>
              <w:t>根据《国民经济行业分类》（GB/T4754-2017），本项目行业类别为</w:t>
            </w:r>
            <w:r>
              <w:rPr>
                <w:rFonts w:hint="eastAsia"/>
                <w:color w:val="auto"/>
                <w:lang w:eastAsia="zh-CN"/>
              </w:rPr>
              <w:t>C</w:t>
            </w:r>
            <w:r>
              <w:rPr>
                <w:rFonts w:hint="eastAsia"/>
                <w:color w:val="auto"/>
                <w:lang w:val="en-US" w:eastAsia="zh-CN"/>
              </w:rPr>
              <w:t>2462</w:t>
            </w:r>
            <w:r>
              <w:rPr>
                <w:rFonts w:hint="eastAsia" w:ascii="Times New Roman" w:hAnsi="Times New Roman"/>
                <w:color w:val="auto"/>
              </w:rPr>
              <w:t>游艺用品及室内游艺器材制造</w:t>
            </w:r>
            <w:r>
              <w:rPr>
                <w:rFonts w:hint="eastAsia" w:ascii="Times New Roman" w:hAnsi="Times New Roman" w:cs="Times New Roman"/>
                <w:color w:val="auto"/>
                <w:sz w:val="24"/>
                <w:lang w:val="en-US" w:eastAsia="zh-CN"/>
              </w:rPr>
              <w:t>，根据《建设项目环境影响评价分类管理名录（2021年版）》，本项目属于二十一、文教、工美、体育和娱乐用品制造业24“40、</w:t>
            </w:r>
            <w:r>
              <w:rPr>
                <w:rFonts w:hint="eastAsia" w:ascii="Times New Roman" w:hAnsi="Times New Roman"/>
                <w:color w:val="auto"/>
              </w:rPr>
              <w:t>游艺</w:t>
            </w:r>
            <w:r>
              <w:rPr>
                <w:rFonts w:hint="eastAsia" w:ascii="Times New Roman" w:hAnsi="Times New Roman"/>
                <w:color w:val="auto"/>
                <w:lang w:val="en-US" w:eastAsia="zh-CN"/>
              </w:rPr>
              <w:t>器材</w:t>
            </w:r>
            <w:r>
              <w:rPr>
                <w:rFonts w:hint="eastAsia" w:ascii="Times New Roman" w:hAnsi="Times New Roman"/>
                <w:color w:val="auto"/>
              </w:rPr>
              <w:t>及</w:t>
            </w:r>
            <w:r>
              <w:rPr>
                <w:rFonts w:hint="eastAsia" w:ascii="Times New Roman" w:hAnsi="Times New Roman"/>
                <w:color w:val="auto"/>
                <w:lang w:val="en-US" w:eastAsia="zh-CN"/>
              </w:rPr>
              <w:t>娱乐用品</w:t>
            </w:r>
            <w:r>
              <w:rPr>
                <w:rFonts w:hint="eastAsia" w:ascii="Times New Roman" w:hAnsi="Times New Roman"/>
                <w:color w:val="auto"/>
              </w:rPr>
              <w:t>制造</w:t>
            </w:r>
            <w:r>
              <w:rPr>
                <w:rFonts w:hint="eastAsia" w:ascii="Times New Roman" w:hAnsi="Times New Roman" w:cs="Times New Roman"/>
                <w:color w:val="auto"/>
                <w:sz w:val="24"/>
                <w:lang w:val="en-US" w:eastAsia="zh-CN"/>
              </w:rPr>
              <w:t>246；”中的“有橡胶硫化工艺、塑料注塑工艺的；年用溶剂型涂料（含稀释剂）10吨以下的或年用非溶剂型低VOCs含量涂料10吨及以上的）”，应编制环境影响报告表。建设单位委托本单位编制该项目环境影响报告表，我公司立即组织有关技术人员进行现场踏勘，收集了项目所在地的自然环境资料和项目相关设计资料，编制了《</w:t>
            </w:r>
            <w:r>
              <w:rPr>
                <w:rFonts w:hint="eastAsia"/>
                <w:color w:val="000000" w:themeColor="text1"/>
                <w:lang w:val="en-US" w:eastAsia="zh-CN"/>
                <w14:textFill>
                  <w14:solidFill>
                    <w14:schemeClr w14:val="tx1"/>
                  </w14:solidFill>
                </w14:textFill>
              </w:rPr>
              <w:t>泗县盛源金属科技有限公司</w:t>
            </w:r>
            <w:r>
              <w:rPr>
                <w:rFonts w:hint="eastAsia"/>
                <w:color w:val="000000" w:themeColor="text1"/>
                <w:sz w:val="24"/>
                <w:lang w:eastAsia="zh-CN"/>
                <w14:textFill>
                  <w14:solidFill>
                    <w14:schemeClr w14:val="tx1"/>
                  </w14:solidFill>
                </w14:textFill>
              </w:rPr>
              <w:t>年产100万套麻将机配件生产项目</w:t>
            </w:r>
            <w:r>
              <w:rPr>
                <w:rFonts w:hint="eastAsia" w:ascii="Times New Roman" w:hAnsi="Times New Roman" w:cs="Times New Roman"/>
                <w:color w:val="auto"/>
                <w:sz w:val="24"/>
                <w:lang w:val="en-US" w:eastAsia="zh-CN"/>
              </w:rPr>
              <w:t>环境影响报告表》，现报请生态环境主管部门审批。</w:t>
            </w:r>
          </w:p>
          <w:p w14:paraId="4BE5D53C">
            <w:pPr>
              <w:pStyle w:val="10"/>
              <w:adjustRightInd w:val="0"/>
              <w:snapToGrid w:val="0"/>
              <w:spacing w:line="360" w:lineRule="auto"/>
              <w:ind w:firstLine="480" w:firstLineChars="200"/>
              <w:rPr>
                <w:rFonts w:hint="eastAsia" w:eastAsia="宋体"/>
                <w:lang w:eastAsia="zh-CN"/>
              </w:rPr>
            </w:pPr>
            <w:r>
              <w:t>具体建设内容及规模见下表</w:t>
            </w:r>
            <w:r>
              <w:rPr>
                <w:rFonts w:hint="eastAsia"/>
                <w:lang w:eastAsia="zh-CN"/>
              </w:rPr>
              <w:t>。</w:t>
            </w:r>
          </w:p>
          <w:p w14:paraId="681CD062">
            <w:pPr>
              <w:autoSpaceDE w:val="0"/>
              <w:autoSpaceDN w:val="0"/>
              <w:adjustRightInd w:val="0"/>
              <w:snapToGrid w:val="0"/>
              <w:jc w:val="center"/>
              <w:rPr>
                <w:b/>
                <w:bCs/>
                <w:color w:val="000000" w:themeColor="text1"/>
                <w:kern w:val="0"/>
                <w14:textFill>
                  <w14:solidFill>
                    <w14:schemeClr w14:val="tx1"/>
                  </w14:solidFill>
                </w14:textFill>
              </w:rPr>
            </w:pPr>
            <w:r>
              <w:rPr>
                <w:b/>
                <w:bCs/>
                <w:color w:val="000000" w:themeColor="text1"/>
                <w14:textFill>
                  <w14:solidFill>
                    <w14:schemeClr w14:val="tx1"/>
                  </w14:solidFill>
                </w14:textFill>
              </w:rPr>
              <w:t>表2</w:t>
            </w:r>
            <w:r>
              <w:rPr>
                <w:rFonts w:hint="eastAsia"/>
                <w:b/>
                <w:bCs/>
                <w:color w:val="000000" w:themeColor="text1"/>
                <w:lang w:val="en-US" w:eastAsia="zh-CN"/>
                <w14:textFill>
                  <w14:solidFill>
                    <w14:schemeClr w14:val="tx1"/>
                  </w14:solidFill>
                </w14:textFill>
              </w:rPr>
              <w:t>-</w:t>
            </w:r>
            <w:r>
              <w:rPr>
                <w:b/>
                <w:bCs/>
                <w:color w:val="000000" w:themeColor="text1"/>
                <w14:textFill>
                  <w14:solidFill>
                    <w14:schemeClr w14:val="tx1"/>
                  </w14:solidFill>
                </w14:textFill>
              </w:rPr>
              <w:t>1  项目主要建设内容一览表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155"/>
              <w:gridCol w:w="4542"/>
              <w:gridCol w:w="1483"/>
            </w:tblGrid>
            <w:tr w14:paraId="610A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Align w:val="center"/>
                </w:tcPr>
                <w:p w14:paraId="1F8C81D7">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724" w:type="pct"/>
                  <w:vAlign w:val="center"/>
                </w:tcPr>
                <w:p w14:paraId="2AE161E7">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单项工程</w:t>
                  </w:r>
                </w:p>
                <w:p w14:paraId="42AE9C7D">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2847" w:type="pct"/>
                  <w:vAlign w:val="center"/>
                </w:tcPr>
                <w:p w14:paraId="48BF1F32">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建设内容</w:t>
                  </w:r>
                </w:p>
              </w:tc>
              <w:tc>
                <w:tcPr>
                  <w:tcW w:w="928" w:type="pct"/>
                  <w:vAlign w:val="center"/>
                </w:tcPr>
                <w:p w14:paraId="212CB2E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备注</w:t>
                  </w:r>
                </w:p>
              </w:tc>
            </w:tr>
            <w:tr w14:paraId="0475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Align w:val="center"/>
                </w:tcPr>
                <w:p w14:paraId="6F134C19">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主体工程</w:t>
                  </w:r>
                </w:p>
              </w:tc>
              <w:tc>
                <w:tcPr>
                  <w:tcW w:w="724" w:type="pct"/>
                  <w:vAlign w:val="center"/>
                </w:tcPr>
                <w:p w14:paraId="6FB34F4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生产车间</w:t>
                  </w:r>
                </w:p>
              </w:tc>
              <w:tc>
                <w:tcPr>
                  <w:tcW w:w="2847" w:type="pct"/>
                  <w:vAlign w:val="center"/>
                </w:tcPr>
                <w:p w14:paraId="1557677C">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建筑面积2206.5m</w:t>
                  </w:r>
                  <w:r>
                    <w:rPr>
                      <w:rFonts w:hint="eastAsia" w:cs="Times New Roman"/>
                      <w:bCs/>
                      <w:color w:val="000000" w:themeColor="text1"/>
                      <w:sz w:val="21"/>
                      <w:szCs w:val="21"/>
                      <w:vertAlign w:val="superscript"/>
                      <w:lang w:val="en-US" w:eastAsia="zh-CN"/>
                      <w14:textFill>
                        <w14:solidFill>
                          <w14:schemeClr w14:val="tx1"/>
                        </w14:solidFill>
                      </w14:textFill>
                    </w:rPr>
                    <w:t>2</w:t>
                  </w:r>
                  <w:r>
                    <w:rPr>
                      <w:rFonts w:hint="eastAsia" w:cs="Times New Roman"/>
                      <w:bCs/>
                      <w:color w:val="000000" w:themeColor="text1"/>
                      <w:sz w:val="21"/>
                      <w:szCs w:val="21"/>
                      <w:lang w:val="en-US" w:eastAsia="zh-CN"/>
                      <w14:textFill>
                        <w14:solidFill>
                          <w14:schemeClr w14:val="tx1"/>
                        </w14:solidFill>
                      </w14:textFill>
                    </w:rPr>
                    <w:t>，共1层，高12m，在车间内部设置下料区、机加工区、焊接区、喷塑线、注塑区等</w:t>
                  </w:r>
                </w:p>
              </w:tc>
              <w:tc>
                <w:tcPr>
                  <w:tcW w:w="928" w:type="pct"/>
                  <w:vAlign w:val="center"/>
                </w:tcPr>
                <w:p w14:paraId="5360904C">
                  <w:pPr>
                    <w:jc w:val="center"/>
                    <w:rPr>
                      <w:rFonts w:hint="eastAsia"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年产100万套麻将机配件的生产能力</w:t>
                  </w:r>
                </w:p>
              </w:tc>
            </w:tr>
            <w:tr w14:paraId="4879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Align w:val="center"/>
                </w:tcPr>
                <w:p w14:paraId="70A89319">
                  <w:pPr>
                    <w:jc w:val="center"/>
                    <w:rPr>
                      <w:rFonts w:hint="default" w:ascii="Times New Roman" w:hAnsi="Times New Roman" w:eastAsia="宋体" w:cs="Times New Roman"/>
                      <w:color w:val="000000" w:themeColor="text1"/>
                      <w:sz w:val="21"/>
                      <w:szCs w:val="21"/>
                      <w14:textFill>
                        <w14:solidFill>
                          <w14:schemeClr w14:val="tx1"/>
                        </w14:solidFill>
                      </w14:textFill>
                    </w:rPr>
                  </w:pPr>
                  <w:bookmarkStart w:id="36" w:name="OLE_LINK22" w:colFirst="0" w:colLast="0"/>
                  <w:r>
                    <w:rPr>
                      <w:rFonts w:hint="default" w:ascii="Times New Roman" w:hAnsi="Times New Roman" w:eastAsia="宋体" w:cs="Times New Roman"/>
                      <w:color w:val="000000" w:themeColor="text1"/>
                      <w:sz w:val="21"/>
                      <w:szCs w:val="21"/>
                      <w14:textFill>
                        <w14:solidFill>
                          <w14:schemeClr w14:val="tx1"/>
                        </w14:solidFill>
                      </w14:textFill>
                    </w:rPr>
                    <w:t>辅助工程</w:t>
                  </w:r>
                </w:p>
              </w:tc>
              <w:tc>
                <w:tcPr>
                  <w:tcW w:w="724" w:type="pct"/>
                  <w:vAlign w:val="center"/>
                </w:tcPr>
                <w:p w14:paraId="31777591">
                  <w:pPr>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办公区</w:t>
                  </w:r>
                </w:p>
              </w:tc>
              <w:tc>
                <w:tcPr>
                  <w:tcW w:w="3776" w:type="pct"/>
                  <w:gridSpan w:val="2"/>
                  <w:vAlign w:val="center"/>
                </w:tcPr>
                <w:p w14:paraId="10FF08C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生产车间东侧</w:t>
                  </w:r>
                  <w:r>
                    <w:rPr>
                      <w:rFonts w:hint="eastAsia" w:cs="Times New Roman"/>
                      <w:bCs/>
                      <w:color w:val="000000" w:themeColor="text1"/>
                      <w:sz w:val="21"/>
                      <w:szCs w:val="21"/>
                      <w:lang w:val="en-US" w:eastAsia="zh-CN"/>
                      <w14:textFill>
                        <w14:solidFill>
                          <w14:schemeClr w14:val="tx1"/>
                        </w14:solidFill>
                      </w14:textFill>
                    </w:rPr>
                    <w:t>，建筑面积约100m</w:t>
                  </w:r>
                  <w:r>
                    <w:rPr>
                      <w:rFonts w:hint="eastAsia" w:cs="Times New Roman"/>
                      <w:bCs/>
                      <w:color w:val="000000" w:themeColor="text1"/>
                      <w:sz w:val="21"/>
                      <w:szCs w:val="21"/>
                      <w:vertAlign w:val="superscript"/>
                      <w:lang w:val="en-US" w:eastAsia="zh-CN"/>
                      <w14:textFill>
                        <w14:solidFill>
                          <w14:schemeClr w14:val="tx1"/>
                        </w14:solidFill>
                      </w14:textFill>
                    </w:rPr>
                    <w:t>2</w:t>
                  </w:r>
                  <w:r>
                    <w:rPr>
                      <w:rFonts w:hint="eastAsia" w:cs="Times New Roman"/>
                      <w:bCs/>
                      <w:color w:val="000000" w:themeColor="text1"/>
                      <w:sz w:val="21"/>
                      <w:szCs w:val="21"/>
                      <w:lang w:val="en-US" w:eastAsia="zh-CN"/>
                      <w14:textFill>
                        <w14:solidFill>
                          <w14:schemeClr w14:val="tx1"/>
                        </w14:solidFill>
                      </w14:textFill>
                    </w:rPr>
                    <w:t>，用于员工办公</w:t>
                  </w:r>
                </w:p>
              </w:tc>
            </w:tr>
            <w:bookmarkEnd w:id="36"/>
            <w:tr w14:paraId="7B35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restart"/>
                  <w:vAlign w:val="center"/>
                </w:tcPr>
                <w:p w14:paraId="5CE68CF7">
                  <w:pPr>
                    <w:jc w:val="center"/>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储运工程</w:t>
                  </w:r>
                </w:p>
              </w:tc>
              <w:tc>
                <w:tcPr>
                  <w:tcW w:w="724" w:type="pct"/>
                  <w:vAlign w:val="center"/>
                </w:tcPr>
                <w:p w14:paraId="4A12D039">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原料</w:t>
                  </w:r>
                  <w:r>
                    <w:rPr>
                      <w:rFonts w:hint="eastAsia" w:cs="Times New Roman"/>
                      <w:bCs/>
                      <w:color w:val="000000" w:themeColor="text1"/>
                      <w:sz w:val="21"/>
                      <w:szCs w:val="21"/>
                      <w:lang w:val="en-US" w:eastAsia="zh-CN"/>
                      <w14:textFill>
                        <w14:solidFill>
                          <w14:schemeClr w14:val="tx1"/>
                        </w14:solidFill>
                      </w14:textFill>
                    </w:rPr>
                    <w:t>区</w:t>
                  </w:r>
                </w:p>
              </w:tc>
              <w:tc>
                <w:tcPr>
                  <w:tcW w:w="3776" w:type="pct"/>
                  <w:gridSpan w:val="2"/>
                  <w:vAlign w:val="center"/>
                </w:tcPr>
                <w:p w14:paraId="59A43FD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生产车间内东侧</w:t>
                  </w:r>
                  <w:r>
                    <w:rPr>
                      <w:rFonts w:hint="default" w:ascii="Times New Roman" w:hAnsi="Times New Roman" w:eastAsia="宋体" w:cs="Times New Roman"/>
                      <w:bCs/>
                      <w:color w:val="000000" w:themeColor="text1"/>
                      <w:sz w:val="21"/>
                      <w:szCs w:val="21"/>
                      <w14:textFill>
                        <w14:solidFill>
                          <w14:schemeClr w14:val="tx1"/>
                        </w14:solidFill>
                      </w14:textFill>
                    </w:rPr>
                    <w:t>，建筑面积约</w:t>
                  </w:r>
                  <w:r>
                    <w:rPr>
                      <w:rFonts w:hint="eastAsia" w:cs="Times New Roman"/>
                      <w:bCs/>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，用于放置</w:t>
                  </w:r>
                  <w:r>
                    <w:rPr>
                      <w:rFonts w:hint="eastAsia" w:cs="Times New Roman"/>
                      <w:bCs/>
                      <w:color w:val="000000" w:themeColor="text1"/>
                      <w:sz w:val="21"/>
                      <w:szCs w:val="21"/>
                      <w:lang w:val="en-US" w:eastAsia="zh-CN"/>
                      <w14:textFill>
                        <w14:solidFill>
                          <w14:schemeClr w14:val="tx1"/>
                        </w14:solidFill>
                      </w14:textFill>
                    </w:rPr>
                    <w:t>项目原料铁管材、铁板等原料</w:t>
                  </w:r>
                </w:p>
              </w:tc>
            </w:tr>
            <w:tr w14:paraId="58563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5C89E20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2BBDD0FC">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成品区</w:t>
                  </w:r>
                </w:p>
              </w:tc>
              <w:tc>
                <w:tcPr>
                  <w:tcW w:w="3776" w:type="pct"/>
                  <w:gridSpan w:val="2"/>
                  <w:vAlign w:val="center"/>
                </w:tcPr>
                <w:p w14:paraId="736BCEA0">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位于</w:t>
                  </w:r>
                  <w:r>
                    <w:rPr>
                      <w:rFonts w:hint="eastAsia" w:cs="Times New Roman"/>
                      <w:color w:val="000000" w:themeColor="text1"/>
                      <w:sz w:val="21"/>
                      <w:szCs w:val="21"/>
                      <w:lang w:val="en-US" w:eastAsia="zh-CN"/>
                      <w14:textFill>
                        <w14:solidFill>
                          <w14:schemeClr w14:val="tx1"/>
                        </w14:solidFill>
                      </w14:textFill>
                    </w:rPr>
                    <w:t>生产车间内西侧</w:t>
                  </w:r>
                  <w:r>
                    <w:rPr>
                      <w:rFonts w:hint="default" w:ascii="Times New Roman" w:hAnsi="Times New Roman" w:eastAsia="宋体" w:cs="Times New Roman"/>
                      <w:bCs/>
                      <w:color w:val="000000" w:themeColor="text1"/>
                      <w:sz w:val="21"/>
                      <w:szCs w:val="21"/>
                      <w14:textFill>
                        <w14:solidFill>
                          <w14:schemeClr w14:val="tx1"/>
                        </w14:solidFill>
                      </w14:textFill>
                    </w:rPr>
                    <w:t>，建筑面积约</w:t>
                  </w:r>
                  <w:r>
                    <w:rPr>
                      <w:rFonts w:hint="eastAsia" w:cs="Times New Roman"/>
                      <w:bCs/>
                      <w:color w:val="000000" w:themeColor="text1"/>
                      <w:sz w:val="21"/>
                      <w:szCs w:val="21"/>
                      <w:lang w:val="en-US" w:eastAsia="zh-CN"/>
                      <w14:textFill>
                        <w14:solidFill>
                          <w14:schemeClr w14:val="tx1"/>
                        </w14:solidFill>
                      </w14:textFill>
                    </w:rPr>
                    <w:t>200</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，用于放置</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成品</w:t>
                  </w:r>
                </w:p>
              </w:tc>
            </w:tr>
            <w:tr w14:paraId="3F1D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37C3D9A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2DB74A2A">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半成品区</w:t>
                  </w:r>
                </w:p>
              </w:tc>
              <w:tc>
                <w:tcPr>
                  <w:tcW w:w="3776" w:type="pct"/>
                  <w:gridSpan w:val="2"/>
                  <w:vAlign w:val="center"/>
                </w:tcPr>
                <w:p w14:paraId="6ECFE492">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位于喷塑线南侧，</w:t>
                  </w:r>
                  <w:r>
                    <w:rPr>
                      <w:rFonts w:hint="default" w:ascii="Times New Roman" w:hAnsi="Times New Roman" w:eastAsia="宋体" w:cs="Times New Roman"/>
                      <w:bCs/>
                      <w:color w:val="000000" w:themeColor="text1"/>
                      <w:sz w:val="21"/>
                      <w:szCs w:val="21"/>
                      <w14:textFill>
                        <w14:solidFill>
                          <w14:schemeClr w14:val="tx1"/>
                        </w14:solidFill>
                      </w14:textFill>
                    </w:rPr>
                    <w:t>建筑面积约</w:t>
                  </w:r>
                  <w:r>
                    <w:rPr>
                      <w:rFonts w:hint="eastAsia" w:cs="Times New Roman"/>
                      <w:bCs/>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，用于放置</w:t>
                  </w:r>
                  <w:r>
                    <w:rPr>
                      <w:rFonts w:hint="eastAsia" w:cs="Times New Roman"/>
                      <w:bCs/>
                      <w:color w:val="000000" w:themeColor="text1"/>
                      <w:sz w:val="21"/>
                      <w:szCs w:val="21"/>
                      <w:lang w:val="en-US" w:eastAsia="zh-CN"/>
                      <w14:textFill>
                        <w14:solidFill>
                          <w14:schemeClr w14:val="tx1"/>
                        </w14:solidFill>
                      </w14:textFill>
                    </w:rPr>
                    <w:t>各加工件的半</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成品</w:t>
                  </w:r>
                </w:p>
              </w:tc>
            </w:tr>
            <w:tr w14:paraId="0059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restart"/>
                  <w:vAlign w:val="center"/>
                </w:tcPr>
                <w:p w14:paraId="77B346ED">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公用工程</w:t>
                  </w:r>
                </w:p>
              </w:tc>
              <w:tc>
                <w:tcPr>
                  <w:tcW w:w="724" w:type="pct"/>
                  <w:vAlign w:val="center"/>
                </w:tcPr>
                <w:p w14:paraId="5BFF750E">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供水</w:t>
                  </w:r>
                </w:p>
              </w:tc>
              <w:tc>
                <w:tcPr>
                  <w:tcW w:w="3776" w:type="pct"/>
                  <w:gridSpan w:val="2"/>
                  <w:vAlign w:val="center"/>
                </w:tcPr>
                <w:p w14:paraId="3B328B7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由</w:t>
                  </w:r>
                  <w:r>
                    <w:rPr>
                      <w:rFonts w:hint="default" w:ascii="Times New Roman" w:hAnsi="Times New Roman" w:eastAsia="宋体" w:cs="Times New Roman"/>
                      <w:color w:val="000000" w:themeColor="text1"/>
                      <w:sz w:val="21"/>
                      <w:szCs w:val="21"/>
                      <w14:textFill>
                        <w14:solidFill>
                          <w14:schemeClr w14:val="tx1"/>
                        </w14:solidFill>
                      </w14:textFill>
                    </w:rPr>
                    <w:t>园区供</w:t>
                  </w:r>
                  <w:r>
                    <w:rPr>
                      <w:rFonts w:hint="default" w:ascii="Times New Roman" w:hAnsi="Times New Roman" w:eastAsia="宋体" w:cs="Times New Roman"/>
                      <w:bCs/>
                      <w:color w:val="000000" w:themeColor="text1"/>
                      <w:sz w:val="21"/>
                      <w:szCs w:val="21"/>
                      <w14:textFill>
                        <w14:solidFill>
                          <w14:schemeClr w14:val="tx1"/>
                        </w14:solidFill>
                      </w14:textFill>
                    </w:rPr>
                    <w:t>水管网接入厂内，用水量为</w:t>
                  </w:r>
                  <w:r>
                    <w:rPr>
                      <w:rFonts w:hint="eastAsia" w:cs="Times New Roman"/>
                      <w:bCs/>
                      <w:color w:val="000000" w:themeColor="text1"/>
                      <w:sz w:val="21"/>
                      <w:szCs w:val="21"/>
                      <w:lang w:val="en-US" w:eastAsia="zh-CN"/>
                      <w14:textFill>
                        <w14:solidFill>
                          <w14:schemeClr w14:val="tx1"/>
                        </w14:solidFill>
                      </w14:textFill>
                    </w:rPr>
                    <w:t>1434</w:t>
                  </w:r>
                  <w:r>
                    <w:rPr>
                      <w:rFonts w:hint="default" w:ascii="Times New Roman" w:hAnsi="Times New Roman" w:eastAsia="宋体" w:cs="Times New Roman"/>
                      <w:bCs/>
                      <w:color w:val="000000" w:themeColor="text1"/>
                      <w:sz w:val="21"/>
                      <w:szCs w:val="21"/>
                      <w14:textFill>
                        <w14:solidFill>
                          <w14:schemeClr w14:val="tx1"/>
                        </w14:solidFill>
                      </w14:textFill>
                    </w:rPr>
                    <w:t>t/a</w:t>
                  </w:r>
                </w:p>
              </w:tc>
            </w:tr>
            <w:tr w14:paraId="183D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050C102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554D31D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3776" w:type="pct"/>
                  <w:gridSpan w:val="2"/>
                  <w:vAlign w:val="center"/>
                </w:tcPr>
                <w:p w14:paraId="61F036C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项目区采用雨污分流。雨水进入雨水收集管网后进入</w:t>
                  </w:r>
                  <w:r>
                    <w:rPr>
                      <w:rFonts w:hint="eastAsia" w:cs="Times New Roman"/>
                      <w:color w:val="000000" w:themeColor="text1"/>
                      <w:sz w:val="21"/>
                      <w:szCs w:val="21"/>
                      <w:lang w:val="en-US" w:eastAsia="zh-CN"/>
                      <w14:textFill>
                        <w14:solidFill>
                          <w14:schemeClr w14:val="tx1"/>
                        </w14:solidFill>
                      </w14:textFill>
                    </w:rPr>
                    <w:t>泗县经济开发区</w:t>
                  </w:r>
                  <w:r>
                    <w:rPr>
                      <w:rFonts w:hint="default" w:ascii="Times New Roman" w:hAnsi="Times New Roman" w:eastAsia="宋体" w:cs="Times New Roman"/>
                      <w:color w:val="000000" w:themeColor="text1"/>
                      <w:sz w:val="21"/>
                      <w:szCs w:val="21"/>
                      <w14:textFill>
                        <w14:solidFill>
                          <w14:schemeClr w14:val="tx1"/>
                        </w14:solidFill>
                      </w14:textFill>
                    </w:rPr>
                    <w:t>雨水管网；</w:t>
                  </w:r>
                  <w:r>
                    <w:rPr>
                      <w:rFonts w:hint="default" w:ascii="Times New Roman" w:hAnsi="Times New Roman" w:eastAsia="宋体" w:cs="Times New Roman"/>
                      <w:bCs/>
                      <w:color w:val="000000" w:themeColor="text1"/>
                      <w:sz w:val="21"/>
                      <w:szCs w:val="21"/>
                      <w14:textFill>
                        <w14:solidFill>
                          <w14:schemeClr w14:val="tx1"/>
                        </w14:solidFill>
                      </w14:textFill>
                    </w:rPr>
                    <w:t>生活污水</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1008t/a</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经</w:t>
                  </w:r>
                  <w:r>
                    <w:rPr>
                      <w:rFonts w:hint="default" w:ascii="Times New Roman" w:hAnsi="Times New Roman" w:eastAsia="宋体" w:cs="Times New Roman"/>
                      <w:bCs/>
                      <w:color w:val="000000" w:themeColor="text1"/>
                      <w:sz w:val="21"/>
                      <w:szCs w:val="21"/>
                      <w14:textFill>
                        <w14:solidFill>
                          <w14:schemeClr w14:val="tx1"/>
                        </w14:solidFill>
                      </w14:textFill>
                    </w:rPr>
                    <w:t>化粪池处理</w:t>
                  </w:r>
                  <w:r>
                    <w:rPr>
                      <w:rFonts w:hint="eastAsia" w:cs="Times New Roman"/>
                      <w:bCs/>
                      <w:color w:val="000000" w:themeColor="text1"/>
                      <w:sz w:val="21"/>
                      <w:szCs w:val="21"/>
                      <w:lang w:val="en-US" w:eastAsia="zh-CN"/>
                      <w14:textFill>
                        <w14:solidFill>
                          <w14:schemeClr w14:val="tx1"/>
                        </w14:solidFill>
                      </w14:textFill>
                    </w:rPr>
                    <w:t>后</w:t>
                  </w:r>
                  <w:r>
                    <w:rPr>
                      <w:rFonts w:hint="default" w:ascii="Times New Roman" w:hAnsi="Times New Roman" w:eastAsia="宋体" w:cs="Times New Roman"/>
                      <w:bCs/>
                      <w:color w:val="000000" w:themeColor="text1"/>
                      <w:sz w:val="21"/>
                      <w:szCs w:val="21"/>
                      <w14:textFill>
                        <w14:solidFill>
                          <w14:schemeClr w14:val="tx1"/>
                        </w14:solidFill>
                      </w14:textFill>
                    </w:rPr>
                    <w:t>经</w:t>
                  </w:r>
                  <w:r>
                    <w:rPr>
                      <w:rFonts w:hint="eastAsia" w:cs="Times New Roman"/>
                      <w:bCs/>
                      <w:color w:val="000000" w:themeColor="text1"/>
                      <w:sz w:val="21"/>
                      <w:szCs w:val="21"/>
                      <w:lang w:val="en-US" w:eastAsia="zh-CN"/>
                      <w14:textFill>
                        <w14:solidFill>
                          <w14:schemeClr w14:val="tx1"/>
                        </w14:solidFill>
                      </w14:textFill>
                    </w:rPr>
                    <w:t>园区</w:t>
                  </w:r>
                  <w:r>
                    <w:rPr>
                      <w:rFonts w:hint="default" w:ascii="Times New Roman" w:hAnsi="Times New Roman" w:eastAsia="宋体" w:cs="Times New Roman"/>
                      <w:bCs/>
                      <w:color w:val="000000" w:themeColor="text1"/>
                      <w:sz w:val="21"/>
                      <w:szCs w:val="21"/>
                      <w14:textFill>
                        <w14:solidFill>
                          <w14:schemeClr w14:val="tx1"/>
                        </w14:solidFill>
                      </w14:textFill>
                    </w:rPr>
                    <w:t>污水管网排入</w:t>
                  </w:r>
                  <w:r>
                    <w:rPr>
                      <w:rFonts w:hint="eastAsia" w:cs="Times New Roman"/>
                      <w:bCs/>
                      <w:color w:val="000000" w:themeColor="text1"/>
                      <w:sz w:val="21"/>
                      <w:szCs w:val="21"/>
                      <w:lang w:val="en-US" w:eastAsia="zh-CN"/>
                      <w14:textFill>
                        <w14:solidFill>
                          <w14:schemeClr w14:val="tx1"/>
                        </w14:solidFill>
                      </w14:textFill>
                    </w:rPr>
                    <w:t>泗县工业</w:t>
                  </w:r>
                  <w:r>
                    <w:rPr>
                      <w:rFonts w:hint="default" w:ascii="Times New Roman" w:hAnsi="Times New Roman" w:eastAsia="宋体" w:cs="Times New Roman"/>
                      <w:bCs/>
                      <w:color w:val="000000" w:themeColor="text1"/>
                      <w:sz w:val="21"/>
                      <w:szCs w:val="21"/>
                      <w14:textFill>
                        <w14:solidFill>
                          <w14:schemeClr w14:val="tx1"/>
                        </w14:solidFill>
                      </w14:textFill>
                    </w:rPr>
                    <w:t>污水处理厂进一步处理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雨水管网和厂房外污水管网、化粪池依托强宇已建成</w:t>
                  </w:r>
                </w:p>
              </w:tc>
            </w:tr>
            <w:tr w14:paraId="0FD4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255F526D">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6B408F2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3776" w:type="pct"/>
                  <w:gridSpan w:val="2"/>
                  <w:vAlign w:val="center"/>
                </w:tcPr>
                <w:p w14:paraId="7CF60464">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园区电网供电，用电量为</w:t>
                  </w:r>
                  <w:r>
                    <w:rPr>
                      <w:rFonts w:hint="eastAsia" w:cs="Times New Roman"/>
                      <w:bCs/>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bCs/>
                      <w:color w:val="000000" w:themeColor="text1"/>
                      <w:sz w:val="21"/>
                      <w:szCs w:val="21"/>
                      <w14:textFill>
                        <w14:solidFill>
                          <w14:schemeClr w14:val="tx1"/>
                        </w14:solidFill>
                      </w14:textFill>
                    </w:rPr>
                    <w:t>万kW·h/a</w:t>
                  </w:r>
                </w:p>
              </w:tc>
            </w:tr>
            <w:tr w14:paraId="5F68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1D1929E2">
                  <w:pPr>
                    <w:jc w:val="center"/>
                    <w:rPr>
                      <w:rFonts w:hint="default" w:ascii="Times New Roman" w:hAnsi="Times New Roman" w:eastAsia="宋体" w:cs="Times New Roman"/>
                      <w:color w:val="000000" w:themeColor="text1"/>
                      <w:sz w:val="21"/>
                      <w:szCs w:val="21"/>
                      <w14:textFill>
                        <w14:solidFill>
                          <w14:schemeClr w14:val="tx1"/>
                        </w14:solidFill>
                      </w14:textFill>
                    </w:rPr>
                  </w:pPr>
                  <w:bookmarkStart w:id="37" w:name="OLE_LINK23" w:colFirst="0" w:colLast="0"/>
                </w:p>
              </w:tc>
              <w:tc>
                <w:tcPr>
                  <w:tcW w:w="724" w:type="pct"/>
                  <w:vAlign w:val="center"/>
                </w:tcPr>
                <w:p w14:paraId="428DDB51">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供热</w:t>
                  </w:r>
                </w:p>
              </w:tc>
              <w:tc>
                <w:tcPr>
                  <w:tcW w:w="3776" w:type="pct"/>
                  <w:gridSpan w:val="2"/>
                  <w:vAlign w:val="center"/>
                </w:tcPr>
                <w:p w14:paraId="339B65FB">
                  <w:pPr>
                    <w:jc w:val="center"/>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固化供热为燃烧天然气供热，年用天然气20万立方米/年</w:t>
                  </w:r>
                </w:p>
              </w:tc>
            </w:tr>
            <w:tr w14:paraId="4413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restart"/>
                  <w:vAlign w:val="center"/>
                </w:tcPr>
                <w:p w14:paraId="6C82299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环保工程</w:t>
                  </w:r>
                </w:p>
              </w:tc>
              <w:tc>
                <w:tcPr>
                  <w:tcW w:w="724" w:type="pct"/>
                  <w:vMerge w:val="restart"/>
                  <w:vAlign w:val="center"/>
                </w:tcPr>
                <w:p w14:paraId="7FE95F86">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废气处理</w:t>
                  </w:r>
                </w:p>
              </w:tc>
              <w:tc>
                <w:tcPr>
                  <w:tcW w:w="3776" w:type="pct"/>
                  <w:gridSpan w:val="2"/>
                  <w:vAlign w:val="center"/>
                </w:tcPr>
                <w:p w14:paraId="2400F82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下料产生的废气经收集后通过袋式除尘器（TA001）处理后经排气筒DA001排放</w:t>
                  </w:r>
                </w:p>
              </w:tc>
            </w:tr>
            <w:tr w14:paraId="2E95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283D28A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Merge w:val="continue"/>
                  <w:vAlign w:val="center"/>
                </w:tcPr>
                <w:p w14:paraId="7BAC3D59">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3776" w:type="pct"/>
                  <w:gridSpan w:val="2"/>
                  <w:vAlign w:val="center"/>
                </w:tcPr>
                <w:p w14:paraId="7AB018D2">
                  <w:pPr>
                    <w:adjustRightInd w:val="0"/>
                    <w:snapToGrid w:val="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喷塑产生的废气经收集后通过设备自带二级滤芯+自带旋风（TA002）处理后经排气筒DA002排放</w:t>
                  </w:r>
                </w:p>
              </w:tc>
            </w:tr>
            <w:tr w14:paraId="36E8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499" w:type="pct"/>
                  <w:vMerge w:val="continue"/>
                  <w:vAlign w:val="center"/>
                </w:tcPr>
                <w:p w14:paraId="3F6478AA">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Merge w:val="continue"/>
                  <w:vAlign w:val="center"/>
                </w:tcPr>
                <w:p w14:paraId="70AB5D93">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3776" w:type="pct"/>
                  <w:gridSpan w:val="2"/>
                  <w:vAlign w:val="center"/>
                </w:tcPr>
                <w:p w14:paraId="05B24700">
                  <w:pPr>
                    <w:adjustRightInd w:val="0"/>
                    <w:snapToGrid w:val="0"/>
                    <w:jc w:val="center"/>
                    <w:rPr>
                      <w:rFonts w:hint="default"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喷塑后固化工序产生的废气经收集后通过二级活性炭吸附装置（TA003）处理后经排气筒DA003排放；固化供热为燃烧天然气，燃烧废气经低氮燃烧器（TA004）源头控制后经排气筒DA003排放</w:t>
                  </w:r>
                </w:p>
              </w:tc>
            </w:tr>
            <w:tr w14:paraId="4E48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1B1C1393">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Merge w:val="continue"/>
                  <w:vAlign w:val="center"/>
                </w:tcPr>
                <w:p w14:paraId="1A81F63F">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3776" w:type="pct"/>
                  <w:gridSpan w:val="2"/>
                  <w:vAlign w:val="center"/>
                </w:tcPr>
                <w:p w14:paraId="121B2033">
                  <w:pPr>
                    <w:adjustRightInd w:val="0"/>
                    <w:snapToGrid w:val="0"/>
                    <w:jc w:val="center"/>
                    <w:rPr>
                      <w:rFonts w:hint="eastAsia" w:cs="Times New Roman"/>
                      <w:color w:val="0000FF"/>
                      <w:sz w:val="21"/>
                      <w:szCs w:val="21"/>
                      <w:lang w:val="en-US" w:eastAsia="zh-CN" w:bidi="ar"/>
                    </w:rPr>
                  </w:pPr>
                  <w:r>
                    <w:rPr>
                      <w:rFonts w:hint="eastAsia" w:cs="Times New Roman"/>
                      <w:color w:val="000000" w:themeColor="text1"/>
                      <w:sz w:val="21"/>
                      <w:szCs w:val="21"/>
                      <w:lang w:val="en-US" w:eastAsia="zh-CN" w:bidi="ar"/>
                      <w14:textFill>
                        <w14:solidFill>
                          <w14:schemeClr w14:val="tx1"/>
                        </w14:solidFill>
                      </w14:textFill>
                    </w:rPr>
                    <w:t>注塑工序产生的废气经收集后通过二级活性炭吸附装置（TA005）处理后经排气筒DA004排放</w:t>
                  </w:r>
                </w:p>
              </w:tc>
            </w:tr>
            <w:tr w14:paraId="0449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55918CFB">
                  <w:pPr>
                    <w:adjustRightInd w:val="0"/>
                    <w:snapToGrid w:val="0"/>
                    <w:jc w:val="center"/>
                  </w:pPr>
                </w:p>
              </w:tc>
              <w:tc>
                <w:tcPr>
                  <w:tcW w:w="724" w:type="pct"/>
                  <w:vMerge w:val="continue"/>
                  <w:vAlign w:val="center"/>
                </w:tcPr>
                <w:p w14:paraId="6196A49F">
                  <w:pPr>
                    <w:adjustRightInd w:val="0"/>
                    <w:snapToGrid w:val="0"/>
                    <w:jc w:val="center"/>
                  </w:pPr>
                </w:p>
              </w:tc>
              <w:tc>
                <w:tcPr>
                  <w:tcW w:w="3776" w:type="pct"/>
                  <w:gridSpan w:val="2"/>
                  <w:vAlign w:val="center"/>
                </w:tcPr>
                <w:p w14:paraId="3BFCF9DF">
                  <w:pPr>
                    <w:adjustRightInd w:val="0"/>
                    <w:snapToGrid w:val="0"/>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打磨、焊接工序产生的烟尘经移动式烟尘净化器处理后无组织排放；机加工工序、组装工序产生的少量非甲烷总烃经厂房通风后无组织排放</w:t>
                  </w:r>
                </w:p>
              </w:tc>
            </w:tr>
            <w:tr w14:paraId="12E9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2B5738E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23D3B4C1">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废水处理</w:t>
                  </w:r>
                </w:p>
              </w:tc>
              <w:tc>
                <w:tcPr>
                  <w:tcW w:w="3776" w:type="pct"/>
                  <w:gridSpan w:val="2"/>
                  <w:vAlign w:val="center"/>
                </w:tcPr>
                <w:p w14:paraId="04ECDCD4">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生活污水</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1008t/a</w:t>
                  </w:r>
                  <w:r>
                    <w:rPr>
                      <w:rFonts w:hint="eastAsia" w:cs="Times New Roman"/>
                      <w:bCs/>
                      <w:color w:val="000000" w:themeColor="text1"/>
                      <w:sz w:val="21"/>
                      <w:szCs w:val="21"/>
                      <w:lang w:eastAsia="zh-CN"/>
                      <w14:textFill>
                        <w14:solidFill>
                          <w14:schemeClr w14:val="tx1"/>
                        </w14:solidFill>
                      </w14:textFill>
                    </w:rPr>
                    <w:t>）</w:t>
                  </w:r>
                  <w:r>
                    <w:rPr>
                      <w:rFonts w:hint="eastAsia" w:cs="Times New Roman"/>
                      <w:bCs/>
                      <w:color w:val="000000" w:themeColor="text1"/>
                      <w:sz w:val="21"/>
                      <w:szCs w:val="21"/>
                      <w:lang w:val="en-US" w:eastAsia="zh-CN"/>
                      <w14:textFill>
                        <w14:solidFill>
                          <w14:schemeClr w14:val="tx1"/>
                        </w14:solidFill>
                      </w14:textFill>
                    </w:rPr>
                    <w:t>经</w:t>
                  </w:r>
                  <w:r>
                    <w:rPr>
                      <w:rFonts w:hint="default" w:ascii="Times New Roman" w:hAnsi="Times New Roman" w:eastAsia="宋体" w:cs="Times New Roman"/>
                      <w:bCs/>
                      <w:color w:val="000000" w:themeColor="text1"/>
                      <w:sz w:val="21"/>
                      <w:szCs w:val="21"/>
                      <w14:textFill>
                        <w14:solidFill>
                          <w14:schemeClr w14:val="tx1"/>
                        </w14:solidFill>
                      </w14:textFill>
                    </w:rPr>
                    <w:t>化粪池处理</w:t>
                  </w:r>
                  <w:r>
                    <w:rPr>
                      <w:rFonts w:hint="eastAsia" w:cs="Times New Roman"/>
                      <w:bCs/>
                      <w:color w:val="000000" w:themeColor="text1"/>
                      <w:sz w:val="21"/>
                      <w:szCs w:val="21"/>
                      <w:lang w:val="en-US" w:eastAsia="zh-CN"/>
                      <w14:textFill>
                        <w14:solidFill>
                          <w14:schemeClr w14:val="tx1"/>
                        </w14:solidFill>
                      </w14:textFill>
                    </w:rPr>
                    <w:t>后</w:t>
                  </w:r>
                  <w:r>
                    <w:rPr>
                      <w:rFonts w:hint="default" w:ascii="Times New Roman" w:hAnsi="Times New Roman" w:eastAsia="宋体" w:cs="Times New Roman"/>
                      <w:bCs/>
                      <w:color w:val="000000" w:themeColor="text1"/>
                      <w:sz w:val="21"/>
                      <w:szCs w:val="21"/>
                      <w14:textFill>
                        <w14:solidFill>
                          <w14:schemeClr w14:val="tx1"/>
                        </w14:solidFill>
                      </w14:textFill>
                    </w:rPr>
                    <w:t>经</w:t>
                  </w:r>
                  <w:r>
                    <w:rPr>
                      <w:rFonts w:hint="eastAsia" w:cs="Times New Roman"/>
                      <w:bCs/>
                      <w:color w:val="000000" w:themeColor="text1"/>
                      <w:sz w:val="21"/>
                      <w:szCs w:val="21"/>
                      <w:lang w:val="en-US" w:eastAsia="zh-CN"/>
                      <w14:textFill>
                        <w14:solidFill>
                          <w14:schemeClr w14:val="tx1"/>
                        </w14:solidFill>
                      </w14:textFill>
                    </w:rPr>
                    <w:t>园区</w:t>
                  </w:r>
                  <w:r>
                    <w:rPr>
                      <w:rFonts w:hint="default" w:ascii="Times New Roman" w:hAnsi="Times New Roman" w:eastAsia="宋体" w:cs="Times New Roman"/>
                      <w:bCs/>
                      <w:color w:val="000000" w:themeColor="text1"/>
                      <w:sz w:val="21"/>
                      <w:szCs w:val="21"/>
                      <w14:textFill>
                        <w14:solidFill>
                          <w14:schemeClr w14:val="tx1"/>
                        </w14:solidFill>
                      </w14:textFill>
                    </w:rPr>
                    <w:t>污水管网排入</w:t>
                  </w:r>
                  <w:r>
                    <w:rPr>
                      <w:rFonts w:hint="eastAsia" w:cs="Times New Roman"/>
                      <w:bCs/>
                      <w:color w:val="000000" w:themeColor="text1"/>
                      <w:sz w:val="21"/>
                      <w:szCs w:val="21"/>
                      <w:lang w:val="en-US" w:eastAsia="zh-CN"/>
                      <w14:textFill>
                        <w14:solidFill>
                          <w14:schemeClr w14:val="tx1"/>
                        </w14:solidFill>
                      </w14:textFill>
                    </w:rPr>
                    <w:t>泗县工业</w:t>
                  </w:r>
                  <w:r>
                    <w:rPr>
                      <w:rFonts w:hint="default" w:ascii="Times New Roman" w:hAnsi="Times New Roman" w:eastAsia="宋体" w:cs="Times New Roman"/>
                      <w:bCs/>
                      <w:color w:val="000000" w:themeColor="text1"/>
                      <w:sz w:val="21"/>
                      <w:szCs w:val="21"/>
                      <w14:textFill>
                        <w14:solidFill>
                          <w14:schemeClr w14:val="tx1"/>
                        </w14:solidFill>
                      </w14:textFill>
                    </w:rPr>
                    <w:t>污水处理厂进一步处理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厂房外污水管网、化粪池依托强宇已建成</w:t>
                  </w:r>
                </w:p>
              </w:tc>
            </w:tr>
            <w:tr w14:paraId="3EE7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57DE73F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64DFF636">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噪声处理</w:t>
                  </w:r>
                </w:p>
              </w:tc>
              <w:tc>
                <w:tcPr>
                  <w:tcW w:w="3776" w:type="pct"/>
                  <w:gridSpan w:val="2"/>
                  <w:vAlign w:val="center"/>
                </w:tcPr>
                <w:p w14:paraId="6AEE484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14:textFill>
                        <w14:solidFill>
                          <w14:schemeClr w14:val="tx1"/>
                        </w14:solidFill>
                      </w14:textFill>
                    </w:rPr>
                    <w:t>设备均设置在室内，合理布局；选用低噪声设备，并安装减振垫</w:t>
                  </w:r>
                  <w:r>
                    <w:rPr>
                      <w:rFonts w:hint="eastAsia" w:cs="Times New Roman"/>
                      <w:color w:val="000000" w:themeColor="text1"/>
                      <w:sz w:val="21"/>
                      <w:szCs w:val="21"/>
                      <w:lang w:val="en-US" w:eastAsia="zh-CN"/>
                      <w14:textFill>
                        <w14:solidFill>
                          <w14:schemeClr w14:val="tx1"/>
                        </w14:solidFill>
                      </w14:textFill>
                    </w:rPr>
                    <w:t>等措施</w:t>
                  </w:r>
                </w:p>
              </w:tc>
            </w:tr>
            <w:tr w14:paraId="0E3A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545F6C4B">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Merge w:val="restart"/>
                  <w:vAlign w:val="center"/>
                </w:tcPr>
                <w:p w14:paraId="1700D88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固废处理</w:t>
                  </w:r>
                </w:p>
              </w:tc>
              <w:tc>
                <w:tcPr>
                  <w:tcW w:w="3776" w:type="pct"/>
                  <w:gridSpan w:val="2"/>
                  <w:vAlign w:val="center"/>
                </w:tcPr>
                <w:p w14:paraId="50D6401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一般固废暂存</w:t>
                  </w:r>
                  <w:r>
                    <w:rPr>
                      <w:rFonts w:hint="eastAsia" w:cs="Times New Roman"/>
                      <w:b w:val="0"/>
                      <w:bCs w:val="0"/>
                      <w:color w:val="000000" w:themeColor="text1"/>
                      <w:sz w:val="21"/>
                      <w:szCs w:val="21"/>
                      <w:lang w:val="en-US" w:eastAsia="zh-CN"/>
                      <w14:textFill>
                        <w14:solidFill>
                          <w14:schemeClr w14:val="tx1"/>
                        </w14:solidFill>
                      </w14:textFill>
                    </w:rPr>
                    <w:t>区</w:t>
                  </w:r>
                  <w:r>
                    <w:rPr>
                      <w:rFonts w:hint="default" w:ascii="Times New Roman" w:hAnsi="Times New Roman" w:eastAsia="宋体" w:cs="Times New Roman"/>
                      <w:b w:val="0"/>
                      <w:bCs w:val="0"/>
                      <w:color w:val="000000" w:themeColor="text1"/>
                      <w:sz w:val="21"/>
                      <w:szCs w:val="21"/>
                      <w14:textFill>
                        <w14:solidFill>
                          <w14:schemeClr w14:val="tx1"/>
                        </w14:solidFill>
                      </w14:textFill>
                    </w:rPr>
                    <w:t>位于</w:t>
                  </w:r>
                  <w:r>
                    <w:rPr>
                      <w:rFonts w:hint="eastAsia" w:cs="Times New Roman"/>
                      <w:b w:val="0"/>
                      <w:bCs w:val="0"/>
                      <w:color w:val="000000" w:themeColor="text1"/>
                      <w:sz w:val="21"/>
                      <w:szCs w:val="21"/>
                      <w:lang w:val="en-US" w:eastAsia="zh-CN"/>
                      <w14:textFill>
                        <w14:solidFill>
                          <w14:schemeClr w14:val="tx1"/>
                        </w14:solidFill>
                      </w14:textFill>
                    </w:rPr>
                    <w:t>焊接区东南侧，</w:t>
                  </w:r>
                  <w:r>
                    <w:rPr>
                      <w:rFonts w:hint="default" w:ascii="Times New Roman" w:hAnsi="Times New Roman" w:eastAsia="宋体" w:cs="Times New Roman"/>
                      <w:b w:val="0"/>
                      <w:bCs w:val="0"/>
                      <w:color w:val="000000" w:themeColor="text1"/>
                      <w:sz w:val="21"/>
                      <w:szCs w:val="21"/>
                      <w14:textFill>
                        <w14:solidFill>
                          <w14:schemeClr w14:val="tx1"/>
                        </w14:solidFill>
                      </w14:textFill>
                    </w:rPr>
                    <w:t>建筑面积约</w:t>
                  </w:r>
                  <w:r>
                    <w:rPr>
                      <w:rFonts w:hint="eastAsia" w:cs="Times New Roman"/>
                      <w:b w:val="0"/>
                      <w:bCs w:val="0"/>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2</w:t>
                  </w:r>
                  <w:r>
                    <w:rPr>
                      <w:rFonts w:hint="eastAsia" w:cs="Times New Roman"/>
                      <w:b w:val="0"/>
                      <w:bCs w:val="0"/>
                      <w:color w:val="000000" w:themeColor="text1"/>
                      <w:sz w:val="21"/>
                      <w:szCs w:val="21"/>
                      <w:vertAlign w:val="baseline"/>
                      <w:lang w:eastAsia="zh-CN"/>
                      <w14:textFill>
                        <w14:solidFill>
                          <w14:schemeClr w14:val="tx1"/>
                        </w14:solidFill>
                      </w14:textFill>
                    </w:rPr>
                    <w:t>，</w:t>
                  </w:r>
                  <w:r>
                    <w:rPr>
                      <w:rFonts w:hint="eastAsia" w:cs="Times New Roman"/>
                      <w:b w:val="0"/>
                      <w:bCs w:val="0"/>
                      <w:color w:val="000000" w:themeColor="text1"/>
                      <w:sz w:val="21"/>
                      <w:szCs w:val="21"/>
                      <w:vertAlign w:val="baseline"/>
                      <w:lang w:val="en-US" w:eastAsia="zh-CN"/>
                      <w14:textFill>
                        <w14:solidFill>
                          <w14:schemeClr w14:val="tx1"/>
                        </w14:solidFill>
                      </w14:textFill>
                    </w:rPr>
                    <w:t>一般固废暂存在一般固废暂存区，分类收集，分类处置</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14:paraId="0654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77F1919E">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Merge w:val="continue"/>
                  <w:vAlign w:val="center"/>
                </w:tcPr>
                <w:p w14:paraId="1611D1B7">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76" w:type="pct"/>
                  <w:gridSpan w:val="2"/>
                  <w:vAlign w:val="center"/>
                </w:tcPr>
                <w:p w14:paraId="74BAB9F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危险废物暂存间位于</w:t>
                  </w:r>
                  <w:r>
                    <w:rPr>
                      <w:rFonts w:hint="eastAsia" w:cs="Times New Roman"/>
                      <w:b w:val="0"/>
                      <w:bCs w:val="0"/>
                      <w:color w:val="000000" w:themeColor="text1"/>
                      <w:sz w:val="21"/>
                      <w:szCs w:val="21"/>
                      <w:lang w:val="en-US" w:eastAsia="zh-CN"/>
                      <w14:textFill>
                        <w14:solidFill>
                          <w14:schemeClr w14:val="tx1"/>
                        </w14:solidFill>
                      </w14:textFill>
                    </w:rPr>
                    <w:t>生产车间东北角</w:t>
                  </w:r>
                  <w:r>
                    <w:rPr>
                      <w:rFonts w:hint="default" w:ascii="Times New Roman" w:hAnsi="Times New Roman" w:eastAsia="宋体" w:cs="Times New Roman"/>
                      <w:bCs/>
                      <w:color w:val="000000" w:themeColor="text1"/>
                      <w:sz w:val="21"/>
                      <w:szCs w:val="21"/>
                      <w14:textFill>
                        <w14:solidFill>
                          <w14:schemeClr w14:val="tx1"/>
                        </w14:solidFill>
                      </w14:textFill>
                    </w:rPr>
                    <w:t>，建筑面积约</w:t>
                  </w:r>
                  <w:r>
                    <w:rPr>
                      <w:rFonts w:hint="eastAsia" w:cs="Times New Roman"/>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危险废物暂存间采取必要的防风、防晒、防雨、防漏、防渗、防腐以及其他环境污染防治措施</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设置相关标识标牌</w:t>
                  </w:r>
                </w:p>
              </w:tc>
            </w:tr>
            <w:tr w14:paraId="6C5C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35BA46F4">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Merge w:val="continue"/>
                  <w:vAlign w:val="center"/>
                </w:tcPr>
                <w:p w14:paraId="462246CB">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76" w:type="pct"/>
                  <w:gridSpan w:val="2"/>
                  <w:vAlign w:val="center"/>
                </w:tcPr>
                <w:p w14:paraId="2EDBD1B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生活垃圾：定点设置垃圾桶</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收集后由市政环卫部门统一处理</w:t>
                  </w:r>
                </w:p>
              </w:tc>
            </w:tr>
            <w:tr w14:paraId="5FCD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11CFE90C">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6B083840">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地下水、土壤污染防治措施</w:t>
                  </w:r>
                </w:p>
              </w:tc>
              <w:tc>
                <w:tcPr>
                  <w:tcW w:w="3776" w:type="pct"/>
                  <w:gridSpan w:val="2"/>
                  <w:vAlign w:val="center"/>
                </w:tcPr>
                <w:p w14:paraId="111CDDD8">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分区防渗：</w:t>
                  </w:r>
                </w:p>
                <w:p w14:paraId="3705707D">
                  <w:pPr>
                    <w:pStyle w:val="116"/>
                    <w:numPr>
                      <w:ilvl w:val="0"/>
                      <w:numId w:val="0"/>
                    </w:numPr>
                    <w:jc w:val="left"/>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kern w:val="0"/>
                      <w:sz w:val="21"/>
                      <w:szCs w:val="21"/>
                      <w:lang w:val="en-US" w:eastAsia="zh-CN" w:bidi="ar-SA"/>
                      <w14:textFill>
                        <w14:solidFill>
                          <w14:schemeClr w14:val="tx1"/>
                        </w14:solidFill>
                      </w14:textFill>
                    </w:rPr>
                    <w:t>重点防渗区：危险废物暂存间、辅料区、清洗区</w:t>
                  </w:r>
                </w:p>
                <w:p w14:paraId="456B60AB">
                  <w:pPr>
                    <w:pStyle w:val="116"/>
                    <w:numPr>
                      <w:ilvl w:val="0"/>
                      <w:numId w:val="0"/>
                    </w:num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en-US" w:bidi="ar-SA"/>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危险废物暂存间重点防渗</w:t>
                  </w:r>
                  <w:r>
                    <w:rPr>
                      <w:rFonts w:hint="default" w:ascii="Times New Roman" w:hAnsi="Times New Roman" w:eastAsia="宋体" w:cs="Times New Roman"/>
                      <w:color w:val="000000" w:themeColor="text1"/>
                      <w:sz w:val="21"/>
                      <w:szCs w:val="21"/>
                      <w14:textFill>
                        <w14:solidFill>
                          <w14:schemeClr w14:val="tx1"/>
                        </w14:solidFill>
                      </w14:textFill>
                    </w:rPr>
                    <w:t>，防渗层为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cm/s），或其他防渗性能等效的材料</w:t>
                  </w:r>
                </w:p>
                <w:p w14:paraId="1343975E">
                  <w:pPr>
                    <w:pStyle w:val="116"/>
                    <w:numPr>
                      <w:ilvl w:val="0"/>
                      <w:numId w:val="0"/>
                    </w:numPr>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辅料区、清洗区均</w:t>
                  </w:r>
                  <w:r>
                    <w:rPr>
                      <w:rFonts w:hint="default" w:ascii="Times New Roman" w:hAnsi="Times New Roman" w:eastAsia="宋体" w:cs="Times New Roman"/>
                      <w:b/>
                      <w:bCs/>
                      <w:color w:val="000000" w:themeColor="text1"/>
                      <w:sz w:val="21"/>
                      <w:szCs w:val="21"/>
                      <w14:textFill>
                        <w14:solidFill>
                          <w14:schemeClr w14:val="tx1"/>
                        </w14:solidFill>
                      </w14:textFill>
                    </w:rPr>
                    <w:t>重点防渗</w:t>
                  </w:r>
                  <w:r>
                    <w:rPr>
                      <w:rFonts w:hint="default" w:ascii="Times New Roman" w:hAnsi="Times New Roman" w:eastAsia="宋体" w:cs="Times New Roman"/>
                      <w:color w:val="000000" w:themeColor="text1"/>
                      <w:sz w:val="21"/>
                      <w:szCs w:val="21"/>
                      <w14:textFill>
                        <w14:solidFill>
                          <w14:schemeClr w14:val="tx1"/>
                        </w14:solidFill>
                      </w14:textFill>
                    </w:rPr>
                    <w:t>，等效黏土防渗层Mb≥6.0m，K≤1.0×10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cm/s；或参照GB 18598执行</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54E4B62">
                  <w:pPr>
                    <w:pStyle w:val="116"/>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生产</w:t>
                  </w:r>
                  <w:r>
                    <w:rPr>
                      <w:rFonts w:hint="eastAsia" w:ascii="Times New Roman" w:hAnsi="Times New Roman" w:cs="Times New Roman"/>
                      <w:b/>
                      <w:bCs/>
                      <w:color w:val="000000" w:themeColor="text1"/>
                      <w:sz w:val="21"/>
                      <w:szCs w:val="21"/>
                      <w:lang w:val="en-US" w:eastAsia="zh-CN"/>
                      <w14:textFill>
                        <w14:solidFill>
                          <w14:schemeClr w14:val="tx1"/>
                        </w14:solidFill>
                      </w14:textFill>
                    </w:rPr>
                    <w:t>车间其他区域</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一般固废暂存间划等一般防渗</w:t>
                  </w:r>
                  <w:r>
                    <w:rPr>
                      <w:rFonts w:hint="default" w:ascii="Times New Roman" w:hAnsi="Times New Roman" w:eastAsia="宋体" w:cs="Times New Roman"/>
                      <w:color w:val="000000" w:themeColor="text1"/>
                      <w:sz w:val="21"/>
                      <w:szCs w:val="21"/>
                      <w14:textFill>
                        <w14:solidFill>
                          <w14:schemeClr w14:val="tx1"/>
                        </w14:solidFill>
                      </w14:textFill>
                    </w:rPr>
                    <w:t>：等效黏土防水层Mb≥1.5m，K≤1.0×10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或参照GB 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6889</w:t>
                  </w:r>
                  <w:r>
                    <w:rPr>
                      <w:rFonts w:hint="default" w:ascii="Times New Roman" w:hAnsi="Times New Roman" w:eastAsia="宋体" w:cs="Times New Roman"/>
                      <w:color w:val="000000" w:themeColor="text1"/>
                      <w:sz w:val="21"/>
                      <w:szCs w:val="21"/>
                      <w14:textFill>
                        <w14:solidFill>
                          <w14:schemeClr w14:val="tx1"/>
                        </w14:solidFill>
                      </w14:textFill>
                    </w:rPr>
                    <w:t>执行</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9E11112">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办公</w:t>
                  </w:r>
                  <w:r>
                    <w:rPr>
                      <w:rFonts w:hint="eastAsia" w:cs="Times New Roman"/>
                      <w:b/>
                      <w:bCs/>
                      <w:color w:val="000000" w:themeColor="text1"/>
                      <w:sz w:val="21"/>
                      <w:szCs w:val="21"/>
                      <w:lang w:val="en-US" w:eastAsia="zh-CN"/>
                      <w14:textFill>
                        <w14:solidFill>
                          <w14:schemeClr w14:val="tx1"/>
                        </w14:solidFill>
                      </w14:textFill>
                    </w:rPr>
                    <w:t>区等为</w:t>
                  </w:r>
                  <w:r>
                    <w:rPr>
                      <w:rFonts w:hint="default" w:ascii="Times New Roman" w:hAnsi="Times New Roman" w:eastAsia="宋体" w:cs="Times New Roman"/>
                      <w:b/>
                      <w:bCs/>
                      <w:color w:val="000000" w:themeColor="text1"/>
                      <w:sz w:val="21"/>
                      <w:szCs w:val="21"/>
                      <w14:textFill>
                        <w14:solidFill>
                          <w14:schemeClr w14:val="tx1"/>
                        </w14:solidFill>
                      </w14:textFill>
                    </w:rPr>
                    <w:t>简单防渗</w:t>
                  </w:r>
                  <w:r>
                    <w:rPr>
                      <w:rFonts w:hint="default" w:ascii="Times New Roman" w:hAnsi="Times New Roman" w:eastAsia="宋体" w:cs="Times New Roman"/>
                      <w:color w:val="000000" w:themeColor="text1"/>
                      <w:sz w:val="21"/>
                      <w:szCs w:val="21"/>
                      <w14:textFill>
                        <w14:solidFill>
                          <w14:schemeClr w14:val="tx1"/>
                        </w14:solidFill>
                      </w14:textFill>
                    </w:rPr>
                    <w:t>：一般地面硬化</w:t>
                  </w:r>
                </w:p>
              </w:tc>
            </w:tr>
            <w:tr w14:paraId="1F09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pct"/>
                  <w:vMerge w:val="continue"/>
                  <w:vAlign w:val="center"/>
                </w:tcPr>
                <w:p w14:paraId="4AFD13A4">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4" w:type="pct"/>
                  <w:vAlign w:val="center"/>
                </w:tcPr>
                <w:p w14:paraId="35FE4F3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环境风险防范措施</w:t>
                  </w:r>
                </w:p>
              </w:tc>
              <w:tc>
                <w:tcPr>
                  <w:tcW w:w="3776" w:type="pct"/>
                  <w:gridSpan w:val="2"/>
                  <w:shd w:val="clear" w:color="auto" w:fill="auto"/>
                  <w:vAlign w:val="center"/>
                </w:tcPr>
                <w:p w14:paraId="65CF7E9C">
                  <w:pPr>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rPr>
                    <w:t>原辅料按相关要求贮存，明确贮存注意事项并要求专人负责看管</w:t>
                  </w:r>
                  <w:r>
                    <w:rPr>
                      <w:color w:val="000000"/>
                      <w:sz w:val="21"/>
                      <w:szCs w:val="21"/>
                    </w:rPr>
                    <w:t>。定期对生产设施、包装设施以及相应环保设施等进行安全状况检查，危废暂存间</w:t>
                  </w:r>
                  <w:r>
                    <w:rPr>
                      <w:rFonts w:hint="eastAsia"/>
                      <w:color w:val="000000"/>
                      <w:sz w:val="21"/>
                      <w:szCs w:val="21"/>
                      <w:lang w:eastAsia="zh-CN"/>
                    </w:rPr>
                    <w:t>、</w:t>
                  </w:r>
                  <w:r>
                    <w:rPr>
                      <w:rFonts w:hint="eastAsia"/>
                      <w:color w:val="000000"/>
                      <w:sz w:val="21"/>
                      <w:szCs w:val="21"/>
                      <w:lang w:val="en-US" w:eastAsia="zh-CN"/>
                    </w:rPr>
                    <w:t>辅料区、清洗区</w:t>
                  </w:r>
                  <w:r>
                    <w:rPr>
                      <w:color w:val="000000"/>
                      <w:sz w:val="21"/>
                      <w:szCs w:val="21"/>
                    </w:rPr>
                    <w:t>等应进行防渗、防泄漏措施；车间内配置相应的消防设备、设施、防毒、灭火物资等消防、安全设施；制定严格的运行操作规章制度，发生火灾、爆炸事故后，灭火的同时疏散周边无关人员；制定应急预案等</w:t>
                  </w:r>
                </w:p>
              </w:tc>
            </w:tr>
            <w:bookmarkEnd w:id="37"/>
          </w:tbl>
          <w:p w14:paraId="76AF23D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2、产品方案、</w:t>
            </w:r>
            <w:r>
              <w:rPr>
                <w:b/>
                <w:color w:val="000000" w:themeColor="text1"/>
                <w14:textFill>
                  <w14:solidFill>
                    <w14:schemeClr w14:val="tx1"/>
                  </w14:solidFill>
                </w14:textFill>
              </w:rPr>
              <w:t>生产规模及产品规格</w:t>
            </w:r>
          </w:p>
          <w:p w14:paraId="3899BC88">
            <w:pPr>
              <w:autoSpaceDE w:val="0"/>
              <w:autoSpaceDN w:val="0"/>
              <w:adjustRightInd w:val="0"/>
              <w:spacing w:line="360" w:lineRule="auto"/>
              <w:ind w:firstLine="480"/>
              <w:rPr>
                <w:b/>
                <w:color w:val="000000" w:themeColor="text1"/>
                <w14:textFill>
                  <w14:solidFill>
                    <w14:schemeClr w14:val="tx1"/>
                  </w14:solidFill>
                </w14:textFill>
              </w:rPr>
            </w:pPr>
            <w:r>
              <w:rPr>
                <w:color w:val="000000" w:themeColor="text1"/>
                <w14:textFill>
                  <w14:solidFill>
                    <w14:schemeClr w14:val="tx1"/>
                  </w14:solidFill>
                </w14:textFill>
              </w:rPr>
              <w:t>项目建成后产品主要为</w:t>
            </w:r>
            <w:r>
              <w:rPr>
                <w:rFonts w:hint="eastAsia"/>
                <w:color w:val="000000" w:themeColor="text1"/>
                <w:lang w:val="en-US" w:eastAsia="zh-CN"/>
                <w14:textFill>
                  <w14:solidFill>
                    <w14:schemeClr w14:val="tx1"/>
                  </w14:solidFill>
                </w14:textFill>
              </w:rPr>
              <w:t>麻将机配件</w:t>
            </w:r>
            <w:r>
              <w:rPr>
                <w:color w:val="000000" w:themeColor="text1"/>
                <w14:textFill>
                  <w14:solidFill>
                    <w14:schemeClr w14:val="tx1"/>
                  </w14:solidFill>
                </w14:textFill>
              </w:rPr>
              <w:t>，具体见下表</w:t>
            </w:r>
            <w:r>
              <w:rPr>
                <w:bCs/>
                <w:color w:val="000000" w:themeColor="text1"/>
                <w14:textFill>
                  <w14:solidFill>
                    <w14:schemeClr w14:val="tx1"/>
                  </w14:solidFill>
                </w14:textFill>
              </w:rPr>
              <w:t>。</w:t>
            </w:r>
          </w:p>
          <w:p w14:paraId="15155436">
            <w:pPr>
              <w:pStyle w:val="88"/>
              <w:spacing w:before="0" w:beforeAutospacing="0" w:after="0" w:afterAutospacing="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表2</w:t>
            </w:r>
            <w:r>
              <w:rPr>
                <w:rFonts w:hint="eastAsia" w:ascii="Times New Roman" w:hAnsi="Times New Roman" w:cs="Times New Roman"/>
                <w:b/>
                <w:color w:val="000000" w:themeColor="text1"/>
                <w:lang w:val="en-US" w:eastAsia="zh-CN"/>
                <w14:textFill>
                  <w14:solidFill>
                    <w14:schemeClr w14:val="tx1"/>
                  </w14:solidFill>
                </w14:textFill>
              </w:rPr>
              <w:t>-2</w:t>
            </w:r>
            <w:r>
              <w:rPr>
                <w:rFonts w:ascii="Times New Roman" w:hAnsi="Times New Roman" w:cs="Times New Roman"/>
                <w:b/>
                <w:color w:val="000000" w:themeColor="text1"/>
                <w14:textFill>
                  <w14:solidFill>
                    <w14:schemeClr w14:val="tx1"/>
                  </w14:solidFill>
                </w14:textFill>
              </w:rPr>
              <w:t xml:space="preserve">  项目产品方案一览表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825"/>
              <w:gridCol w:w="857"/>
              <w:gridCol w:w="2728"/>
              <w:gridCol w:w="1794"/>
            </w:tblGrid>
            <w:tr w14:paraId="1E50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0" w:type="pct"/>
                  <w:vAlign w:val="center"/>
                </w:tcPr>
                <w:p w14:paraId="3F4D7804">
                  <w:pPr>
                    <w:pStyle w:val="8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产品名称</w:t>
                  </w:r>
                </w:p>
              </w:tc>
              <w:tc>
                <w:tcPr>
                  <w:tcW w:w="517" w:type="pct"/>
                  <w:vAlign w:val="center"/>
                </w:tcPr>
                <w:p w14:paraId="1A020B98">
                  <w:pPr>
                    <w:pStyle w:val="89"/>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p>
              </w:tc>
              <w:tc>
                <w:tcPr>
                  <w:tcW w:w="537" w:type="pct"/>
                  <w:vAlign w:val="center"/>
                </w:tcPr>
                <w:p w14:paraId="29155136">
                  <w:pPr>
                    <w:pStyle w:val="8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单位</w:t>
                  </w:r>
                </w:p>
              </w:tc>
              <w:tc>
                <w:tcPr>
                  <w:tcW w:w="1710" w:type="pct"/>
                  <w:vAlign w:val="center"/>
                </w:tcPr>
                <w:p w14:paraId="59613D66">
                  <w:pPr>
                    <w:pStyle w:val="89"/>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尺寸</w:t>
                  </w:r>
                </w:p>
              </w:tc>
              <w:tc>
                <w:tcPr>
                  <w:tcW w:w="1124" w:type="pct"/>
                  <w:vAlign w:val="center"/>
                </w:tcPr>
                <w:p w14:paraId="31C3E6A9">
                  <w:pPr>
                    <w:pStyle w:val="89"/>
                    <w:keepNext w:val="0"/>
                    <w:keepLines w:val="0"/>
                    <w:pageBreakBefore w:val="0"/>
                    <w:widowControl w:val="0"/>
                    <w:kinsoku/>
                    <w:wordWrap/>
                    <w:overflowPunct/>
                    <w:topLinePunct w:val="0"/>
                    <w:autoSpaceDE/>
                    <w:autoSpaceDN/>
                    <w:bidi w:val="0"/>
                    <w:spacing w:line="240" w:lineRule="auto"/>
                    <w:textAlignment w:val="auto"/>
                    <w:rPr>
                      <w:rFonts w:hint="default"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备注</w:t>
                  </w:r>
                </w:p>
              </w:tc>
            </w:tr>
            <w:tr w14:paraId="4C222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0" w:type="pct"/>
                  <w:shd w:val="clear" w:color="auto" w:fill="auto"/>
                  <w:vAlign w:val="center"/>
                </w:tcPr>
                <w:p w14:paraId="6D7D132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auto"/>
                      <w:sz w:val="21"/>
                      <w:szCs w:val="21"/>
                      <w:lang w:val="en-US" w:eastAsia="zh-CN"/>
                    </w:rPr>
                    <w:t>麻将机折叠脚</w:t>
                  </w:r>
                </w:p>
              </w:tc>
              <w:tc>
                <w:tcPr>
                  <w:tcW w:w="517" w:type="pct"/>
                  <w:vAlign w:val="center"/>
                </w:tcPr>
                <w:p w14:paraId="7255F33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25万</w:t>
                  </w:r>
                </w:p>
              </w:tc>
              <w:tc>
                <w:tcPr>
                  <w:tcW w:w="537" w:type="pct"/>
                  <w:vAlign w:val="center"/>
                </w:tcPr>
                <w:p w14:paraId="43441819">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套/年</w:t>
                  </w:r>
                </w:p>
              </w:tc>
              <w:tc>
                <w:tcPr>
                  <w:tcW w:w="1710" w:type="pct"/>
                  <w:vAlign w:val="center"/>
                </w:tcPr>
                <w:p w14:paraId="4C8BFCD7">
                  <w:pPr>
                    <w:jc w:val="center"/>
                    <w:rPr>
                      <w:rFonts w:hint="default" w:cs="Times New Roman"/>
                      <w:b w:val="0"/>
                      <w:bCs w:val="0"/>
                      <w:color w:val="000000" w:themeColor="text1"/>
                      <w:sz w:val="21"/>
                      <w:szCs w:val="21"/>
                      <w:lang w:val="en-US" w:eastAsia="zh-CN"/>
                      <w14:textFill>
                        <w14:solidFill>
                          <w14:schemeClr w14:val="tx1"/>
                        </w14:solidFill>
                      </w14:textFill>
                    </w:rPr>
                  </w:pPr>
                  <w:r>
                    <w:rPr>
                      <w:rFonts w:hint="eastAsia" w:eastAsia="宋体"/>
                      <w:kern w:val="0"/>
                      <w:sz w:val="21"/>
                      <w:szCs w:val="21"/>
                      <w:lang w:val="en-US" w:eastAsia="zh-CN" w:bidi="ar"/>
                    </w:rPr>
                    <w:t>（底座）0.5m*0.5m+（支撑）0.125m*0.125m*0.4</w:t>
                  </w:r>
                  <w:r>
                    <w:rPr>
                      <w:rFonts w:hint="eastAsia"/>
                      <w:kern w:val="0"/>
                      <w:sz w:val="21"/>
                      <w:szCs w:val="21"/>
                      <w:lang w:val="en-US" w:eastAsia="zh-CN" w:bidi="ar"/>
                    </w:rPr>
                    <w:t>m</w:t>
                  </w:r>
                </w:p>
              </w:tc>
              <w:tc>
                <w:tcPr>
                  <w:tcW w:w="1124" w:type="pct"/>
                  <w:vAlign w:val="center"/>
                </w:tcPr>
                <w:p w14:paraId="3BF0E634">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外售，需喷塑</w:t>
                  </w:r>
                </w:p>
              </w:tc>
            </w:tr>
            <w:tr w14:paraId="4C5E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0" w:type="pct"/>
                  <w:shd w:val="clear" w:color="auto" w:fill="auto"/>
                  <w:vAlign w:val="center"/>
                </w:tcPr>
                <w:p w14:paraId="610F818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麻将机餐桌脚</w:t>
                  </w:r>
                </w:p>
              </w:tc>
              <w:tc>
                <w:tcPr>
                  <w:tcW w:w="517" w:type="pct"/>
                  <w:vAlign w:val="center"/>
                </w:tcPr>
                <w:p w14:paraId="54A77B3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25万</w:t>
                  </w:r>
                </w:p>
              </w:tc>
              <w:tc>
                <w:tcPr>
                  <w:tcW w:w="537" w:type="pct"/>
                  <w:vAlign w:val="center"/>
                </w:tcPr>
                <w:p w14:paraId="4CC6D381">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套/年</w:t>
                  </w:r>
                </w:p>
              </w:tc>
              <w:tc>
                <w:tcPr>
                  <w:tcW w:w="1710" w:type="pct"/>
                  <w:vAlign w:val="center"/>
                </w:tcPr>
                <w:p w14:paraId="4FF38F9A">
                  <w:pPr>
                    <w:jc w:val="center"/>
                    <w:rPr>
                      <w:rFonts w:hint="eastAsia" w:cs="Times New Roman"/>
                      <w:b w:val="0"/>
                      <w:bCs w:val="0"/>
                      <w:color w:val="000000" w:themeColor="text1"/>
                      <w:sz w:val="21"/>
                      <w:szCs w:val="21"/>
                      <w:lang w:val="en-US" w:eastAsia="zh-CN"/>
                      <w14:textFill>
                        <w14:solidFill>
                          <w14:schemeClr w14:val="tx1"/>
                        </w14:solidFill>
                      </w14:textFill>
                    </w:rPr>
                  </w:pPr>
                  <w:r>
                    <w:rPr>
                      <w:rFonts w:hint="eastAsia"/>
                      <w:kern w:val="0"/>
                      <w:sz w:val="21"/>
                      <w:szCs w:val="21"/>
                      <w:lang w:val="en-US" w:eastAsia="zh-CN" w:bidi="ar"/>
                    </w:rPr>
                    <w:t>（1套4个桌腿）单个桌腿φ0.1m×0.7m</w:t>
                  </w:r>
                </w:p>
              </w:tc>
              <w:tc>
                <w:tcPr>
                  <w:tcW w:w="1124" w:type="pct"/>
                  <w:vAlign w:val="center"/>
                </w:tcPr>
                <w:p w14:paraId="13477257">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外售，需喷塑</w:t>
                  </w:r>
                </w:p>
              </w:tc>
            </w:tr>
            <w:tr w14:paraId="2560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0" w:type="pct"/>
                  <w:shd w:val="clear" w:color="auto" w:fill="auto"/>
                  <w:vAlign w:val="center"/>
                </w:tcPr>
                <w:p w14:paraId="059E622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auto"/>
                      <w:sz w:val="21"/>
                      <w:szCs w:val="21"/>
                      <w:lang w:val="en-US" w:eastAsia="zh-CN"/>
                    </w:rPr>
                    <w:t>麻将机铁板</w:t>
                  </w:r>
                </w:p>
              </w:tc>
              <w:tc>
                <w:tcPr>
                  <w:tcW w:w="517" w:type="pct"/>
                  <w:shd w:val="clear" w:color="auto" w:fill="auto"/>
                  <w:vAlign w:val="center"/>
                </w:tcPr>
                <w:p w14:paraId="7637F0F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25万</w:t>
                  </w:r>
                </w:p>
              </w:tc>
              <w:tc>
                <w:tcPr>
                  <w:tcW w:w="537" w:type="pct"/>
                  <w:shd w:val="clear" w:color="auto" w:fill="auto"/>
                  <w:vAlign w:val="center"/>
                </w:tcPr>
                <w:p w14:paraId="13856533">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张/年</w:t>
                  </w:r>
                </w:p>
              </w:tc>
              <w:tc>
                <w:tcPr>
                  <w:tcW w:w="1710" w:type="pct"/>
                  <w:shd w:val="clear" w:color="auto" w:fill="auto"/>
                  <w:vAlign w:val="center"/>
                </w:tcPr>
                <w:p w14:paraId="74D8C493">
                  <w:pPr>
                    <w:jc w:val="center"/>
                    <w:rPr>
                      <w:rFonts w:hint="eastAsia" w:cs="Times New Roman"/>
                      <w:b w:val="0"/>
                      <w:bCs w:val="0"/>
                      <w:color w:val="000000" w:themeColor="text1"/>
                      <w:kern w:val="0"/>
                      <w:sz w:val="21"/>
                      <w:szCs w:val="21"/>
                      <w:lang w:val="en-US" w:eastAsia="zh-CN" w:bidi="ar"/>
                      <w14:textFill>
                        <w14:solidFill>
                          <w14:schemeClr w14:val="tx1"/>
                        </w14:solidFill>
                      </w14:textFill>
                    </w:rPr>
                  </w:pPr>
                  <w:r>
                    <w:rPr>
                      <w:rFonts w:hint="eastAsia"/>
                      <w:kern w:val="0"/>
                      <w:sz w:val="21"/>
                      <w:szCs w:val="21"/>
                      <w:lang w:val="en-US" w:eastAsia="zh-CN" w:bidi="ar"/>
                    </w:rPr>
                    <w:t>1m*1m</w:t>
                  </w:r>
                </w:p>
              </w:tc>
              <w:tc>
                <w:tcPr>
                  <w:tcW w:w="1124" w:type="pct"/>
                  <w:shd w:val="clear" w:color="auto" w:fill="auto"/>
                  <w:vAlign w:val="center"/>
                </w:tcPr>
                <w:p w14:paraId="5F20DB74">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外售，需喷塑</w:t>
                  </w:r>
                </w:p>
              </w:tc>
            </w:tr>
            <w:tr w14:paraId="6722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0" w:type="pct"/>
                  <w:shd w:val="clear" w:color="auto" w:fill="auto"/>
                  <w:vAlign w:val="center"/>
                </w:tcPr>
                <w:p w14:paraId="138D8944">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麻将机玻璃茶几</w:t>
                  </w:r>
                </w:p>
              </w:tc>
              <w:tc>
                <w:tcPr>
                  <w:tcW w:w="517" w:type="pct"/>
                  <w:shd w:val="clear" w:color="auto" w:fill="auto"/>
                  <w:vAlign w:val="center"/>
                </w:tcPr>
                <w:p w14:paraId="52134338">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25万</w:t>
                  </w:r>
                </w:p>
              </w:tc>
              <w:tc>
                <w:tcPr>
                  <w:tcW w:w="537" w:type="pct"/>
                  <w:shd w:val="clear" w:color="auto" w:fill="auto"/>
                  <w:vAlign w:val="center"/>
                </w:tcPr>
                <w:p w14:paraId="49D2D71D">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套/年</w:t>
                  </w:r>
                </w:p>
              </w:tc>
              <w:tc>
                <w:tcPr>
                  <w:tcW w:w="1710" w:type="pct"/>
                  <w:shd w:val="clear" w:color="auto" w:fill="auto"/>
                  <w:vAlign w:val="center"/>
                </w:tcPr>
                <w:p w14:paraId="0CA77CD7">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kern w:val="0"/>
                      <w:sz w:val="21"/>
                      <w:szCs w:val="21"/>
                      <w:lang w:val="en-US" w:eastAsia="zh-CN" w:bidi="ar"/>
                      <w14:textFill>
                        <w14:solidFill>
                          <w14:schemeClr w14:val="tx1"/>
                        </w14:solidFill>
                      </w14:textFill>
                    </w:rPr>
                    <w:t>0.5m*0.5m*0.5m</w:t>
                  </w:r>
                </w:p>
              </w:tc>
              <w:tc>
                <w:tcPr>
                  <w:tcW w:w="1124" w:type="pct"/>
                  <w:shd w:val="clear" w:color="auto" w:fill="auto"/>
                  <w:vAlign w:val="center"/>
                </w:tcPr>
                <w:p w14:paraId="52FCC235">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外售，无需喷塑</w:t>
                  </w:r>
                </w:p>
              </w:tc>
            </w:tr>
          </w:tbl>
          <w:p w14:paraId="3720853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lang w:val="en-US" w:eastAsia="zh-CN"/>
              </w:rPr>
            </w:pPr>
            <w:r>
              <w:rPr>
                <w:rFonts w:hint="eastAsia"/>
                <w:lang w:val="en-US" w:eastAsia="zh-CN"/>
              </w:rPr>
              <w:t>项目产品方案图片如下所示：</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9"/>
              <w:gridCol w:w="3916"/>
            </w:tblGrid>
            <w:tr w14:paraId="75E3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8" w:type="dxa"/>
                  <w:vAlign w:val="center"/>
                </w:tcPr>
                <w:p w14:paraId="1E5DC67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drawing>
                      <wp:inline distT="0" distB="0" distL="114300" distR="114300">
                        <wp:extent cx="2581275" cy="2190115"/>
                        <wp:effectExtent l="0" t="0" r="9525" b="63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1"/>
                                <a:stretch>
                                  <a:fillRect/>
                                </a:stretch>
                              </pic:blipFill>
                              <pic:spPr>
                                <a:xfrm>
                                  <a:off x="0" y="0"/>
                                  <a:ext cx="2581275" cy="2190115"/>
                                </a:xfrm>
                                <a:prstGeom prst="rect">
                                  <a:avLst/>
                                </a:prstGeom>
                                <a:noFill/>
                                <a:ln>
                                  <a:noFill/>
                                </a:ln>
                              </pic:spPr>
                            </pic:pic>
                          </a:graphicData>
                        </a:graphic>
                      </wp:inline>
                    </w:drawing>
                  </w:r>
                </w:p>
              </w:tc>
              <w:tc>
                <w:tcPr>
                  <w:tcW w:w="4119" w:type="dxa"/>
                  <w:vAlign w:val="center"/>
                </w:tcPr>
                <w:p w14:paraId="2783605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drawing>
                      <wp:inline distT="0" distB="0" distL="114300" distR="114300">
                        <wp:extent cx="2494915" cy="1964690"/>
                        <wp:effectExtent l="0" t="0" r="635" b="1651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2"/>
                                <a:stretch>
                                  <a:fillRect/>
                                </a:stretch>
                              </pic:blipFill>
                              <pic:spPr>
                                <a:xfrm>
                                  <a:off x="0" y="0"/>
                                  <a:ext cx="2494915" cy="1964690"/>
                                </a:xfrm>
                                <a:prstGeom prst="rect">
                                  <a:avLst/>
                                </a:prstGeom>
                                <a:noFill/>
                                <a:ln>
                                  <a:noFill/>
                                </a:ln>
                              </pic:spPr>
                            </pic:pic>
                          </a:graphicData>
                        </a:graphic>
                      </wp:inline>
                    </w:drawing>
                  </w:r>
                </w:p>
              </w:tc>
            </w:tr>
            <w:tr w14:paraId="12A0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8" w:type="dxa"/>
                  <w:vAlign w:val="center"/>
                </w:tcPr>
                <w:p w14:paraId="5C980D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color w:val="auto"/>
                      <w:sz w:val="21"/>
                      <w:szCs w:val="21"/>
                      <w:lang w:val="en-US" w:eastAsia="zh-CN"/>
                    </w:rPr>
                    <w:t>麻将机铁板、折叠脚</w:t>
                  </w:r>
                </w:p>
              </w:tc>
              <w:tc>
                <w:tcPr>
                  <w:tcW w:w="4119" w:type="dxa"/>
                  <w:vAlign w:val="center"/>
                </w:tcPr>
                <w:p w14:paraId="09E8B52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rFonts w:hint="eastAsia" w:cs="Times New Roman"/>
                      <w:color w:val="auto"/>
                      <w:sz w:val="21"/>
                      <w:szCs w:val="21"/>
                      <w:lang w:val="en-US" w:eastAsia="zh-CN"/>
                    </w:rPr>
                    <w:t>麻将机餐桌脚</w:t>
                  </w:r>
                </w:p>
              </w:tc>
            </w:tr>
          </w:tbl>
          <w:p w14:paraId="462811A7">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color w:val="000000" w:themeColor="text1"/>
                <w14:textFill>
                  <w14:solidFill>
                    <w14:schemeClr w14:val="tx1"/>
                  </w14:solidFill>
                </w14:textFill>
              </w:rPr>
            </w:pPr>
            <w:r>
              <w:rPr>
                <w:b/>
                <w:bCs/>
                <w:color w:val="000000" w:themeColor="text1"/>
                <w:kern w:val="0"/>
                <w14:textFill>
                  <w14:solidFill>
                    <w14:schemeClr w14:val="tx1"/>
                  </w14:solidFill>
                </w14:textFill>
              </w:rPr>
              <w:t>3、主要设备</w:t>
            </w:r>
          </w:p>
          <w:p w14:paraId="3AA55108">
            <w:pPr>
              <w:autoSpaceDE w:val="0"/>
              <w:autoSpaceDN w:val="0"/>
              <w:adjustRightInd w:val="0"/>
              <w:snapToGrid w:val="0"/>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项目生产过程用到的生产设备见下表所示：</w:t>
            </w:r>
          </w:p>
          <w:p w14:paraId="61402197">
            <w:pPr>
              <w:pStyle w:val="9"/>
              <w:bidi w:val="0"/>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3  建设项目主要生产设备一览表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489"/>
              <w:gridCol w:w="2098"/>
              <w:gridCol w:w="1526"/>
              <w:gridCol w:w="1767"/>
            </w:tblGrid>
            <w:tr w14:paraId="2F62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noWrap w:val="0"/>
                  <w:vAlign w:val="center"/>
                </w:tcPr>
                <w:p w14:paraId="0A121D0B">
                  <w:pPr>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主要生产单元</w:t>
                  </w:r>
                </w:p>
              </w:tc>
              <w:tc>
                <w:tcPr>
                  <w:tcW w:w="933" w:type="pct"/>
                  <w:noWrap w:val="0"/>
                  <w:vAlign w:val="center"/>
                </w:tcPr>
                <w:p w14:paraId="3CA9A48B">
                  <w:pPr>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主要工艺</w:t>
                  </w:r>
                </w:p>
              </w:tc>
              <w:tc>
                <w:tcPr>
                  <w:tcW w:w="1315" w:type="pct"/>
                  <w:noWrap w:val="0"/>
                  <w:vAlign w:val="center"/>
                </w:tcPr>
                <w:p w14:paraId="7BBDAA8A">
                  <w:pPr>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生产设施</w:t>
                  </w:r>
                </w:p>
              </w:tc>
              <w:tc>
                <w:tcPr>
                  <w:tcW w:w="956" w:type="pct"/>
                  <w:noWrap w:val="0"/>
                  <w:vAlign w:val="center"/>
                </w:tcPr>
                <w:p w14:paraId="5008D34F">
                  <w:pPr>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数量（台/条）</w:t>
                  </w:r>
                </w:p>
              </w:tc>
              <w:tc>
                <w:tcPr>
                  <w:tcW w:w="1107" w:type="pct"/>
                  <w:noWrap w:val="0"/>
                  <w:vAlign w:val="center"/>
                </w:tcPr>
                <w:p w14:paraId="47FA5763">
                  <w:pPr>
                    <w:jc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规格/型号/参数</w:t>
                  </w:r>
                </w:p>
              </w:tc>
            </w:tr>
            <w:tr w14:paraId="08BF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noWrap w:val="0"/>
                  <w:vAlign w:val="center"/>
                </w:tcPr>
                <w:p w14:paraId="787B356C">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下料</w:t>
                  </w:r>
                </w:p>
              </w:tc>
              <w:tc>
                <w:tcPr>
                  <w:tcW w:w="933" w:type="pct"/>
                  <w:vMerge w:val="restart"/>
                  <w:noWrap w:val="0"/>
                  <w:vAlign w:val="center"/>
                </w:tcPr>
                <w:p w14:paraId="07EC4014">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切割</w:t>
                  </w:r>
                </w:p>
              </w:tc>
              <w:tc>
                <w:tcPr>
                  <w:tcW w:w="1315" w:type="pct"/>
                  <w:shd w:val="clear" w:color="auto" w:fill="auto"/>
                  <w:noWrap w:val="0"/>
                  <w:vAlign w:val="center"/>
                </w:tcPr>
                <w:p w14:paraId="646D43C9">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激光切管机</w:t>
                  </w:r>
                </w:p>
              </w:tc>
              <w:tc>
                <w:tcPr>
                  <w:tcW w:w="956" w:type="pct"/>
                  <w:noWrap w:val="0"/>
                  <w:vAlign w:val="center"/>
                </w:tcPr>
                <w:p w14:paraId="2B927587">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1107" w:type="pct"/>
                  <w:noWrap w:val="0"/>
                  <w:vAlign w:val="center"/>
                </w:tcPr>
                <w:p w14:paraId="100DFA57">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功率：</w:t>
                  </w:r>
                  <w:r>
                    <w:rPr>
                      <w:rFonts w:hint="eastAsia" w:ascii="Times New Roman" w:hAnsi="Times New Roman" w:eastAsia="宋体" w:cs="Times New Roman"/>
                      <w:b w:val="0"/>
                      <w:bCs/>
                      <w:color w:val="auto"/>
                      <w:sz w:val="21"/>
                      <w:szCs w:val="21"/>
                      <w:lang w:val="en-US" w:eastAsia="zh-CN"/>
                    </w:rPr>
                    <w:t>3KW</w:t>
                  </w:r>
                </w:p>
              </w:tc>
            </w:tr>
            <w:tr w14:paraId="6080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4D45F019">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302DDF23">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7A435F2B">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激光切板机</w:t>
                  </w:r>
                </w:p>
              </w:tc>
              <w:tc>
                <w:tcPr>
                  <w:tcW w:w="956" w:type="pct"/>
                  <w:noWrap w:val="0"/>
                  <w:vAlign w:val="center"/>
                </w:tcPr>
                <w:p w14:paraId="2494B1D6">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0A335D93">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功率：</w:t>
                  </w:r>
                  <w:r>
                    <w:rPr>
                      <w:rFonts w:hint="eastAsia" w:ascii="Times New Roman" w:hAnsi="Times New Roman" w:eastAsia="宋体" w:cs="Times New Roman"/>
                      <w:b w:val="0"/>
                      <w:bCs/>
                      <w:color w:val="auto"/>
                      <w:sz w:val="21"/>
                      <w:szCs w:val="21"/>
                      <w:lang w:val="en-US" w:eastAsia="zh-CN"/>
                    </w:rPr>
                    <w:t>3KW</w:t>
                  </w:r>
                </w:p>
              </w:tc>
            </w:tr>
            <w:tr w14:paraId="6B58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44A842D5">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473050D4">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50D77A25">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手动切管机</w:t>
                  </w:r>
                </w:p>
              </w:tc>
              <w:tc>
                <w:tcPr>
                  <w:tcW w:w="956" w:type="pct"/>
                  <w:noWrap w:val="0"/>
                  <w:vAlign w:val="center"/>
                </w:tcPr>
                <w:p w14:paraId="33942676">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1107" w:type="pct"/>
                  <w:noWrap w:val="0"/>
                  <w:vAlign w:val="center"/>
                </w:tcPr>
                <w:p w14:paraId="02C2E95A">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型号：</w:t>
                  </w:r>
                  <w:r>
                    <w:rPr>
                      <w:rFonts w:hint="eastAsia" w:ascii="Times New Roman" w:hAnsi="Times New Roman" w:eastAsia="宋体" w:cs="Times New Roman"/>
                      <w:b w:val="0"/>
                      <w:bCs/>
                      <w:color w:val="auto"/>
                      <w:sz w:val="21"/>
                      <w:szCs w:val="21"/>
                      <w:lang w:val="en-US" w:eastAsia="zh-CN"/>
                    </w:rPr>
                    <w:t>315#</w:t>
                  </w:r>
                </w:p>
              </w:tc>
            </w:tr>
            <w:tr w14:paraId="096F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576FC130">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36002C1C">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76AF25FF">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自动切管机</w:t>
                  </w:r>
                </w:p>
              </w:tc>
              <w:tc>
                <w:tcPr>
                  <w:tcW w:w="956" w:type="pct"/>
                  <w:noWrap w:val="0"/>
                  <w:vAlign w:val="center"/>
                </w:tcPr>
                <w:p w14:paraId="254584C6">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6EA38A98">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型号：</w:t>
                  </w:r>
                  <w:r>
                    <w:rPr>
                      <w:rFonts w:hint="eastAsia" w:ascii="Times New Roman" w:hAnsi="Times New Roman" w:eastAsia="宋体" w:cs="Times New Roman"/>
                      <w:b w:val="0"/>
                      <w:bCs/>
                      <w:color w:val="auto"/>
                      <w:sz w:val="21"/>
                      <w:szCs w:val="21"/>
                      <w:lang w:val="en-US" w:eastAsia="zh-CN"/>
                    </w:rPr>
                    <w:t>350#</w:t>
                  </w:r>
                </w:p>
              </w:tc>
            </w:tr>
            <w:tr w14:paraId="54CF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noWrap w:val="0"/>
                  <w:vAlign w:val="center"/>
                </w:tcPr>
                <w:p w14:paraId="38BAA114">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机加工</w:t>
                  </w:r>
                </w:p>
              </w:tc>
              <w:tc>
                <w:tcPr>
                  <w:tcW w:w="933" w:type="pct"/>
                  <w:vMerge w:val="restart"/>
                  <w:noWrap w:val="0"/>
                  <w:vAlign w:val="center"/>
                </w:tcPr>
                <w:p w14:paraId="61A44DE4">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冲压</w:t>
                  </w:r>
                </w:p>
              </w:tc>
              <w:tc>
                <w:tcPr>
                  <w:tcW w:w="1315" w:type="pct"/>
                  <w:shd w:val="clear" w:color="auto" w:fill="auto"/>
                  <w:noWrap w:val="0"/>
                  <w:vAlign w:val="center"/>
                </w:tcPr>
                <w:p w14:paraId="6D4F6E08">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冲床</w:t>
                  </w:r>
                </w:p>
              </w:tc>
              <w:tc>
                <w:tcPr>
                  <w:tcW w:w="956" w:type="pct"/>
                  <w:noWrap w:val="0"/>
                  <w:vAlign w:val="center"/>
                </w:tcPr>
                <w:p w14:paraId="0B62117F">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w:t>
                  </w:r>
                </w:p>
              </w:tc>
              <w:tc>
                <w:tcPr>
                  <w:tcW w:w="1107" w:type="pct"/>
                  <w:noWrap w:val="0"/>
                  <w:vAlign w:val="center"/>
                </w:tcPr>
                <w:p w14:paraId="48C43CFF">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16t</w:t>
                  </w:r>
                </w:p>
              </w:tc>
            </w:tr>
            <w:tr w14:paraId="7182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5F1C53FB">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55C45C3D">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7C26DD43">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冲床</w:t>
                  </w:r>
                </w:p>
              </w:tc>
              <w:tc>
                <w:tcPr>
                  <w:tcW w:w="956" w:type="pct"/>
                  <w:noWrap w:val="0"/>
                  <w:vAlign w:val="center"/>
                </w:tcPr>
                <w:p w14:paraId="6331A645">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p>
              </w:tc>
              <w:tc>
                <w:tcPr>
                  <w:tcW w:w="1107" w:type="pct"/>
                  <w:noWrap w:val="0"/>
                  <w:vAlign w:val="center"/>
                </w:tcPr>
                <w:p w14:paraId="45CAC3F1">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35t</w:t>
                  </w:r>
                </w:p>
              </w:tc>
            </w:tr>
            <w:tr w14:paraId="5343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2B05CD2A">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5C7245B5">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03EF9216">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冲床</w:t>
                  </w:r>
                </w:p>
              </w:tc>
              <w:tc>
                <w:tcPr>
                  <w:tcW w:w="956" w:type="pct"/>
                  <w:noWrap w:val="0"/>
                  <w:vAlign w:val="center"/>
                </w:tcPr>
                <w:p w14:paraId="0D8B1F5A">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c>
                <w:tcPr>
                  <w:tcW w:w="1107" w:type="pct"/>
                  <w:noWrap w:val="0"/>
                  <w:vAlign w:val="center"/>
                </w:tcPr>
                <w:p w14:paraId="472FAAED">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80t</w:t>
                  </w:r>
                </w:p>
              </w:tc>
            </w:tr>
            <w:tr w14:paraId="603A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3F5A173A">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16056A0F">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4A32AC30">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冲床</w:t>
                  </w:r>
                </w:p>
              </w:tc>
              <w:tc>
                <w:tcPr>
                  <w:tcW w:w="956" w:type="pct"/>
                  <w:noWrap w:val="0"/>
                  <w:vAlign w:val="center"/>
                </w:tcPr>
                <w:p w14:paraId="0A49EE82">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w:t>
                  </w:r>
                </w:p>
              </w:tc>
              <w:tc>
                <w:tcPr>
                  <w:tcW w:w="1107" w:type="pct"/>
                  <w:noWrap w:val="0"/>
                  <w:vAlign w:val="center"/>
                </w:tcPr>
                <w:p w14:paraId="6D0106E9">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120t</w:t>
                  </w:r>
                </w:p>
              </w:tc>
            </w:tr>
            <w:tr w14:paraId="2CA9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36E805D4">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37B46320">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64D5BA13">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冲床</w:t>
                  </w:r>
                </w:p>
              </w:tc>
              <w:tc>
                <w:tcPr>
                  <w:tcW w:w="956" w:type="pct"/>
                  <w:noWrap w:val="0"/>
                  <w:vAlign w:val="center"/>
                </w:tcPr>
                <w:p w14:paraId="6A3D0886">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107" w:type="pct"/>
                  <w:noWrap w:val="0"/>
                  <w:vAlign w:val="center"/>
                </w:tcPr>
                <w:p w14:paraId="228CEBF4">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200t</w:t>
                  </w:r>
                </w:p>
              </w:tc>
            </w:tr>
            <w:tr w14:paraId="3857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605088EE">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2D49448A">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0C1C314D">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液压机</w:t>
                  </w:r>
                </w:p>
              </w:tc>
              <w:tc>
                <w:tcPr>
                  <w:tcW w:w="956" w:type="pct"/>
                  <w:noWrap w:val="0"/>
                  <w:vAlign w:val="center"/>
                </w:tcPr>
                <w:p w14:paraId="332AF4D7">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359379F9">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315t</w:t>
                  </w:r>
                </w:p>
              </w:tc>
            </w:tr>
            <w:tr w14:paraId="6857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16C3CED9">
                  <w:pPr>
                    <w:jc w:val="center"/>
                    <w:rPr>
                      <w:rFonts w:hint="eastAsia" w:ascii="Times New Roman" w:hAnsi="Times New Roman" w:eastAsia="宋体" w:cs="Times New Roman"/>
                      <w:b w:val="0"/>
                      <w:bCs/>
                      <w:color w:val="auto"/>
                      <w:sz w:val="21"/>
                      <w:szCs w:val="21"/>
                      <w:lang w:val="en-US" w:eastAsia="zh-CN"/>
                    </w:rPr>
                  </w:pPr>
                </w:p>
              </w:tc>
              <w:tc>
                <w:tcPr>
                  <w:tcW w:w="933" w:type="pct"/>
                  <w:vMerge w:val="restart"/>
                  <w:noWrap w:val="0"/>
                  <w:vAlign w:val="center"/>
                </w:tcPr>
                <w:p w14:paraId="43F808B2">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折弯</w:t>
                  </w:r>
                </w:p>
              </w:tc>
              <w:tc>
                <w:tcPr>
                  <w:tcW w:w="1315" w:type="pct"/>
                  <w:shd w:val="clear" w:color="auto" w:fill="auto"/>
                  <w:noWrap w:val="0"/>
                  <w:vAlign w:val="center"/>
                </w:tcPr>
                <w:p w14:paraId="59896B3B">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折弯机</w:t>
                  </w:r>
                </w:p>
              </w:tc>
              <w:tc>
                <w:tcPr>
                  <w:tcW w:w="956" w:type="pct"/>
                  <w:noWrap w:val="0"/>
                  <w:vAlign w:val="center"/>
                </w:tcPr>
                <w:p w14:paraId="47BE091B">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422867F0">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30t</w:t>
                  </w:r>
                </w:p>
              </w:tc>
            </w:tr>
            <w:tr w14:paraId="2263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76DEBD47">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51AC96F0">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7F98392E">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折弯机</w:t>
                  </w:r>
                </w:p>
              </w:tc>
              <w:tc>
                <w:tcPr>
                  <w:tcW w:w="956" w:type="pct"/>
                  <w:noWrap w:val="0"/>
                  <w:vAlign w:val="center"/>
                </w:tcPr>
                <w:p w14:paraId="6CBDB067">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71E7F54D">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60t</w:t>
                  </w:r>
                </w:p>
              </w:tc>
            </w:tr>
            <w:tr w14:paraId="0171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6EA9B0CC">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00EAF194">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08306B1A">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折弯机</w:t>
                  </w:r>
                </w:p>
              </w:tc>
              <w:tc>
                <w:tcPr>
                  <w:tcW w:w="956" w:type="pct"/>
                  <w:noWrap w:val="0"/>
                  <w:vAlign w:val="center"/>
                </w:tcPr>
                <w:p w14:paraId="2CD928B6">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5ED96043">
                  <w:pPr>
                    <w:jc w:val="center"/>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100t</w:t>
                  </w:r>
                </w:p>
              </w:tc>
            </w:tr>
            <w:tr w14:paraId="4B04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64D6CEC6">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29A91202">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722DFBEF">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弯管机</w:t>
                  </w:r>
                </w:p>
              </w:tc>
              <w:tc>
                <w:tcPr>
                  <w:tcW w:w="956" w:type="pct"/>
                  <w:noWrap w:val="0"/>
                  <w:vAlign w:val="center"/>
                </w:tcPr>
                <w:p w14:paraId="1E82C8E4">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107" w:type="pct"/>
                  <w:noWrap w:val="0"/>
                  <w:vAlign w:val="center"/>
                </w:tcPr>
                <w:p w14:paraId="550018E1">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型号：</w:t>
                  </w:r>
                  <w:r>
                    <w:rPr>
                      <w:rFonts w:hint="eastAsia" w:ascii="Times New Roman" w:hAnsi="Times New Roman" w:eastAsia="宋体" w:cs="Times New Roman"/>
                      <w:b w:val="0"/>
                      <w:bCs/>
                      <w:color w:val="auto"/>
                      <w:sz w:val="21"/>
                      <w:szCs w:val="21"/>
                      <w:lang w:val="en-US" w:eastAsia="zh-CN"/>
                    </w:rPr>
                    <w:t>100#</w:t>
                  </w:r>
                </w:p>
              </w:tc>
            </w:tr>
            <w:tr w14:paraId="1640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noWrap w:val="0"/>
                  <w:vAlign w:val="center"/>
                </w:tcPr>
                <w:p w14:paraId="084AC795">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焊接</w:t>
                  </w:r>
                </w:p>
              </w:tc>
              <w:tc>
                <w:tcPr>
                  <w:tcW w:w="933" w:type="pct"/>
                  <w:noWrap w:val="0"/>
                  <w:vAlign w:val="center"/>
                </w:tcPr>
                <w:p w14:paraId="3C229646">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焊接</w:t>
                  </w:r>
                </w:p>
              </w:tc>
              <w:tc>
                <w:tcPr>
                  <w:tcW w:w="1315" w:type="pct"/>
                  <w:shd w:val="clear" w:color="auto" w:fill="auto"/>
                  <w:noWrap w:val="0"/>
                  <w:vAlign w:val="center"/>
                </w:tcPr>
                <w:p w14:paraId="0C145383">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气保焊机</w:t>
                  </w:r>
                </w:p>
              </w:tc>
              <w:tc>
                <w:tcPr>
                  <w:tcW w:w="956" w:type="pct"/>
                  <w:noWrap w:val="0"/>
                  <w:vAlign w:val="center"/>
                </w:tcPr>
                <w:p w14:paraId="0AA269E2">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w:t>
                  </w:r>
                </w:p>
              </w:tc>
              <w:tc>
                <w:tcPr>
                  <w:tcW w:w="1107" w:type="pct"/>
                  <w:noWrap w:val="0"/>
                  <w:vAlign w:val="center"/>
                </w:tcPr>
                <w:p w14:paraId="18C64A59">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功率：</w:t>
                  </w:r>
                  <w:r>
                    <w:rPr>
                      <w:rFonts w:hint="eastAsia" w:ascii="Times New Roman" w:hAnsi="Times New Roman" w:eastAsia="宋体" w:cs="Times New Roman"/>
                      <w:b w:val="0"/>
                      <w:bCs/>
                      <w:color w:val="auto"/>
                      <w:sz w:val="21"/>
                      <w:szCs w:val="21"/>
                      <w:lang w:val="en-US" w:eastAsia="zh-CN"/>
                    </w:rPr>
                    <w:t>2000W</w:t>
                  </w:r>
                </w:p>
              </w:tc>
            </w:tr>
            <w:tr w14:paraId="451D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noWrap w:val="0"/>
                  <w:vAlign w:val="center"/>
                </w:tcPr>
                <w:p w14:paraId="382AFEDB">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打磨</w:t>
                  </w:r>
                </w:p>
              </w:tc>
              <w:tc>
                <w:tcPr>
                  <w:tcW w:w="933" w:type="pct"/>
                  <w:noWrap w:val="0"/>
                  <w:vAlign w:val="center"/>
                </w:tcPr>
                <w:p w14:paraId="493BA87A">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打磨</w:t>
                  </w:r>
                </w:p>
              </w:tc>
              <w:tc>
                <w:tcPr>
                  <w:tcW w:w="1315" w:type="pct"/>
                  <w:shd w:val="clear" w:color="auto" w:fill="auto"/>
                  <w:noWrap w:val="0"/>
                  <w:vAlign w:val="center"/>
                </w:tcPr>
                <w:p w14:paraId="506E1695">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磨光机</w:t>
                  </w:r>
                </w:p>
              </w:tc>
              <w:tc>
                <w:tcPr>
                  <w:tcW w:w="956" w:type="pct"/>
                  <w:noWrap w:val="0"/>
                  <w:vAlign w:val="center"/>
                </w:tcPr>
                <w:p w14:paraId="562C5DD9">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w:t>
                  </w:r>
                </w:p>
              </w:tc>
              <w:tc>
                <w:tcPr>
                  <w:tcW w:w="1107" w:type="pct"/>
                  <w:noWrap w:val="0"/>
                  <w:vAlign w:val="center"/>
                </w:tcPr>
                <w:p w14:paraId="11844E46">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568F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noWrap w:val="0"/>
                  <w:vAlign w:val="center"/>
                </w:tcPr>
                <w:p w14:paraId="76CEE246">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清洗</w:t>
                  </w:r>
                </w:p>
              </w:tc>
              <w:tc>
                <w:tcPr>
                  <w:tcW w:w="933" w:type="pct"/>
                  <w:noWrap w:val="0"/>
                  <w:vAlign w:val="center"/>
                </w:tcPr>
                <w:p w14:paraId="33FEA063">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清洗</w:t>
                  </w:r>
                </w:p>
              </w:tc>
              <w:tc>
                <w:tcPr>
                  <w:tcW w:w="1315" w:type="pct"/>
                  <w:shd w:val="clear" w:color="auto" w:fill="auto"/>
                  <w:noWrap w:val="0"/>
                  <w:vAlign w:val="center"/>
                </w:tcPr>
                <w:p w14:paraId="4A7299A0">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清洗槽</w:t>
                  </w:r>
                </w:p>
              </w:tc>
              <w:tc>
                <w:tcPr>
                  <w:tcW w:w="956" w:type="pct"/>
                  <w:noWrap w:val="0"/>
                  <w:vAlign w:val="center"/>
                </w:tcPr>
                <w:p w14:paraId="6ED8C274">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107" w:type="pct"/>
                  <w:noWrap w:val="0"/>
                  <w:vAlign w:val="center"/>
                </w:tcPr>
                <w:p w14:paraId="6382365A">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尺寸：</w:t>
                  </w:r>
                  <w:r>
                    <w:rPr>
                      <w:rFonts w:hint="eastAsia" w:ascii="Times New Roman" w:hAnsi="Times New Roman" w:eastAsia="宋体" w:cs="Times New Roman"/>
                      <w:b w:val="0"/>
                      <w:bCs/>
                      <w:color w:val="auto"/>
                      <w:sz w:val="21"/>
                      <w:szCs w:val="21"/>
                      <w:lang w:val="en-US" w:eastAsia="zh-CN"/>
                    </w:rPr>
                    <w:t>1.5m*1.5m*0.7m</w:t>
                  </w:r>
                </w:p>
              </w:tc>
            </w:tr>
            <w:tr w14:paraId="1E92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noWrap w:val="0"/>
                  <w:vAlign w:val="center"/>
                </w:tcPr>
                <w:p w14:paraId="29858015">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喷塑线</w:t>
                  </w:r>
                </w:p>
              </w:tc>
              <w:tc>
                <w:tcPr>
                  <w:tcW w:w="933" w:type="pct"/>
                  <w:noWrap w:val="0"/>
                  <w:vAlign w:val="center"/>
                </w:tcPr>
                <w:p w14:paraId="1FE0B82E">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喷塑</w:t>
                  </w:r>
                </w:p>
              </w:tc>
              <w:tc>
                <w:tcPr>
                  <w:tcW w:w="1315" w:type="pct"/>
                  <w:shd w:val="clear" w:color="auto" w:fill="auto"/>
                  <w:noWrap w:val="0"/>
                  <w:vAlign w:val="center"/>
                </w:tcPr>
                <w:p w14:paraId="7548654D">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喷塑线</w:t>
                  </w:r>
                </w:p>
              </w:tc>
              <w:tc>
                <w:tcPr>
                  <w:tcW w:w="956" w:type="pct"/>
                  <w:noWrap w:val="0"/>
                  <w:vAlign w:val="center"/>
                </w:tcPr>
                <w:p w14:paraId="37BB5814">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107" w:type="pct"/>
                  <w:noWrap w:val="0"/>
                  <w:vAlign w:val="center"/>
                </w:tcPr>
                <w:p w14:paraId="1BDABC1F">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44D0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46EFA272">
                  <w:pPr>
                    <w:jc w:val="center"/>
                    <w:rPr>
                      <w:rFonts w:hint="eastAsia" w:ascii="Times New Roman" w:hAnsi="Times New Roman" w:eastAsia="宋体" w:cs="Times New Roman"/>
                      <w:b w:val="0"/>
                      <w:bCs/>
                      <w:color w:val="auto"/>
                      <w:sz w:val="21"/>
                      <w:szCs w:val="21"/>
                      <w:lang w:val="en-US" w:eastAsia="zh-CN"/>
                    </w:rPr>
                  </w:pPr>
                </w:p>
              </w:tc>
              <w:tc>
                <w:tcPr>
                  <w:tcW w:w="933" w:type="pct"/>
                  <w:vMerge w:val="restart"/>
                  <w:noWrap w:val="0"/>
                  <w:vAlign w:val="center"/>
                </w:tcPr>
                <w:p w14:paraId="328C62A5">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固化</w:t>
                  </w:r>
                </w:p>
              </w:tc>
              <w:tc>
                <w:tcPr>
                  <w:tcW w:w="1315" w:type="pct"/>
                  <w:shd w:val="clear" w:color="auto" w:fill="auto"/>
                  <w:noWrap w:val="0"/>
                  <w:vAlign w:val="center"/>
                </w:tcPr>
                <w:p w14:paraId="039CC719">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烘箱</w:t>
                  </w:r>
                </w:p>
              </w:tc>
              <w:tc>
                <w:tcPr>
                  <w:tcW w:w="956" w:type="pct"/>
                  <w:noWrap w:val="0"/>
                  <w:vAlign w:val="center"/>
                </w:tcPr>
                <w:p w14:paraId="4E21B96E">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107" w:type="pct"/>
                  <w:noWrap w:val="0"/>
                  <w:vAlign w:val="center"/>
                </w:tcPr>
                <w:p w14:paraId="3E17D6C8">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尺寸：</w:t>
                  </w:r>
                  <w:r>
                    <w:rPr>
                      <w:rFonts w:hint="eastAsia" w:ascii="Times New Roman" w:hAnsi="Times New Roman" w:eastAsia="宋体" w:cs="Times New Roman"/>
                      <w:b w:val="0"/>
                      <w:bCs/>
                      <w:color w:val="auto"/>
                      <w:sz w:val="21"/>
                      <w:szCs w:val="21"/>
                      <w:lang w:val="en-US" w:eastAsia="zh-CN"/>
                    </w:rPr>
                    <w:t>7m*0.6m*2m</w:t>
                  </w:r>
                </w:p>
              </w:tc>
            </w:tr>
            <w:tr w14:paraId="3A90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79914ABB">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0323020E">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5C4A676B">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天然气燃烧机</w:t>
                  </w:r>
                </w:p>
              </w:tc>
              <w:tc>
                <w:tcPr>
                  <w:tcW w:w="956" w:type="pct"/>
                  <w:noWrap w:val="0"/>
                  <w:vAlign w:val="center"/>
                </w:tcPr>
                <w:p w14:paraId="1586717A">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w:t>
                  </w:r>
                </w:p>
              </w:tc>
              <w:tc>
                <w:tcPr>
                  <w:tcW w:w="1107" w:type="pct"/>
                  <w:noWrap w:val="0"/>
                  <w:vAlign w:val="center"/>
                </w:tcPr>
                <w:p w14:paraId="02236642">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r>
            <w:tr w14:paraId="394D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noWrap w:val="0"/>
                  <w:vAlign w:val="center"/>
                </w:tcPr>
                <w:p w14:paraId="5D8F973A">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注塑</w:t>
                  </w:r>
                </w:p>
              </w:tc>
              <w:tc>
                <w:tcPr>
                  <w:tcW w:w="933" w:type="pct"/>
                  <w:noWrap w:val="0"/>
                  <w:vAlign w:val="center"/>
                </w:tcPr>
                <w:p w14:paraId="5A0E2467">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注塑</w:t>
                  </w:r>
                </w:p>
              </w:tc>
              <w:tc>
                <w:tcPr>
                  <w:tcW w:w="1315" w:type="pct"/>
                  <w:shd w:val="clear" w:color="auto" w:fill="auto"/>
                  <w:noWrap w:val="0"/>
                  <w:vAlign w:val="center"/>
                </w:tcPr>
                <w:p w14:paraId="2FFAEBA3">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注塑机</w:t>
                  </w:r>
                </w:p>
              </w:tc>
              <w:tc>
                <w:tcPr>
                  <w:tcW w:w="956" w:type="pct"/>
                  <w:noWrap w:val="0"/>
                  <w:vAlign w:val="center"/>
                </w:tcPr>
                <w:p w14:paraId="5A61AA78">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1107" w:type="pct"/>
                  <w:noWrap w:val="0"/>
                  <w:vAlign w:val="center"/>
                </w:tcPr>
                <w:p w14:paraId="31F6FAD1">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7EF7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6DDF5365">
                  <w:pPr>
                    <w:jc w:val="center"/>
                    <w:rPr>
                      <w:rFonts w:hint="eastAsia" w:ascii="Times New Roman" w:hAnsi="Times New Roman" w:eastAsia="宋体" w:cs="Times New Roman"/>
                      <w:b w:val="0"/>
                      <w:bCs/>
                      <w:color w:val="auto"/>
                      <w:sz w:val="21"/>
                      <w:szCs w:val="21"/>
                      <w:lang w:val="en-US" w:eastAsia="zh-CN"/>
                    </w:rPr>
                  </w:pPr>
                </w:p>
              </w:tc>
              <w:tc>
                <w:tcPr>
                  <w:tcW w:w="933" w:type="pct"/>
                  <w:noWrap w:val="0"/>
                  <w:vAlign w:val="center"/>
                </w:tcPr>
                <w:p w14:paraId="71D1115C">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搅碎</w:t>
                  </w:r>
                </w:p>
              </w:tc>
              <w:tc>
                <w:tcPr>
                  <w:tcW w:w="1315" w:type="pct"/>
                  <w:shd w:val="clear" w:color="auto" w:fill="auto"/>
                  <w:noWrap w:val="0"/>
                  <w:vAlign w:val="center"/>
                </w:tcPr>
                <w:p w14:paraId="3042EBBA">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搅碎机</w:t>
                  </w:r>
                </w:p>
              </w:tc>
              <w:tc>
                <w:tcPr>
                  <w:tcW w:w="956" w:type="pct"/>
                  <w:noWrap w:val="0"/>
                  <w:vAlign w:val="center"/>
                </w:tcPr>
                <w:p w14:paraId="318F2543">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1107" w:type="pct"/>
                  <w:noWrap w:val="0"/>
                  <w:vAlign w:val="center"/>
                </w:tcPr>
                <w:p w14:paraId="2B7F5B6C">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7CF0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restart"/>
                  <w:noWrap w:val="0"/>
                  <w:vAlign w:val="center"/>
                </w:tcPr>
                <w:p w14:paraId="0983C3D4">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公用</w:t>
                  </w:r>
                </w:p>
              </w:tc>
              <w:tc>
                <w:tcPr>
                  <w:tcW w:w="933" w:type="pct"/>
                  <w:vMerge w:val="restart"/>
                  <w:noWrap w:val="0"/>
                  <w:vAlign w:val="center"/>
                </w:tcPr>
                <w:p w14:paraId="3CF8E302">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公用</w:t>
                  </w:r>
                </w:p>
              </w:tc>
              <w:tc>
                <w:tcPr>
                  <w:tcW w:w="1315" w:type="pct"/>
                  <w:shd w:val="clear" w:color="auto" w:fill="auto"/>
                  <w:noWrap w:val="0"/>
                  <w:vAlign w:val="center"/>
                </w:tcPr>
                <w:p w14:paraId="364C976C">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空压机</w:t>
                  </w:r>
                </w:p>
              </w:tc>
              <w:tc>
                <w:tcPr>
                  <w:tcW w:w="956" w:type="pct"/>
                  <w:noWrap w:val="0"/>
                  <w:vAlign w:val="center"/>
                </w:tcPr>
                <w:p w14:paraId="03041ECF">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1107" w:type="pct"/>
                  <w:noWrap w:val="0"/>
                  <w:vAlign w:val="center"/>
                </w:tcPr>
                <w:p w14:paraId="340D506E">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功率：</w:t>
                  </w:r>
                  <w:r>
                    <w:rPr>
                      <w:rFonts w:hint="eastAsia" w:ascii="Times New Roman" w:hAnsi="Times New Roman" w:eastAsia="宋体" w:cs="Times New Roman"/>
                      <w:b w:val="0"/>
                      <w:bCs/>
                      <w:color w:val="auto"/>
                      <w:sz w:val="21"/>
                      <w:szCs w:val="21"/>
                      <w:lang w:val="en-US" w:eastAsia="zh-CN"/>
                    </w:rPr>
                    <w:t>22KW</w:t>
                  </w:r>
                </w:p>
              </w:tc>
            </w:tr>
            <w:tr w14:paraId="2CFEC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1B0B6D27">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685ECA15">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213DFDD5">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叉车</w:t>
                  </w:r>
                </w:p>
              </w:tc>
              <w:tc>
                <w:tcPr>
                  <w:tcW w:w="956" w:type="pct"/>
                  <w:noWrap w:val="0"/>
                  <w:vAlign w:val="center"/>
                </w:tcPr>
                <w:p w14:paraId="79DA8302">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57FF9EC4">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3.5t</w:t>
                  </w:r>
                </w:p>
              </w:tc>
            </w:tr>
            <w:tr w14:paraId="017A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pct"/>
                  <w:vMerge w:val="continue"/>
                  <w:noWrap w:val="0"/>
                  <w:vAlign w:val="center"/>
                </w:tcPr>
                <w:p w14:paraId="0B08052B">
                  <w:pPr>
                    <w:jc w:val="center"/>
                    <w:rPr>
                      <w:rFonts w:hint="eastAsia" w:ascii="Times New Roman" w:hAnsi="Times New Roman" w:eastAsia="宋体" w:cs="Times New Roman"/>
                      <w:b w:val="0"/>
                      <w:bCs/>
                      <w:color w:val="auto"/>
                      <w:sz w:val="21"/>
                      <w:szCs w:val="21"/>
                      <w:lang w:val="en-US" w:eastAsia="zh-CN"/>
                    </w:rPr>
                  </w:pPr>
                </w:p>
              </w:tc>
              <w:tc>
                <w:tcPr>
                  <w:tcW w:w="933" w:type="pct"/>
                  <w:vMerge w:val="continue"/>
                  <w:noWrap w:val="0"/>
                  <w:vAlign w:val="center"/>
                </w:tcPr>
                <w:p w14:paraId="395C73A1">
                  <w:pPr>
                    <w:jc w:val="center"/>
                    <w:rPr>
                      <w:rFonts w:hint="eastAsia" w:ascii="Times New Roman" w:hAnsi="Times New Roman" w:eastAsia="宋体" w:cs="Times New Roman"/>
                      <w:b w:val="0"/>
                      <w:bCs/>
                      <w:color w:val="auto"/>
                      <w:sz w:val="21"/>
                      <w:szCs w:val="21"/>
                      <w:lang w:val="en-US" w:eastAsia="zh-CN"/>
                    </w:rPr>
                  </w:pPr>
                </w:p>
              </w:tc>
              <w:tc>
                <w:tcPr>
                  <w:tcW w:w="1315" w:type="pct"/>
                  <w:shd w:val="clear" w:color="auto" w:fill="auto"/>
                  <w:noWrap w:val="0"/>
                  <w:vAlign w:val="center"/>
                </w:tcPr>
                <w:p w14:paraId="41F7B32B">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叉车</w:t>
                  </w:r>
                </w:p>
              </w:tc>
              <w:tc>
                <w:tcPr>
                  <w:tcW w:w="956" w:type="pct"/>
                  <w:noWrap w:val="0"/>
                  <w:vAlign w:val="center"/>
                </w:tcPr>
                <w:p w14:paraId="7372DEC2">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107" w:type="pct"/>
                  <w:noWrap w:val="0"/>
                  <w:vAlign w:val="center"/>
                </w:tcPr>
                <w:p w14:paraId="37041D64">
                  <w:pPr>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吨位：</w:t>
                  </w:r>
                  <w:r>
                    <w:rPr>
                      <w:rFonts w:hint="eastAsia" w:ascii="Times New Roman" w:hAnsi="Times New Roman" w:eastAsia="宋体" w:cs="Times New Roman"/>
                      <w:b w:val="0"/>
                      <w:bCs/>
                      <w:color w:val="auto"/>
                      <w:sz w:val="21"/>
                      <w:szCs w:val="21"/>
                      <w:lang w:val="en-US" w:eastAsia="zh-CN"/>
                    </w:rPr>
                    <w:t>2t</w:t>
                  </w:r>
                </w:p>
              </w:tc>
            </w:tr>
          </w:tbl>
          <w:p w14:paraId="377422C6">
            <w:pPr>
              <w:keepNext w:val="0"/>
              <w:keepLines w:val="0"/>
              <w:pageBreakBefore w:val="0"/>
              <w:widowControl/>
              <w:kinsoku/>
              <w:wordWrap/>
              <w:overflowPunct/>
              <w:topLinePunct w:val="0"/>
              <w:autoSpaceDE/>
              <w:autoSpaceDN/>
              <w:bidi w:val="0"/>
              <w:adjustRightInd w:val="0"/>
              <w:snapToGrid w:val="0"/>
              <w:spacing w:before="157" w:beforeLines="50" w:line="360" w:lineRule="auto"/>
              <w:textAlignment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4、原辅料及能源消耗</w:t>
            </w:r>
          </w:p>
          <w:p w14:paraId="7454D2B0">
            <w:pPr>
              <w:pStyle w:val="8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2" w:firstLineChars="20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原辅材料及能源消耗情况如下表所示：</w:t>
            </w:r>
          </w:p>
          <w:p w14:paraId="2EB943CB">
            <w:pPr>
              <w:jc w:val="center"/>
              <w:rPr>
                <w:rFonts w:hint="eastAsia" w:ascii="Times New Roman" w:hAnsi="Times New Roman" w:eastAsia="宋体" w:cs="Times New Roman"/>
                <w:b/>
                <w:bCs w:val="0"/>
                <w:color w:val="000000" w:themeColor="text1"/>
                <w:szCs w:val="20"/>
                <w:lang w:val="en-US" w:eastAsia="zh-CN"/>
                <w14:textFill>
                  <w14:solidFill>
                    <w14:schemeClr w14:val="tx1"/>
                  </w14:solidFill>
                </w14:textFill>
              </w:rPr>
            </w:pPr>
            <w:r>
              <w:rPr>
                <w:b/>
                <w:color w:val="000000" w:themeColor="text1"/>
                <w14:textFill>
                  <w14:solidFill>
                    <w14:schemeClr w14:val="tx1"/>
                  </w14:solidFill>
                </w14:textFill>
              </w:rPr>
              <w:t>表2</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4  项目主要原辅材料</w:t>
            </w:r>
            <w:r>
              <w:rPr>
                <w:rFonts w:hint="eastAsia"/>
                <w:b/>
                <w:color w:val="000000" w:themeColor="text1"/>
                <w:lang w:val="en-US" w:eastAsia="zh-CN"/>
                <w14:textFill>
                  <w14:solidFill>
                    <w14:schemeClr w14:val="tx1"/>
                  </w14:solidFill>
                </w14:textFill>
              </w:rPr>
              <w:t>及能源</w:t>
            </w:r>
            <w:r>
              <w:rPr>
                <w:b/>
                <w:color w:val="000000" w:themeColor="text1"/>
                <w14:textFill>
                  <w14:solidFill>
                    <w14:schemeClr w14:val="tx1"/>
                  </w14:solidFill>
                </w14:textFill>
              </w:rPr>
              <w:t>消耗情况一览表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158"/>
              <w:gridCol w:w="961"/>
              <w:gridCol w:w="951"/>
              <w:gridCol w:w="1153"/>
              <w:gridCol w:w="979"/>
              <w:gridCol w:w="1065"/>
              <w:gridCol w:w="1052"/>
            </w:tblGrid>
            <w:tr w14:paraId="7950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1602775A">
                  <w:pPr>
                    <w:spacing w:line="24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序号</w:t>
                  </w:r>
                </w:p>
              </w:tc>
              <w:tc>
                <w:tcPr>
                  <w:tcW w:w="726" w:type="pct"/>
                  <w:vAlign w:val="center"/>
                </w:tcPr>
                <w:p w14:paraId="59D781DF">
                  <w:pPr>
                    <w:spacing w:line="24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名称</w:t>
                  </w:r>
                </w:p>
              </w:tc>
              <w:tc>
                <w:tcPr>
                  <w:tcW w:w="602" w:type="pct"/>
                  <w:vAlign w:val="center"/>
                </w:tcPr>
                <w:p w14:paraId="63B0F11A">
                  <w:pPr>
                    <w:spacing w:line="24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单位</w:t>
                  </w:r>
                </w:p>
              </w:tc>
              <w:tc>
                <w:tcPr>
                  <w:tcW w:w="596" w:type="pct"/>
                  <w:vAlign w:val="center"/>
                </w:tcPr>
                <w:p w14:paraId="7348D60A">
                  <w:pPr>
                    <w:spacing w:line="24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消耗量</w:t>
                  </w:r>
                </w:p>
              </w:tc>
              <w:tc>
                <w:tcPr>
                  <w:tcW w:w="723" w:type="pct"/>
                  <w:vAlign w:val="center"/>
                </w:tcPr>
                <w:p w14:paraId="258CA5F5">
                  <w:pPr>
                    <w:spacing w:line="240" w:lineRule="auto"/>
                    <w:jc w:val="center"/>
                    <w:rPr>
                      <w:rFonts w:hint="default" w:ascii="Times New Roman" w:hAnsi="Times New Roman" w:eastAsia="宋体" w:cs="Times New Roman"/>
                      <w:b/>
                      <w:bCs w:val="0"/>
                      <w:color w:val="000000" w:themeColor="text1"/>
                      <w:kern w:val="0"/>
                      <w:sz w:val="21"/>
                      <w:szCs w:val="21"/>
                      <w:lang w:val="en-US" w:eastAsia="zh-CN"/>
                      <w14:textFill>
                        <w14:solidFill>
                          <w14:schemeClr w14:val="tx1"/>
                        </w14:solidFill>
                      </w14:textFill>
                    </w:rPr>
                  </w:pPr>
                  <w:r>
                    <w:rPr>
                      <w:rFonts w:hint="eastAsia" w:cs="Times New Roman"/>
                      <w:b/>
                      <w:bCs w:val="0"/>
                      <w:color w:val="000000" w:themeColor="text1"/>
                      <w:kern w:val="0"/>
                      <w:sz w:val="21"/>
                      <w:szCs w:val="21"/>
                      <w:lang w:val="en-US" w:eastAsia="zh-CN"/>
                      <w14:textFill>
                        <w14:solidFill>
                          <w14:schemeClr w14:val="tx1"/>
                        </w14:solidFill>
                      </w14:textFill>
                    </w:rPr>
                    <w:t>包装方式</w:t>
                  </w:r>
                </w:p>
              </w:tc>
              <w:tc>
                <w:tcPr>
                  <w:tcW w:w="614" w:type="pct"/>
                  <w:vAlign w:val="center"/>
                </w:tcPr>
                <w:p w14:paraId="2D314B57">
                  <w:pPr>
                    <w:spacing w:line="240" w:lineRule="auto"/>
                    <w:jc w:val="center"/>
                    <w:rPr>
                      <w:rFonts w:hint="default" w:ascii="Times New Roman" w:hAnsi="Times New Roman" w:eastAsia="宋体" w:cs="Times New Roman"/>
                      <w:b/>
                      <w:bCs w:val="0"/>
                      <w:color w:val="000000" w:themeColor="text1"/>
                      <w:kern w:val="0"/>
                      <w:sz w:val="21"/>
                      <w:szCs w:val="21"/>
                      <w:lang w:val="en-US" w:eastAsia="zh-CN"/>
                      <w14:textFill>
                        <w14:solidFill>
                          <w14:schemeClr w14:val="tx1"/>
                        </w14:solidFill>
                      </w14:textFill>
                    </w:rPr>
                  </w:pPr>
                  <w:r>
                    <w:rPr>
                      <w:rFonts w:hint="eastAsia" w:cs="Times New Roman"/>
                      <w:b/>
                      <w:bCs w:val="0"/>
                      <w:color w:val="000000" w:themeColor="text1"/>
                      <w:kern w:val="0"/>
                      <w:sz w:val="21"/>
                      <w:szCs w:val="21"/>
                      <w:lang w:val="en-US" w:eastAsia="zh-CN"/>
                      <w14:textFill>
                        <w14:solidFill>
                          <w14:schemeClr w14:val="tx1"/>
                        </w14:solidFill>
                      </w14:textFill>
                    </w:rPr>
                    <w:t>最大储存量</w:t>
                  </w:r>
                </w:p>
              </w:tc>
              <w:tc>
                <w:tcPr>
                  <w:tcW w:w="668" w:type="pct"/>
                  <w:vAlign w:val="center"/>
                </w:tcPr>
                <w:p w14:paraId="66CA8553">
                  <w:pPr>
                    <w:spacing w:line="240" w:lineRule="auto"/>
                    <w:jc w:val="center"/>
                    <w:rPr>
                      <w:rFonts w:hint="default" w:cs="Times New Roman"/>
                      <w:b/>
                      <w:bCs w:val="0"/>
                      <w:color w:val="000000" w:themeColor="text1"/>
                      <w:kern w:val="0"/>
                      <w:sz w:val="21"/>
                      <w:szCs w:val="21"/>
                      <w:lang w:val="en-US" w:eastAsia="zh-CN"/>
                      <w14:textFill>
                        <w14:solidFill>
                          <w14:schemeClr w14:val="tx1"/>
                        </w14:solidFill>
                      </w14:textFill>
                    </w:rPr>
                  </w:pPr>
                  <w:r>
                    <w:rPr>
                      <w:rFonts w:hint="eastAsia" w:cs="Times New Roman"/>
                      <w:b/>
                      <w:bCs w:val="0"/>
                      <w:color w:val="000000" w:themeColor="text1"/>
                      <w:kern w:val="0"/>
                      <w:sz w:val="21"/>
                      <w:szCs w:val="21"/>
                      <w:lang w:val="en-US" w:eastAsia="zh-CN"/>
                      <w14:textFill>
                        <w14:solidFill>
                          <w14:schemeClr w14:val="tx1"/>
                        </w14:solidFill>
                      </w14:textFill>
                    </w:rPr>
                    <w:t>储存周期</w:t>
                  </w:r>
                </w:p>
              </w:tc>
              <w:tc>
                <w:tcPr>
                  <w:tcW w:w="658" w:type="pct"/>
                  <w:vAlign w:val="center"/>
                </w:tcPr>
                <w:p w14:paraId="6921F4AF">
                  <w:pPr>
                    <w:spacing w:line="240" w:lineRule="auto"/>
                    <w:jc w:val="center"/>
                    <w:rPr>
                      <w:rFonts w:hint="eastAsia" w:ascii="Times New Roman" w:hAnsi="Times New Roman" w:eastAsia="宋体" w:cs="Times New Roman"/>
                      <w:b/>
                      <w:bCs w:val="0"/>
                      <w:color w:val="000000" w:themeColor="text1"/>
                      <w:kern w:val="0"/>
                      <w:sz w:val="21"/>
                      <w:szCs w:val="21"/>
                      <w:lang w:eastAsia="zh-CN"/>
                      <w14:textFill>
                        <w14:solidFill>
                          <w14:schemeClr w14:val="tx1"/>
                        </w14:solidFill>
                      </w14:textFill>
                    </w:rPr>
                  </w:pPr>
                  <w:r>
                    <w:rPr>
                      <w:rFonts w:hint="eastAsia" w:cs="Times New Roman"/>
                      <w:b/>
                      <w:bCs w:val="0"/>
                      <w:color w:val="000000" w:themeColor="text1"/>
                      <w:kern w:val="0"/>
                      <w:sz w:val="21"/>
                      <w:szCs w:val="21"/>
                      <w:lang w:val="en-US" w:eastAsia="zh-CN"/>
                      <w14:textFill>
                        <w14:solidFill>
                          <w14:schemeClr w14:val="tx1"/>
                        </w14:solidFill>
                      </w14:textFill>
                    </w:rPr>
                    <w:t>储存位置</w:t>
                  </w:r>
                </w:p>
              </w:tc>
            </w:tr>
            <w:tr w14:paraId="4734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7A38DA9D">
                  <w:pPr>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w:t>
                  </w:r>
                </w:p>
              </w:tc>
              <w:tc>
                <w:tcPr>
                  <w:tcW w:w="726" w:type="pct"/>
                  <w:shd w:val="clear" w:color="auto" w:fill="auto"/>
                  <w:vAlign w:val="center"/>
                </w:tcPr>
                <w:p w14:paraId="1FEA97A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铁管材</w:t>
                  </w:r>
                </w:p>
              </w:tc>
              <w:tc>
                <w:tcPr>
                  <w:tcW w:w="602" w:type="pct"/>
                  <w:shd w:val="clear" w:color="auto" w:fill="auto"/>
                  <w:vAlign w:val="center"/>
                </w:tcPr>
                <w:p w14:paraId="6A0DE00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shd w:val="clear" w:color="auto" w:fill="auto"/>
                  <w:vAlign w:val="center"/>
                </w:tcPr>
                <w:p w14:paraId="39954D0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1500</w:t>
                  </w:r>
                </w:p>
              </w:tc>
              <w:tc>
                <w:tcPr>
                  <w:tcW w:w="723" w:type="pct"/>
                  <w:shd w:val="clear" w:color="auto" w:fill="auto"/>
                  <w:vAlign w:val="center"/>
                </w:tcPr>
                <w:p w14:paraId="5923102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w:t>
                  </w:r>
                </w:p>
              </w:tc>
              <w:tc>
                <w:tcPr>
                  <w:tcW w:w="614" w:type="pct"/>
                  <w:shd w:val="clear" w:color="auto" w:fill="auto"/>
                  <w:vAlign w:val="center"/>
                </w:tcPr>
                <w:p w14:paraId="78FC436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150t</w:t>
                  </w:r>
                </w:p>
              </w:tc>
              <w:tc>
                <w:tcPr>
                  <w:tcW w:w="668" w:type="pct"/>
                  <w:shd w:val="clear" w:color="auto" w:fill="auto"/>
                  <w:vAlign w:val="center"/>
                </w:tcPr>
                <w:p w14:paraId="2DDFBD5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restart"/>
                  <w:vAlign w:val="center"/>
                </w:tcPr>
                <w:p w14:paraId="43B54013">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原料区</w:t>
                  </w:r>
                </w:p>
              </w:tc>
            </w:tr>
            <w:tr w14:paraId="4E11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6B3E2095">
                  <w:pPr>
                    <w:spacing w:line="240" w:lineRule="auto"/>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1</w:t>
                  </w:r>
                </w:p>
              </w:tc>
              <w:tc>
                <w:tcPr>
                  <w:tcW w:w="726" w:type="pct"/>
                  <w:shd w:val="clear" w:color="auto" w:fill="auto"/>
                  <w:vAlign w:val="center"/>
                </w:tcPr>
                <w:p w14:paraId="5EA004B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铁板</w:t>
                  </w:r>
                </w:p>
              </w:tc>
              <w:tc>
                <w:tcPr>
                  <w:tcW w:w="602" w:type="pct"/>
                  <w:shd w:val="clear" w:color="auto" w:fill="auto"/>
                  <w:vAlign w:val="center"/>
                </w:tcPr>
                <w:p w14:paraId="517DA2F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shd w:val="clear" w:color="auto" w:fill="auto"/>
                  <w:vAlign w:val="center"/>
                </w:tcPr>
                <w:p w14:paraId="2BF59ED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880</w:t>
                  </w:r>
                </w:p>
              </w:tc>
              <w:tc>
                <w:tcPr>
                  <w:tcW w:w="723" w:type="pct"/>
                  <w:vAlign w:val="center"/>
                </w:tcPr>
                <w:p w14:paraId="516AE20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vAlign w:val="center"/>
                </w:tcPr>
                <w:p w14:paraId="2F8A89D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88t</w:t>
                  </w:r>
                </w:p>
              </w:tc>
              <w:tc>
                <w:tcPr>
                  <w:tcW w:w="668" w:type="pct"/>
                  <w:vAlign w:val="center"/>
                </w:tcPr>
                <w:p w14:paraId="7F71E5D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continue"/>
                  <w:vAlign w:val="center"/>
                </w:tcPr>
                <w:p w14:paraId="49498EF1">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0611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730BBC71">
                  <w:pPr>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2</w:t>
                  </w:r>
                </w:p>
              </w:tc>
              <w:tc>
                <w:tcPr>
                  <w:tcW w:w="726" w:type="pct"/>
                  <w:vAlign w:val="center"/>
                </w:tcPr>
                <w:p w14:paraId="3CD5210C">
                  <w:pPr>
                    <w:pStyle w:val="39"/>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镀锌板</w:t>
                  </w:r>
                </w:p>
              </w:tc>
              <w:tc>
                <w:tcPr>
                  <w:tcW w:w="602" w:type="pct"/>
                  <w:vAlign w:val="center"/>
                </w:tcPr>
                <w:p w14:paraId="3A7B2E06">
                  <w:pPr>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vAlign w:val="center"/>
                </w:tcPr>
                <w:p w14:paraId="2303F0E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500</w:t>
                  </w:r>
                </w:p>
              </w:tc>
              <w:tc>
                <w:tcPr>
                  <w:tcW w:w="723" w:type="pct"/>
                  <w:vAlign w:val="center"/>
                </w:tcPr>
                <w:p w14:paraId="48EF253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vAlign w:val="center"/>
                </w:tcPr>
                <w:p w14:paraId="61F2677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50t</w:t>
                  </w:r>
                </w:p>
              </w:tc>
              <w:tc>
                <w:tcPr>
                  <w:tcW w:w="668" w:type="pct"/>
                  <w:vAlign w:val="center"/>
                </w:tcPr>
                <w:p w14:paraId="29E5079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continue"/>
                  <w:vAlign w:val="center"/>
                </w:tcPr>
                <w:p w14:paraId="36656EF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5A96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085C9270">
                  <w:pPr>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3</w:t>
                  </w:r>
                </w:p>
              </w:tc>
              <w:tc>
                <w:tcPr>
                  <w:tcW w:w="726" w:type="pct"/>
                  <w:vAlign w:val="center"/>
                </w:tcPr>
                <w:p w14:paraId="310EAA9E">
                  <w:pPr>
                    <w:pStyle w:val="39"/>
                    <w:keepNext w:val="0"/>
                    <w:keepLines w:val="0"/>
                    <w:pageBreakBefore w:val="0"/>
                    <w:kinsoku/>
                    <w:wordWrap/>
                    <w:overflowPunct/>
                    <w:topLinePunct w:val="0"/>
                    <w:autoSpaceDE/>
                    <w:autoSpaceDN/>
                    <w:bidi w:val="0"/>
                    <w:spacing w:before="0" w:beforeLines="0" w:line="240" w:lineRule="auto"/>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PP</w:t>
                  </w:r>
                  <w:r>
                    <w:rPr>
                      <w:rFonts w:hint="eastAsia"/>
                      <w:b w:val="0"/>
                      <w:bCs w:val="0"/>
                      <w:sz w:val="21"/>
                      <w:szCs w:val="21"/>
                      <w:lang w:eastAsia="zh-CN"/>
                    </w:rPr>
                    <w:t>（</w:t>
                  </w:r>
                  <w:r>
                    <w:rPr>
                      <w:rFonts w:hint="eastAsia"/>
                      <w:b w:val="0"/>
                      <w:bCs w:val="0"/>
                      <w:sz w:val="21"/>
                      <w:szCs w:val="21"/>
                      <w:lang w:val="en-US" w:eastAsia="zh-CN"/>
                    </w:rPr>
                    <w:t>为新塑料，不使用再生物料</w:t>
                  </w:r>
                  <w:r>
                    <w:rPr>
                      <w:rFonts w:hint="eastAsia"/>
                      <w:b w:val="0"/>
                      <w:bCs w:val="0"/>
                      <w:sz w:val="21"/>
                      <w:szCs w:val="21"/>
                      <w:lang w:eastAsia="zh-CN"/>
                    </w:rPr>
                    <w:t>）</w:t>
                  </w:r>
                </w:p>
              </w:tc>
              <w:tc>
                <w:tcPr>
                  <w:tcW w:w="602" w:type="pct"/>
                  <w:vAlign w:val="center"/>
                </w:tcPr>
                <w:p w14:paraId="761E86D6">
                  <w:pPr>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vAlign w:val="center"/>
                </w:tcPr>
                <w:p w14:paraId="7528838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300</w:t>
                  </w:r>
                </w:p>
              </w:tc>
              <w:tc>
                <w:tcPr>
                  <w:tcW w:w="723" w:type="pct"/>
                  <w:vAlign w:val="center"/>
                </w:tcPr>
                <w:p w14:paraId="66A8B4A2">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50kg/袋</w:t>
                  </w:r>
                </w:p>
              </w:tc>
              <w:tc>
                <w:tcPr>
                  <w:tcW w:w="614" w:type="pct"/>
                  <w:vAlign w:val="center"/>
                </w:tcPr>
                <w:p w14:paraId="3044796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30t</w:t>
                  </w:r>
                </w:p>
              </w:tc>
              <w:tc>
                <w:tcPr>
                  <w:tcW w:w="668" w:type="pct"/>
                  <w:vAlign w:val="center"/>
                </w:tcPr>
                <w:p w14:paraId="2D1B10D8">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continue"/>
                  <w:vAlign w:val="center"/>
                </w:tcPr>
                <w:p w14:paraId="32A2C34A">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12AC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shd w:val="clear" w:color="auto" w:fill="auto"/>
                  <w:vAlign w:val="center"/>
                </w:tcPr>
                <w:p w14:paraId="3BF17B51">
                  <w:pPr>
                    <w:spacing w:line="240" w:lineRule="auto"/>
                    <w:jc w:val="center"/>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4</w:t>
                  </w:r>
                </w:p>
              </w:tc>
              <w:tc>
                <w:tcPr>
                  <w:tcW w:w="726" w:type="pct"/>
                  <w:vAlign w:val="center"/>
                </w:tcPr>
                <w:p w14:paraId="56D1CE97">
                  <w:pPr>
                    <w:pStyle w:val="39"/>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塑粉</w:t>
                  </w:r>
                </w:p>
              </w:tc>
              <w:tc>
                <w:tcPr>
                  <w:tcW w:w="602" w:type="pct"/>
                  <w:vAlign w:val="center"/>
                </w:tcPr>
                <w:p w14:paraId="2C0845B4">
                  <w:pPr>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vAlign w:val="center"/>
                </w:tcPr>
                <w:p w14:paraId="23DA7912">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80</w:t>
                  </w:r>
                </w:p>
              </w:tc>
              <w:tc>
                <w:tcPr>
                  <w:tcW w:w="723" w:type="pct"/>
                  <w:shd w:val="clear" w:color="auto" w:fill="auto"/>
                  <w:vAlign w:val="center"/>
                </w:tcPr>
                <w:p w14:paraId="74CAE0E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25kg/盒</w:t>
                  </w:r>
                </w:p>
              </w:tc>
              <w:tc>
                <w:tcPr>
                  <w:tcW w:w="614" w:type="pct"/>
                  <w:shd w:val="clear" w:color="auto" w:fill="auto"/>
                  <w:vAlign w:val="center"/>
                </w:tcPr>
                <w:p w14:paraId="7850809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4t</w:t>
                  </w:r>
                </w:p>
              </w:tc>
              <w:tc>
                <w:tcPr>
                  <w:tcW w:w="668" w:type="pct"/>
                  <w:shd w:val="clear" w:color="auto" w:fill="auto"/>
                  <w:vAlign w:val="center"/>
                </w:tcPr>
                <w:p w14:paraId="2383BCC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15天</w:t>
                  </w:r>
                </w:p>
              </w:tc>
              <w:tc>
                <w:tcPr>
                  <w:tcW w:w="658" w:type="pct"/>
                  <w:vMerge w:val="continue"/>
                  <w:vAlign w:val="center"/>
                </w:tcPr>
                <w:p w14:paraId="7EA2CA1B">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118B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shd w:val="clear" w:color="auto" w:fill="auto"/>
                  <w:vAlign w:val="center"/>
                </w:tcPr>
                <w:p w14:paraId="731DE8B5">
                  <w:pPr>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5</w:t>
                  </w:r>
                </w:p>
              </w:tc>
              <w:tc>
                <w:tcPr>
                  <w:tcW w:w="726" w:type="pct"/>
                  <w:vAlign w:val="center"/>
                </w:tcPr>
                <w:p w14:paraId="5CE9EA58">
                  <w:pPr>
                    <w:pStyle w:val="39"/>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玻璃</w:t>
                  </w:r>
                </w:p>
              </w:tc>
              <w:tc>
                <w:tcPr>
                  <w:tcW w:w="602" w:type="pct"/>
                  <w:vAlign w:val="center"/>
                </w:tcPr>
                <w:p w14:paraId="273CCAF7">
                  <w:pPr>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vAlign w:val="center"/>
                </w:tcPr>
                <w:p w14:paraId="1926E94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800</w:t>
                  </w:r>
                </w:p>
              </w:tc>
              <w:tc>
                <w:tcPr>
                  <w:tcW w:w="723" w:type="pct"/>
                  <w:vAlign w:val="center"/>
                </w:tcPr>
                <w:p w14:paraId="609B6BAD">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vAlign w:val="center"/>
                </w:tcPr>
                <w:p w14:paraId="3AE24BB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40t</w:t>
                  </w:r>
                </w:p>
              </w:tc>
              <w:tc>
                <w:tcPr>
                  <w:tcW w:w="668" w:type="pct"/>
                  <w:vAlign w:val="center"/>
                </w:tcPr>
                <w:p w14:paraId="028CFFB8">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15天</w:t>
                  </w:r>
                </w:p>
              </w:tc>
              <w:tc>
                <w:tcPr>
                  <w:tcW w:w="658" w:type="pct"/>
                  <w:vMerge w:val="continue"/>
                  <w:vAlign w:val="center"/>
                </w:tcPr>
                <w:p w14:paraId="17A2BE7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27A7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shd w:val="clear" w:color="auto" w:fill="auto"/>
                  <w:vAlign w:val="center"/>
                </w:tcPr>
                <w:p w14:paraId="13535B20">
                  <w:pPr>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6</w:t>
                  </w:r>
                </w:p>
              </w:tc>
              <w:tc>
                <w:tcPr>
                  <w:tcW w:w="726" w:type="pct"/>
                  <w:vAlign w:val="center"/>
                </w:tcPr>
                <w:p w14:paraId="577301D1">
                  <w:pPr>
                    <w:pStyle w:val="39"/>
                    <w:keepNext w:val="0"/>
                    <w:keepLines w:val="0"/>
                    <w:pageBreakBefore w:val="0"/>
                    <w:kinsoku/>
                    <w:wordWrap/>
                    <w:overflowPunct/>
                    <w:topLinePunct w:val="0"/>
                    <w:autoSpaceDE/>
                    <w:autoSpaceDN/>
                    <w:bidi w:val="0"/>
                    <w:spacing w:before="0" w:beforeLines="0"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配件</w:t>
                  </w:r>
                </w:p>
              </w:tc>
              <w:tc>
                <w:tcPr>
                  <w:tcW w:w="602" w:type="pct"/>
                  <w:vAlign w:val="center"/>
                </w:tcPr>
                <w:p w14:paraId="04C3BCEE">
                  <w:pPr>
                    <w:keepNext w:val="0"/>
                    <w:keepLines w:val="0"/>
                    <w:pageBreakBefore w:val="0"/>
                    <w:kinsoku/>
                    <w:wordWrap/>
                    <w:overflowPunct/>
                    <w:topLinePunct w:val="0"/>
                    <w:autoSpaceDE/>
                    <w:autoSpaceDN/>
                    <w:bidi w:val="0"/>
                    <w:spacing w:before="0" w:beforeLines="0"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套/a</w:t>
                  </w:r>
                </w:p>
              </w:tc>
              <w:tc>
                <w:tcPr>
                  <w:tcW w:w="596" w:type="pct"/>
                  <w:vAlign w:val="center"/>
                </w:tcPr>
                <w:p w14:paraId="59491BB2">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100万</w:t>
                  </w:r>
                </w:p>
              </w:tc>
              <w:tc>
                <w:tcPr>
                  <w:tcW w:w="723" w:type="pct"/>
                  <w:vAlign w:val="center"/>
                </w:tcPr>
                <w:p w14:paraId="1BAEBF84">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vAlign w:val="center"/>
                </w:tcPr>
                <w:p w14:paraId="6DFA95D8">
                  <w:pPr>
                    <w:keepNext w:val="0"/>
                    <w:keepLines w:val="0"/>
                    <w:pageBreakBefore w:val="0"/>
                    <w:kinsoku/>
                    <w:wordWrap/>
                    <w:overflowPunct/>
                    <w:topLinePunct w:val="0"/>
                    <w:autoSpaceDE/>
                    <w:autoSpaceDN/>
                    <w:bidi w:val="0"/>
                    <w:adjustRightInd w:val="0"/>
                    <w:snapToGrid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5万</w:t>
                  </w:r>
                </w:p>
              </w:tc>
              <w:tc>
                <w:tcPr>
                  <w:tcW w:w="668" w:type="pct"/>
                  <w:vAlign w:val="center"/>
                </w:tcPr>
                <w:p w14:paraId="586F4776">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15天</w:t>
                  </w:r>
                </w:p>
              </w:tc>
              <w:tc>
                <w:tcPr>
                  <w:tcW w:w="658" w:type="pct"/>
                  <w:vMerge w:val="continue"/>
                  <w:vAlign w:val="center"/>
                </w:tcPr>
                <w:p w14:paraId="484B726C">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126B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shd w:val="clear" w:color="auto" w:fill="auto"/>
                  <w:vAlign w:val="center"/>
                </w:tcPr>
                <w:p w14:paraId="06781B7D">
                  <w:pPr>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7</w:t>
                  </w:r>
                </w:p>
              </w:tc>
              <w:tc>
                <w:tcPr>
                  <w:tcW w:w="726" w:type="pct"/>
                  <w:shd w:val="clear" w:color="auto" w:fill="auto"/>
                  <w:vAlign w:val="center"/>
                </w:tcPr>
                <w:p w14:paraId="26FB7AFE">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切削液</w:t>
                  </w:r>
                </w:p>
              </w:tc>
              <w:tc>
                <w:tcPr>
                  <w:tcW w:w="602" w:type="pct"/>
                  <w:shd w:val="clear" w:color="auto" w:fill="auto"/>
                  <w:vAlign w:val="center"/>
                </w:tcPr>
                <w:p w14:paraId="37D774CF">
                  <w:pPr>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shd w:val="clear" w:color="auto" w:fill="auto"/>
                  <w:vAlign w:val="center"/>
                </w:tcPr>
                <w:p w14:paraId="438A823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w:t>
                  </w:r>
                </w:p>
              </w:tc>
              <w:tc>
                <w:tcPr>
                  <w:tcW w:w="723" w:type="pct"/>
                  <w:shd w:val="clear" w:color="auto" w:fill="auto"/>
                  <w:vAlign w:val="center"/>
                </w:tcPr>
                <w:p w14:paraId="7CD9BA57">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25kg/桶</w:t>
                  </w:r>
                </w:p>
              </w:tc>
              <w:tc>
                <w:tcPr>
                  <w:tcW w:w="614" w:type="pct"/>
                  <w:shd w:val="clear" w:color="auto" w:fill="auto"/>
                  <w:vAlign w:val="center"/>
                </w:tcPr>
                <w:p w14:paraId="244FD01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0.1t</w:t>
                  </w:r>
                </w:p>
              </w:tc>
              <w:tc>
                <w:tcPr>
                  <w:tcW w:w="668" w:type="pct"/>
                  <w:shd w:val="clear" w:color="auto" w:fill="auto"/>
                  <w:vAlign w:val="center"/>
                </w:tcPr>
                <w:p w14:paraId="4D0B5CC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restart"/>
                  <w:vAlign w:val="center"/>
                </w:tcPr>
                <w:p w14:paraId="6CA1163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辅料区</w:t>
                  </w:r>
                </w:p>
              </w:tc>
            </w:tr>
            <w:tr w14:paraId="5026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shd w:val="clear" w:color="auto" w:fill="auto"/>
                  <w:vAlign w:val="center"/>
                </w:tcPr>
                <w:p w14:paraId="0B561B76">
                  <w:pPr>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8</w:t>
                  </w:r>
                </w:p>
              </w:tc>
              <w:tc>
                <w:tcPr>
                  <w:tcW w:w="726" w:type="pct"/>
                  <w:shd w:val="clear" w:color="auto" w:fill="auto"/>
                  <w:vAlign w:val="center"/>
                </w:tcPr>
                <w:p w14:paraId="207C1E22">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润滑油</w:t>
                  </w:r>
                </w:p>
              </w:tc>
              <w:tc>
                <w:tcPr>
                  <w:tcW w:w="602" w:type="pct"/>
                  <w:shd w:val="clear" w:color="auto" w:fill="auto"/>
                  <w:vAlign w:val="center"/>
                </w:tcPr>
                <w:p w14:paraId="7BE4F032">
                  <w:pPr>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shd w:val="clear" w:color="auto" w:fill="auto"/>
                  <w:vAlign w:val="center"/>
                </w:tcPr>
                <w:p w14:paraId="32F8D63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0.5</w:t>
                  </w:r>
                </w:p>
              </w:tc>
              <w:tc>
                <w:tcPr>
                  <w:tcW w:w="723" w:type="pct"/>
                  <w:shd w:val="clear" w:color="auto" w:fill="auto"/>
                  <w:vAlign w:val="center"/>
                </w:tcPr>
                <w:p w14:paraId="2E701FB5">
                  <w:pPr>
                    <w:keepNext w:val="0"/>
                    <w:keepLines w:val="0"/>
                    <w:pageBreakBefore w:val="0"/>
                    <w:kinsoku/>
                    <w:wordWrap/>
                    <w:overflowPunct/>
                    <w:topLinePunct w:val="0"/>
                    <w:autoSpaceDE/>
                    <w:autoSpaceDN/>
                    <w:bidi w:val="0"/>
                    <w:spacing w:line="240" w:lineRule="auto"/>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25kg/桶</w:t>
                  </w:r>
                </w:p>
              </w:tc>
              <w:tc>
                <w:tcPr>
                  <w:tcW w:w="614" w:type="pct"/>
                  <w:shd w:val="clear" w:color="auto" w:fill="auto"/>
                  <w:vAlign w:val="center"/>
                </w:tcPr>
                <w:p w14:paraId="68806B82">
                  <w:pPr>
                    <w:keepNext w:val="0"/>
                    <w:keepLines w:val="0"/>
                    <w:pageBreakBefore w:val="0"/>
                    <w:kinsoku/>
                    <w:wordWrap/>
                    <w:overflowPunct/>
                    <w:topLinePunct w:val="0"/>
                    <w:autoSpaceDE/>
                    <w:autoSpaceDN/>
                    <w:bidi w:val="0"/>
                    <w:adjustRightInd w:val="0"/>
                    <w:snapToGrid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0.05t</w:t>
                  </w:r>
                </w:p>
              </w:tc>
              <w:tc>
                <w:tcPr>
                  <w:tcW w:w="668" w:type="pct"/>
                  <w:shd w:val="clear" w:color="auto" w:fill="auto"/>
                  <w:vAlign w:val="center"/>
                </w:tcPr>
                <w:p w14:paraId="38833A21">
                  <w:pPr>
                    <w:keepNext w:val="0"/>
                    <w:keepLines w:val="0"/>
                    <w:pageBreakBefore w:val="0"/>
                    <w:kinsoku/>
                    <w:wordWrap/>
                    <w:overflowPunct/>
                    <w:topLinePunct w:val="0"/>
                    <w:autoSpaceDE/>
                    <w:autoSpaceDN/>
                    <w:bidi w:val="0"/>
                    <w:adjustRightInd w:val="0"/>
                    <w:snapToGrid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continue"/>
                  <w:vAlign w:val="center"/>
                </w:tcPr>
                <w:p w14:paraId="4BBB109F">
                  <w:pPr>
                    <w:keepNext w:val="0"/>
                    <w:keepLines w:val="0"/>
                    <w:pageBreakBefore w:val="0"/>
                    <w:kinsoku/>
                    <w:wordWrap/>
                    <w:overflowPunct/>
                    <w:topLinePunct w:val="0"/>
                    <w:autoSpaceDE/>
                    <w:autoSpaceDN/>
                    <w:bidi w:val="0"/>
                    <w:spacing w:line="240" w:lineRule="auto"/>
                    <w:jc w:val="center"/>
                    <w:rPr>
                      <w:rFonts w:hint="eastAsia" w:cs="Times New Roman"/>
                      <w:b w:val="0"/>
                      <w:bCs/>
                      <w:color w:val="000000" w:themeColor="text1"/>
                      <w:kern w:val="0"/>
                      <w:sz w:val="21"/>
                      <w:szCs w:val="21"/>
                      <w:lang w:val="en-US" w:eastAsia="zh-CN"/>
                      <w14:textFill>
                        <w14:solidFill>
                          <w14:schemeClr w14:val="tx1"/>
                        </w14:solidFill>
                      </w14:textFill>
                    </w:rPr>
                  </w:pPr>
                </w:p>
              </w:tc>
            </w:tr>
            <w:tr w14:paraId="65EB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shd w:val="clear" w:color="auto" w:fill="auto"/>
                  <w:vAlign w:val="center"/>
                </w:tcPr>
                <w:p w14:paraId="4227D1FC">
                  <w:pPr>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9</w:t>
                  </w:r>
                </w:p>
              </w:tc>
              <w:tc>
                <w:tcPr>
                  <w:tcW w:w="726" w:type="pct"/>
                  <w:shd w:val="clear" w:color="auto" w:fill="auto"/>
                  <w:vAlign w:val="center"/>
                </w:tcPr>
                <w:p w14:paraId="2029A3B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实芯焊丝</w:t>
                  </w:r>
                </w:p>
              </w:tc>
              <w:tc>
                <w:tcPr>
                  <w:tcW w:w="602" w:type="pct"/>
                  <w:shd w:val="clear" w:color="auto" w:fill="auto"/>
                  <w:vAlign w:val="center"/>
                </w:tcPr>
                <w:p w14:paraId="0AA237E9">
                  <w:pPr>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shd w:val="clear" w:color="auto" w:fill="auto"/>
                  <w:vAlign w:val="center"/>
                </w:tcPr>
                <w:p w14:paraId="1BF7AE5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5</w:t>
                  </w:r>
                </w:p>
              </w:tc>
              <w:tc>
                <w:tcPr>
                  <w:tcW w:w="723" w:type="pct"/>
                  <w:shd w:val="clear" w:color="auto" w:fill="auto"/>
                  <w:vAlign w:val="center"/>
                </w:tcPr>
                <w:p w14:paraId="64AB09A0">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shd w:val="clear" w:color="auto" w:fill="auto"/>
                  <w:vAlign w:val="center"/>
                </w:tcPr>
                <w:p w14:paraId="3CD5F2B2">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0.5t</w:t>
                  </w:r>
                </w:p>
              </w:tc>
              <w:tc>
                <w:tcPr>
                  <w:tcW w:w="668" w:type="pct"/>
                  <w:shd w:val="clear" w:color="auto" w:fill="auto"/>
                  <w:vAlign w:val="center"/>
                </w:tcPr>
                <w:p w14:paraId="3783F8F7">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continue"/>
                  <w:vAlign w:val="center"/>
                </w:tcPr>
                <w:p w14:paraId="04772510">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7CBB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shd w:val="clear" w:color="auto" w:fill="auto"/>
                  <w:vAlign w:val="center"/>
                </w:tcPr>
                <w:p w14:paraId="1E573797">
                  <w:pPr>
                    <w:spacing w:line="240" w:lineRule="auto"/>
                    <w:jc w:val="center"/>
                    <w:rPr>
                      <w:rFonts w:hint="eastAsia"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10</w:t>
                  </w:r>
                </w:p>
              </w:tc>
              <w:tc>
                <w:tcPr>
                  <w:tcW w:w="726" w:type="pct"/>
                  <w:shd w:val="clear" w:color="auto" w:fill="auto"/>
                  <w:vAlign w:val="center"/>
                </w:tcPr>
                <w:p w14:paraId="6EA23A9E">
                  <w:pPr>
                    <w:keepNext w:val="0"/>
                    <w:keepLines w:val="0"/>
                    <w:pageBreakBefore w:val="0"/>
                    <w:widowControl/>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二氧化碳</w:t>
                  </w:r>
                </w:p>
              </w:tc>
              <w:tc>
                <w:tcPr>
                  <w:tcW w:w="602" w:type="pct"/>
                  <w:shd w:val="clear" w:color="auto" w:fill="auto"/>
                  <w:vAlign w:val="center"/>
                </w:tcPr>
                <w:p w14:paraId="31B43CA2">
                  <w:pPr>
                    <w:keepNext w:val="0"/>
                    <w:keepLines w:val="0"/>
                    <w:pageBreakBefore w:val="0"/>
                    <w:kinsoku/>
                    <w:wordWrap/>
                    <w:overflowPunct/>
                    <w:topLinePunct w:val="0"/>
                    <w:autoSpaceDE/>
                    <w:autoSpaceDN/>
                    <w:bidi w:val="0"/>
                    <w:spacing w:before="0" w:beforeLines="0"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瓶/a</w:t>
                  </w:r>
                </w:p>
              </w:tc>
              <w:tc>
                <w:tcPr>
                  <w:tcW w:w="596" w:type="pct"/>
                  <w:shd w:val="clear" w:color="auto" w:fill="auto"/>
                  <w:vAlign w:val="center"/>
                </w:tcPr>
                <w:p w14:paraId="40F68E1C">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800</w:t>
                  </w:r>
                </w:p>
              </w:tc>
              <w:tc>
                <w:tcPr>
                  <w:tcW w:w="723" w:type="pct"/>
                  <w:shd w:val="clear" w:color="auto" w:fill="auto"/>
                  <w:vAlign w:val="center"/>
                </w:tcPr>
                <w:p w14:paraId="30C1EFCF">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40L/瓶</w:t>
                  </w:r>
                </w:p>
              </w:tc>
              <w:tc>
                <w:tcPr>
                  <w:tcW w:w="614" w:type="pct"/>
                  <w:shd w:val="clear" w:color="auto" w:fill="auto"/>
                  <w:vAlign w:val="center"/>
                </w:tcPr>
                <w:p w14:paraId="37B6147D">
                  <w:pPr>
                    <w:keepNext w:val="0"/>
                    <w:keepLines w:val="0"/>
                    <w:pageBreakBefore w:val="0"/>
                    <w:kinsoku/>
                    <w:wordWrap/>
                    <w:overflowPunct/>
                    <w:topLinePunct w:val="0"/>
                    <w:autoSpaceDE/>
                    <w:autoSpaceDN/>
                    <w:bidi w:val="0"/>
                    <w:adjustRightInd w:val="0"/>
                    <w:snapToGrid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10瓶</w:t>
                  </w:r>
                </w:p>
              </w:tc>
              <w:tc>
                <w:tcPr>
                  <w:tcW w:w="668" w:type="pct"/>
                  <w:shd w:val="clear" w:color="auto" w:fill="auto"/>
                  <w:vAlign w:val="center"/>
                </w:tcPr>
                <w:p w14:paraId="7BAFC946">
                  <w:pPr>
                    <w:keepNext w:val="0"/>
                    <w:keepLines w:val="0"/>
                    <w:pageBreakBefore w:val="0"/>
                    <w:kinsoku/>
                    <w:wordWrap/>
                    <w:overflowPunct/>
                    <w:topLinePunct w:val="0"/>
                    <w:autoSpaceDE/>
                    <w:autoSpaceDN/>
                    <w:bidi w:val="0"/>
                    <w:adjustRightInd w:val="0"/>
                    <w:snapToGrid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1周</w:t>
                  </w:r>
                </w:p>
              </w:tc>
              <w:tc>
                <w:tcPr>
                  <w:tcW w:w="658" w:type="pct"/>
                  <w:vMerge w:val="continue"/>
                  <w:vAlign w:val="center"/>
                </w:tcPr>
                <w:p w14:paraId="37A9894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10AF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 w:type="dxa"/>
                  <w:shd w:val="clear" w:color="auto" w:fill="auto"/>
                  <w:vAlign w:val="center"/>
                </w:tcPr>
                <w:p w14:paraId="2FB963EE">
                  <w:pPr>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11</w:t>
                  </w:r>
                </w:p>
              </w:tc>
              <w:tc>
                <w:tcPr>
                  <w:tcW w:w="726" w:type="pct"/>
                  <w:shd w:val="clear" w:color="auto" w:fill="auto"/>
                  <w:vAlign w:val="center"/>
                </w:tcPr>
                <w:p w14:paraId="072F7D73">
                  <w:pPr>
                    <w:keepNext w:val="0"/>
                    <w:keepLines w:val="0"/>
                    <w:pageBreakBefore w:val="0"/>
                    <w:widowControl/>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清洗剂</w:t>
                  </w:r>
                </w:p>
              </w:tc>
              <w:tc>
                <w:tcPr>
                  <w:tcW w:w="602" w:type="pct"/>
                  <w:shd w:val="clear" w:color="auto" w:fill="auto"/>
                  <w:vAlign w:val="center"/>
                </w:tcPr>
                <w:p w14:paraId="4EAB7AD5">
                  <w:pPr>
                    <w:keepNext w:val="0"/>
                    <w:keepLines w:val="0"/>
                    <w:pageBreakBefore w:val="0"/>
                    <w:kinsoku/>
                    <w:wordWrap/>
                    <w:overflowPunct/>
                    <w:topLinePunct w:val="0"/>
                    <w:autoSpaceDE/>
                    <w:autoSpaceDN/>
                    <w:bidi w:val="0"/>
                    <w:spacing w:before="0" w:beforeLines="0" w:line="240" w:lineRule="auto"/>
                    <w:jc w:val="center"/>
                    <w:rPr>
                      <w:rFonts w:hint="eastAsia"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shd w:val="clear" w:color="auto" w:fill="auto"/>
                  <w:vAlign w:val="center"/>
                </w:tcPr>
                <w:p w14:paraId="74291DE0">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w:t>
                  </w:r>
                </w:p>
              </w:tc>
              <w:tc>
                <w:tcPr>
                  <w:tcW w:w="723" w:type="pct"/>
                  <w:shd w:val="clear" w:color="auto" w:fill="auto"/>
                  <w:vAlign w:val="center"/>
                </w:tcPr>
                <w:p w14:paraId="69B476BD">
                  <w:pPr>
                    <w:keepNext w:val="0"/>
                    <w:keepLines w:val="0"/>
                    <w:pageBreakBefore w:val="0"/>
                    <w:kinsoku/>
                    <w:wordWrap/>
                    <w:overflowPunct/>
                    <w:topLinePunct w:val="0"/>
                    <w:autoSpaceDE/>
                    <w:autoSpaceDN/>
                    <w:bidi w:val="0"/>
                    <w:spacing w:line="240" w:lineRule="auto"/>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25kg/桶</w:t>
                  </w:r>
                </w:p>
              </w:tc>
              <w:tc>
                <w:tcPr>
                  <w:tcW w:w="614" w:type="pct"/>
                  <w:shd w:val="clear" w:color="auto" w:fill="auto"/>
                  <w:vAlign w:val="center"/>
                </w:tcPr>
                <w:p w14:paraId="7E84268B">
                  <w:pPr>
                    <w:keepNext w:val="0"/>
                    <w:keepLines w:val="0"/>
                    <w:pageBreakBefore w:val="0"/>
                    <w:kinsoku/>
                    <w:wordWrap/>
                    <w:overflowPunct/>
                    <w:topLinePunct w:val="0"/>
                    <w:autoSpaceDE/>
                    <w:autoSpaceDN/>
                    <w:bidi w:val="0"/>
                    <w:adjustRightInd w:val="0"/>
                    <w:snapToGrid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0.1t</w:t>
                  </w:r>
                </w:p>
              </w:tc>
              <w:tc>
                <w:tcPr>
                  <w:tcW w:w="668" w:type="pct"/>
                  <w:shd w:val="clear" w:color="auto" w:fill="auto"/>
                  <w:vAlign w:val="center"/>
                </w:tcPr>
                <w:p w14:paraId="03913005">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continue"/>
                  <w:vAlign w:val="center"/>
                </w:tcPr>
                <w:p w14:paraId="4A9ED68E">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0368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shd w:val="clear" w:color="auto" w:fill="auto"/>
                  <w:vAlign w:val="center"/>
                </w:tcPr>
                <w:p w14:paraId="6A2FDC92">
                  <w:pPr>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12</w:t>
                  </w:r>
                </w:p>
              </w:tc>
              <w:tc>
                <w:tcPr>
                  <w:tcW w:w="726" w:type="pct"/>
                  <w:shd w:val="clear" w:color="auto" w:fill="auto"/>
                  <w:vAlign w:val="center"/>
                </w:tcPr>
                <w:p w14:paraId="3645E621">
                  <w:pPr>
                    <w:keepNext w:val="0"/>
                    <w:keepLines w:val="0"/>
                    <w:pageBreakBefore w:val="0"/>
                    <w:widowControl/>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亚克力密封胶</w:t>
                  </w:r>
                </w:p>
              </w:tc>
              <w:tc>
                <w:tcPr>
                  <w:tcW w:w="602" w:type="pct"/>
                  <w:shd w:val="clear" w:color="auto" w:fill="auto"/>
                  <w:vAlign w:val="center"/>
                </w:tcPr>
                <w:p w14:paraId="79CB4AD0">
                  <w:pPr>
                    <w:keepNext w:val="0"/>
                    <w:keepLines w:val="0"/>
                    <w:pageBreakBefore w:val="0"/>
                    <w:kinsoku/>
                    <w:wordWrap/>
                    <w:overflowPunct/>
                    <w:topLinePunct w:val="0"/>
                    <w:autoSpaceDE/>
                    <w:autoSpaceDN/>
                    <w:bidi w:val="0"/>
                    <w:spacing w:before="0" w:beforeLines="0" w:line="240" w:lineRule="auto"/>
                    <w:jc w:val="center"/>
                    <w:rPr>
                      <w:rFonts w:hint="eastAsia"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t/a</w:t>
                  </w:r>
                </w:p>
              </w:tc>
              <w:tc>
                <w:tcPr>
                  <w:tcW w:w="596" w:type="pct"/>
                  <w:shd w:val="clear" w:color="auto" w:fill="auto"/>
                  <w:vAlign w:val="center"/>
                </w:tcPr>
                <w:p w14:paraId="23B84278">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0.25</w:t>
                  </w:r>
                </w:p>
              </w:tc>
              <w:tc>
                <w:tcPr>
                  <w:tcW w:w="723" w:type="pct"/>
                  <w:shd w:val="clear" w:color="auto" w:fill="auto"/>
                  <w:vAlign w:val="center"/>
                </w:tcPr>
                <w:p w14:paraId="079D2956">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300mL/支</w:t>
                  </w:r>
                </w:p>
              </w:tc>
              <w:tc>
                <w:tcPr>
                  <w:tcW w:w="614" w:type="pct"/>
                  <w:shd w:val="clear" w:color="auto" w:fill="auto"/>
                  <w:vAlign w:val="center"/>
                </w:tcPr>
                <w:p w14:paraId="44C7C2A5">
                  <w:pPr>
                    <w:keepNext w:val="0"/>
                    <w:keepLines w:val="0"/>
                    <w:pageBreakBefore w:val="0"/>
                    <w:kinsoku/>
                    <w:wordWrap/>
                    <w:overflowPunct/>
                    <w:topLinePunct w:val="0"/>
                    <w:autoSpaceDE/>
                    <w:autoSpaceDN/>
                    <w:bidi w:val="0"/>
                    <w:adjustRightInd w:val="0"/>
                    <w:snapToGrid w:val="0"/>
                    <w:spacing w:line="240" w:lineRule="auto"/>
                    <w:jc w:val="center"/>
                    <w:rPr>
                      <w:rFonts w:hint="default"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0.025t</w:t>
                  </w:r>
                </w:p>
              </w:tc>
              <w:tc>
                <w:tcPr>
                  <w:tcW w:w="668" w:type="pct"/>
                  <w:shd w:val="clear" w:color="auto" w:fill="auto"/>
                  <w:vAlign w:val="center"/>
                </w:tcPr>
                <w:p w14:paraId="0C56D353">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30天</w:t>
                  </w:r>
                </w:p>
              </w:tc>
              <w:tc>
                <w:tcPr>
                  <w:tcW w:w="658" w:type="pct"/>
                  <w:vMerge w:val="continue"/>
                  <w:vAlign w:val="center"/>
                </w:tcPr>
                <w:p w14:paraId="696794B4">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4DE5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shd w:val="clear" w:color="auto" w:fill="auto"/>
                  <w:vAlign w:val="center"/>
                </w:tcPr>
                <w:p w14:paraId="088569F5">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r>
            <w:tr w14:paraId="1720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0276F793">
                  <w:pPr>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13</w:t>
                  </w:r>
                </w:p>
              </w:tc>
              <w:tc>
                <w:tcPr>
                  <w:tcW w:w="726" w:type="pct"/>
                  <w:shd w:val="clear" w:color="auto" w:fill="auto"/>
                  <w:vAlign w:val="center"/>
                </w:tcPr>
                <w:p w14:paraId="24D541C1">
                  <w:pPr>
                    <w:pStyle w:val="39"/>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电</w:t>
                  </w:r>
                </w:p>
              </w:tc>
              <w:tc>
                <w:tcPr>
                  <w:tcW w:w="602" w:type="pct"/>
                  <w:shd w:val="clear" w:color="auto" w:fill="auto"/>
                  <w:vAlign w:val="center"/>
                </w:tcPr>
                <w:p w14:paraId="0FD0B083">
                  <w:pPr>
                    <w:pStyle w:val="39"/>
                    <w:keepNext w:val="0"/>
                    <w:keepLines w:val="0"/>
                    <w:pageBreakBefore w:val="0"/>
                    <w:kinsoku/>
                    <w:wordWrap/>
                    <w:overflowPunct/>
                    <w:topLinePunct w:val="0"/>
                    <w:autoSpaceDE/>
                    <w:autoSpaceDN/>
                    <w:bidi w:val="0"/>
                    <w:spacing w:before="0" w:beforeLines="0" w:line="240" w:lineRule="auto"/>
                    <w:jc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kW·h/</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a</w:t>
                  </w:r>
                </w:p>
              </w:tc>
              <w:tc>
                <w:tcPr>
                  <w:tcW w:w="596" w:type="pct"/>
                  <w:shd w:val="clear" w:color="auto" w:fill="auto"/>
                  <w:vAlign w:val="center"/>
                </w:tcPr>
                <w:p w14:paraId="79B4A6C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100万</w:t>
                  </w:r>
                </w:p>
              </w:tc>
              <w:tc>
                <w:tcPr>
                  <w:tcW w:w="723" w:type="pct"/>
                  <w:vAlign w:val="center"/>
                </w:tcPr>
                <w:p w14:paraId="0FB0CFBF">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vAlign w:val="center"/>
                </w:tcPr>
                <w:p w14:paraId="36BFBB48">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68" w:type="pct"/>
                  <w:vAlign w:val="center"/>
                </w:tcPr>
                <w:p w14:paraId="5717545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58" w:type="pct"/>
                  <w:vAlign w:val="center"/>
                </w:tcPr>
                <w:p w14:paraId="38363EE7">
                  <w:pPr>
                    <w:keepNext w:val="0"/>
                    <w:keepLines w:val="0"/>
                    <w:pageBreakBefore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r>
            <w:tr w14:paraId="4120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5D6CEE0B">
                  <w:pPr>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14</w:t>
                  </w:r>
                </w:p>
              </w:tc>
              <w:tc>
                <w:tcPr>
                  <w:tcW w:w="726" w:type="pct"/>
                  <w:shd w:val="clear" w:color="auto" w:fill="auto"/>
                  <w:vAlign w:val="center"/>
                </w:tcPr>
                <w:p w14:paraId="5FB500D3">
                  <w:pPr>
                    <w:pStyle w:val="39"/>
                    <w:keepNext w:val="0"/>
                    <w:keepLines w:val="0"/>
                    <w:pageBreakBefore w:val="0"/>
                    <w:kinsoku/>
                    <w:wordWrap/>
                    <w:overflowPunct/>
                    <w:topLinePunct w:val="0"/>
                    <w:autoSpaceDE/>
                    <w:autoSpaceDN/>
                    <w:bidi w:val="0"/>
                    <w:spacing w:before="0" w:beforeLines="0"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水</w:t>
                  </w:r>
                </w:p>
              </w:tc>
              <w:tc>
                <w:tcPr>
                  <w:tcW w:w="602" w:type="pct"/>
                  <w:shd w:val="clear" w:color="auto" w:fill="auto"/>
                  <w:vAlign w:val="center"/>
                </w:tcPr>
                <w:p w14:paraId="0D02CBA9">
                  <w:pPr>
                    <w:pStyle w:val="39"/>
                    <w:keepNext w:val="0"/>
                    <w:keepLines w:val="0"/>
                    <w:pageBreakBefore w:val="0"/>
                    <w:kinsoku/>
                    <w:wordWrap/>
                    <w:overflowPunct/>
                    <w:topLinePunct w:val="0"/>
                    <w:autoSpaceDE/>
                    <w:autoSpaceDN/>
                    <w:bidi w:val="0"/>
                    <w:spacing w:before="0" w:beforeLines="0" w:line="240" w:lineRule="auto"/>
                    <w:jc w:val="center"/>
                    <w:rPr>
                      <w:rFonts w:hint="eastAsia"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t</w:t>
                  </w: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r>
                    <w:rPr>
                      <w:rFonts w:hint="eastAsia" w:cs="Times New Roman"/>
                      <w:b w:val="0"/>
                      <w:bCs/>
                      <w:color w:val="000000" w:themeColor="text1"/>
                      <w:kern w:val="0"/>
                      <w:sz w:val="21"/>
                      <w:szCs w:val="21"/>
                      <w:lang w:val="en-US" w:eastAsia="zh-CN"/>
                      <w14:textFill>
                        <w14:solidFill>
                          <w14:schemeClr w14:val="tx1"/>
                        </w14:solidFill>
                      </w14:textFill>
                    </w:rPr>
                    <w:t>a</w:t>
                  </w:r>
                </w:p>
              </w:tc>
              <w:tc>
                <w:tcPr>
                  <w:tcW w:w="596" w:type="pct"/>
                  <w:shd w:val="clear" w:color="auto" w:fill="auto"/>
                  <w:vAlign w:val="center"/>
                </w:tcPr>
                <w:p w14:paraId="12C67FC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kern w:val="0"/>
                      <w:sz w:val="21"/>
                      <w:szCs w:val="21"/>
                      <w:lang w:val="en-US" w:eastAsia="zh-CN" w:bidi="ar-SA"/>
                      <w14:textFill>
                        <w14:solidFill>
                          <w14:schemeClr w14:val="tx1"/>
                        </w14:solidFill>
                      </w14:textFill>
                    </w:rPr>
                    <w:t>1260</w:t>
                  </w:r>
                </w:p>
              </w:tc>
              <w:tc>
                <w:tcPr>
                  <w:tcW w:w="723" w:type="pct"/>
                  <w:vAlign w:val="center"/>
                </w:tcPr>
                <w:p w14:paraId="34BE551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vAlign w:val="center"/>
                </w:tcPr>
                <w:p w14:paraId="4FB6C949">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68" w:type="pct"/>
                  <w:vAlign w:val="center"/>
                </w:tcPr>
                <w:p w14:paraId="1741FDAD">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58" w:type="pct"/>
                  <w:vAlign w:val="center"/>
                </w:tcPr>
                <w:p w14:paraId="12AF1DC7">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r>
            <w:tr w14:paraId="53A9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vAlign w:val="center"/>
                </w:tcPr>
                <w:p w14:paraId="2B61E98A">
                  <w:pPr>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15</w:t>
                  </w:r>
                </w:p>
              </w:tc>
              <w:tc>
                <w:tcPr>
                  <w:tcW w:w="726" w:type="pct"/>
                  <w:shd w:val="clear" w:color="auto" w:fill="auto"/>
                  <w:vAlign w:val="center"/>
                </w:tcPr>
                <w:p w14:paraId="1B7016DB">
                  <w:pPr>
                    <w:pStyle w:val="39"/>
                    <w:keepNext w:val="0"/>
                    <w:keepLines w:val="0"/>
                    <w:pageBreakBefore w:val="0"/>
                    <w:kinsoku/>
                    <w:wordWrap/>
                    <w:overflowPunct/>
                    <w:topLinePunct w:val="0"/>
                    <w:autoSpaceDE/>
                    <w:autoSpaceDN/>
                    <w:bidi w:val="0"/>
                    <w:spacing w:before="0" w:beforeLines="0" w:line="240" w:lineRule="auto"/>
                    <w:jc w:val="cente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天然气</w:t>
                  </w:r>
                </w:p>
              </w:tc>
              <w:tc>
                <w:tcPr>
                  <w:tcW w:w="602" w:type="pct"/>
                  <w:shd w:val="clear" w:color="auto" w:fill="auto"/>
                  <w:vAlign w:val="center"/>
                </w:tcPr>
                <w:p w14:paraId="038188FC">
                  <w:pPr>
                    <w:pStyle w:val="39"/>
                    <w:keepNext w:val="0"/>
                    <w:keepLines w:val="0"/>
                    <w:pageBreakBefore w:val="0"/>
                    <w:kinsoku/>
                    <w:wordWrap/>
                    <w:overflowPunct/>
                    <w:topLinePunct w:val="0"/>
                    <w:autoSpaceDE/>
                    <w:autoSpaceDN/>
                    <w:bidi w:val="0"/>
                    <w:spacing w:before="0" w:beforeLines="0"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m</w:t>
                  </w:r>
                  <w:r>
                    <w:rPr>
                      <w:rFonts w:hint="eastAsia" w:cs="Times New Roman"/>
                      <w:b w:val="0"/>
                      <w:bCs/>
                      <w:color w:val="000000" w:themeColor="text1"/>
                      <w:kern w:val="0"/>
                      <w:sz w:val="21"/>
                      <w:szCs w:val="21"/>
                      <w:vertAlign w:val="superscript"/>
                      <w:lang w:val="en-US" w:eastAsia="zh-CN"/>
                      <w14:textFill>
                        <w14:solidFill>
                          <w14:schemeClr w14:val="tx1"/>
                        </w14:solidFill>
                      </w14:textFill>
                    </w:rPr>
                    <w:t>3</w:t>
                  </w:r>
                  <w:r>
                    <w:rPr>
                      <w:rFonts w:hint="eastAsia" w:cs="Times New Roman"/>
                      <w:b w:val="0"/>
                      <w:bCs/>
                      <w:color w:val="000000" w:themeColor="text1"/>
                      <w:kern w:val="0"/>
                      <w:sz w:val="21"/>
                      <w:szCs w:val="21"/>
                      <w:lang w:val="en-US" w:eastAsia="zh-CN"/>
                      <w14:textFill>
                        <w14:solidFill>
                          <w14:schemeClr w14:val="tx1"/>
                        </w14:solidFill>
                      </w14:textFill>
                    </w:rPr>
                    <w:t>/a</w:t>
                  </w:r>
                </w:p>
              </w:tc>
              <w:tc>
                <w:tcPr>
                  <w:tcW w:w="596" w:type="pct"/>
                  <w:shd w:val="clear" w:color="auto" w:fill="auto"/>
                  <w:vAlign w:val="center"/>
                </w:tcPr>
                <w:p w14:paraId="7439B515">
                  <w:pPr>
                    <w:keepNext w:val="0"/>
                    <w:keepLines w:val="0"/>
                    <w:pageBreakBefore w:val="0"/>
                    <w:kinsoku/>
                    <w:wordWrap/>
                    <w:overflowPunct/>
                    <w:topLinePunct w:val="0"/>
                    <w:autoSpaceDE/>
                    <w:autoSpaceDN/>
                    <w:bidi w:val="0"/>
                    <w:spacing w:line="240" w:lineRule="auto"/>
                    <w:jc w:val="center"/>
                    <w:rPr>
                      <w:rFonts w:hint="default"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20万</w:t>
                  </w:r>
                </w:p>
              </w:tc>
              <w:tc>
                <w:tcPr>
                  <w:tcW w:w="723" w:type="pct"/>
                  <w:vAlign w:val="center"/>
                </w:tcPr>
                <w:p w14:paraId="69F712A7">
                  <w:pPr>
                    <w:keepNext w:val="0"/>
                    <w:keepLines w:val="0"/>
                    <w:pageBreakBefore w:val="0"/>
                    <w:kinsoku/>
                    <w:wordWrap/>
                    <w:overflowPunct/>
                    <w:topLinePunct w:val="0"/>
                    <w:autoSpaceDE/>
                    <w:autoSpaceDN/>
                    <w:bidi w:val="0"/>
                    <w:spacing w:line="240" w:lineRule="auto"/>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14" w:type="pct"/>
                  <w:vAlign w:val="center"/>
                </w:tcPr>
                <w:p w14:paraId="767CB2A1">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68" w:type="pct"/>
                  <w:vAlign w:val="center"/>
                </w:tcPr>
                <w:p w14:paraId="4A6CF8C1">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c>
                <w:tcPr>
                  <w:tcW w:w="658" w:type="pct"/>
                  <w:vAlign w:val="center"/>
                </w:tcPr>
                <w:p w14:paraId="7335E52C">
                  <w:pPr>
                    <w:keepNext w:val="0"/>
                    <w:keepLines w:val="0"/>
                    <w:pageBreakBefore w:val="0"/>
                    <w:kinsoku/>
                    <w:wordWrap/>
                    <w:overflowPunct/>
                    <w:topLinePunct w:val="0"/>
                    <w:autoSpaceDE/>
                    <w:autoSpaceDN/>
                    <w:bidi w:val="0"/>
                    <w:adjustRightInd w:val="0"/>
                    <w:snapToGrid w:val="0"/>
                    <w:spacing w:line="240" w:lineRule="auto"/>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w:t>
                  </w:r>
                </w:p>
              </w:tc>
            </w:tr>
          </w:tbl>
          <w:p w14:paraId="52D87AD7">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eastAsia" w:cs="Times New Roman"/>
                <w:b/>
                <w:bCs/>
                <w:color w:val="000000" w:themeColor="text1"/>
                <w:sz w:val="24"/>
                <w:szCs w:val="24"/>
                <w:lang w:val="en-US" w:eastAsia="zh-CN" w:bidi="ar"/>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表2</w:t>
            </w:r>
            <w:r>
              <w:rPr>
                <w:rFonts w:hint="default" w:ascii="Times New Roman" w:hAnsi="Times New Roman"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清洗剂成分一览表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6"/>
              <w:gridCol w:w="2657"/>
              <w:gridCol w:w="2659"/>
            </w:tblGrid>
            <w:tr w14:paraId="1017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56369BBC">
                  <w:pPr>
                    <w:adjustRightInd w:val="0"/>
                    <w:snapToGrid w:val="0"/>
                    <w:jc w:val="center"/>
                    <w:rPr>
                      <w:rFonts w:hint="default" w:cs="Times New Roman"/>
                      <w:b/>
                      <w:bCs w:val="0"/>
                      <w:color w:val="000000" w:themeColor="text1"/>
                      <w:sz w:val="21"/>
                      <w:szCs w:val="21"/>
                      <w:vertAlign w:val="baseline"/>
                      <w:lang w:val="en-US" w:eastAsia="zh-CN" w:bidi="ar"/>
                      <w14:textFill>
                        <w14:solidFill>
                          <w14:schemeClr w14:val="tx1"/>
                        </w14:solidFill>
                      </w14:textFill>
                    </w:rPr>
                  </w:pPr>
                  <w:r>
                    <w:rPr>
                      <w:rFonts w:hint="eastAsia" w:cs="Times New Roman"/>
                      <w:b/>
                      <w:bCs w:val="0"/>
                      <w:color w:val="000000" w:themeColor="text1"/>
                      <w:sz w:val="21"/>
                      <w:szCs w:val="21"/>
                      <w:vertAlign w:val="baseline"/>
                      <w:lang w:val="en-US" w:eastAsia="zh-CN" w:bidi="ar"/>
                      <w14:textFill>
                        <w14:solidFill>
                          <w14:schemeClr w14:val="tx1"/>
                        </w14:solidFill>
                      </w14:textFill>
                    </w:rPr>
                    <w:t>组分</w:t>
                  </w:r>
                </w:p>
              </w:tc>
              <w:tc>
                <w:tcPr>
                  <w:tcW w:w="1666" w:type="pct"/>
                  <w:vAlign w:val="center"/>
                </w:tcPr>
                <w:p w14:paraId="48F31E8A">
                  <w:pPr>
                    <w:adjustRightInd w:val="0"/>
                    <w:snapToGrid w:val="0"/>
                    <w:jc w:val="center"/>
                    <w:rPr>
                      <w:rFonts w:hint="default" w:cs="Times New Roman"/>
                      <w:b/>
                      <w:bCs w:val="0"/>
                      <w:color w:val="000000" w:themeColor="text1"/>
                      <w:sz w:val="21"/>
                      <w:szCs w:val="21"/>
                      <w:vertAlign w:val="baseline"/>
                      <w:lang w:val="en-US" w:eastAsia="zh-CN" w:bidi="ar"/>
                      <w14:textFill>
                        <w14:solidFill>
                          <w14:schemeClr w14:val="tx1"/>
                        </w14:solidFill>
                      </w14:textFill>
                    </w:rPr>
                  </w:pPr>
                  <w:r>
                    <w:rPr>
                      <w:rFonts w:hint="eastAsia" w:cs="Times New Roman"/>
                      <w:b/>
                      <w:bCs w:val="0"/>
                      <w:color w:val="000000" w:themeColor="text1"/>
                      <w:sz w:val="21"/>
                      <w:szCs w:val="21"/>
                      <w:vertAlign w:val="baseline"/>
                      <w:lang w:val="en-US" w:eastAsia="zh-CN" w:bidi="ar"/>
                      <w14:textFill>
                        <w14:solidFill>
                          <w14:schemeClr w14:val="tx1"/>
                        </w14:solidFill>
                      </w14:textFill>
                    </w:rPr>
                    <w:t>浓度</w:t>
                  </w:r>
                </w:p>
              </w:tc>
              <w:tc>
                <w:tcPr>
                  <w:tcW w:w="1667" w:type="pct"/>
                  <w:vAlign w:val="center"/>
                </w:tcPr>
                <w:p w14:paraId="2FF21255">
                  <w:pPr>
                    <w:adjustRightInd w:val="0"/>
                    <w:snapToGrid w:val="0"/>
                    <w:jc w:val="center"/>
                    <w:rPr>
                      <w:rFonts w:hint="default" w:cs="Times New Roman"/>
                      <w:b/>
                      <w:bCs w:val="0"/>
                      <w:color w:val="000000" w:themeColor="text1"/>
                      <w:sz w:val="21"/>
                      <w:szCs w:val="21"/>
                      <w:vertAlign w:val="baseline"/>
                      <w:lang w:val="en-US" w:eastAsia="zh-CN" w:bidi="ar"/>
                      <w14:textFill>
                        <w14:solidFill>
                          <w14:schemeClr w14:val="tx1"/>
                        </w14:solidFill>
                      </w14:textFill>
                    </w:rPr>
                  </w:pPr>
                  <w:r>
                    <w:rPr>
                      <w:rFonts w:hint="eastAsia" w:cs="Times New Roman"/>
                      <w:b/>
                      <w:bCs w:val="0"/>
                      <w:color w:val="000000" w:themeColor="text1"/>
                      <w:sz w:val="21"/>
                      <w:szCs w:val="21"/>
                      <w:vertAlign w:val="baseline"/>
                      <w:lang w:val="en-US" w:eastAsia="zh-CN" w:bidi="ar"/>
                      <w14:textFill>
                        <w14:solidFill>
                          <w14:schemeClr w14:val="tx1"/>
                        </w14:solidFill>
                      </w14:textFill>
                    </w:rPr>
                    <w:t>CAS号</w:t>
                  </w:r>
                </w:p>
              </w:tc>
            </w:tr>
            <w:tr w14:paraId="301D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003E57CA">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柠檬酸</w:t>
                  </w:r>
                </w:p>
              </w:tc>
              <w:tc>
                <w:tcPr>
                  <w:tcW w:w="1666" w:type="pct"/>
                  <w:vAlign w:val="center"/>
                </w:tcPr>
                <w:p w14:paraId="265BEB81">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50%</w:t>
                  </w:r>
                </w:p>
              </w:tc>
              <w:tc>
                <w:tcPr>
                  <w:tcW w:w="1667" w:type="pct"/>
                  <w:vAlign w:val="center"/>
                </w:tcPr>
                <w:p w14:paraId="54CC3107">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77-92-9</w:t>
                  </w:r>
                </w:p>
              </w:tc>
            </w:tr>
            <w:tr w14:paraId="68DF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50B50ABF">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椰子油二乙醇酰胺</w:t>
                  </w:r>
                </w:p>
              </w:tc>
              <w:tc>
                <w:tcPr>
                  <w:tcW w:w="1666" w:type="pct"/>
                  <w:vAlign w:val="center"/>
                </w:tcPr>
                <w:p w14:paraId="19939BBA">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1%</w:t>
                  </w:r>
                </w:p>
              </w:tc>
              <w:tc>
                <w:tcPr>
                  <w:tcW w:w="1667" w:type="pct"/>
                  <w:vAlign w:val="center"/>
                </w:tcPr>
                <w:p w14:paraId="4BA59418">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61788-47-4</w:t>
                  </w:r>
                </w:p>
              </w:tc>
            </w:tr>
            <w:tr w14:paraId="6F98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14:paraId="3747B421">
                  <w:pPr>
                    <w:adjustRightInd w:val="0"/>
                    <w:snapToGrid w:val="0"/>
                    <w:jc w:val="center"/>
                    <w:rPr>
                      <w:rFonts w:hint="default" w:cs="Times New Roman"/>
                      <w:b w:val="0"/>
                      <w:bCs/>
                      <w:color w:val="000000" w:themeColor="text1"/>
                      <w:kern w:val="0"/>
                      <w:sz w:val="21"/>
                      <w:szCs w:val="21"/>
                      <w:shd w:val="clear" w:color="auto" w:fill="FFFFFF"/>
                      <w:lang w:val="en-US" w:eastAsia="zh-CN" w:bidi="ar-SA"/>
                      <w14:textFill>
                        <w14:solidFill>
                          <w14:schemeClr w14:val="tx1"/>
                        </w14:solidFill>
                      </w14:textFill>
                    </w:rPr>
                  </w:pPr>
                  <w:r>
                    <w:rPr>
                      <w:rFonts w:hint="eastAsia" w:cs="Times New Roman"/>
                      <w:b w:val="0"/>
                      <w:bCs/>
                      <w:color w:val="000000" w:themeColor="text1"/>
                      <w:kern w:val="0"/>
                      <w:sz w:val="21"/>
                      <w:szCs w:val="21"/>
                      <w:shd w:val="clear" w:color="auto" w:fill="FFFFFF"/>
                      <w:lang w:val="en-US" w:eastAsia="zh-CN" w:bidi="ar-SA"/>
                      <w14:textFill>
                        <w14:solidFill>
                          <w14:schemeClr w14:val="tx1"/>
                        </w14:solidFill>
                      </w14:textFill>
                    </w:rPr>
                    <w:t>其他（水）</w:t>
                  </w:r>
                </w:p>
              </w:tc>
              <w:tc>
                <w:tcPr>
                  <w:tcW w:w="1666" w:type="pct"/>
                  <w:vAlign w:val="center"/>
                </w:tcPr>
                <w:p w14:paraId="753DF079">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49%</w:t>
                  </w:r>
                </w:p>
              </w:tc>
              <w:tc>
                <w:tcPr>
                  <w:tcW w:w="1667" w:type="pct"/>
                  <w:vAlign w:val="center"/>
                </w:tcPr>
                <w:p w14:paraId="1724CE69">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w:t>
                  </w:r>
                </w:p>
              </w:tc>
            </w:tr>
          </w:tbl>
          <w:p w14:paraId="03693DF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b w:val="0"/>
                <w:bCs/>
                <w:kern w:val="0"/>
                <w:lang w:val="en-US" w:eastAsia="zh-CN"/>
              </w:rPr>
            </w:pPr>
            <w:r>
              <w:rPr>
                <w:rFonts w:hint="default" w:ascii="Times New Roman" w:hAnsi="Times New Roman" w:cs="Times New Roman"/>
                <w:b w:val="0"/>
                <w:bCs/>
                <w:kern w:val="0"/>
                <w:lang w:val="en-US" w:eastAsia="zh-CN"/>
              </w:rPr>
              <w:t>根据建设单位提供的清洗剂MSDS报告</w:t>
            </w:r>
            <w:r>
              <w:rPr>
                <w:rFonts w:hint="eastAsia" w:ascii="Times New Roman" w:hAnsi="Times New Roman" w:cs="Times New Roman"/>
                <w:b w:val="0"/>
                <w:bCs/>
                <w:kern w:val="0"/>
                <w:lang w:val="en-US" w:eastAsia="zh-CN"/>
              </w:rPr>
              <w:t>（见附件）</w:t>
            </w:r>
            <w:r>
              <w:rPr>
                <w:rFonts w:hint="default" w:ascii="Times New Roman" w:hAnsi="Times New Roman" w:cs="Times New Roman"/>
                <w:b w:val="0"/>
                <w:bCs/>
                <w:kern w:val="0"/>
                <w:lang w:val="en-US" w:eastAsia="zh-CN"/>
              </w:rPr>
              <w:t>，清洗剂成分见上表，成分中柠檬酸沸点175℃，常温下不易挥发，椰子油二乙醇酰胺属于非离子表面活性剂，常温下为液态或膏状，沸点高且稳定性较好，挥发性极低。因此清洗剂成分中VOC含量视为满足《清洗剂挥发性有机化合物含量限值》（GB 38508-2020）挥发性有机化合物VOC含量≤100g/L的要求。</w:t>
            </w:r>
          </w:p>
          <w:p w14:paraId="753B2B3A">
            <w:pPr>
              <w:keepNext w:val="0"/>
              <w:keepLines w:val="0"/>
              <w:pageBreakBefore w:val="0"/>
              <w:widowControl w:val="0"/>
              <w:kinsoku/>
              <w:wordWrap/>
              <w:overflowPunct/>
              <w:topLinePunct w:val="0"/>
              <w:autoSpaceDE/>
              <w:autoSpaceDN/>
              <w:bidi w:val="0"/>
              <w:adjustRightInd w:val="0"/>
              <w:snapToGrid w:val="0"/>
              <w:jc w:val="center"/>
              <w:textAlignment w:val="auto"/>
              <w:rPr>
                <w:b/>
                <w:bCs/>
              </w:rPr>
            </w:pPr>
            <w:r>
              <w:rPr>
                <w:rFonts w:hint="eastAsia"/>
                <w:b/>
                <w:bCs/>
              </w:rPr>
              <w:t>表2</w:t>
            </w:r>
            <w:r>
              <w:rPr>
                <w:rFonts w:hint="eastAsia"/>
                <w:b/>
                <w:bCs/>
                <w:lang w:val="en-US" w:eastAsia="zh-CN"/>
              </w:rPr>
              <w:t>-6</w:t>
            </w:r>
            <w:r>
              <w:rPr>
                <w:rFonts w:hint="eastAsia"/>
                <w:b/>
                <w:color w:val="auto"/>
                <w:sz w:val="24"/>
                <w:szCs w:val="24"/>
                <w:lang w:val="en-US" w:eastAsia="zh-CN"/>
              </w:rPr>
              <w:t xml:space="preserve">  </w:t>
            </w:r>
            <w:r>
              <w:rPr>
                <w:rFonts w:hint="eastAsia"/>
                <w:b/>
                <w:bCs/>
                <w:lang w:val="en-US" w:eastAsia="zh-CN"/>
              </w:rPr>
              <w:t>亚克力</w:t>
            </w:r>
            <w:r>
              <w:rPr>
                <w:rFonts w:hint="eastAsia"/>
                <w:b/>
                <w:bCs/>
              </w:rPr>
              <w:t>密封胶</w:t>
            </w:r>
            <w:r>
              <w:rPr>
                <w:b/>
                <w:bCs/>
                <w:color w:val="000000" w:themeColor="text1"/>
                <w:kern w:val="0"/>
                <w14:textFill>
                  <w14:solidFill>
                    <w14:schemeClr w14:val="tx1"/>
                  </w14:solidFill>
                </w14:textFill>
              </w:rPr>
              <w:t>成分一览表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5"/>
              <w:gridCol w:w="2656"/>
              <w:gridCol w:w="2661"/>
            </w:tblGrid>
            <w:tr w14:paraId="1974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vAlign w:val="center"/>
                </w:tcPr>
                <w:p w14:paraId="72F31E2E">
                  <w:pPr>
                    <w:adjustRightInd w:val="0"/>
                    <w:snapToGrid w:val="0"/>
                    <w:jc w:val="center"/>
                    <w:rPr>
                      <w:rFonts w:hint="default" w:cs="Times New Roman"/>
                      <w:b/>
                      <w:bCs w:val="0"/>
                      <w:color w:val="000000" w:themeColor="text1"/>
                      <w:sz w:val="21"/>
                      <w:szCs w:val="21"/>
                      <w:vertAlign w:val="baseline"/>
                      <w:lang w:val="en-US" w:eastAsia="zh-CN" w:bidi="ar"/>
                      <w14:textFill>
                        <w14:solidFill>
                          <w14:schemeClr w14:val="tx1"/>
                        </w14:solidFill>
                      </w14:textFill>
                    </w:rPr>
                  </w:pPr>
                  <w:r>
                    <w:rPr>
                      <w:rFonts w:hint="eastAsia" w:cs="Times New Roman"/>
                      <w:b/>
                      <w:bCs w:val="0"/>
                      <w:color w:val="000000" w:themeColor="text1"/>
                      <w:sz w:val="21"/>
                      <w:szCs w:val="21"/>
                      <w:vertAlign w:val="baseline"/>
                      <w:lang w:val="en-US" w:eastAsia="zh-CN" w:bidi="ar"/>
                      <w14:textFill>
                        <w14:solidFill>
                          <w14:schemeClr w14:val="tx1"/>
                        </w14:solidFill>
                      </w14:textFill>
                    </w:rPr>
                    <w:t>组分</w:t>
                  </w:r>
                </w:p>
              </w:tc>
              <w:tc>
                <w:tcPr>
                  <w:tcW w:w="1666" w:type="pct"/>
                  <w:vAlign w:val="center"/>
                </w:tcPr>
                <w:p w14:paraId="6122DC7E">
                  <w:pPr>
                    <w:adjustRightInd w:val="0"/>
                    <w:snapToGrid w:val="0"/>
                    <w:jc w:val="center"/>
                    <w:rPr>
                      <w:rFonts w:hint="default" w:cs="Times New Roman"/>
                      <w:b/>
                      <w:bCs w:val="0"/>
                      <w:color w:val="000000" w:themeColor="text1"/>
                      <w:sz w:val="21"/>
                      <w:szCs w:val="21"/>
                      <w:vertAlign w:val="baseline"/>
                      <w:lang w:val="en-US" w:eastAsia="zh-CN" w:bidi="ar"/>
                      <w14:textFill>
                        <w14:solidFill>
                          <w14:schemeClr w14:val="tx1"/>
                        </w14:solidFill>
                      </w14:textFill>
                    </w:rPr>
                  </w:pPr>
                  <w:r>
                    <w:rPr>
                      <w:rFonts w:hint="eastAsia" w:cs="Times New Roman"/>
                      <w:b/>
                      <w:bCs w:val="0"/>
                      <w:color w:val="000000" w:themeColor="text1"/>
                      <w:sz w:val="21"/>
                      <w:szCs w:val="21"/>
                      <w:vertAlign w:val="baseline"/>
                      <w:lang w:val="en-US" w:eastAsia="zh-CN" w:bidi="ar"/>
                      <w14:textFill>
                        <w14:solidFill>
                          <w14:schemeClr w14:val="tx1"/>
                        </w14:solidFill>
                      </w14:textFill>
                    </w:rPr>
                    <w:t>浓度</w:t>
                  </w:r>
                </w:p>
              </w:tc>
              <w:tc>
                <w:tcPr>
                  <w:tcW w:w="1668" w:type="pct"/>
                  <w:vAlign w:val="center"/>
                </w:tcPr>
                <w:p w14:paraId="55CA564B">
                  <w:pPr>
                    <w:adjustRightInd w:val="0"/>
                    <w:snapToGrid w:val="0"/>
                    <w:jc w:val="center"/>
                    <w:rPr>
                      <w:rFonts w:hint="default" w:cs="Times New Roman"/>
                      <w:b/>
                      <w:bCs w:val="0"/>
                      <w:color w:val="000000" w:themeColor="text1"/>
                      <w:sz w:val="21"/>
                      <w:szCs w:val="21"/>
                      <w:vertAlign w:val="baseline"/>
                      <w:lang w:val="en-US" w:eastAsia="zh-CN" w:bidi="ar"/>
                      <w14:textFill>
                        <w14:solidFill>
                          <w14:schemeClr w14:val="tx1"/>
                        </w14:solidFill>
                      </w14:textFill>
                    </w:rPr>
                  </w:pPr>
                  <w:r>
                    <w:rPr>
                      <w:rFonts w:hint="eastAsia" w:cs="Times New Roman"/>
                      <w:b/>
                      <w:bCs w:val="0"/>
                      <w:color w:val="000000" w:themeColor="text1"/>
                      <w:sz w:val="21"/>
                      <w:szCs w:val="21"/>
                      <w:vertAlign w:val="baseline"/>
                      <w:lang w:val="en-US" w:eastAsia="zh-CN" w:bidi="ar"/>
                      <w14:textFill>
                        <w14:solidFill>
                          <w14:schemeClr w14:val="tx1"/>
                        </w14:solidFill>
                      </w14:textFill>
                    </w:rPr>
                    <w:t>CAS号</w:t>
                  </w:r>
                </w:p>
              </w:tc>
            </w:tr>
            <w:tr w14:paraId="50E7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vAlign w:val="center"/>
                </w:tcPr>
                <w:p w14:paraId="7ED86562">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环氧树脂</w:t>
                  </w:r>
                </w:p>
              </w:tc>
              <w:tc>
                <w:tcPr>
                  <w:tcW w:w="1666" w:type="pct"/>
                  <w:vAlign w:val="center"/>
                </w:tcPr>
                <w:p w14:paraId="739A7FC4">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60~70%</w:t>
                  </w:r>
                </w:p>
              </w:tc>
              <w:tc>
                <w:tcPr>
                  <w:tcW w:w="1668" w:type="pct"/>
                  <w:vAlign w:val="center"/>
                </w:tcPr>
                <w:p w14:paraId="0BAB4B66">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24969-06-0</w:t>
                  </w:r>
                </w:p>
              </w:tc>
            </w:tr>
            <w:tr w14:paraId="7A2E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vAlign w:val="center"/>
                </w:tcPr>
                <w:p w14:paraId="77B62701">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丙烯酸树脂</w:t>
                  </w:r>
                </w:p>
              </w:tc>
              <w:tc>
                <w:tcPr>
                  <w:tcW w:w="1666" w:type="pct"/>
                  <w:vAlign w:val="center"/>
                </w:tcPr>
                <w:p w14:paraId="3CDC20A6">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20~30%</w:t>
                  </w:r>
                </w:p>
              </w:tc>
              <w:tc>
                <w:tcPr>
                  <w:tcW w:w="1668" w:type="pct"/>
                  <w:vAlign w:val="center"/>
                </w:tcPr>
                <w:p w14:paraId="19DAF32B">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25852-47-5</w:t>
                  </w:r>
                </w:p>
              </w:tc>
            </w:tr>
            <w:tr w14:paraId="5B46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vAlign w:val="center"/>
                </w:tcPr>
                <w:p w14:paraId="6CB06A03">
                  <w:pPr>
                    <w:adjustRightInd w:val="0"/>
                    <w:snapToGrid w:val="0"/>
                    <w:jc w:val="center"/>
                    <w:rPr>
                      <w:rFonts w:hint="default" w:cs="Times New Roman"/>
                      <w:b w:val="0"/>
                      <w:bCs/>
                      <w:color w:val="000000" w:themeColor="text1"/>
                      <w:kern w:val="0"/>
                      <w:sz w:val="21"/>
                      <w:szCs w:val="21"/>
                      <w:shd w:val="clear" w:color="auto" w:fill="FFFFFF"/>
                      <w:lang w:val="en-US" w:eastAsia="zh-CN" w:bidi="ar-SA"/>
                      <w14:textFill>
                        <w14:solidFill>
                          <w14:schemeClr w14:val="tx1"/>
                        </w14:solidFill>
                      </w14:textFill>
                    </w:rPr>
                  </w:pPr>
                  <w:r>
                    <w:rPr>
                      <w:rFonts w:hint="eastAsia" w:cs="Times New Roman"/>
                      <w:b w:val="0"/>
                      <w:bCs/>
                      <w:color w:val="000000" w:themeColor="text1"/>
                      <w:kern w:val="0"/>
                      <w:sz w:val="21"/>
                      <w:szCs w:val="21"/>
                      <w:shd w:val="clear" w:color="auto" w:fill="FFFFFF"/>
                      <w:lang w:val="en-US" w:eastAsia="zh-CN" w:bidi="ar-SA"/>
                      <w14:textFill>
                        <w14:solidFill>
                          <w14:schemeClr w14:val="tx1"/>
                        </w14:solidFill>
                      </w14:textFill>
                    </w:rPr>
                    <w:t>乙二醇</w:t>
                  </w:r>
                </w:p>
              </w:tc>
              <w:tc>
                <w:tcPr>
                  <w:tcW w:w="1666" w:type="pct"/>
                  <w:vAlign w:val="center"/>
                </w:tcPr>
                <w:p w14:paraId="11994257">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1~3%</w:t>
                  </w:r>
                </w:p>
              </w:tc>
              <w:tc>
                <w:tcPr>
                  <w:tcW w:w="1668" w:type="pct"/>
                  <w:vAlign w:val="center"/>
                </w:tcPr>
                <w:p w14:paraId="046F42E6">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107-21-1</w:t>
                  </w:r>
                </w:p>
              </w:tc>
            </w:tr>
            <w:tr w14:paraId="49AD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vAlign w:val="center"/>
                </w:tcPr>
                <w:p w14:paraId="79B45706">
                  <w:pPr>
                    <w:adjustRightInd w:val="0"/>
                    <w:snapToGrid w:val="0"/>
                    <w:jc w:val="center"/>
                    <w:rPr>
                      <w:rFonts w:hint="eastAsia" w:cs="Times New Roman"/>
                      <w:b w:val="0"/>
                      <w:bCs/>
                      <w:color w:val="000000" w:themeColor="text1"/>
                      <w:kern w:val="0"/>
                      <w:sz w:val="21"/>
                      <w:szCs w:val="21"/>
                      <w:shd w:val="clear" w:color="auto" w:fill="FFFFFF"/>
                      <w:lang w:val="en-US" w:eastAsia="zh-CN" w:bidi="ar-SA"/>
                      <w14:textFill>
                        <w14:solidFill>
                          <w14:schemeClr w14:val="tx1"/>
                        </w14:solidFill>
                      </w14:textFill>
                    </w:rPr>
                  </w:pPr>
                  <w:r>
                    <w:rPr>
                      <w:rFonts w:hint="eastAsia" w:cs="Times New Roman"/>
                      <w:b w:val="0"/>
                      <w:bCs/>
                      <w:color w:val="000000" w:themeColor="text1"/>
                      <w:kern w:val="0"/>
                      <w:sz w:val="21"/>
                      <w:szCs w:val="21"/>
                      <w:shd w:val="clear" w:color="auto" w:fill="FFFFFF"/>
                      <w:lang w:val="en-US" w:eastAsia="zh-CN" w:bidi="ar-SA"/>
                      <w14:textFill>
                        <w14:solidFill>
                          <w14:schemeClr w14:val="tx1"/>
                        </w14:solidFill>
                      </w14:textFill>
                    </w:rPr>
                    <w:t>羟乙酯</w:t>
                  </w:r>
                </w:p>
              </w:tc>
              <w:tc>
                <w:tcPr>
                  <w:tcW w:w="1666" w:type="pct"/>
                  <w:vAlign w:val="center"/>
                </w:tcPr>
                <w:p w14:paraId="264B76D1">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0.1~0.5%</w:t>
                  </w:r>
                </w:p>
              </w:tc>
              <w:tc>
                <w:tcPr>
                  <w:tcW w:w="1668" w:type="pct"/>
                  <w:vAlign w:val="center"/>
                </w:tcPr>
                <w:p w14:paraId="341F6D7F">
                  <w:pPr>
                    <w:adjustRightInd w:val="0"/>
                    <w:snapToGrid w:val="0"/>
                    <w:jc w:val="center"/>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868-77-9</w:t>
                  </w:r>
                </w:p>
              </w:tc>
            </w:tr>
            <w:tr w14:paraId="5BB87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vAlign w:val="center"/>
                </w:tcPr>
                <w:p w14:paraId="36646281">
                  <w:pPr>
                    <w:adjustRightInd w:val="0"/>
                    <w:snapToGrid w:val="0"/>
                    <w:jc w:val="both"/>
                    <w:rPr>
                      <w:rFonts w:hint="default" w:cs="Times New Roman"/>
                      <w:b w:val="0"/>
                      <w:bCs/>
                      <w:color w:val="000000" w:themeColor="text1"/>
                      <w:sz w:val="21"/>
                      <w:szCs w:val="21"/>
                      <w:vertAlign w:val="baseline"/>
                      <w:lang w:val="en-US" w:eastAsia="zh-CN" w:bidi="ar"/>
                      <w14:textFill>
                        <w14:solidFill>
                          <w14:schemeClr w14:val="tx1"/>
                        </w14:solidFill>
                      </w14:textFill>
                    </w:rPr>
                  </w:pPr>
                  <w:r>
                    <w:rPr>
                      <w:rFonts w:hint="eastAsia" w:cs="Times New Roman"/>
                      <w:b w:val="0"/>
                      <w:bCs/>
                      <w:color w:val="000000" w:themeColor="text1"/>
                      <w:sz w:val="21"/>
                      <w:szCs w:val="21"/>
                      <w:vertAlign w:val="baseline"/>
                      <w:lang w:val="en-US" w:eastAsia="zh-CN" w:bidi="ar"/>
                      <w14:textFill>
                        <w14:solidFill>
                          <w14:schemeClr w14:val="tx1"/>
                        </w14:solidFill>
                      </w14:textFill>
                    </w:rPr>
                    <w:t>备注</w:t>
                  </w:r>
                  <w:r>
                    <w:rPr>
                      <w:rStyle w:val="36"/>
                      <w:rFonts w:hint="eastAsia"/>
                      <w:color w:val="auto"/>
                      <w:kern w:val="0"/>
                      <w:szCs w:val="20"/>
                      <w:lang w:val="en-US" w:eastAsia="zh-CN"/>
                    </w:rPr>
                    <w:t>：本次VOCs含量取MSDS报告中最大值</w:t>
                  </w:r>
                </w:p>
              </w:tc>
            </w:tr>
          </w:tbl>
          <w:p w14:paraId="5BBC139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b w:val="0"/>
                <w:bCs/>
                <w:kern w:val="0"/>
                <w:lang w:val="en-US" w:eastAsia="zh-CN"/>
              </w:rPr>
            </w:pPr>
            <w:r>
              <w:rPr>
                <w:rFonts w:hint="eastAsia"/>
                <w:sz w:val="24"/>
                <w:szCs w:val="24"/>
                <w:lang w:val="en-US" w:eastAsia="zh-CN"/>
              </w:rPr>
              <w:t>本项目使用的亚克力密封胶为丙烯酸酯类，根据MSDS报告（见附件），亚克力密封胶</w:t>
            </w:r>
            <w:r>
              <w:rPr>
                <w:rFonts w:hint="default" w:ascii="Times New Roman" w:hAnsi="Times New Roman" w:cs="Times New Roman"/>
                <w:b w:val="0"/>
                <w:bCs/>
                <w:kern w:val="0"/>
                <w:lang w:val="en-US" w:eastAsia="zh-CN"/>
              </w:rPr>
              <w:t>成分见上表，</w:t>
            </w:r>
            <w:r>
              <w:rPr>
                <w:rFonts w:hint="eastAsia"/>
                <w:sz w:val="24"/>
                <w:szCs w:val="24"/>
                <w:lang w:val="en-US" w:eastAsia="zh-CN"/>
              </w:rPr>
              <w:t>密封胶中</w:t>
            </w:r>
            <w:r>
              <w:rPr>
                <w:rFonts w:hint="default" w:ascii="Times New Roman" w:hAnsi="Times New Roman" w:cs="Times New Roman"/>
                <w:b w:val="0"/>
                <w:bCs/>
                <w:kern w:val="0"/>
                <w:lang w:val="en-US" w:eastAsia="zh-CN"/>
              </w:rPr>
              <w:t>挥发性有机化合物</w:t>
            </w:r>
            <w:r>
              <w:rPr>
                <w:rFonts w:hint="eastAsia" w:ascii="Times New Roman" w:hAnsi="Times New Roman" w:cs="Times New Roman"/>
                <w:b w:val="0"/>
                <w:bCs/>
                <w:kern w:val="0"/>
                <w:lang w:val="en-US" w:eastAsia="zh-CN"/>
              </w:rPr>
              <w:t>最大</w:t>
            </w:r>
            <w:r>
              <w:rPr>
                <w:rFonts w:hint="eastAsia"/>
                <w:sz w:val="24"/>
                <w:szCs w:val="24"/>
                <w:lang w:val="en-US" w:eastAsia="zh-CN"/>
              </w:rPr>
              <w:t>为3.5%，经计算可知VOC含量为38.5g</w:t>
            </w:r>
            <w:r>
              <w:rPr>
                <w:rFonts w:hint="default" w:ascii="Times New Roman" w:hAnsi="Times New Roman" w:eastAsia="宋体" w:cs="Times New Roman"/>
                <w:b w:val="0"/>
                <w:bCs w:val="0"/>
                <w:sz w:val="24"/>
                <w:szCs w:val="24"/>
                <w:lang w:val="en-US" w:eastAsia="zh-CN"/>
              </w:rPr>
              <w:t>/L</w:t>
            </w:r>
            <w:r>
              <w:rPr>
                <w:rFonts w:hint="eastAsia" w:ascii="Times New Roman" w:hAnsi="Times New Roman" w:eastAsia="宋体" w:cs="Times New Roman"/>
                <w:b w:val="0"/>
                <w:bCs w:val="0"/>
                <w:sz w:val="24"/>
                <w:szCs w:val="24"/>
                <w:lang w:val="en-US" w:eastAsia="zh-CN"/>
              </w:rPr>
              <w:t>，符合《胶黏剂挥发性有机化合物限量》（GB38507-2020）中的</w:t>
            </w:r>
            <w:r>
              <w:rPr>
                <w:rFonts w:hint="eastAsia"/>
                <w:sz w:val="24"/>
                <w:szCs w:val="24"/>
                <w:lang w:val="en-US" w:eastAsia="zh-CN"/>
              </w:rPr>
              <w:t>VOC含量限值</w:t>
            </w:r>
            <w:r>
              <w:rPr>
                <w:rFonts w:hint="default" w:ascii="Times New Roman" w:hAnsi="Times New Roman" w:eastAsia="微软雅黑" w:cs="Times New Roman"/>
                <w:b w:val="0"/>
                <w:bCs w:val="0"/>
                <w:sz w:val="24"/>
                <w:szCs w:val="24"/>
                <w:lang w:val="en-US" w:eastAsia="zh-CN"/>
              </w:rPr>
              <w:t>≤</w:t>
            </w:r>
            <w:r>
              <w:rPr>
                <w:rFonts w:hint="eastAsia" w:ascii="Times New Roman" w:hAnsi="Times New Roman" w:eastAsia="微软雅黑" w:cs="Times New Roman"/>
                <w:b w:val="0"/>
                <w:bCs w:val="0"/>
                <w:sz w:val="24"/>
                <w:szCs w:val="24"/>
                <w:lang w:val="en-US" w:eastAsia="zh-CN"/>
              </w:rPr>
              <w:t>200</w:t>
            </w:r>
            <w:r>
              <w:rPr>
                <w:rFonts w:hint="default" w:ascii="Times New Roman" w:hAnsi="Times New Roman" w:eastAsia="宋体" w:cs="Times New Roman"/>
                <w:b w:val="0"/>
                <w:bCs w:val="0"/>
                <w:sz w:val="24"/>
                <w:szCs w:val="24"/>
                <w:lang w:val="en-US" w:eastAsia="zh-CN"/>
              </w:rPr>
              <w:t>g/L</w:t>
            </w:r>
            <w:r>
              <w:rPr>
                <w:rFonts w:hint="eastAsia" w:ascii="Times New Roman" w:hAnsi="Times New Roman" w:cs="Times New Roman"/>
                <w:b w:val="0"/>
                <w:bCs w:val="0"/>
                <w:sz w:val="24"/>
                <w:szCs w:val="24"/>
                <w:lang w:val="en-US" w:eastAsia="zh-CN"/>
              </w:rPr>
              <w:t>。</w:t>
            </w:r>
          </w:p>
          <w:p w14:paraId="14FD9BBE">
            <w:pPr>
              <w:pStyle w:val="1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表2-</w:t>
            </w:r>
            <w:r>
              <w:rPr>
                <w:rFonts w:hint="eastAsia" w:ascii="Times New Roman" w:hAnsi="Times New Roman" w:cs="Times New Roman"/>
                <w:b/>
                <w:color w:val="auto"/>
                <w:sz w:val="24"/>
                <w:szCs w:val="24"/>
                <w:lang w:val="en-US" w:eastAsia="zh-CN"/>
              </w:rPr>
              <w:t>7</w:t>
            </w:r>
            <w:r>
              <w:rPr>
                <w:rFonts w:hint="default" w:ascii="Times New Roman" w:hAnsi="Times New Roman" w:cs="Times New Roman"/>
                <w:b/>
                <w:color w:val="auto"/>
                <w:sz w:val="24"/>
                <w:szCs w:val="24"/>
                <w:lang w:val="en-US" w:eastAsia="zh-CN"/>
              </w:rPr>
              <w:t xml:space="preserve">  实芯焊丝成分一览表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585"/>
              <w:gridCol w:w="780"/>
              <w:gridCol w:w="735"/>
              <w:gridCol w:w="750"/>
              <w:gridCol w:w="810"/>
              <w:gridCol w:w="705"/>
              <w:gridCol w:w="720"/>
              <w:gridCol w:w="750"/>
              <w:gridCol w:w="705"/>
              <w:gridCol w:w="753"/>
            </w:tblGrid>
            <w:tr w14:paraId="6994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Align w:val="center"/>
                </w:tcPr>
                <w:p w14:paraId="25454B41">
                  <w:pPr>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成分</w:t>
                  </w:r>
                </w:p>
              </w:tc>
              <w:tc>
                <w:tcPr>
                  <w:tcW w:w="585" w:type="dxa"/>
                  <w:vAlign w:val="center"/>
                </w:tcPr>
                <w:p w14:paraId="69B2215C">
                  <w:pPr>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C</w:t>
                  </w:r>
                </w:p>
              </w:tc>
              <w:tc>
                <w:tcPr>
                  <w:tcW w:w="780" w:type="dxa"/>
                  <w:vAlign w:val="center"/>
                </w:tcPr>
                <w:p w14:paraId="413592B7">
                  <w:pPr>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Si</w:t>
                  </w:r>
                </w:p>
              </w:tc>
              <w:tc>
                <w:tcPr>
                  <w:tcW w:w="735" w:type="dxa"/>
                  <w:vAlign w:val="center"/>
                </w:tcPr>
                <w:p w14:paraId="4D2A5163">
                  <w:pPr>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Mn</w:t>
                  </w:r>
                </w:p>
              </w:tc>
              <w:tc>
                <w:tcPr>
                  <w:tcW w:w="750" w:type="dxa"/>
                  <w:vAlign w:val="center"/>
                </w:tcPr>
                <w:p w14:paraId="1F8713CA">
                  <w:pPr>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P</w:t>
                  </w:r>
                </w:p>
              </w:tc>
              <w:tc>
                <w:tcPr>
                  <w:tcW w:w="810" w:type="dxa"/>
                  <w:vAlign w:val="center"/>
                </w:tcPr>
                <w:p w14:paraId="7973859B">
                  <w:pPr>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S</w:t>
                  </w:r>
                </w:p>
              </w:tc>
              <w:tc>
                <w:tcPr>
                  <w:tcW w:w="705" w:type="dxa"/>
                  <w:vAlign w:val="center"/>
                </w:tcPr>
                <w:p w14:paraId="4747AC23">
                  <w:pPr>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Cu</w:t>
                  </w:r>
                </w:p>
              </w:tc>
              <w:tc>
                <w:tcPr>
                  <w:tcW w:w="720" w:type="dxa"/>
                  <w:vAlign w:val="center"/>
                </w:tcPr>
                <w:p w14:paraId="1367FD03">
                  <w:pPr>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Cr</w:t>
                  </w:r>
                </w:p>
              </w:tc>
              <w:tc>
                <w:tcPr>
                  <w:tcW w:w="750" w:type="dxa"/>
                  <w:vAlign w:val="center"/>
                </w:tcPr>
                <w:p w14:paraId="60AFEFCE">
                  <w:pPr>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Ni</w:t>
                  </w:r>
                </w:p>
              </w:tc>
              <w:tc>
                <w:tcPr>
                  <w:tcW w:w="705" w:type="dxa"/>
                  <w:vAlign w:val="center"/>
                </w:tcPr>
                <w:p w14:paraId="24FA1094">
                  <w:pPr>
                    <w:jc w:val="cente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V</w:t>
                  </w:r>
                </w:p>
              </w:tc>
              <w:tc>
                <w:tcPr>
                  <w:tcW w:w="753" w:type="dxa"/>
                  <w:vAlign w:val="center"/>
                </w:tcPr>
                <w:p w14:paraId="7D99C686">
                  <w:pPr>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Mo</w:t>
                  </w:r>
                </w:p>
              </w:tc>
            </w:tr>
            <w:tr w14:paraId="78C6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Align w:val="center"/>
                </w:tcPr>
                <w:p w14:paraId="7D3E2555">
                  <w:pPr>
                    <w:spacing w:line="320" w:lineRule="exact"/>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14:textFill>
                        <w14:solidFill>
                          <w14:schemeClr w14:val="tx1"/>
                        </w14:solidFill>
                      </w14:textFill>
                    </w:rPr>
                    <w:t>标准</w:t>
                  </w:r>
                </w:p>
              </w:tc>
              <w:tc>
                <w:tcPr>
                  <w:tcW w:w="585" w:type="dxa"/>
                  <w:vAlign w:val="center"/>
                </w:tcPr>
                <w:p w14:paraId="72635956">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0.06~0.15</w:t>
                  </w:r>
                </w:p>
              </w:tc>
              <w:tc>
                <w:tcPr>
                  <w:tcW w:w="780" w:type="dxa"/>
                  <w:vAlign w:val="center"/>
                </w:tcPr>
                <w:p w14:paraId="0CF5C6DC">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0.80~1.15</w:t>
                  </w:r>
                </w:p>
              </w:tc>
              <w:tc>
                <w:tcPr>
                  <w:tcW w:w="735" w:type="dxa"/>
                  <w:vAlign w:val="center"/>
                </w:tcPr>
                <w:p w14:paraId="1EE0709B">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1.40~1.85</w:t>
                  </w:r>
                </w:p>
              </w:tc>
              <w:tc>
                <w:tcPr>
                  <w:tcW w:w="750" w:type="dxa"/>
                  <w:vAlign w:val="center"/>
                </w:tcPr>
                <w:p w14:paraId="5E24E340">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0.025</w:t>
                  </w:r>
                </w:p>
              </w:tc>
              <w:tc>
                <w:tcPr>
                  <w:tcW w:w="810" w:type="dxa"/>
                  <w:vAlign w:val="center"/>
                </w:tcPr>
                <w:p w14:paraId="0777EAFF">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1"/>
                      <w:szCs w:val="21"/>
                      <w:lang w:val="en-US" w:eastAsia="zh-CN"/>
                      <w14:textFill>
                        <w14:solidFill>
                          <w14:schemeClr w14:val="tx1"/>
                        </w14:solidFill>
                      </w14:textFill>
                    </w:rPr>
                    <w:t>≤0.025</w:t>
                  </w:r>
                </w:p>
              </w:tc>
              <w:tc>
                <w:tcPr>
                  <w:tcW w:w="705" w:type="dxa"/>
                  <w:vAlign w:val="center"/>
                </w:tcPr>
                <w:p w14:paraId="79985973">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微软雅黑" w:cs="Times New Roman"/>
                      <w:color w:val="000000" w:themeColor="text1"/>
                      <w:kern w:val="0"/>
                      <w:sz w:val="21"/>
                      <w:szCs w:val="21"/>
                      <w:lang w:val="en-US" w:eastAsia="zh-CN"/>
                      <w14:textFill>
                        <w14:solidFill>
                          <w14:schemeClr w14:val="tx1"/>
                        </w14:solidFill>
                      </w14:textFill>
                    </w:rPr>
                    <w:t>0.50</w:t>
                  </w:r>
                </w:p>
              </w:tc>
              <w:tc>
                <w:tcPr>
                  <w:tcW w:w="720" w:type="dxa"/>
                  <w:vAlign w:val="center"/>
                </w:tcPr>
                <w:p w14:paraId="1950CC0C">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微软雅黑" w:cs="Times New Roman"/>
                      <w:color w:val="000000" w:themeColor="text1"/>
                      <w:kern w:val="0"/>
                      <w:sz w:val="21"/>
                      <w:szCs w:val="21"/>
                      <w:lang w:val="en-US" w:eastAsia="zh-CN"/>
                      <w14:textFill>
                        <w14:solidFill>
                          <w14:schemeClr w14:val="tx1"/>
                        </w14:solidFill>
                      </w14:textFill>
                    </w:rPr>
                    <w:t>0.15</w:t>
                  </w:r>
                </w:p>
              </w:tc>
              <w:tc>
                <w:tcPr>
                  <w:tcW w:w="750" w:type="dxa"/>
                  <w:vAlign w:val="center"/>
                </w:tcPr>
                <w:p w14:paraId="45C1998A">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微软雅黑" w:cs="Times New Roman"/>
                      <w:color w:val="000000" w:themeColor="text1"/>
                      <w:kern w:val="0"/>
                      <w:sz w:val="21"/>
                      <w:szCs w:val="21"/>
                      <w:lang w:val="en-US" w:eastAsia="zh-CN"/>
                      <w14:textFill>
                        <w14:solidFill>
                          <w14:schemeClr w14:val="tx1"/>
                        </w14:solidFill>
                      </w14:textFill>
                    </w:rPr>
                    <w:t>0.15</w:t>
                  </w:r>
                </w:p>
              </w:tc>
              <w:tc>
                <w:tcPr>
                  <w:tcW w:w="705" w:type="dxa"/>
                  <w:vAlign w:val="center"/>
                </w:tcPr>
                <w:p w14:paraId="24039C03">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微软雅黑" w:cs="Times New Roman"/>
                      <w:color w:val="000000" w:themeColor="text1"/>
                      <w:kern w:val="0"/>
                      <w:sz w:val="21"/>
                      <w:szCs w:val="21"/>
                      <w:lang w:val="en-US" w:eastAsia="zh-CN"/>
                      <w14:textFill>
                        <w14:solidFill>
                          <w14:schemeClr w14:val="tx1"/>
                        </w14:solidFill>
                      </w14:textFill>
                    </w:rPr>
                    <w:t>0.03</w:t>
                  </w:r>
                </w:p>
              </w:tc>
              <w:tc>
                <w:tcPr>
                  <w:tcW w:w="753" w:type="dxa"/>
                  <w:vAlign w:val="center"/>
                </w:tcPr>
                <w:p w14:paraId="709C6F3E">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eastAsia="微软雅黑" w:cs="Times New Roman"/>
                      <w:color w:val="000000" w:themeColor="text1"/>
                      <w:kern w:val="0"/>
                      <w:sz w:val="21"/>
                      <w:szCs w:val="21"/>
                      <w:lang w:val="en-US" w:eastAsia="zh-CN"/>
                      <w14:textFill>
                        <w14:solidFill>
                          <w14:schemeClr w14:val="tx1"/>
                        </w14:solidFill>
                      </w14:textFill>
                    </w:rPr>
                    <w:t>0.15</w:t>
                  </w:r>
                </w:p>
              </w:tc>
            </w:tr>
            <w:tr w14:paraId="172B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3" w:type="dxa"/>
                  <w:vAlign w:val="center"/>
                </w:tcPr>
                <w:p w14:paraId="39397351">
                  <w:pPr>
                    <w:spacing w:line="320" w:lineRule="exact"/>
                    <w:jc w:val="center"/>
                    <w:rPr>
                      <w:rFonts w:hint="default" w:ascii="Times New Roman" w:hAnsi="Times New Roman" w:cs="Times New Roman"/>
                      <w:b/>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实测值</w:t>
                  </w:r>
                </w:p>
              </w:tc>
              <w:tc>
                <w:tcPr>
                  <w:tcW w:w="585" w:type="dxa"/>
                  <w:vAlign w:val="center"/>
                </w:tcPr>
                <w:p w14:paraId="0748023F">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0.08</w:t>
                  </w:r>
                </w:p>
              </w:tc>
              <w:tc>
                <w:tcPr>
                  <w:tcW w:w="780" w:type="dxa"/>
                  <w:vAlign w:val="center"/>
                </w:tcPr>
                <w:p w14:paraId="19449540">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0.85</w:t>
                  </w:r>
                </w:p>
              </w:tc>
              <w:tc>
                <w:tcPr>
                  <w:tcW w:w="735" w:type="dxa"/>
                  <w:vAlign w:val="center"/>
                </w:tcPr>
                <w:p w14:paraId="58F5D591">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1.46</w:t>
                  </w:r>
                </w:p>
              </w:tc>
              <w:tc>
                <w:tcPr>
                  <w:tcW w:w="750" w:type="dxa"/>
                  <w:vAlign w:val="center"/>
                </w:tcPr>
                <w:p w14:paraId="57588915">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0.018</w:t>
                  </w:r>
                </w:p>
              </w:tc>
              <w:tc>
                <w:tcPr>
                  <w:tcW w:w="810" w:type="dxa"/>
                  <w:vAlign w:val="center"/>
                </w:tcPr>
                <w:p w14:paraId="406302B8">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0.013</w:t>
                  </w:r>
                </w:p>
              </w:tc>
              <w:tc>
                <w:tcPr>
                  <w:tcW w:w="705" w:type="dxa"/>
                  <w:vAlign w:val="center"/>
                </w:tcPr>
                <w:p w14:paraId="10A1715A">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0.12</w:t>
                  </w:r>
                </w:p>
              </w:tc>
              <w:tc>
                <w:tcPr>
                  <w:tcW w:w="720" w:type="dxa"/>
                  <w:vAlign w:val="center"/>
                </w:tcPr>
                <w:p w14:paraId="5B691E08">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0.02</w:t>
                  </w:r>
                </w:p>
              </w:tc>
              <w:tc>
                <w:tcPr>
                  <w:tcW w:w="750" w:type="dxa"/>
                  <w:vAlign w:val="center"/>
                </w:tcPr>
                <w:p w14:paraId="0E44BC62">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0.02</w:t>
                  </w:r>
                </w:p>
              </w:tc>
              <w:tc>
                <w:tcPr>
                  <w:tcW w:w="705" w:type="dxa"/>
                  <w:vAlign w:val="center"/>
                </w:tcPr>
                <w:p w14:paraId="5581F5DA">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0.001</w:t>
                  </w:r>
                </w:p>
              </w:tc>
              <w:tc>
                <w:tcPr>
                  <w:tcW w:w="753" w:type="dxa"/>
                  <w:vAlign w:val="center"/>
                </w:tcPr>
                <w:p w14:paraId="374E8660">
                  <w:pPr>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0.01</w:t>
                  </w:r>
                </w:p>
              </w:tc>
            </w:tr>
            <w:tr w14:paraId="48BE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76" w:type="dxa"/>
                  <w:gridSpan w:val="11"/>
                  <w:vAlign w:val="center"/>
                </w:tcPr>
                <w:p w14:paraId="12287954">
                  <w:pPr>
                    <w:jc w:val="both"/>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注：执行《熔化极气体保护电弧焊用非合金钢及细晶粒钢实心焊丝（GB/T8110-2020）》中相关标准，成分报告见附件。</w:t>
                  </w:r>
                </w:p>
              </w:tc>
            </w:tr>
          </w:tbl>
          <w:p w14:paraId="4615957C">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val="0"/>
                <w:kern w:val="0"/>
              </w:rPr>
            </w:pPr>
            <w:r>
              <w:rPr>
                <w:rFonts w:hint="eastAsia"/>
                <w:b/>
                <w:bCs w:val="0"/>
                <w:kern w:val="0"/>
              </w:rPr>
              <w:t>塑粉用量</w:t>
            </w:r>
            <w:r>
              <w:rPr>
                <w:rFonts w:hint="eastAsia"/>
                <w:b/>
                <w:bCs w:val="0"/>
                <w:kern w:val="0"/>
                <w:lang w:val="en-US" w:eastAsia="zh-CN"/>
              </w:rPr>
              <w:t>情况分析</w:t>
            </w:r>
            <w:r>
              <w:rPr>
                <w:rFonts w:hint="eastAsia"/>
                <w:b/>
                <w:bCs w:val="0"/>
                <w:kern w:val="0"/>
              </w:rPr>
              <w:t>：</w:t>
            </w:r>
          </w:p>
          <w:p w14:paraId="39C2FB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kern w:val="0"/>
              </w:rPr>
            </w:pPr>
            <w:r>
              <w:rPr>
                <w:rFonts w:hint="eastAsia"/>
                <w:b w:val="0"/>
                <w:bCs/>
                <w:kern w:val="0"/>
              </w:rPr>
              <w:t>根据产品方案中对应产品的表面积及数量来计算需要喷涂的总表面积</w:t>
            </w:r>
            <w:r>
              <w:rPr>
                <w:rFonts w:hint="eastAsia"/>
                <w:b w:val="0"/>
                <w:bCs/>
                <w:kern w:val="0"/>
                <w:lang w:eastAsia="zh-CN"/>
              </w:rPr>
              <w:t>，</w:t>
            </w:r>
            <w:r>
              <w:rPr>
                <w:rFonts w:hint="eastAsia"/>
                <w:b w:val="0"/>
                <w:bCs/>
                <w:kern w:val="0"/>
              </w:rPr>
              <w:t>需要说明的是喷涂的厚度通常为</w:t>
            </w:r>
            <w:r>
              <w:rPr>
                <w:rFonts w:hint="eastAsia"/>
                <w:b w:val="0"/>
                <w:bCs/>
                <w:kern w:val="0"/>
                <w:lang w:val="en-US" w:eastAsia="zh-CN"/>
              </w:rPr>
              <w:t>90~</w:t>
            </w:r>
            <w:r>
              <w:rPr>
                <w:rFonts w:hint="eastAsia"/>
                <w:b w:val="0"/>
                <w:bCs/>
                <w:kern w:val="0"/>
              </w:rPr>
              <w:t>110</w:t>
            </w:r>
            <w:r>
              <w:rPr>
                <w:rFonts w:hint="default" w:ascii="Times New Roman" w:hAnsi="Times New Roman" w:cs="Times New Roman"/>
                <w:b w:val="0"/>
                <w:bCs/>
                <w:kern w:val="0"/>
              </w:rPr>
              <w:t>μm</w:t>
            </w:r>
            <w:r>
              <w:rPr>
                <w:rFonts w:hint="eastAsia"/>
                <w:b w:val="0"/>
                <w:bCs/>
                <w:kern w:val="0"/>
              </w:rPr>
              <w:t>，本项目</w:t>
            </w:r>
            <w:r>
              <w:rPr>
                <w:rFonts w:hint="eastAsia"/>
                <w:b w:val="0"/>
                <w:bCs/>
                <w:kern w:val="0"/>
                <w:lang w:val="en-US" w:eastAsia="zh-CN"/>
              </w:rPr>
              <w:t>折中</w:t>
            </w:r>
            <w:r>
              <w:rPr>
                <w:rFonts w:hint="eastAsia"/>
                <w:b w:val="0"/>
                <w:bCs/>
                <w:kern w:val="0"/>
              </w:rPr>
              <w:t>按照100</w:t>
            </w:r>
            <w:r>
              <w:rPr>
                <w:rFonts w:hint="default" w:ascii="Times New Roman" w:hAnsi="Times New Roman" w:cs="Times New Roman"/>
                <w:b w:val="0"/>
                <w:bCs/>
                <w:kern w:val="0"/>
              </w:rPr>
              <w:t>μm</w:t>
            </w:r>
            <w:r>
              <w:rPr>
                <w:rFonts w:hint="eastAsia"/>
                <w:b w:val="0"/>
                <w:bCs/>
                <w:kern w:val="0"/>
              </w:rPr>
              <w:t>取值</w:t>
            </w:r>
            <w:r>
              <w:rPr>
                <w:rFonts w:hint="eastAsia"/>
                <w:b w:val="0"/>
                <w:bCs/>
                <w:kern w:val="0"/>
                <w:lang w:eastAsia="zh-CN"/>
              </w:rPr>
              <w:t>，</w:t>
            </w:r>
            <w:r>
              <w:rPr>
                <w:rFonts w:hint="eastAsia"/>
                <w:b w:val="0"/>
                <w:bCs/>
                <w:kern w:val="0"/>
              </w:rPr>
              <w:t>具体统计方法见下表。</w:t>
            </w:r>
          </w:p>
          <w:p w14:paraId="58F495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val="0"/>
                <w:szCs w:val="20"/>
                <w:lang w:val="en-US" w:eastAsia="zh-CN"/>
              </w:rPr>
            </w:pPr>
            <w:r>
              <w:rPr>
                <w:rFonts w:hint="eastAsia"/>
                <w:b/>
                <w:bCs w:val="0"/>
                <w:kern w:val="0"/>
                <w:lang w:val="en-US" w:eastAsia="zh-CN"/>
              </w:rPr>
              <w:t>表2-8  喷塑总表面积计算表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2508"/>
              <w:gridCol w:w="1352"/>
              <w:gridCol w:w="1268"/>
              <w:gridCol w:w="1339"/>
            </w:tblGrid>
            <w:tr w14:paraId="65BA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14:paraId="239EAD70">
                  <w:pPr>
                    <w:jc w:val="center"/>
                    <w:rPr>
                      <w:rFonts w:hint="default" w:eastAsia="宋体"/>
                      <w:b/>
                      <w:bCs/>
                      <w:sz w:val="21"/>
                      <w:szCs w:val="21"/>
                      <w:lang w:val="en-US" w:eastAsia="zh-CN"/>
                    </w:rPr>
                  </w:pPr>
                  <w:r>
                    <w:rPr>
                      <w:rFonts w:hint="eastAsia"/>
                      <w:b/>
                      <w:bCs/>
                      <w:sz w:val="21"/>
                      <w:szCs w:val="21"/>
                      <w:lang w:val="en-US" w:eastAsia="zh-CN"/>
                    </w:rPr>
                    <w:t>产品名称</w:t>
                  </w:r>
                </w:p>
              </w:tc>
              <w:tc>
                <w:tcPr>
                  <w:tcW w:w="2595" w:type="dxa"/>
                  <w:vAlign w:val="center"/>
                </w:tcPr>
                <w:p w14:paraId="3D620ED3">
                  <w:pPr>
                    <w:pStyle w:val="89"/>
                    <w:rPr>
                      <w:rFonts w:hint="default" w:eastAsia="宋体"/>
                      <w:b/>
                      <w:bCs/>
                      <w:color w:val="000000"/>
                      <w:sz w:val="21"/>
                      <w:lang w:val="en-US" w:eastAsia="zh-CN"/>
                    </w:rPr>
                  </w:pPr>
                  <w:r>
                    <w:rPr>
                      <w:rFonts w:hint="eastAsia"/>
                      <w:b/>
                      <w:bCs/>
                      <w:color w:val="000000"/>
                      <w:sz w:val="21"/>
                      <w:lang w:val="en-US" w:eastAsia="zh-CN"/>
                    </w:rPr>
                    <w:t>尺寸（m）</w:t>
                  </w:r>
                </w:p>
              </w:tc>
              <w:tc>
                <w:tcPr>
                  <w:tcW w:w="1395" w:type="dxa"/>
                  <w:vAlign w:val="center"/>
                </w:tcPr>
                <w:p w14:paraId="69772481">
                  <w:pPr>
                    <w:pStyle w:val="89"/>
                    <w:rPr>
                      <w:rFonts w:hint="default" w:eastAsia="宋体"/>
                      <w:b/>
                      <w:bCs/>
                      <w:color w:val="000000"/>
                      <w:sz w:val="21"/>
                      <w:lang w:val="en-US" w:eastAsia="zh-CN"/>
                    </w:rPr>
                  </w:pPr>
                  <w:r>
                    <w:rPr>
                      <w:rFonts w:hint="eastAsia"/>
                      <w:b/>
                      <w:bCs/>
                      <w:color w:val="000000"/>
                      <w:sz w:val="21"/>
                      <w:lang w:val="en-US" w:eastAsia="zh-CN"/>
                    </w:rPr>
                    <w:t>单套涂装面积（m</w:t>
                  </w:r>
                  <w:r>
                    <w:rPr>
                      <w:rFonts w:hint="eastAsia"/>
                      <w:b/>
                      <w:bCs/>
                      <w:color w:val="000000"/>
                      <w:sz w:val="21"/>
                      <w:vertAlign w:val="superscript"/>
                      <w:lang w:val="en-US" w:eastAsia="zh-CN"/>
                    </w:rPr>
                    <w:t>2</w:t>
                  </w:r>
                  <w:r>
                    <w:rPr>
                      <w:rFonts w:hint="eastAsia"/>
                      <w:b/>
                      <w:bCs/>
                      <w:color w:val="000000"/>
                      <w:sz w:val="21"/>
                      <w:lang w:val="en-US" w:eastAsia="zh-CN"/>
                    </w:rPr>
                    <w:t>）</w:t>
                  </w:r>
                </w:p>
              </w:tc>
              <w:tc>
                <w:tcPr>
                  <w:tcW w:w="1308" w:type="dxa"/>
                  <w:vAlign w:val="center"/>
                </w:tcPr>
                <w:p w14:paraId="21921734">
                  <w:pPr>
                    <w:pStyle w:val="89"/>
                    <w:rPr>
                      <w:rFonts w:hint="default" w:eastAsia="宋体"/>
                      <w:b/>
                      <w:bCs/>
                      <w:color w:val="000000"/>
                      <w:sz w:val="21"/>
                      <w:lang w:val="en-US" w:eastAsia="zh-CN"/>
                    </w:rPr>
                  </w:pPr>
                  <w:r>
                    <w:rPr>
                      <w:rFonts w:hint="eastAsia"/>
                      <w:b/>
                      <w:bCs/>
                      <w:color w:val="000000"/>
                      <w:sz w:val="21"/>
                      <w:lang w:val="en-US" w:eastAsia="zh-CN"/>
                    </w:rPr>
                    <w:t>产能（套/a）</w:t>
                  </w:r>
                </w:p>
              </w:tc>
              <w:tc>
                <w:tcPr>
                  <w:tcW w:w="1382" w:type="dxa"/>
                  <w:vAlign w:val="center"/>
                </w:tcPr>
                <w:p w14:paraId="5E335456">
                  <w:pPr>
                    <w:pStyle w:val="89"/>
                    <w:rPr>
                      <w:rFonts w:hint="eastAsia" w:eastAsia="宋体"/>
                      <w:b/>
                      <w:bCs/>
                      <w:color w:val="000000"/>
                      <w:sz w:val="21"/>
                      <w:lang w:val="en-US" w:eastAsia="zh-CN"/>
                    </w:rPr>
                  </w:pPr>
                  <w:r>
                    <w:rPr>
                      <w:rFonts w:hint="eastAsia"/>
                      <w:b/>
                      <w:bCs/>
                      <w:color w:val="000000"/>
                      <w:sz w:val="21"/>
                      <w:lang w:val="en-US" w:eastAsia="zh-CN"/>
                    </w:rPr>
                    <w:t>总面积（m</w:t>
                  </w:r>
                  <w:r>
                    <w:rPr>
                      <w:rFonts w:hint="eastAsia"/>
                      <w:b/>
                      <w:bCs/>
                      <w:color w:val="000000"/>
                      <w:sz w:val="21"/>
                      <w:vertAlign w:val="superscript"/>
                      <w:lang w:val="en-US" w:eastAsia="zh-CN"/>
                    </w:rPr>
                    <w:t>2</w:t>
                  </w:r>
                  <w:r>
                    <w:rPr>
                      <w:rFonts w:hint="eastAsia"/>
                      <w:b/>
                      <w:bCs/>
                      <w:color w:val="000000"/>
                      <w:sz w:val="21"/>
                      <w:lang w:val="en-US" w:eastAsia="zh-CN"/>
                    </w:rPr>
                    <w:t>）</w:t>
                  </w:r>
                </w:p>
              </w:tc>
            </w:tr>
            <w:tr w14:paraId="2523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14:paraId="3B57A433">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sz w:val="21"/>
                      <w:szCs w:val="21"/>
                      <w:lang w:val="en-US" w:eastAsia="zh-CN"/>
                    </w:rPr>
                  </w:pPr>
                  <w:r>
                    <w:rPr>
                      <w:rFonts w:hint="eastAsia" w:cs="Times New Roman"/>
                      <w:color w:val="auto"/>
                      <w:sz w:val="21"/>
                      <w:szCs w:val="21"/>
                      <w:lang w:val="en-US" w:eastAsia="zh-CN"/>
                    </w:rPr>
                    <w:t>麻将机折叠脚</w:t>
                  </w:r>
                </w:p>
              </w:tc>
              <w:tc>
                <w:tcPr>
                  <w:tcW w:w="2595" w:type="dxa"/>
                  <w:vAlign w:val="center"/>
                </w:tcPr>
                <w:p w14:paraId="0D2C98EA">
                  <w:pPr>
                    <w:jc w:val="center"/>
                    <w:rPr>
                      <w:rFonts w:hint="default" w:eastAsia="宋体"/>
                      <w:kern w:val="0"/>
                      <w:sz w:val="21"/>
                      <w:szCs w:val="21"/>
                      <w:lang w:val="en-US" w:eastAsia="zh-CN" w:bidi="ar"/>
                    </w:rPr>
                  </w:pPr>
                  <w:r>
                    <w:rPr>
                      <w:rFonts w:hint="eastAsia" w:eastAsia="宋体"/>
                      <w:kern w:val="0"/>
                      <w:sz w:val="21"/>
                      <w:szCs w:val="21"/>
                      <w:lang w:val="en-US" w:eastAsia="zh-CN" w:bidi="ar"/>
                    </w:rPr>
                    <w:t>（底座）0.5m*0.5m+（支撑）0.125m*0.125m*0.4</w:t>
                  </w:r>
                </w:p>
              </w:tc>
              <w:tc>
                <w:tcPr>
                  <w:tcW w:w="1395" w:type="dxa"/>
                  <w:vAlign w:val="center"/>
                </w:tcPr>
                <w:p w14:paraId="4130D9B0">
                  <w:pPr>
                    <w:jc w:val="center"/>
                    <w:rPr>
                      <w:rFonts w:hint="default" w:eastAsia="宋体"/>
                      <w:kern w:val="0"/>
                      <w:sz w:val="21"/>
                      <w:szCs w:val="21"/>
                      <w:lang w:val="en-US" w:eastAsia="zh-CN" w:bidi="ar"/>
                    </w:rPr>
                  </w:pPr>
                  <w:r>
                    <w:rPr>
                      <w:rFonts w:hint="eastAsia" w:eastAsia="宋体"/>
                      <w:kern w:val="0"/>
                      <w:sz w:val="21"/>
                      <w:szCs w:val="21"/>
                      <w:lang w:val="en-US" w:eastAsia="zh-CN" w:bidi="ar"/>
                    </w:rPr>
                    <w:t>0.45</w:t>
                  </w:r>
                </w:p>
              </w:tc>
              <w:tc>
                <w:tcPr>
                  <w:tcW w:w="1308" w:type="dxa"/>
                  <w:vAlign w:val="center"/>
                </w:tcPr>
                <w:p w14:paraId="134470E2">
                  <w:pPr>
                    <w:jc w:val="center"/>
                    <w:rPr>
                      <w:rFonts w:hint="default" w:eastAsia="宋体"/>
                      <w:kern w:val="0"/>
                      <w:sz w:val="21"/>
                      <w:szCs w:val="21"/>
                      <w:lang w:val="en-US" w:eastAsia="zh-CN" w:bidi="ar"/>
                    </w:rPr>
                  </w:pPr>
                  <w:r>
                    <w:rPr>
                      <w:rFonts w:hint="eastAsia"/>
                      <w:kern w:val="0"/>
                      <w:sz w:val="21"/>
                      <w:szCs w:val="21"/>
                      <w:lang w:val="en-US" w:eastAsia="zh-CN" w:bidi="ar"/>
                    </w:rPr>
                    <w:t>25万</w:t>
                  </w:r>
                </w:p>
              </w:tc>
              <w:tc>
                <w:tcPr>
                  <w:tcW w:w="1382" w:type="dxa"/>
                  <w:vAlign w:val="center"/>
                </w:tcPr>
                <w:p w14:paraId="57B39E35">
                  <w:pPr>
                    <w:jc w:val="center"/>
                    <w:rPr>
                      <w:rFonts w:hint="default" w:eastAsia="宋体"/>
                      <w:kern w:val="0"/>
                      <w:sz w:val="21"/>
                      <w:szCs w:val="21"/>
                      <w:lang w:val="en-US" w:eastAsia="zh-CN" w:bidi="ar"/>
                    </w:rPr>
                  </w:pPr>
                  <w:r>
                    <w:rPr>
                      <w:rFonts w:hint="eastAsia" w:eastAsia="宋体"/>
                      <w:kern w:val="0"/>
                      <w:sz w:val="21"/>
                      <w:szCs w:val="21"/>
                      <w:lang w:val="en-US" w:eastAsia="zh-CN" w:bidi="ar"/>
                    </w:rPr>
                    <w:t>11</w:t>
                  </w:r>
                  <w:r>
                    <w:rPr>
                      <w:rFonts w:hint="eastAsia"/>
                      <w:kern w:val="0"/>
                      <w:sz w:val="21"/>
                      <w:szCs w:val="21"/>
                      <w:lang w:val="en-US" w:eastAsia="zh-CN" w:bidi="ar"/>
                    </w:rPr>
                    <w:t>2</w:t>
                  </w:r>
                  <w:r>
                    <w:rPr>
                      <w:rFonts w:hint="eastAsia" w:eastAsia="宋体"/>
                      <w:kern w:val="0"/>
                      <w:sz w:val="21"/>
                      <w:szCs w:val="21"/>
                      <w:lang w:val="en-US" w:eastAsia="zh-CN" w:bidi="ar"/>
                    </w:rPr>
                    <w:t>500</w:t>
                  </w:r>
                </w:p>
              </w:tc>
            </w:tr>
            <w:tr w14:paraId="11BD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14:paraId="23B5B8A4">
                  <w:pPr>
                    <w:keepNext w:val="0"/>
                    <w:keepLines w:val="0"/>
                    <w:pageBreakBefore w:val="0"/>
                    <w:widowControl w:val="0"/>
                    <w:kinsoku/>
                    <w:wordWrap/>
                    <w:overflowPunct/>
                    <w:topLinePunct w:val="0"/>
                    <w:autoSpaceDE/>
                    <w:autoSpaceDN/>
                    <w:bidi w:val="0"/>
                    <w:spacing w:line="240" w:lineRule="auto"/>
                    <w:jc w:val="center"/>
                    <w:textAlignment w:val="auto"/>
                    <w:rPr>
                      <w:rFonts w:hint="eastAsia"/>
                      <w:sz w:val="21"/>
                      <w:szCs w:val="21"/>
                      <w:lang w:val="en-US" w:eastAsia="zh-CN"/>
                    </w:rPr>
                  </w:pPr>
                  <w:r>
                    <w:rPr>
                      <w:rFonts w:hint="eastAsia" w:cs="Times New Roman"/>
                      <w:color w:val="auto"/>
                      <w:sz w:val="21"/>
                      <w:szCs w:val="21"/>
                      <w:lang w:val="en-US" w:eastAsia="zh-CN"/>
                    </w:rPr>
                    <w:t>麻将机餐桌脚</w:t>
                  </w:r>
                </w:p>
              </w:tc>
              <w:tc>
                <w:tcPr>
                  <w:tcW w:w="2595" w:type="dxa"/>
                  <w:vAlign w:val="center"/>
                </w:tcPr>
                <w:p w14:paraId="395D9732">
                  <w:pPr>
                    <w:jc w:val="center"/>
                    <w:rPr>
                      <w:rFonts w:hint="default"/>
                      <w:kern w:val="0"/>
                      <w:sz w:val="21"/>
                      <w:szCs w:val="21"/>
                      <w:lang w:val="en-US" w:eastAsia="zh-CN" w:bidi="ar"/>
                    </w:rPr>
                  </w:pPr>
                  <w:r>
                    <w:rPr>
                      <w:rFonts w:hint="eastAsia"/>
                      <w:kern w:val="0"/>
                      <w:sz w:val="21"/>
                      <w:szCs w:val="21"/>
                      <w:lang w:val="en-US" w:eastAsia="zh-CN" w:bidi="ar"/>
                    </w:rPr>
                    <w:t>（1套4个桌腿）单个桌腿φ0.1m×0.7m</w:t>
                  </w:r>
                </w:p>
              </w:tc>
              <w:tc>
                <w:tcPr>
                  <w:tcW w:w="1395" w:type="dxa"/>
                  <w:vAlign w:val="center"/>
                </w:tcPr>
                <w:p w14:paraId="68D4C65E">
                  <w:pPr>
                    <w:jc w:val="center"/>
                    <w:rPr>
                      <w:rFonts w:hint="default"/>
                      <w:kern w:val="0"/>
                      <w:sz w:val="21"/>
                      <w:szCs w:val="21"/>
                      <w:lang w:val="en-US" w:eastAsia="zh-CN" w:bidi="ar"/>
                    </w:rPr>
                  </w:pPr>
                  <w:r>
                    <w:rPr>
                      <w:rFonts w:hint="eastAsia"/>
                      <w:kern w:val="0"/>
                      <w:sz w:val="21"/>
                      <w:szCs w:val="21"/>
                      <w:lang w:val="en-US" w:eastAsia="zh-CN" w:bidi="ar"/>
                    </w:rPr>
                    <w:t>0.88</w:t>
                  </w:r>
                </w:p>
              </w:tc>
              <w:tc>
                <w:tcPr>
                  <w:tcW w:w="1308" w:type="dxa"/>
                  <w:vAlign w:val="center"/>
                </w:tcPr>
                <w:p w14:paraId="69B5E433">
                  <w:pPr>
                    <w:jc w:val="center"/>
                    <w:rPr>
                      <w:rFonts w:hint="eastAsia"/>
                      <w:kern w:val="0"/>
                      <w:sz w:val="21"/>
                      <w:szCs w:val="21"/>
                      <w:lang w:val="en-US" w:eastAsia="zh-CN" w:bidi="ar"/>
                    </w:rPr>
                  </w:pPr>
                  <w:r>
                    <w:rPr>
                      <w:rFonts w:hint="eastAsia"/>
                      <w:kern w:val="0"/>
                      <w:sz w:val="21"/>
                      <w:szCs w:val="21"/>
                      <w:lang w:val="en-US" w:eastAsia="zh-CN" w:bidi="ar"/>
                    </w:rPr>
                    <w:t>25万</w:t>
                  </w:r>
                </w:p>
              </w:tc>
              <w:tc>
                <w:tcPr>
                  <w:tcW w:w="1382" w:type="dxa"/>
                  <w:vAlign w:val="center"/>
                </w:tcPr>
                <w:p w14:paraId="778862EF">
                  <w:pPr>
                    <w:jc w:val="center"/>
                    <w:rPr>
                      <w:rFonts w:hint="default"/>
                      <w:kern w:val="0"/>
                      <w:sz w:val="21"/>
                      <w:szCs w:val="21"/>
                      <w:lang w:val="en-US" w:eastAsia="zh-CN" w:bidi="ar"/>
                    </w:rPr>
                  </w:pPr>
                  <w:r>
                    <w:rPr>
                      <w:rFonts w:hint="eastAsia"/>
                      <w:kern w:val="0"/>
                      <w:sz w:val="21"/>
                      <w:szCs w:val="21"/>
                      <w:lang w:val="en-US" w:eastAsia="zh-CN" w:bidi="ar"/>
                    </w:rPr>
                    <w:t>220000</w:t>
                  </w:r>
                </w:p>
              </w:tc>
            </w:tr>
            <w:tr w14:paraId="30AC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14:paraId="5243B2CD">
                  <w:pPr>
                    <w:keepNext w:val="0"/>
                    <w:keepLines w:val="0"/>
                    <w:pageBreakBefore w:val="0"/>
                    <w:widowControl w:val="0"/>
                    <w:kinsoku/>
                    <w:wordWrap/>
                    <w:overflowPunct/>
                    <w:topLinePunct w:val="0"/>
                    <w:autoSpaceDE/>
                    <w:autoSpaceDN/>
                    <w:bidi w:val="0"/>
                    <w:spacing w:line="240" w:lineRule="auto"/>
                    <w:jc w:val="center"/>
                    <w:textAlignment w:val="auto"/>
                    <w:rPr>
                      <w:rFonts w:hint="eastAsia"/>
                      <w:sz w:val="21"/>
                      <w:szCs w:val="21"/>
                      <w:lang w:val="en-US" w:eastAsia="zh-CN"/>
                    </w:rPr>
                  </w:pPr>
                  <w:r>
                    <w:rPr>
                      <w:rFonts w:hint="eastAsia" w:cs="Times New Roman"/>
                      <w:color w:val="auto"/>
                      <w:sz w:val="21"/>
                      <w:szCs w:val="21"/>
                      <w:lang w:val="en-US" w:eastAsia="zh-CN"/>
                    </w:rPr>
                    <w:t>麻将机铁板</w:t>
                  </w:r>
                </w:p>
              </w:tc>
              <w:tc>
                <w:tcPr>
                  <w:tcW w:w="2595" w:type="dxa"/>
                  <w:vAlign w:val="center"/>
                </w:tcPr>
                <w:p w14:paraId="4A8A12E6">
                  <w:pPr>
                    <w:jc w:val="center"/>
                    <w:rPr>
                      <w:rFonts w:hint="default"/>
                      <w:kern w:val="0"/>
                      <w:sz w:val="21"/>
                      <w:szCs w:val="21"/>
                      <w:lang w:val="en-US" w:eastAsia="zh-CN" w:bidi="ar"/>
                    </w:rPr>
                  </w:pPr>
                  <w:r>
                    <w:rPr>
                      <w:rFonts w:hint="eastAsia"/>
                      <w:kern w:val="0"/>
                      <w:sz w:val="21"/>
                      <w:szCs w:val="21"/>
                      <w:lang w:val="en-US" w:eastAsia="zh-CN" w:bidi="ar"/>
                    </w:rPr>
                    <w:t>1m*1m</w:t>
                  </w:r>
                </w:p>
              </w:tc>
              <w:tc>
                <w:tcPr>
                  <w:tcW w:w="1395" w:type="dxa"/>
                  <w:vAlign w:val="center"/>
                </w:tcPr>
                <w:p w14:paraId="26563F43">
                  <w:pPr>
                    <w:jc w:val="center"/>
                    <w:rPr>
                      <w:rFonts w:hint="default"/>
                      <w:kern w:val="0"/>
                      <w:sz w:val="21"/>
                      <w:szCs w:val="21"/>
                      <w:lang w:val="en-US" w:eastAsia="zh-CN" w:bidi="ar"/>
                    </w:rPr>
                  </w:pPr>
                  <w:r>
                    <w:rPr>
                      <w:rFonts w:hint="eastAsia"/>
                      <w:kern w:val="0"/>
                      <w:sz w:val="21"/>
                      <w:szCs w:val="21"/>
                      <w:lang w:val="en-US" w:eastAsia="zh-CN" w:bidi="ar"/>
                    </w:rPr>
                    <w:t>1</w:t>
                  </w:r>
                </w:p>
              </w:tc>
              <w:tc>
                <w:tcPr>
                  <w:tcW w:w="1308" w:type="dxa"/>
                  <w:vAlign w:val="center"/>
                </w:tcPr>
                <w:p w14:paraId="237E1CC1">
                  <w:pPr>
                    <w:jc w:val="center"/>
                    <w:rPr>
                      <w:rFonts w:hint="eastAsia"/>
                      <w:kern w:val="0"/>
                      <w:sz w:val="21"/>
                      <w:szCs w:val="21"/>
                      <w:lang w:val="en-US" w:eastAsia="zh-CN" w:bidi="ar"/>
                    </w:rPr>
                  </w:pPr>
                  <w:r>
                    <w:rPr>
                      <w:rFonts w:hint="eastAsia"/>
                      <w:kern w:val="0"/>
                      <w:sz w:val="21"/>
                      <w:szCs w:val="21"/>
                      <w:lang w:val="en-US" w:eastAsia="zh-CN" w:bidi="ar"/>
                    </w:rPr>
                    <w:t>25万</w:t>
                  </w:r>
                </w:p>
              </w:tc>
              <w:tc>
                <w:tcPr>
                  <w:tcW w:w="1382" w:type="dxa"/>
                  <w:vAlign w:val="center"/>
                </w:tcPr>
                <w:p w14:paraId="460F1193">
                  <w:pPr>
                    <w:jc w:val="center"/>
                    <w:rPr>
                      <w:rFonts w:hint="default"/>
                      <w:kern w:val="0"/>
                      <w:sz w:val="21"/>
                      <w:szCs w:val="21"/>
                      <w:lang w:val="en-US" w:eastAsia="zh-CN" w:bidi="ar"/>
                    </w:rPr>
                  </w:pPr>
                  <w:r>
                    <w:rPr>
                      <w:rFonts w:hint="eastAsia"/>
                      <w:kern w:val="0"/>
                      <w:sz w:val="21"/>
                      <w:szCs w:val="21"/>
                      <w:lang w:val="en-US" w:eastAsia="zh-CN" w:bidi="ar"/>
                    </w:rPr>
                    <w:t>250000</w:t>
                  </w:r>
                </w:p>
              </w:tc>
            </w:tr>
            <w:tr w14:paraId="4A1B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vAlign w:val="center"/>
                </w:tcPr>
                <w:p w14:paraId="0310376B">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合计</w:t>
                  </w:r>
                </w:p>
              </w:tc>
              <w:tc>
                <w:tcPr>
                  <w:tcW w:w="2595" w:type="dxa"/>
                  <w:vAlign w:val="center"/>
                </w:tcPr>
                <w:p w14:paraId="2D16942E">
                  <w:pPr>
                    <w:jc w:val="center"/>
                    <w:rPr>
                      <w:rFonts w:hint="default"/>
                      <w:kern w:val="0"/>
                      <w:sz w:val="21"/>
                      <w:szCs w:val="21"/>
                      <w:lang w:val="en-US" w:eastAsia="zh-CN" w:bidi="ar"/>
                    </w:rPr>
                  </w:pPr>
                  <w:r>
                    <w:rPr>
                      <w:rFonts w:hint="eastAsia"/>
                      <w:kern w:val="0"/>
                      <w:sz w:val="21"/>
                      <w:szCs w:val="21"/>
                      <w:lang w:val="en-US" w:eastAsia="zh-CN" w:bidi="ar"/>
                    </w:rPr>
                    <w:t>/</w:t>
                  </w:r>
                </w:p>
              </w:tc>
              <w:tc>
                <w:tcPr>
                  <w:tcW w:w="1395" w:type="dxa"/>
                  <w:vAlign w:val="center"/>
                </w:tcPr>
                <w:p w14:paraId="6498C3C8">
                  <w:pPr>
                    <w:jc w:val="center"/>
                    <w:rPr>
                      <w:rFonts w:hint="default"/>
                      <w:kern w:val="0"/>
                      <w:sz w:val="21"/>
                      <w:szCs w:val="21"/>
                      <w:lang w:val="en-US" w:eastAsia="zh-CN" w:bidi="ar"/>
                    </w:rPr>
                  </w:pPr>
                  <w:r>
                    <w:rPr>
                      <w:rFonts w:hint="eastAsia"/>
                      <w:kern w:val="0"/>
                      <w:sz w:val="21"/>
                      <w:szCs w:val="21"/>
                      <w:lang w:val="en-US" w:eastAsia="zh-CN" w:bidi="ar"/>
                    </w:rPr>
                    <w:t>/</w:t>
                  </w:r>
                </w:p>
              </w:tc>
              <w:tc>
                <w:tcPr>
                  <w:tcW w:w="1308" w:type="dxa"/>
                  <w:vAlign w:val="center"/>
                </w:tcPr>
                <w:p w14:paraId="3FE5B502">
                  <w:pPr>
                    <w:jc w:val="center"/>
                    <w:rPr>
                      <w:rFonts w:hint="default"/>
                      <w:kern w:val="0"/>
                      <w:sz w:val="21"/>
                      <w:szCs w:val="21"/>
                      <w:lang w:val="en-US" w:eastAsia="zh-CN" w:bidi="ar"/>
                    </w:rPr>
                  </w:pPr>
                  <w:r>
                    <w:rPr>
                      <w:rFonts w:hint="eastAsia"/>
                      <w:kern w:val="0"/>
                      <w:sz w:val="21"/>
                      <w:szCs w:val="21"/>
                      <w:lang w:val="en-US" w:eastAsia="zh-CN" w:bidi="ar"/>
                    </w:rPr>
                    <w:t>/</w:t>
                  </w:r>
                </w:p>
              </w:tc>
              <w:tc>
                <w:tcPr>
                  <w:tcW w:w="1382" w:type="dxa"/>
                  <w:vAlign w:val="center"/>
                </w:tcPr>
                <w:p w14:paraId="5EA7BB4C">
                  <w:pPr>
                    <w:jc w:val="center"/>
                    <w:rPr>
                      <w:rFonts w:hint="default"/>
                      <w:kern w:val="0"/>
                      <w:sz w:val="21"/>
                      <w:szCs w:val="21"/>
                      <w:lang w:val="en-US" w:eastAsia="zh-CN" w:bidi="ar"/>
                    </w:rPr>
                  </w:pPr>
                  <w:r>
                    <w:rPr>
                      <w:rFonts w:hint="eastAsia"/>
                      <w:kern w:val="0"/>
                      <w:sz w:val="21"/>
                      <w:szCs w:val="21"/>
                      <w:lang w:val="en-US" w:eastAsia="zh-CN" w:bidi="ar"/>
                    </w:rPr>
                    <w:t>582500</w:t>
                  </w:r>
                </w:p>
              </w:tc>
            </w:tr>
          </w:tbl>
          <w:p w14:paraId="1DDFFEF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b w:val="0"/>
                <w:bCs/>
                <w:szCs w:val="20"/>
              </w:rPr>
            </w:pPr>
            <w:r>
              <w:rPr>
                <w:b w:val="0"/>
                <w:bCs/>
                <w:szCs w:val="20"/>
              </w:rPr>
              <w:t>塑粉使用量见下列公式计算：</w:t>
            </w:r>
          </w:p>
          <w:p w14:paraId="5B41DB0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val="0"/>
                <w:bCs/>
                <w:sz w:val="24"/>
                <w:szCs w:val="20"/>
                <w:lang w:val="en-US" w:eastAsia="zh-CN"/>
              </w:rPr>
            </w:pPr>
            <w:r>
              <w:rPr>
                <w:rFonts w:hint="default" w:ascii="Times New Roman" w:hAnsi="Times New Roman" w:cs="Times New Roman"/>
                <w:b w:val="0"/>
                <w:bCs/>
                <w:sz w:val="24"/>
                <w:szCs w:val="20"/>
                <w:lang w:val="en-US" w:eastAsia="zh-CN"/>
              </w:rPr>
              <w:t>Q</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rPr>
              <w:t>=</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lang w:val="en-US" w:eastAsia="zh-CN"/>
              </w:rPr>
              <w:t>S</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rPr>
              <w:t>×</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lang w:val="en-US" w:eastAsia="zh-CN"/>
              </w:rPr>
              <w:t>H</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rPr>
              <w:t>×</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rPr>
              <w:t>10</w:t>
            </w:r>
            <w:r>
              <w:rPr>
                <w:rFonts w:hint="default" w:ascii="Times New Roman" w:hAnsi="Times New Roman" w:cs="Times New Roman"/>
                <w:b w:val="0"/>
                <w:bCs/>
                <w:sz w:val="24"/>
                <w:szCs w:val="20"/>
                <w:vertAlign w:val="superscript"/>
              </w:rPr>
              <w:t>−6</w:t>
            </w:r>
            <w:r>
              <w:rPr>
                <w:rFonts w:hint="eastAsia" w:ascii="Times New Roman" w:hAnsi="Times New Roman" w:cs="Times New Roman"/>
                <w:b w:val="0"/>
                <w:bCs/>
                <w:sz w:val="24"/>
                <w:szCs w:val="20"/>
                <w:vertAlign w:val="superscript"/>
                <w:lang w:val="en-US" w:eastAsia="zh-CN"/>
              </w:rPr>
              <w:t xml:space="preserve"> </w:t>
            </w:r>
            <w:r>
              <w:rPr>
                <w:rFonts w:hint="default" w:ascii="Times New Roman" w:hAnsi="Times New Roman" w:cs="Times New Roman"/>
                <w:b w:val="0"/>
                <w:bCs/>
                <w:sz w:val="24"/>
                <w:szCs w:val="20"/>
              </w:rPr>
              <w:t>×</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rPr>
              <w:t>ρ</w:t>
            </w:r>
            <w:r>
              <w:rPr>
                <w:rFonts w:hint="eastAsia" w:ascii="Times New Roman" w:hAnsi="Times New Roman" w:cs="Times New Roman"/>
                <w:b w:val="0"/>
                <w:bCs/>
                <w:sz w:val="24"/>
                <w:szCs w:val="20"/>
                <w:lang w:val="en-US" w:eastAsia="zh-CN"/>
              </w:rPr>
              <w:t xml:space="preserve"> </w:t>
            </w:r>
            <w:r>
              <w:rPr>
                <w:rFonts w:hint="eastAsia" w:ascii="宋体" w:hAnsi="宋体" w:eastAsia="宋体" w:cs="宋体"/>
                <w:i w:val="0"/>
                <w:iCs w:val="0"/>
                <w:caps w:val="0"/>
                <w:color w:val="333333"/>
                <w:spacing w:val="0"/>
                <w:sz w:val="21"/>
                <w:szCs w:val="21"/>
                <w:shd w:val="clear" w:fill="FFFFFF"/>
              </w:rPr>
              <w:t>÷</w:t>
            </w:r>
            <w:r>
              <w:rPr>
                <w:rFonts w:hint="eastAsia" w:ascii="Times New Roman" w:hAnsi="Times New Roman" w:cs="Times New Roman"/>
                <w:b w:val="0"/>
                <w:bCs/>
                <w:sz w:val="24"/>
                <w:szCs w:val="20"/>
                <w:lang w:val="en-US" w:eastAsia="zh-CN"/>
              </w:rPr>
              <w:t xml:space="preserve"> </w:t>
            </w:r>
            <w:r>
              <w:rPr>
                <w:rFonts w:hint="default" w:ascii="Times New Roman" w:hAnsi="Times New Roman" w:cs="Times New Roman"/>
                <w:b w:val="0"/>
                <w:bCs/>
                <w:sz w:val="24"/>
                <w:szCs w:val="20"/>
                <w:lang w:val="en-US" w:eastAsia="zh-CN"/>
              </w:rPr>
              <w:t>C</w:t>
            </w:r>
            <w:r>
              <w:rPr>
                <w:rFonts w:hint="eastAsia" w:ascii="Times New Roman" w:hAnsi="Times New Roman" w:cs="Times New Roman"/>
                <w:b w:val="0"/>
                <w:bCs/>
                <w:sz w:val="24"/>
                <w:szCs w:val="20"/>
                <w:vertAlign w:val="subscript"/>
                <w:lang w:val="en-US" w:eastAsia="zh-CN"/>
              </w:rPr>
              <w:t xml:space="preserve">j </w:t>
            </w:r>
            <w:r>
              <w:rPr>
                <w:rFonts w:hint="eastAsia" w:ascii="宋体" w:hAnsi="宋体" w:eastAsia="宋体" w:cs="宋体"/>
                <w:i w:val="0"/>
                <w:iCs w:val="0"/>
                <w:caps w:val="0"/>
                <w:color w:val="333333"/>
                <w:spacing w:val="0"/>
                <w:sz w:val="21"/>
                <w:szCs w:val="21"/>
                <w:shd w:val="clear" w:fill="FFFFFF"/>
              </w:rPr>
              <w:t>÷</w:t>
            </w:r>
            <w:r>
              <w:rPr>
                <w:rFonts w:hint="eastAsia" w:ascii="Times New Roman" w:hAnsi="Times New Roman" w:cs="Times New Roman"/>
                <w:b w:val="0"/>
                <w:bCs/>
                <w:sz w:val="24"/>
                <w:szCs w:val="20"/>
                <w:lang w:val="en-US" w:eastAsia="zh-CN"/>
              </w:rPr>
              <w:t xml:space="preserve"> R</w:t>
            </w:r>
          </w:p>
          <w:p w14:paraId="224791B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Cs w:val="20"/>
              </w:rPr>
            </w:pPr>
            <w:r>
              <w:rPr>
                <w:rFonts w:hint="default" w:ascii="Times New Roman" w:hAnsi="Times New Roman" w:cs="Times New Roman"/>
                <w:b w:val="0"/>
                <w:bCs/>
                <w:szCs w:val="20"/>
              </w:rPr>
              <w:t>式中Q为塑粉总用量（t）；S为喷涂面积（m</w:t>
            </w:r>
            <w:r>
              <w:rPr>
                <w:rFonts w:hint="default" w:ascii="Times New Roman" w:hAnsi="Times New Roman" w:cs="Times New Roman"/>
                <w:b w:val="0"/>
                <w:bCs/>
                <w:szCs w:val="20"/>
                <w:vertAlign w:val="superscript"/>
              </w:rPr>
              <w:t>2</w:t>
            </w:r>
            <w:r>
              <w:rPr>
                <w:rFonts w:hint="default" w:ascii="Times New Roman" w:hAnsi="Times New Roman" w:cs="Times New Roman"/>
                <w:b w:val="0"/>
                <w:bCs/>
                <w:szCs w:val="20"/>
              </w:rPr>
              <w:t>）；H为喷涂厚度（</w:t>
            </w:r>
            <w:r>
              <w:rPr>
                <w:rFonts w:hint="default" w:ascii="Times New Roman" w:hAnsi="Times New Roman" w:cs="Times New Roman"/>
                <w:b w:val="0"/>
                <w:bCs/>
                <w:kern w:val="0"/>
              </w:rPr>
              <w:t>μm</w:t>
            </w:r>
            <w:r>
              <w:rPr>
                <w:rFonts w:hint="default" w:ascii="Times New Roman" w:hAnsi="Times New Roman" w:cs="Times New Roman"/>
                <w:b w:val="0"/>
                <w:bCs/>
                <w:szCs w:val="20"/>
              </w:rPr>
              <w:t>）；ρ为塑粉密度（g/cm</w:t>
            </w:r>
            <w:r>
              <w:rPr>
                <w:rFonts w:hint="default" w:ascii="Times New Roman" w:hAnsi="Times New Roman" w:cs="Times New Roman"/>
                <w:b w:val="0"/>
                <w:bCs/>
                <w:szCs w:val="20"/>
                <w:vertAlign w:val="superscript"/>
              </w:rPr>
              <w:t>3</w:t>
            </w:r>
            <w:r>
              <w:rPr>
                <w:rFonts w:hint="default" w:ascii="Times New Roman" w:hAnsi="Times New Roman" w:cs="Times New Roman"/>
                <w:b w:val="0"/>
                <w:bCs/>
                <w:szCs w:val="20"/>
              </w:rPr>
              <w:t>）；R为塑粉回收率。根据《喷塑行业污染物源强估算及治理方法探讨》，喷塑过程粉末涂料附着率约为使用量的</w:t>
            </w:r>
            <w:r>
              <w:rPr>
                <w:rFonts w:hint="eastAsia" w:ascii="Times New Roman" w:hAnsi="Times New Roman" w:cs="Times New Roman"/>
                <w:b w:val="0"/>
                <w:bCs/>
                <w:szCs w:val="20"/>
                <w:lang w:val="en-US" w:eastAsia="zh-CN"/>
              </w:rPr>
              <w:t>60</w:t>
            </w:r>
            <w:r>
              <w:rPr>
                <w:rFonts w:hint="default" w:ascii="Times New Roman" w:hAnsi="Times New Roman" w:cs="Times New Roman"/>
                <w:b w:val="0"/>
                <w:bCs/>
                <w:szCs w:val="20"/>
              </w:rPr>
              <w:t>~</w:t>
            </w:r>
            <w:r>
              <w:rPr>
                <w:rFonts w:hint="eastAsia" w:ascii="Times New Roman" w:hAnsi="Times New Roman" w:cs="Times New Roman"/>
                <w:b w:val="0"/>
                <w:bCs/>
                <w:szCs w:val="20"/>
                <w:lang w:val="en-US" w:eastAsia="zh-CN"/>
              </w:rPr>
              <w:t>80</w:t>
            </w:r>
            <w:r>
              <w:rPr>
                <w:rFonts w:hint="default" w:ascii="Times New Roman" w:hAnsi="Times New Roman" w:cs="Times New Roman"/>
                <w:b w:val="0"/>
                <w:bCs/>
                <w:szCs w:val="20"/>
              </w:rPr>
              <w:t>%，结合工程资料，本次取</w:t>
            </w:r>
            <w:r>
              <w:rPr>
                <w:rFonts w:hint="eastAsia" w:ascii="Times New Roman" w:hAnsi="Times New Roman" w:cs="Times New Roman"/>
                <w:b w:val="0"/>
                <w:bCs/>
                <w:szCs w:val="20"/>
                <w:lang w:val="en-US" w:eastAsia="zh-CN"/>
              </w:rPr>
              <w:t>75</w:t>
            </w:r>
            <w:r>
              <w:rPr>
                <w:rFonts w:hint="default" w:ascii="Times New Roman" w:hAnsi="Times New Roman" w:cs="Times New Roman"/>
                <w:b w:val="0"/>
                <w:bCs/>
                <w:szCs w:val="20"/>
              </w:rPr>
              <w:t>%。粉尘系统回收率取9</w:t>
            </w:r>
            <w:r>
              <w:rPr>
                <w:rFonts w:hint="eastAsia" w:ascii="Times New Roman" w:hAnsi="Times New Roman" w:cs="Times New Roman"/>
                <w:b w:val="0"/>
                <w:bCs/>
                <w:szCs w:val="20"/>
                <w:lang w:val="en-US" w:eastAsia="zh-CN"/>
              </w:rPr>
              <w:t>8</w:t>
            </w:r>
            <w:r>
              <w:rPr>
                <w:rFonts w:hint="default" w:ascii="Times New Roman" w:hAnsi="Times New Roman" w:cs="Times New Roman"/>
                <w:b w:val="0"/>
                <w:bCs/>
                <w:szCs w:val="20"/>
              </w:rPr>
              <w:t>%。</w:t>
            </w:r>
          </w:p>
          <w:p w14:paraId="76E5E5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val="0"/>
                <w:szCs w:val="20"/>
                <w:lang w:val="en-US" w:eastAsia="zh-CN"/>
              </w:rPr>
            </w:pPr>
            <w:r>
              <w:rPr>
                <w:rFonts w:hint="eastAsia"/>
                <w:b/>
                <w:bCs w:val="0"/>
                <w:kern w:val="0"/>
                <w:lang w:val="en-US" w:eastAsia="zh-CN"/>
              </w:rPr>
              <w:t>表2-9  喷塑总表面积计算表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709"/>
              <w:gridCol w:w="949"/>
              <w:gridCol w:w="949"/>
              <w:gridCol w:w="1147"/>
              <w:gridCol w:w="965"/>
              <w:gridCol w:w="980"/>
              <w:gridCol w:w="1036"/>
            </w:tblGrid>
            <w:tr w14:paraId="7597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02C7E6CD">
                  <w:pPr>
                    <w:jc w:val="center"/>
                    <w:rPr>
                      <w:rFonts w:hint="default" w:eastAsia="宋体"/>
                      <w:b/>
                      <w:bCs/>
                      <w:sz w:val="21"/>
                      <w:szCs w:val="21"/>
                      <w:lang w:val="en-US" w:eastAsia="zh-CN"/>
                    </w:rPr>
                  </w:pPr>
                  <w:r>
                    <w:rPr>
                      <w:rFonts w:hint="eastAsia"/>
                      <w:b/>
                      <w:bCs/>
                      <w:sz w:val="21"/>
                      <w:szCs w:val="21"/>
                      <w:lang w:val="en-US" w:eastAsia="zh-CN"/>
                    </w:rPr>
                    <w:t>产品</w:t>
                  </w:r>
                </w:p>
              </w:tc>
              <w:tc>
                <w:tcPr>
                  <w:tcW w:w="705" w:type="dxa"/>
                  <w:vAlign w:val="center"/>
                </w:tcPr>
                <w:p w14:paraId="31F7C507">
                  <w:pPr>
                    <w:pStyle w:val="89"/>
                    <w:rPr>
                      <w:rFonts w:hint="default" w:eastAsia="宋体"/>
                      <w:b/>
                      <w:bCs/>
                      <w:color w:val="000000"/>
                      <w:sz w:val="21"/>
                      <w:lang w:val="en-US" w:eastAsia="zh-CN"/>
                    </w:rPr>
                  </w:pPr>
                  <w:r>
                    <w:rPr>
                      <w:rFonts w:hint="eastAsia"/>
                      <w:b/>
                      <w:bCs/>
                      <w:color w:val="000000"/>
                      <w:sz w:val="21"/>
                      <w:lang w:val="en-US" w:eastAsia="zh-CN"/>
                    </w:rPr>
                    <w:t>涂料类型</w:t>
                  </w:r>
                </w:p>
              </w:tc>
              <w:tc>
                <w:tcPr>
                  <w:tcW w:w="945" w:type="dxa"/>
                  <w:vAlign w:val="center"/>
                </w:tcPr>
                <w:p w14:paraId="2F4F8C8F">
                  <w:pPr>
                    <w:pStyle w:val="89"/>
                    <w:rPr>
                      <w:rFonts w:hint="default" w:eastAsia="宋体"/>
                      <w:b/>
                      <w:bCs/>
                      <w:color w:val="000000"/>
                      <w:sz w:val="21"/>
                      <w:lang w:val="en-US" w:eastAsia="zh-CN"/>
                    </w:rPr>
                  </w:pPr>
                  <w:r>
                    <w:rPr>
                      <w:rFonts w:hint="eastAsia"/>
                      <w:b/>
                      <w:bCs/>
                      <w:color w:val="000000"/>
                      <w:sz w:val="21"/>
                      <w:lang w:val="en-US" w:eastAsia="zh-CN"/>
                    </w:rPr>
                    <w:t>喷涂面积（m</w:t>
                  </w:r>
                  <w:r>
                    <w:rPr>
                      <w:rFonts w:hint="eastAsia"/>
                      <w:b/>
                      <w:bCs/>
                      <w:color w:val="000000"/>
                      <w:sz w:val="21"/>
                      <w:vertAlign w:val="superscript"/>
                      <w:lang w:val="en-US" w:eastAsia="zh-CN"/>
                    </w:rPr>
                    <w:t>2</w:t>
                  </w:r>
                  <w:r>
                    <w:rPr>
                      <w:rFonts w:hint="eastAsia"/>
                      <w:b/>
                      <w:bCs/>
                      <w:color w:val="000000"/>
                      <w:sz w:val="21"/>
                      <w:lang w:val="en-US" w:eastAsia="zh-CN"/>
                    </w:rPr>
                    <w:t>）</w:t>
                  </w:r>
                </w:p>
              </w:tc>
              <w:tc>
                <w:tcPr>
                  <w:tcW w:w="945" w:type="dxa"/>
                  <w:vAlign w:val="center"/>
                </w:tcPr>
                <w:p w14:paraId="26EF7CE3">
                  <w:pPr>
                    <w:pStyle w:val="89"/>
                    <w:rPr>
                      <w:rFonts w:hint="default"/>
                      <w:b/>
                      <w:bCs/>
                      <w:color w:val="000000"/>
                      <w:sz w:val="21"/>
                      <w:lang w:val="en-US" w:eastAsia="zh-CN"/>
                    </w:rPr>
                  </w:pPr>
                  <w:r>
                    <w:rPr>
                      <w:rFonts w:hint="eastAsia"/>
                      <w:b/>
                      <w:bCs/>
                      <w:color w:val="000000"/>
                      <w:sz w:val="21"/>
                      <w:lang w:val="en-US" w:eastAsia="zh-CN"/>
                    </w:rPr>
                    <w:t>喷涂厚度</w:t>
                  </w:r>
                  <w:r>
                    <w:rPr>
                      <w:rFonts w:hint="default" w:ascii="Times New Roman" w:hAnsi="Times New Roman" w:cs="Times New Roman"/>
                      <w:b/>
                      <w:bCs/>
                      <w:color w:val="000000"/>
                      <w:sz w:val="21"/>
                      <w:lang w:val="en-US" w:eastAsia="zh-CN"/>
                    </w:rPr>
                    <w:t>（μm）</w:t>
                  </w:r>
                </w:p>
              </w:tc>
              <w:tc>
                <w:tcPr>
                  <w:tcW w:w="1140" w:type="dxa"/>
                  <w:vAlign w:val="center"/>
                </w:tcPr>
                <w:p w14:paraId="79F52FE7">
                  <w:pPr>
                    <w:pStyle w:val="89"/>
                    <w:rPr>
                      <w:rFonts w:hint="default"/>
                      <w:b/>
                      <w:bCs/>
                      <w:color w:val="000000"/>
                      <w:sz w:val="21"/>
                      <w:lang w:val="en-US" w:eastAsia="zh-CN"/>
                    </w:rPr>
                  </w:pPr>
                  <w:r>
                    <w:rPr>
                      <w:rFonts w:hint="eastAsia"/>
                      <w:b/>
                      <w:bCs/>
                      <w:color w:val="000000"/>
                      <w:sz w:val="21"/>
                      <w:lang w:val="en-US" w:eastAsia="zh-CN"/>
                    </w:rPr>
                    <w:t>塑粉密度（g/cm</w:t>
                  </w:r>
                  <w:r>
                    <w:rPr>
                      <w:rFonts w:hint="eastAsia"/>
                      <w:b/>
                      <w:bCs/>
                      <w:color w:val="000000"/>
                      <w:sz w:val="21"/>
                      <w:vertAlign w:val="superscript"/>
                      <w:lang w:val="en-US" w:eastAsia="zh-CN"/>
                    </w:rPr>
                    <w:t>3</w:t>
                  </w:r>
                  <w:r>
                    <w:rPr>
                      <w:rFonts w:hint="eastAsia"/>
                      <w:b/>
                      <w:bCs/>
                      <w:color w:val="000000"/>
                      <w:sz w:val="21"/>
                      <w:lang w:val="en-US" w:eastAsia="zh-CN"/>
                    </w:rPr>
                    <w:t>）</w:t>
                  </w:r>
                </w:p>
              </w:tc>
              <w:tc>
                <w:tcPr>
                  <w:tcW w:w="960" w:type="dxa"/>
                  <w:vAlign w:val="center"/>
                </w:tcPr>
                <w:p w14:paraId="365D0BBD">
                  <w:pPr>
                    <w:pStyle w:val="89"/>
                    <w:rPr>
                      <w:rFonts w:hint="default" w:eastAsia="宋体"/>
                      <w:b/>
                      <w:bCs/>
                      <w:color w:val="000000"/>
                      <w:sz w:val="21"/>
                      <w:lang w:val="en-US" w:eastAsia="zh-CN"/>
                    </w:rPr>
                  </w:pPr>
                  <w:r>
                    <w:rPr>
                      <w:rFonts w:hint="eastAsia"/>
                      <w:b/>
                      <w:bCs/>
                      <w:color w:val="000000"/>
                      <w:sz w:val="21"/>
                      <w:lang w:val="en-US" w:eastAsia="zh-CN"/>
                    </w:rPr>
                    <w:t>附着率</w:t>
                  </w:r>
                </w:p>
              </w:tc>
              <w:tc>
                <w:tcPr>
                  <w:tcW w:w="975" w:type="dxa"/>
                  <w:vAlign w:val="center"/>
                </w:tcPr>
                <w:p w14:paraId="6DEA5E8F">
                  <w:pPr>
                    <w:pStyle w:val="89"/>
                    <w:rPr>
                      <w:rFonts w:hint="default" w:eastAsia="宋体"/>
                      <w:b/>
                      <w:bCs/>
                      <w:color w:val="000000"/>
                      <w:sz w:val="21"/>
                      <w:lang w:val="en-US" w:eastAsia="zh-CN"/>
                    </w:rPr>
                  </w:pPr>
                  <w:r>
                    <w:rPr>
                      <w:rFonts w:hint="eastAsia"/>
                      <w:b/>
                      <w:bCs/>
                      <w:color w:val="000000"/>
                      <w:sz w:val="21"/>
                      <w:lang w:val="en-US" w:eastAsia="zh-CN"/>
                    </w:rPr>
                    <w:t>塑粉回收率</w:t>
                  </w:r>
                </w:p>
              </w:tc>
              <w:tc>
                <w:tcPr>
                  <w:tcW w:w="1031" w:type="dxa"/>
                  <w:vAlign w:val="center"/>
                </w:tcPr>
                <w:p w14:paraId="6537088F">
                  <w:pPr>
                    <w:pStyle w:val="89"/>
                    <w:rPr>
                      <w:rFonts w:hint="default"/>
                      <w:b/>
                      <w:bCs/>
                      <w:color w:val="000000"/>
                      <w:sz w:val="21"/>
                      <w:lang w:val="en-US" w:eastAsia="zh-CN"/>
                    </w:rPr>
                  </w:pPr>
                  <w:r>
                    <w:rPr>
                      <w:rFonts w:hint="eastAsia"/>
                      <w:b/>
                      <w:bCs/>
                      <w:color w:val="000000"/>
                      <w:sz w:val="21"/>
                      <w:lang w:val="en-US" w:eastAsia="zh-CN"/>
                    </w:rPr>
                    <w:t>塑粉用量（t）</w:t>
                  </w:r>
                </w:p>
              </w:tc>
            </w:tr>
            <w:tr w14:paraId="3502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4" w:type="dxa"/>
                  <w:vAlign w:val="center"/>
                </w:tcPr>
                <w:p w14:paraId="41C35B6D">
                  <w:pPr>
                    <w:jc w:val="center"/>
                    <w:rPr>
                      <w:rFonts w:hint="default"/>
                      <w:sz w:val="21"/>
                      <w:szCs w:val="21"/>
                      <w:lang w:val="en-US"/>
                    </w:rPr>
                  </w:pPr>
                  <w:r>
                    <w:rPr>
                      <w:rFonts w:hint="eastAsia" w:cs="Times New Roman"/>
                      <w:color w:val="auto"/>
                      <w:sz w:val="21"/>
                      <w:szCs w:val="21"/>
                      <w:lang w:val="en-US" w:eastAsia="zh-CN"/>
                    </w:rPr>
                    <w:t>麻将机折叠脚、麻将机餐桌脚、麻将机铁板</w:t>
                  </w:r>
                </w:p>
              </w:tc>
              <w:tc>
                <w:tcPr>
                  <w:tcW w:w="705" w:type="dxa"/>
                  <w:vAlign w:val="center"/>
                </w:tcPr>
                <w:p w14:paraId="00EB89EE">
                  <w:pPr>
                    <w:jc w:val="center"/>
                    <w:rPr>
                      <w:rFonts w:hint="eastAsia" w:eastAsia="宋体"/>
                      <w:kern w:val="0"/>
                      <w:sz w:val="21"/>
                      <w:szCs w:val="21"/>
                      <w:lang w:val="en-US" w:eastAsia="zh-CN" w:bidi="ar"/>
                    </w:rPr>
                  </w:pPr>
                  <w:r>
                    <w:rPr>
                      <w:rFonts w:hint="eastAsia"/>
                      <w:kern w:val="0"/>
                      <w:sz w:val="21"/>
                      <w:szCs w:val="21"/>
                      <w:lang w:val="en-US" w:eastAsia="zh-CN" w:bidi="ar"/>
                    </w:rPr>
                    <w:t>塑粉</w:t>
                  </w:r>
                </w:p>
              </w:tc>
              <w:tc>
                <w:tcPr>
                  <w:tcW w:w="945" w:type="dxa"/>
                  <w:vAlign w:val="center"/>
                </w:tcPr>
                <w:p w14:paraId="78A359C8">
                  <w:pPr>
                    <w:jc w:val="center"/>
                    <w:rPr>
                      <w:rFonts w:hint="default" w:eastAsia="宋体"/>
                      <w:kern w:val="0"/>
                      <w:sz w:val="21"/>
                      <w:szCs w:val="21"/>
                      <w:lang w:val="en-US" w:eastAsia="zh-CN" w:bidi="ar"/>
                    </w:rPr>
                  </w:pPr>
                  <w:r>
                    <w:rPr>
                      <w:rFonts w:hint="eastAsia" w:eastAsia="宋体"/>
                      <w:kern w:val="0"/>
                      <w:sz w:val="21"/>
                      <w:szCs w:val="21"/>
                      <w:lang w:val="en-US" w:eastAsia="zh-CN" w:bidi="ar"/>
                    </w:rPr>
                    <w:t>58</w:t>
                  </w:r>
                  <w:r>
                    <w:rPr>
                      <w:rFonts w:hint="eastAsia"/>
                      <w:kern w:val="0"/>
                      <w:sz w:val="21"/>
                      <w:szCs w:val="21"/>
                      <w:lang w:val="en-US" w:eastAsia="zh-CN" w:bidi="ar"/>
                    </w:rPr>
                    <w:t>25</w:t>
                  </w:r>
                  <w:r>
                    <w:rPr>
                      <w:rFonts w:hint="eastAsia" w:eastAsia="宋体"/>
                      <w:kern w:val="0"/>
                      <w:sz w:val="21"/>
                      <w:szCs w:val="21"/>
                      <w:lang w:val="en-US" w:eastAsia="zh-CN" w:bidi="ar"/>
                    </w:rPr>
                    <w:t>00</w:t>
                  </w:r>
                </w:p>
              </w:tc>
              <w:tc>
                <w:tcPr>
                  <w:tcW w:w="945" w:type="dxa"/>
                  <w:vAlign w:val="center"/>
                </w:tcPr>
                <w:p w14:paraId="5AB7B291">
                  <w:pPr>
                    <w:jc w:val="center"/>
                    <w:rPr>
                      <w:rFonts w:hint="default" w:eastAsia="宋体"/>
                      <w:kern w:val="0"/>
                      <w:sz w:val="21"/>
                      <w:szCs w:val="21"/>
                      <w:lang w:val="en-US" w:eastAsia="zh-CN" w:bidi="ar"/>
                    </w:rPr>
                  </w:pPr>
                  <w:r>
                    <w:rPr>
                      <w:rFonts w:hint="eastAsia"/>
                      <w:kern w:val="0"/>
                      <w:sz w:val="21"/>
                      <w:szCs w:val="21"/>
                      <w:lang w:val="en-US" w:eastAsia="zh-CN" w:bidi="ar"/>
                    </w:rPr>
                    <w:t>80</w:t>
                  </w:r>
                </w:p>
              </w:tc>
              <w:tc>
                <w:tcPr>
                  <w:tcW w:w="1140" w:type="dxa"/>
                  <w:vAlign w:val="center"/>
                </w:tcPr>
                <w:p w14:paraId="324A0667">
                  <w:pPr>
                    <w:jc w:val="center"/>
                    <w:rPr>
                      <w:rFonts w:hint="default" w:eastAsia="宋体"/>
                      <w:kern w:val="0"/>
                      <w:sz w:val="21"/>
                      <w:szCs w:val="21"/>
                      <w:lang w:val="en-US" w:eastAsia="zh-CN" w:bidi="ar"/>
                    </w:rPr>
                  </w:pPr>
                  <w:r>
                    <w:rPr>
                      <w:rFonts w:hint="eastAsia"/>
                      <w:kern w:val="0"/>
                      <w:sz w:val="21"/>
                      <w:szCs w:val="21"/>
                      <w:lang w:val="en-US" w:eastAsia="zh-CN" w:bidi="ar"/>
                    </w:rPr>
                    <w:t>1.26</w:t>
                  </w:r>
                </w:p>
              </w:tc>
              <w:tc>
                <w:tcPr>
                  <w:tcW w:w="960" w:type="dxa"/>
                  <w:vAlign w:val="center"/>
                </w:tcPr>
                <w:p w14:paraId="1AB7C21D">
                  <w:pPr>
                    <w:jc w:val="center"/>
                    <w:rPr>
                      <w:rFonts w:hint="default" w:eastAsia="宋体"/>
                      <w:kern w:val="0"/>
                      <w:sz w:val="21"/>
                      <w:szCs w:val="21"/>
                      <w:lang w:val="en-US" w:eastAsia="zh-CN" w:bidi="ar"/>
                    </w:rPr>
                  </w:pPr>
                  <w:r>
                    <w:rPr>
                      <w:rFonts w:hint="eastAsia"/>
                      <w:kern w:val="0"/>
                      <w:sz w:val="21"/>
                      <w:szCs w:val="21"/>
                      <w:lang w:val="en-US" w:eastAsia="zh-CN" w:bidi="ar"/>
                    </w:rPr>
                    <w:t>75%</w:t>
                  </w:r>
                </w:p>
              </w:tc>
              <w:tc>
                <w:tcPr>
                  <w:tcW w:w="975" w:type="dxa"/>
                  <w:vAlign w:val="center"/>
                </w:tcPr>
                <w:p w14:paraId="04B75B09">
                  <w:pPr>
                    <w:jc w:val="center"/>
                    <w:rPr>
                      <w:rFonts w:hint="default" w:eastAsia="宋体"/>
                      <w:kern w:val="0"/>
                      <w:sz w:val="21"/>
                      <w:szCs w:val="21"/>
                      <w:lang w:val="en-US" w:eastAsia="zh-CN" w:bidi="ar"/>
                    </w:rPr>
                  </w:pPr>
                  <w:r>
                    <w:rPr>
                      <w:rFonts w:hint="eastAsia"/>
                      <w:kern w:val="0"/>
                      <w:sz w:val="21"/>
                      <w:szCs w:val="21"/>
                      <w:lang w:val="en-US" w:eastAsia="zh-CN" w:bidi="ar"/>
                    </w:rPr>
                    <w:t>98%</w:t>
                  </w:r>
                </w:p>
              </w:tc>
              <w:tc>
                <w:tcPr>
                  <w:tcW w:w="1031" w:type="dxa"/>
                  <w:vAlign w:val="center"/>
                </w:tcPr>
                <w:p w14:paraId="7B3FB055">
                  <w:pPr>
                    <w:jc w:val="center"/>
                    <w:rPr>
                      <w:rFonts w:hint="default" w:eastAsia="宋体"/>
                      <w:kern w:val="0"/>
                      <w:sz w:val="21"/>
                      <w:szCs w:val="21"/>
                      <w:lang w:val="en-US" w:eastAsia="zh-CN" w:bidi="ar"/>
                    </w:rPr>
                  </w:pPr>
                  <w:r>
                    <w:rPr>
                      <w:rFonts w:hint="eastAsia"/>
                      <w:kern w:val="0"/>
                      <w:sz w:val="21"/>
                      <w:szCs w:val="21"/>
                      <w:lang w:val="en-US" w:eastAsia="zh-CN" w:bidi="ar"/>
                    </w:rPr>
                    <w:t>80</w:t>
                  </w:r>
                </w:p>
              </w:tc>
            </w:tr>
          </w:tbl>
          <w:p w14:paraId="4AC37E9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000000" w:themeColor="text1"/>
                <w14:textFill>
                  <w14:solidFill>
                    <w14:schemeClr w14:val="tx1"/>
                  </w14:solidFill>
                </w14:textFill>
              </w:rPr>
            </w:pPr>
            <w:r>
              <w:rPr>
                <w:b/>
                <w:szCs w:val="20"/>
              </w:rPr>
              <w:t>主要原辅材料物化性质：</w:t>
            </w:r>
          </w:p>
          <w:p w14:paraId="2411F196">
            <w:pPr>
              <w:keepNext w:val="0"/>
              <w:keepLines w:val="0"/>
              <w:pageBreakBefore w:val="0"/>
              <w:widowControl w:val="0"/>
              <w:kinsoku/>
              <w:wordWrap/>
              <w:overflowPunct/>
              <w:topLinePunct w:val="0"/>
              <w:autoSpaceDE/>
              <w:autoSpaceDN/>
              <w:bidi w:val="0"/>
              <w:adjustRightInd w:val="0"/>
              <w:snapToGrid w:val="0"/>
              <w:jc w:val="center"/>
              <w:textAlignment w:val="auto"/>
              <w:rPr>
                <w:b/>
                <w:color w:val="000000" w:themeColor="text1"/>
                <w:kern w:val="0"/>
                <w14:textFill>
                  <w14:solidFill>
                    <w14:schemeClr w14:val="tx1"/>
                  </w14:solidFill>
                </w14:textFill>
              </w:rPr>
            </w:pPr>
            <w:r>
              <w:rPr>
                <w:b/>
                <w:bCs/>
                <w:color w:val="000000" w:themeColor="text1"/>
                <w14:textFill>
                  <w14:solidFill>
                    <w14:schemeClr w14:val="tx1"/>
                  </w14:solidFill>
                </w14:textFill>
              </w:rPr>
              <w:t>表2</w:t>
            </w:r>
            <w:r>
              <w:rPr>
                <w:rFonts w:hint="eastAsia"/>
                <w:b/>
                <w:bCs/>
                <w:color w:val="000000" w:themeColor="text1"/>
                <w:lang w:val="en-US" w:eastAsia="zh-CN"/>
                <w14:textFill>
                  <w14:solidFill>
                    <w14:schemeClr w14:val="tx1"/>
                  </w14:solidFill>
                </w14:textFill>
              </w:rPr>
              <w:t>-10</w:t>
            </w:r>
            <w:r>
              <w:rPr>
                <w:b/>
                <w:bCs/>
                <w:color w:val="000000" w:themeColor="text1"/>
                <w14:textFill>
                  <w14:solidFill>
                    <w14:schemeClr w14:val="tx1"/>
                  </w14:solidFill>
                </w14:textFill>
              </w:rPr>
              <w:t xml:space="preserve">  涉及物质主要理化性质及成分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3864"/>
              <w:gridCol w:w="1656"/>
              <w:gridCol w:w="1355"/>
            </w:tblGrid>
            <w:tr w14:paraId="198B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vAlign w:val="center"/>
                </w:tcPr>
                <w:p w14:paraId="72A5ADF5">
                  <w:pPr>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物质名称</w:t>
                  </w:r>
                </w:p>
              </w:tc>
              <w:tc>
                <w:tcPr>
                  <w:tcW w:w="2422" w:type="pct"/>
                  <w:vAlign w:val="center"/>
                </w:tcPr>
                <w:p w14:paraId="36C756C7">
                  <w:pPr>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理化性质</w:t>
                  </w:r>
                </w:p>
              </w:tc>
              <w:tc>
                <w:tcPr>
                  <w:tcW w:w="1038" w:type="pct"/>
                  <w:shd w:val="clear" w:color="auto" w:fill="auto"/>
                  <w:vAlign w:val="center"/>
                </w:tcPr>
                <w:p w14:paraId="4A12C42C">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燃烧爆炸性</w:t>
                  </w:r>
                </w:p>
              </w:tc>
              <w:tc>
                <w:tcPr>
                  <w:tcW w:w="849" w:type="pct"/>
                  <w:shd w:val="clear" w:color="auto" w:fill="auto"/>
                  <w:vAlign w:val="center"/>
                </w:tcPr>
                <w:p w14:paraId="514146C0">
                  <w:pPr>
                    <w:adjustRightInd w:val="0"/>
                    <w:snapToGrid w:val="0"/>
                    <w:jc w:val="center"/>
                    <w:rPr>
                      <w:rFonts w:hint="default"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毒性毒理</w:t>
                  </w:r>
                </w:p>
              </w:tc>
            </w:tr>
            <w:tr w14:paraId="2B74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vAlign w:val="center"/>
                </w:tcPr>
                <w:p w14:paraId="63D00FA6">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清洗剂</w:t>
                  </w:r>
                </w:p>
              </w:tc>
              <w:tc>
                <w:tcPr>
                  <w:tcW w:w="2422" w:type="pct"/>
                  <w:vAlign w:val="center"/>
                </w:tcPr>
                <w:p w14:paraId="2E49D940">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柠檬酸50%，椰子油二乙醇酰胺1%，水49%；透明液体，稍有气味，熔点/凝固点153℃，闪点100℃；与水互溶</w:t>
                  </w:r>
                </w:p>
              </w:tc>
              <w:tc>
                <w:tcPr>
                  <w:tcW w:w="1038" w:type="pct"/>
                  <w:vAlign w:val="center"/>
                </w:tcPr>
                <w:p w14:paraId="44961777">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在正常的储存和使用条件下，化学性质稳定，不会产生危险的分解产物</w:t>
                  </w:r>
                </w:p>
              </w:tc>
              <w:tc>
                <w:tcPr>
                  <w:tcW w:w="849" w:type="pct"/>
                  <w:vAlign w:val="center"/>
                </w:tcPr>
                <w:p w14:paraId="6A677331">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无资料</w:t>
                  </w:r>
                </w:p>
              </w:tc>
            </w:tr>
            <w:tr w14:paraId="013C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vAlign w:val="center"/>
                </w:tcPr>
                <w:p w14:paraId="7EAE9223">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PP</w:t>
                  </w:r>
                </w:p>
              </w:tc>
              <w:tc>
                <w:tcPr>
                  <w:tcW w:w="2422" w:type="pct"/>
                  <w:vAlign w:val="center"/>
                </w:tcPr>
                <w:p w14:paraId="451F0AB3">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sz w:val="21"/>
                      <w:szCs w:val="21"/>
                    </w:rPr>
                    <w:t>聚丙烯简称PP，是丙烯通过</w:t>
                  </w:r>
                  <w:r>
                    <w:rPr>
                      <w:sz w:val="21"/>
                      <w:szCs w:val="21"/>
                    </w:rPr>
                    <w:fldChar w:fldCharType="begin"/>
                  </w:r>
                  <w:r>
                    <w:rPr>
                      <w:sz w:val="21"/>
                      <w:szCs w:val="21"/>
                    </w:rPr>
                    <w:instrText xml:space="preserve"> HYPERLINK "https://baike.baidu.com/item/%E5%8A%A0%E8%81%9A%E5%8F%8D%E5%BA%94/9609649?fromModule=lemma_inlink" \t "https://baike.baidu.com/item/%E8%81%9A%E4%B8%99%E7%83%AF/_blank" </w:instrText>
                  </w:r>
                  <w:r>
                    <w:rPr>
                      <w:sz w:val="21"/>
                      <w:szCs w:val="21"/>
                    </w:rPr>
                    <w:fldChar w:fldCharType="separate"/>
                  </w:r>
                  <w:r>
                    <w:rPr>
                      <w:sz w:val="21"/>
                      <w:szCs w:val="21"/>
                    </w:rPr>
                    <w:t>加聚反应</w:t>
                  </w:r>
                  <w:r>
                    <w:rPr>
                      <w:sz w:val="21"/>
                      <w:szCs w:val="21"/>
                    </w:rPr>
                    <w:fldChar w:fldCharType="end"/>
                  </w:r>
                  <w:r>
                    <w:rPr>
                      <w:sz w:val="21"/>
                      <w:szCs w:val="21"/>
                    </w:rPr>
                    <w:t>而成的</w:t>
                  </w:r>
                  <w:r>
                    <w:fldChar w:fldCharType="begin"/>
                  </w:r>
                  <w:r>
                    <w:instrText xml:space="preserve"> HYPERLINK "https://baike.baidu.com/item/%E8%81%9A%E5%90%88%E7%89%A9/6252844?fromModule=lemma_inlink" \t "https://baike.baidu.com/item/%E8%81%9A%E4%B8%99%E7%83%AF/_blank" </w:instrText>
                  </w:r>
                  <w:r>
                    <w:fldChar w:fldCharType="separate"/>
                  </w:r>
                  <w:r>
                    <w:rPr>
                      <w:sz w:val="21"/>
                      <w:szCs w:val="21"/>
                    </w:rPr>
                    <w:t>聚合物</w:t>
                  </w:r>
                  <w:r>
                    <w:rPr>
                      <w:sz w:val="21"/>
                      <w:szCs w:val="21"/>
                    </w:rPr>
                    <w:fldChar w:fldCharType="end"/>
                  </w:r>
                  <w:r>
                    <w:rPr>
                      <w:sz w:val="21"/>
                      <w:szCs w:val="21"/>
                    </w:rPr>
                    <w:t>。系白色蜡状材料，外观透明而轻。化学式为</w:t>
                  </w:r>
                  <w:r>
                    <w:rPr>
                      <w:rFonts w:hint="eastAsia"/>
                      <w:sz w:val="21"/>
                      <w:szCs w:val="21"/>
                      <w:lang w:eastAsia="zh-CN"/>
                    </w:rPr>
                    <w:t>（</w:t>
                  </w:r>
                  <w:r>
                    <w:rPr>
                      <w:sz w:val="21"/>
                      <w:szCs w:val="21"/>
                    </w:rPr>
                    <w:t>C3H6</w:t>
                  </w:r>
                  <w:r>
                    <w:rPr>
                      <w:rFonts w:hint="eastAsia"/>
                      <w:sz w:val="21"/>
                      <w:szCs w:val="21"/>
                      <w:lang w:eastAsia="zh-CN"/>
                    </w:rPr>
                    <w:t>）</w:t>
                  </w:r>
                  <w:r>
                    <w:rPr>
                      <w:sz w:val="21"/>
                      <w:szCs w:val="21"/>
                    </w:rPr>
                    <w:t>n，密度为0.89～0.91g/cm</w:t>
                  </w:r>
                  <w:r>
                    <w:rPr>
                      <w:sz w:val="21"/>
                      <w:szCs w:val="21"/>
                      <w:vertAlign w:val="superscript"/>
                    </w:rPr>
                    <w:t>3</w:t>
                  </w:r>
                  <w:r>
                    <w:rPr>
                      <w:sz w:val="21"/>
                      <w:szCs w:val="21"/>
                    </w:rPr>
                    <w:t>，易燃，熔点为164~170℃，在155℃左右软化，使用温度范围为-30～140℃ 。在80℃以下能耐酸、碱、盐液及多种有机溶剂的腐蚀，能在高温和氧化作用下分解。聚丙烯是一种性能优良的热塑性合成树脂，为无色半透明的热塑性轻质通用塑料，具有耐化学性、耐热性、电绝缘性、高强度机械性能和良好的高耐磨加工性能等，广泛应用于服装、毛毯等纤维制品、医疗器械、汽车、自行车、零件、输送管道、化工容器等生产，也用于食品、药品包装</w:t>
                  </w:r>
                </w:p>
              </w:tc>
              <w:tc>
                <w:tcPr>
                  <w:tcW w:w="1038" w:type="pct"/>
                  <w:vAlign w:val="center"/>
                </w:tcPr>
                <w:p w14:paraId="00C48958">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sz w:val="21"/>
                      <w:szCs w:val="21"/>
                    </w:rPr>
                    <w:t>易燃</w:t>
                  </w:r>
                </w:p>
              </w:tc>
              <w:tc>
                <w:tcPr>
                  <w:tcW w:w="849" w:type="pct"/>
                  <w:vAlign w:val="center"/>
                </w:tcPr>
                <w:p w14:paraId="796D6620">
                  <w:pPr>
                    <w:jc w:val="center"/>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ascii="Helvetica" w:hAnsi="Helvetica" w:eastAsia="Helvetica" w:cs="Helvetica"/>
                      <w:i w:val="0"/>
                      <w:iCs w:val="0"/>
                      <w:caps w:val="0"/>
                      <w:color w:val="333333"/>
                      <w:spacing w:val="0"/>
                      <w:sz w:val="21"/>
                      <w:szCs w:val="21"/>
                      <w:shd w:val="clear" w:fill="FFFFFF"/>
                    </w:rPr>
                    <w:t>无毒</w:t>
                  </w:r>
                </w:p>
              </w:tc>
            </w:tr>
            <w:tr w14:paraId="5193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vAlign w:val="center"/>
                </w:tcPr>
                <w:p w14:paraId="6913F84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leftChars="0" w:right="0" w:rightChars="0"/>
                    <w:jc w:val="center"/>
                    <w:textAlignment w:val="auto"/>
                    <w:rPr>
                      <w:rFonts w:hint="eastAsia"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kern w:val="0"/>
                      <w:sz w:val="21"/>
                      <w:szCs w:val="21"/>
                      <w:lang w:val="en-US" w:eastAsia="zh-CN"/>
                      <w14:textFill>
                        <w14:solidFill>
                          <w14:schemeClr w14:val="tx1"/>
                        </w14:solidFill>
                      </w14:textFill>
                    </w:rPr>
                    <w:t>塑粉</w:t>
                  </w:r>
                </w:p>
              </w:tc>
              <w:tc>
                <w:tcPr>
                  <w:tcW w:w="2422" w:type="pct"/>
                  <w:vAlign w:val="center"/>
                </w:tcPr>
                <w:p w14:paraId="6E1AC37A">
                  <w:pPr>
                    <w:jc w:val="center"/>
                    <w:rPr>
                      <w:sz w:val="21"/>
                      <w:szCs w:val="21"/>
                    </w:rPr>
                  </w:pPr>
                  <w:r>
                    <w:rPr>
                      <w:rFonts w:hint="eastAsia"/>
                      <w:sz w:val="21"/>
                      <w:szCs w:val="21"/>
                    </w:rPr>
                    <w:t>塑粉是一种静电喷涂用热固性粉末涂料。它具有喷塑的效果好，成本低，无毒、无臭的优点，表面色泽艳丽，其热分解温度在</w:t>
                  </w:r>
                  <w:r>
                    <w:rPr>
                      <w:sz w:val="21"/>
                      <w:szCs w:val="21"/>
                    </w:rPr>
                    <w:t>300℃</w:t>
                  </w:r>
                  <w:r>
                    <w:rPr>
                      <w:rFonts w:hint="eastAsia"/>
                      <w:sz w:val="21"/>
                      <w:szCs w:val="21"/>
                    </w:rPr>
                    <w:t>以上</w:t>
                  </w:r>
                </w:p>
              </w:tc>
              <w:tc>
                <w:tcPr>
                  <w:tcW w:w="1038" w:type="pct"/>
                  <w:vAlign w:val="center"/>
                </w:tcPr>
                <w:p w14:paraId="4167B97B">
                  <w:pPr>
                    <w:jc w:val="center"/>
                    <w:rPr>
                      <w:rFonts w:hint="eastAsia" w:eastAsia="宋体"/>
                      <w:sz w:val="21"/>
                      <w:szCs w:val="21"/>
                      <w:lang w:val="en-US" w:eastAsia="zh-CN"/>
                    </w:rPr>
                  </w:pPr>
                  <w:r>
                    <w:rPr>
                      <w:rFonts w:hint="eastAsia"/>
                      <w:sz w:val="21"/>
                      <w:szCs w:val="21"/>
                      <w:lang w:val="en-US" w:eastAsia="zh-CN"/>
                    </w:rPr>
                    <w:t>不燃</w:t>
                  </w:r>
                </w:p>
              </w:tc>
              <w:tc>
                <w:tcPr>
                  <w:tcW w:w="849" w:type="pct"/>
                  <w:vAlign w:val="center"/>
                </w:tcPr>
                <w:p w14:paraId="05D5E697">
                  <w:pPr>
                    <w:jc w:val="center"/>
                    <w:rPr>
                      <w:rFonts w:ascii="Helvetica" w:hAnsi="Helvetica" w:eastAsia="Helvetica" w:cs="Helvetica"/>
                      <w:i w:val="0"/>
                      <w:iCs w:val="0"/>
                      <w:caps w:val="0"/>
                      <w:color w:val="333333"/>
                      <w:spacing w:val="0"/>
                      <w:sz w:val="21"/>
                      <w:szCs w:val="21"/>
                      <w:shd w:val="clear" w:fill="FFFFFF"/>
                    </w:rPr>
                  </w:pPr>
                  <w:r>
                    <w:rPr>
                      <w:rFonts w:ascii="Helvetica" w:hAnsi="Helvetica" w:eastAsia="Helvetica" w:cs="Helvetica"/>
                      <w:i w:val="0"/>
                      <w:iCs w:val="0"/>
                      <w:caps w:val="0"/>
                      <w:color w:val="333333"/>
                      <w:spacing w:val="0"/>
                      <w:sz w:val="21"/>
                      <w:szCs w:val="21"/>
                      <w:shd w:val="clear" w:fill="FFFFFF"/>
                    </w:rPr>
                    <w:t>无毒</w:t>
                  </w:r>
                </w:p>
              </w:tc>
            </w:tr>
            <w:tr w14:paraId="0706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vAlign w:val="center"/>
                </w:tcPr>
                <w:p w14:paraId="60544416">
                  <w:pPr>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sz w:val="21"/>
                      <w:szCs w:val="21"/>
                    </w:rPr>
                    <w:t>乙二醇</w:t>
                  </w:r>
                </w:p>
              </w:tc>
              <w:tc>
                <w:tcPr>
                  <w:tcW w:w="2422" w:type="pct"/>
                  <w:vAlign w:val="center"/>
                </w:tcPr>
                <w:p w14:paraId="6A4277C6">
                  <w:pPr>
                    <w:widowControl/>
                    <w:jc w:val="center"/>
                    <w:rPr>
                      <w:rFonts w:hint="eastAsia"/>
                      <w:sz w:val="21"/>
                      <w:szCs w:val="21"/>
                    </w:rPr>
                  </w:pPr>
                  <w:r>
                    <w:rPr>
                      <w:color w:val="000000"/>
                      <w:sz w:val="21"/>
                      <w:szCs w:val="21"/>
                    </w:rPr>
                    <w:t>无色澄清粘稠液体。凝固点-11.5℃，沸点198℃，140℃（12.93kPa），100℃（1.33kPa），70℃（0.4kPa），20℃（8.0Pa），相对密度1.1274（0/4℃），1.1204（10/4℃），1.1088（20/4℃），1.1065（30/4℃），折射率1.4318，密度（真空，20℃）1.11336g/ml。闪点116℃，粘度（20℃）21mPa·s，比热容（20℃）2.35J/（g·℃）摩尔生成热-452.3kJ/mol，溶解热187.025J/g，蒸发热799.14J/g，表面张力（20℃）48.4mN/m，蒸气压（20℃）7.999Pa，自燃点412.8℃。与</w:t>
                  </w:r>
                  <w:r>
                    <w:rPr>
                      <w:color w:val="000000"/>
                      <w:sz w:val="21"/>
                      <w:szCs w:val="21"/>
                    </w:rPr>
                    <w:fldChar w:fldCharType="begin"/>
                  </w:r>
                  <w:r>
                    <w:rPr>
                      <w:color w:val="000000"/>
                      <w:sz w:val="21"/>
                      <w:szCs w:val="21"/>
                    </w:rPr>
                    <w:instrText xml:space="preserve"> HYPERLINK "http://www.ichemistry.cn/chemistry/7732-18-5.htm" \t "http://www.ichemistry.cn/chemistry/_blank" </w:instrText>
                  </w:r>
                  <w:r>
                    <w:rPr>
                      <w:color w:val="000000"/>
                      <w:sz w:val="21"/>
                      <w:szCs w:val="21"/>
                    </w:rPr>
                    <w:fldChar w:fldCharType="separate"/>
                  </w:r>
                  <w:r>
                    <w:rPr>
                      <w:color w:val="000000"/>
                      <w:sz w:val="21"/>
                      <w:szCs w:val="21"/>
                    </w:rPr>
                    <w:t>水</w:t>
                  </w:r>
                  <w:r>
                    <w:rPr>
                      <w:color w:val="000000"/>
                      <w:sz w:val="21"/>
                      <w:szCs w:val="21"/>
                    </w:rPr>
                    <w:fldChar w:fldCharType="end"/>
                  </w:r>
                  <w:r>
                    <w:rPr>
                      <w:color w:val="000000"/>
                      <w:sz w:val="21"/>
                      <w:szCs w:val="21"/>
                    </w:rPr>
                    <w:t>、低级脂肪族</w:t>
                  </w:r>
                  <w:r>
                    <w:fldChar w:fldCharType="begin"/>
                  </w:r>
                  <w:r>
                    <w:instrText xml:space="preserve"> HYPERLINK "http://www.ichemistry.cn/cas/.B4.BC" \t "http://www.ichemistry.cn/chemistry/_blank" </w:instrText>
                  </w:r>
                  <w:r>
                    <w:fldChar w:fldCharType="separate"/>
                  </w:r>
                  <w:r>
                    <w:rPr>
                      <w:color w:val="000000"/>
                      <w:sz w:val="21"/>
                      <w:szCs w:val="21"/>
                    </w:rPr>
                    <w:t>醇</w:t>
                  </w:r>
                  <w:r>
                    <w:rPr>
                      <w:color w:val="000000"/>
                      <w:sz w:val="21"/>
                      <w:szCs w:val="21"/>
                    </w:rPr>
                    <w:fldChar w:fldCharType="end"/>
                  </w:r>
                  <w:r>
                    <w:rPr>
                      <w:color w:val="000000"/>
                      <w:sz w:val="21"/>
                      <w:szCs w:val="21"/>
                    </w:rPr>
                    <w:t>、</w:t>
                  </w:r>
                  <w:r>
                    <w:fldChar w:fldCharType="begin"/>
                  </w:r>
                  <w:r>
                    <w:instrText xml:space="preserve"> HYPERLINK "http://www.ichemistry.cn/chemistry/56-81-5.htm" \t "http://www.ichemistry.cn/chemistry/_blank" </w:instrText>
                  </w:r>
                  <w:r>
                    <w:fldChar w:fldCharType="separate"/>
                  </w:r>
                  <w:r>
                    <w:rPr>
                      <w:color w:val="000000"/>
                      <w:sz w:val="21"/>
                      <w:szCs w:val="21"/>
                    </w:rPr>
                    <w:t>甘油</w:t>
                  </w:r>
                  <w:r>
                    <w:rPr>
                      <w:color w:val="000000"/>
                      <w:sz w:val="21"/>
                      <w:szCs w:val="21"/>
                    </w:rPr>
                    <w:fldChar w:fldCharType="end"/>
                  </w:r>
                  <w:r>
                    <w:rPr>
                      <w:color w:val="000000"/>
                      <w:sz w:val="21"/>
                      <w:szCs w:val="21"/>
                    </w:rPr>
                    <w:t>、</w:t>
                  </w:r>
                  <w:r>
                    <w:fldChar w:fldCharType="begin"/>
                  </w:r>
                  <w:r>
                    <w:instrText xml:space="preserve"> HYPERLINK "http://www.ichemistry.cn/chemistry/50-03-3.htm" \t "http://www.ichemistry.cn/chemistry/_blank" </w:instrText>
                  </w:r>
                  <w:r>
                    <w:fldChar w:fldCharType="separate"/>
                  </w:r>
                  <w:r>
                    <w:rPr>
                      <w:color w:val="000000"/>
                      <w:sz w:val="21"/>
                      <w:szCs w:val="21"/>
                    </w:rPr>
                    <w:t>醋酸</w:t>
                  </w:r>
                  <w:r>
                    <w:rPr>
                      <w:color w:val="000000"/>
                      <w:sz w:val="21"/>
                      <w:szCs w:val="21"/>
                    </w:rPr>
                    <w:fldChar w:fldCharType="end"/>
                  </w:r>
                  <w:r>
                    <w:rPr>
                      <w:color w:val="000000"/>
                      <w:sz w:val="21"/>
                      <w:szCs w:val="21"/>
                    </w:rPr>
                    <w:t>、</w:t>
                  </w:r>
                  <w:r>
                    <w:fldChar w:fldCharType="begin"/>
                  </w:r>
                  <w:r>
                    <w:instrText xml:space="preserve"> HYPERLINK "http://www.ichemistry.cn/chemistry/67-64-1.htm" \t "http://www.ichemistry.cn/chemistry/_blank" </w:instrText>
                  </w:r>
                  <w:r>
                    <w:fldChar w:fldCharType="separate"/>
                  </w:r>
                  <w:r>
                    <w:rPr>
                      <w:color w:val="000000"/>
                      <w:sz w:val="21"/>
                      <w:szCs w:val="21"/>
                    </w:rPr>
                    <w:t>丙酮</w:t>
                  </w:r>
                  <w:r>
                    <w:rPr>
                      <w:color w:val="000000"/>
                      <w:sz w:val="21"/>
                      <w:szCs w:val="21"/>
                    </w:rPr>
                    <w:fldChar w:fldCharType="end"/>
                  </w:r>
                  <w:r>
                    <w:rPr>
                      <w:color w:val="000000"/>
                      <w:sz w:val="21"/>
                      <w:szCs w:val="21"/>
                    </w:rPr>
                    <w:t>及类似酮类、醛类、</w:t>
                  </w:r>
                  <w:r>
                    <w:fldChar w:fldCharType="begin"/>
                  </w:r>
                  <w:r>
                    <w:instrText xml:space="preserve"> HYPERLINK "http://www.ichemistry.cn/chemistry/110-86-1.htm" \t "http://www.ichemistry.cn/chemistry/_blank" </w:instrText>
                  </w:r>
                  <w:r>
                    <w:fldChar w:fldCharType="separate"/>
                  </w:r>
                  <w:r>
                    <w:rPr>
                      <w:color w:val="000000"/>
                      <w:sz w:val="21"/>
                      <w:szCs w:val="21"/>
                    </w:rPr>
                    <w:t>吡啶</w:t>
                  </w:r>
                  <w:r>
                    <w:rPr>
                      <w:color w:val="000000"/>
                      <w:sz w:val="21"/>
                      <w:szCs w:val="21"/>
                    </w:rPr>
                    <w:fldChar w:fldCharType="end"/>
                  </w:r>
                  <w:r>
                    <w:rPr>
                      <w:color w:val="000000"/>
                      <w:sz w:val="21"/>
                      <w:szCs w:val="21"/>
                    </w:rPr>
                    <w:t>及类似的煤焦油碱类混溶，微溶于</w:t>
                  </w:r>
                  <w:r>
                    <w:fldChar w:fldCharType="begin"/>
                  </w:r>
                  <w:r>
                    <w:instrText xml:space="preserve"> HYPERLINK "http://www.ichemistry.cn/chemistry/60-29-7.htm" \t "http://www.ichemistry.cn/chemistry/_blank" </w:instrText>
                  </w:r>
                  <w:r>
                    <w:fldChar w:fldCharType="separate"/>
                  </w:r>
                  <w:r>
                    <w:rPr>
                      <w:color w:val="000000"/>
                      <w:sz w:val="21"/>
                      <w:szCs w:val="21"/>
                    </w:rPr>
                    <w:t>乙醚</w:t>
                  </w:r>
                  <w:r>
                    <w:rPr>
                      <w:color w:val="000000"/>
                      <w:sz w:val="21"/>
                      <w:szCs w:val="21"/>
                    </w:rPr>
                    <w:fldChar w:fldCharType="end"/>
                  </w:r>
                  <w:r>
                    <w:rPr>
                      <w:color w:val="000000"/>
                      <w:sz w:val="21"/>
                      <w:szCs w:val="21"/>
                    </w:rPr>
                    <w:t>（1：200），几乎不溶于</w:t>
                  </w:r>
                  <w:r>
                    <w:rPr>
                      <w:color w:val="000000"/>
                      <w:sz w:val="21"/>
                      <w:szCs w:val="21"/>
                    </w:rPr>
                    <w:fldChar w:fldCharType="begin"/>
                  </w:r>
                  <w:r>
                    <w:rPr>
                      <w:color w:val="000000"/>
                      <w:sz w:val="21"/>
                      <w:szCs w:val="21"/>
                    </w:rPr>
                    <w:instrText xml:space="preserve"> HYPERLINK "http://www.ichemistry.cn/chemistry/71-43-2.htm" \t "http://www.ichemistry.cn/chemistry/_blank" </w:instrText>
                  </w:r>
                  <w:r>
                    <w:rPr>
                      <w:color w:val="000000"/>
                      <w:sz w:val="21"/>
                      <w:szCs w:val="21"/>
                    </w:rPr>
                    <w:fldChar w:fldCharType="separate"/>
                  </w:r>
                  <w:r>
                    <w:rPr>
                      <w:color w:val="000000"/>
                      <w:sz w:val="21"/>
                      <w:szCs w:val="21"/>
                    </w:rPr>
                    <w:t>苯</w:t>
                  </w:r>
                  <w:r>
                    <w:rPr>
                      <w:color w:val="000000"/>
                      <w:sz w:val="21"/>
                      <w:szCs w:val="21"/>
                    </w:rPr>
                    <w:fldChar w:fldCharType="end"/>
                  </w:r>
                  <w:r>
                    <w:rPr>
                      <w:color w:val="000000"/>
                      <w:sz w:val="21"/>
                      <w:szCs w:val="21"/>
                    </w:rPr>
                    <w:t>及其同系物、</w:t>
                  </w:r>
                  <w:r>
                    <w:fldChar w:fldCharType="begin"/>
                  </w:r>
                  <w:r>
                    <w:instrText xml:space="preserve"> HYPERLINK "http://www.ichemistry.cn/chemistry/7782-50-5.htm" \t "http://www.ichemistry.cn/chemistry/_blank" </w:instrText>
                  </w:r>
                  <w:r>
                    <w:fldChar w:fldCharType="separate"/>
                  </w:r>
                  <w:r>
                    <w:rPr>
                      <w:color w:val="000000"/>
                      <w:sz w:val="21"/>
                      <w:szCs w:val="21"/>
                    </w:rPr>
                    <w:t>氯</w:t>
                  </w:r>
                  <w:r>
                    <w:rPr>
                      <w:color w:val="000000"/>
                      <w:sz w:val="21"/>
                      <w:szCs w:val="21"/>
                    </w:rPr>
                    <w:fldChar w:fldCharType="end"/>
                  </w:r>
                  <w:r>
                    <w:rPr>
                      <w:color w:val="000000"/>
                      <w:sz w:val="21"/>
                      <w:szCs w:val="21"/>
                    </w:rPr>
                    <w:t>代烃、</w:t>
                  </w:r>
                  <w:r>
                    <w:fldChar w:fldCharType="begin"/>
                  </w:r>
                  <w:r>
                    <w:instrText xml:space="preserve"> HYPERLINK "http://www.ichemistry.cn/chemistry/92062-35-6.htm" \t "http://www.ichemistry.cn/chemistry/_blank" </w:instrText>
                  </w:r>
                  <w:r>
                    <w:fldChar w:fldCharType="separate"/>
                  </w:r>
                  <w:r>
                    <w:rPr>
                      <w:color w:val="000000"/>
                      <w:sz w:val="21"/>
                      <w:szCs w:val="21"/>
                    </w:rPr>
                    <w:t>石油醚</w:t>
                  </w:r>
                  <w:r>
                    <w:rPr>
                      <w:color w:val="000000"/>
                      <w:sz w:val="21"/>
                      <w:szCs w:val="21"/>
                    </w:rPr>
                    <w:fldChar w:fldCharType="end"/>
                  </w:r>
                  <w:r>
                    <w:rPr>
                      <w:color w:val="000000"/>
                      <w:sz w:val="21"/>
                      <w:szCs w:val="21"/>
                    </w:rPr>
                    <w:t>和油类。有甜味。具有吸水性，易燃</w:t>
                  </w:r>
                  <w:r>
                    <w:rPr>
                      <w:rFonts w:hint="eastAsia"/>
                      <w:color w:val="000000"/>
                      <w:sz w:val="21"/>
                      <w:szCs w:val="21"/>
                    </w:rPr>
                    <w:t>，用于制造树脂、增塑剂、合成纤维、化妆品和炸药</w:t>
                  </w:r>
                  <w:r>
                    <w:rPr>
                      <w:rFonts w:hint="eastAsia"/>
                      <w:color w:val="000000"/>
                      <w:sz w:val="21"/>
                      <w:szCs w:val="21"/>
                      <w:lang w:eastAsia="zh-CN"/>
                    </w:rPr>
                    <w:t>，</w:t>
                  </w:r>
                  <w:r>
                    <w:rPr>
                      <w:rFonts w:hint="eastAsia"/>
                      <w:color w:val="000000"/>
                      <w:sz w:val="21"/>
                      <w:szCs w:val="21"/>
                    </w:rPr>
                    <w:t>并用作溶剂、配制发动机的抗冻剂</w:t>
                  </w:r>
                </w:p>
              </w:tc>
              <w:tc>
                <w:tcPr>
                  <w:tcW w:w="1038" w:type="pct"/>
                  <w:vAlign w:val="center"/>
                </w:tcPr>
                <w:p w14:paraId="02A7AE63">
                  <w:pPr>
                    <w:jc w:val="center"/>
                    <w:rPr>
                      <w:rFonts w:hint="eastAsia"/>
                      <w:sz w:val="21"/>
                      <w:szCs w:val="21"/>
                      <w:lang w:val="en-US" w:eastAsia="zh-CN"/>
                    </w:rPr>
                  </w:pPr>
                  <w:r>
                    <w:rPr>
                      <w:rFonts w:hint="eastAsia" w:ascii="Tahoma" w:hAnsi="Tahoma" w:eastAsia="Tahoma" w:cs="Tahoma"/>
                      <w:i w:val="0"/>
                      <w:iCs w:val="0"/>
                      <w:caps w:val="0"/>
                      <w:color w:val="000000"/>
                      <w:spacing w:val="0"/>
                      <w:sz w:val="21"/>
                      <w:szCs w:val="21"/>
                    </w:rPr>
                    <w:t>可燃</w:t>
                  </w:r>
                </w:p>
              </w:tc>
              <w:tc>
                <w:tcPr>
                  <w:tcW w:w="849" w:type="pct"/>
                  <w:vAlign w:val="center"/>
                </w:tcPr>
                <w:p w14:paraId="1B090C07">
                  <w:pPr>
                    <w:jc w:val="center"/>
                    <w:rPr>
                      <w:rFonts w:ascii="Helvetica" w:hAnsi="Helvetica" w:eastAsia="Helvetica" w:cs="Helvetica"/>
                      <w:i w:val="0"/>
                      <w:iCs w:val="0"/>
                      <w:caps w:val="0"/>
                      <w:color w:val="333333"/>
                      <w:spacing w:val="0"/>
                      <w:sz w:val="21"/>
                      <w:szCs w:val="21"/>
                      <w:shd w:val="clear" w:fill="FFFFFF"/>
                    </w:rPr>
                  </w:pPr>
                  <w:r>
                    <w:rPr>
                      <w:rFonts w:hint="default" w:ascii="Times New Roman" w:hAnsi="Times New Roman" w:eastAsia="Helvetica" w:cs="Times New Roman"/>
                      <w:i w:val="0"/>
                      <w:iCs w:val="0"/>
                      <w:caps w:val="0"/>
                      <w:color w:val="333333"/>
                      <w:spacing w:val="0"/>
                      <w:sz w:val="21"/>
                      <w:szCs w:val="21"/>
                      <w:shd w:val="clear" w:fill="FFFFFF"/>
                    </w:rPr>
                    <w:t>属低毒类LD50：小鼠经口：8.0-15.3g</w:t>
                  </w:r>
                  <w:r>
                    <w:rPr>
                      <w:rFonts w:hint="eastAsia" w:ascii="Times New Roman" w:hAnsi="Times New Roman" w:eastAsia="宋体" w:cs="Times New Roman"/>
                      <w:i w:val="0"/>
                      <w:iCs w:val="0"/>
                      <w:caps w:val="0"/>
                      <w:color w:val="333333"/>
                      <w:spacing w:val="0"/>
                      <w:sz w:val="21"/>
                      <w:szCs w:val="21"/>
                      <w:shd w:val="clear" w:fill="FFFFFF"/>
                      <w:lang w:val="en-US" w:eastAsia="zh-CN"/>
                    </w:rPr>
                    <w:t>/</w:t>
                  </w:r>
                  <w:r>
                    <w:rPr>
                      <w:rFonts w:hint="default" w:ascii="Times New Roman" w:hAnsi="Times New Roman" w:eastAsia="Helvetica" w:cs="Times New Roman"/>
                      <w:i w:val="0"/>
                      <w:iCs w:val="0"/>
                      <w:caps w:val="0"/>
                      <w:color w:val="333333"/>
                      <w:spacing w:val="0"/>
                      <w:sz w:val="21"/>
                      <w:szCs w:val="21"/>
                      <w:shd w:val="clear" w:fill="FFFFFF"/>
                    </w:rPr>
                    <w:t>kg，大鼠经口：5.9-13.4g</w:t>
                  </w:r>
                  <w:r>
                    <w:rPr>
                      <w:rFonts w:hint="eastAsia" w:ascii="Times New Roman" w:hAnsi="Times New Roman" w:eastAsia="宋体" w:cs="Times New Roman"/>
                      <w:i w:val="0"/>
                      <w:iCs w:val="0"/>
                      <w:caps w:val="0"/>
                      <w:color w:val="333333"/>
                      <w:spacing w:val="0"/>
                      <w:sz w:val="21"/>
                      <w:szCs w:val="21"/>
                      <w:shd w:val="clear" w:fill="FFFFFF"/>
                      <w:lang w:val="en-US" w:eastAsia="zh-CN"/>
                    </w:rPr>
                    <w:t>/</w:t>
                  </w:r>
                  <w:r>
                    <w:rPr>
                      <w:rFonts w:hint="default" w:ascii="Times New Roman" w:hAnsi="Times New Roman" w:eastAsia="Helvetica" w:cs="Times New Roman"/>
                      <w:i w:val="0"/>
                      <w:iCs w:val="0"/>
                      <w:caps w:val="0"/>
                      <w:color w:val="333333"/>
                      <w:spacing w:val="0"/>
                      <w:sz w:val="21"/>
                      <w:szCs w:val="21"/>
                      <w:shd w:val="clear" w:fill="FFFFFF"/>
                    </w:rPr>
                    <w:t>kg</w:t>
                  </w:r>
                  <w:r>
                    <w:rPr>
                      <w:rFonts w:hint="eastAsia" w:ascii="Times New Roman" w:hAnsi="Times New Roman" w:eastAsia="宋体" w:cs="Times New Roman"/>
                      <w:i w:val="0"/>
                      <w:iCs w:val="0"/>
                      <w:caps w:val="0"/>
                      <w:color w:val="333333"/>
                      <w:spacing w:val="0"/>
                      <w:sz w:val="21"/>
                      <w:szCs w:val="21"/>
                      <w:shd w:val="clear" w:fill="FFFFFF"/>
                      <w:lang w:val="en-US" w:eastAsia="zh-CN"/>
                    </w:rPr>
                    <w:t xml:space="preserve"> </w:t>
                  </w:r>
                  <w:r>
                    <w:rPr>
                      <w:rFonts w:hint="default" w:ascii="Times New Roman" w:hAnsi="Times New Roman" w:eastAsia="Helvetica" w:cs="Times New Roman"/>
                      <w:i w:val="0"/>
                      <w:iCs w:val="0"/>
                      <w:caps w:val="0"/>
                      <w:color w:val="333333"/>
                      <w:spacing w:val="0"/>
                      <w:sz w:val="21"/>
                      <w:szCs w:val="21"/>
                      <w:shd w:val="clear" w:fill="FFFFFF"/>
                    </w:rPr>
                    <w:t>LC50</w:t>
                  </w:r>
                </w:p>
              </w:tc>
            </w:tr>
            <w:tr w14:paraId="397F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pct"/>
                  <w:vAlign w:val="center"/>
                </w:tcPr>
                <w:p w14:paraId="3A0A367C">
                  <w:pPr>
                    <w:autoSpaceDE w:val="0"/>
                    <w:autoSpaceDN w:val="0"/>
                    <w:adjustRightInd w:val="0"/>
                    <w:jc w:val="center"/>
                    <w:rPr>
                      <w:rFonts w:hint="eastAsia" w:cs="Times New Roman"/>
                      <w:b w:val="0"/>
                      <w:bCs/>
                      <w:color w:val="000000" w:themeColor="text1"/>
                      <w:kern w:val="0"/>
                      <w:sz w:val="21"/>
                      <w:szCs w:val="21"/>
                      <w:lang w:val="en-US" w:eastAsia="zh-CN"/>
                      <w14:textFill>
                        <w14:solidFill>
                          <w14:schemeClr w14:val="tx1"/>
                        </w14:solidFill>
                      </w14:textFill>
                    </w:rPr>
                  </w:pPr>
                  <w:r>
                    <w:rPr>
                      <w:rFonts w:hint="eastAsia"/>
                      <w:sz w:val="21"/>
                      <w:szCs w:val="21"/>
                    </w:rPr>
                    <w:t>羟乙酯</w:t>
                  </w:r>
                </w:p>
              </w:tc>
              <w:tc>
                <w:tcPr>
                  <w:tcW w:w="2422" w:type="pct"/>
                  <w:vAlign w:val="center"/>
                </w:tcPr>
                <w:p w14:paraId="0CE6F04F">
                  <w:pPr>
                    <w:autoSpaceDE w:val="0"/>
                    <w:autoSpaceDN w:val="0"/>
                    <w:adjustRightInd w:val="0"/>
                    <w:jc w:val="center"/>
                    <w:rPr>
                      <w:rFonts w:hint="eastAsia"/>
                      <w:sz w:val="21"/>
                      <w:szCs w:val="21"/>
                    </w:rPr>
                  </w:pPr>
                  <w:r>
                    <w:rPr>
                      <w:color w:val="000000"/>
                      <w:sz w:val="21"/>
                      <w:szCs w:val="21"/>
                    </w:rPr>
                    <w:t>无色透明易流动液体。熔点-12℃，沸点95℃（1.333kPa），87℃（0.67kPa），71-73℃（0.267kPa），相对密度1.074（20/4℃），折射率1.4505，闪点（开杯）108℃。与</w:t>
                  </w:r>
                  <w:r>
                    <w:rPr>
                      <w:color w:val="000000"/>
                      <w:sz w:val="21"/>
                      <w:szCs w:val="21"/>
                    </w:rPr>
                    <w:fldChar w:fldCharType="begin"/>
                  </w:r>
                  <w:r>
                    <w:rPr>
                      <w:color w:val="000000"/>
                      <w:sz w:val="21"/>
                      <w:szCs w:val="21"/>
                    </w:rPr>
                    <w:instrText xml:space="preserve"> HYPERLINK "http://www.ichemistry.cn/chemistry/7732-18-5.htm" \t "http://www.ichemistry.cn/chemistry/_blank" </w:instrText>
                  </w:r>
                  <w:r>
                    <w:rPr>
                      <w:color w:val="000000"/>
                      <w:sz w:val="21"/>
                      <w:szCs w:val="21"/>
                    </w:rPr>
                    <w:fldChar w:fldCharType="separate"/>
                  </w:r>
                  <w:r>
                    <w:rPr>
                      <w:color w:val="000000"/>
                      <w:sz w:val="21"/>
                      <w:szCs w:val="21"/>
                    </w:rPr>
                    <w:t>水</w:t>
                  </w:r>
                  <w:r>
                    <w:rPr>
                      <w:color w:val="000000"/>
                      <w:sz w:val="21"/>
                      <w:szCs w:val="21"/>
                    </w:rPr>
                    <w:fldChar w:fldCharType="end"/>
                  </w:r>
                  <w:r>
                    <w:rPr>
                      <w:color w:val="000000"/>
                      <w:sz w:val="21"/>
                      <w:szCs w:val="21"/>
                    </w:rPr>
                    <w:t>混溶，溶于普通有机溶剂。易聚合，一般商品含有阻聚剂，如100ppm</w:t>
                  </w:r>
                  <w:r>
                    <w:fldChar w:fldCharType="begin"/>
                  </w:r>
                  <w:r>
                    <w:instrText xml:space="preserve"> HYPERLINK "http://www.ichemistry.cn/chemistry/123-31-9.htm" \t "http://www.ichemistry.cn/chemistry/_blank" </w:instrText>
                  </w:r>
                  <w:r>
                    <w:fldChar w:fldCharType="separate"/>
                  </w:r>
                  <w:r>
                    <w:rPr>
                      <w:color w:val="000000"/>
                      <w:sz w:val="21"/>
                      <w:szCs w:val="21"/>
                    </w:rPr>
                    <w:t>对苯二酚</w:t>
                  </w:r>
                  <w:r>
                    <w:rPr>
                      <w:color w:val="000000"/>
                      <w:sz w:val="21"/>
                      <w:szCs w:val="21"/>
                    </w:rPr>
                    <w:fldChar w:fldCharType="end"/>
                  </w:r>
                  <w:r>
                    <w:rPr>
                      <w:color w:val="000000"/>
                      <w:sz w:val="21"/>
                      <w:szCs w:val="21"/>
                    </w:rPr>
                    <w:t>或对</w:t>
                  </w:r>
                  <w:r>
                    <w:fldChar w:fldCharType="begin"/>
                  </w:r>
                  <w:r>
                    <w:instrText xml:space="preserve"> HYPERLINK "http://www.ichemistry.cn/chemistry/71-43-2.htm" \t "http://www.ichemistry.cn/chemistry/_blank" </w:instrText>
                  </w:r>
                  <w:r>
                    <w:fldChar w:fldCharType="separate"/>
                  </w:r>
                  <w:r>
                    <w:rPr>
                      <w:color w:val="000000"/>
                      <w:sz w:val="21"/>
                      <w:szCs w:val="21"/>
                    </w:rPr>
                    <w:t>苯</w:t>
                  </w:r>
                  <w:r>
                    <w:rPr>
                      <w:color w:val="000000"/>
                      <w:sz w:val="21"/>
                      <w:szCs w:val="21"/>
                    </w:rPr>
                    <w:fldChar w:fldCharType="end"/>
                  </w:r>
                  <w:r>
                    <w:rPr>
                      <w:color w:val="000000"/>
                      <w:sz w:val="21"/>
                      <w:szCs w:val="21"/>
                    </w:rPr>
                    <w:t>二酚一</w:t>
                  </w:r>
                  <w:r>
                    <w:rPr>
                      <w:color w:val="000000"/>
                      <w:sz w:val="21"/>
                      <w:szCs w:val="21"/>
                    </w:rPr>
                    <w:fldChar w:fldCharType="begin"/>
                  </w:r>
                  <w:r>
                    <w:rPr>
                      <w:color w:val="000000"/>
                      <w:sz w:val="21"/>
                      <w:szCs w:val="21"/>
                    </w:rPr>
                    <w:instrText xml:space="preserve"> HYPERLINK "http://www.ichemistry.cn/chemistry/115-10-6.htm" \t "http://www.ichemistry.cn/chemistry/_blank" </w:instrText>
                  </w:r>
                  <w:r>
                    <w:rPr>
                      <w:color w:val="000000"/>
                      <w:sz w:val="21"/>
                      <w:szCs w:val="21"/>
                    </w:rPr>
                    <w:fldChar w:fldCharType="separate"/>
                  </w:r>
                  <w:r>
                    <w:rPr>
                      <w:color w:val="000000"/>
                      <w:sz w:val="21"/>
                      <w:szCs w:val="21"/>
                    </w:rPr>
                    <w:t>甲醚</w:t>
                  </w:r>
                  <w:r>
                    <w:rPr>
                      <w:color w:val="000000"/>
                      <w:sz w:val="21"/>
                      <w:szCs w:val="21"/>
                    </w:rPr>
                    <w:fldChar w:fldCharType="end"/>
                  </w:r>
                  <w:r>
                    <w:rPr>
                      <w:color w:val="000000"/>
                      <w:sz w:val="21"/>
                      <w:szCs w:val="21"/>
                    </w:rPr>
                    <w:t>，遇高热、明火或氧化剂，有引起燃烧的危险。遇高热能发生聚合反应，出现大量放热现象，引起容器破裂或爆炸事故。用于制造热固性涂料、粘接剂、无纺布粘合剂、纸加工剂及聚合物的改性</w:t>
                  </w:r>
                </w:p>
              </w:tc>
              <w:tc>
                <w:tcPr>
                  <w:tcW w:w="1038" w:type="pct"/>
                  <w:vAlign w:val="center"/>
                </w:tcPr>
                <w:p w14:paraId="700CF40E">
                  <w:pPr>
                    <w:jc w:val="center"/>
                    <w:rPr>
                      <w:rFonts w:hint="eastAsia"/>
                      <w:sz w:val="21"/>
                      <w:szCs w:val="21"/>
                      <w:lang w:val="en-US" w:eastAsia="zh-CN"/>
                    </w:rPr>
                  </w:pPr>
                  <w:r>
                    <w:rPr>
                      <w:rFonts w:hint="eastAsia" w:ascii="Tahoma" w:hAnsi="Tahoma" w:eastAsia="Tahoma" w:cs="Tahoma"/>
                      <w:i w:val="0"/>
                      <w:iCs w:val="0"/>
                      <w:caps w:val="0"/>
                      <w:color w:val="000000"/>
                      <w:spacing w:val="0"/>
                      <w:sz w:val="21"/>
                      <w:szCs w:val="21"/>
                    </w:rPr>
                    <w:t>可燃</w:t>
                  </w:r>
                </w:p>
              </w:tc>
              <w:tc>
                <w:tcPr>
                  <w:tcW w:w="849" w:type="pct"/>
                  <w:vAlign w:val="center"/>
                </w:tcPr>
                <w:p w14:paraId="478EC86A">
                  <w:pPr>
                    <w:jc w:val="center"/>
                    <w:rPr>
                      <w:rFonts w:hint="eastAsia" w:ascii="Helvetica" w:hAnsi="Helvetica" w:eastAsia="宋体" w:cs="Helvetica"/>
                      <w:i w:val="0"/>
                      <w:iCs w:val="0"/>
                      <w:caps w:val="0"/>
                      <w:color w:val="333333"/>
                      <w:spacing w:val="0"/>
                      <w:sz w:val="21"/>
                      <w:szCs w:val="21"/>
                      <w:shd w:val="clear" w:fill="FFFFFF"/>
                      <w:lang w:eastAsia="zh-CN"/>
                    </w:rPr>
                  </w:pPr>
                  <w:r>
                    <w:rPr>
                      <w:color w:val="000000"/>
                      <w:sz w:val="21"/>
                      <w:szCs w:val="21"/>
                    </w:rPr>
                    <w:t>急性毒性：LD50：5888mg</w:t>
                  </w:r>
                  <w:r>
                    <w:rPr>
                      <w:rFonts w:hint="eastAsia"/>
                      <w:color w:val="000000"/>
                      <w:sz w:val="21"/>
                      <w:szCs w:val="21"/>
                      <w:lang w:val="en-US" w:eastAsia="zh-CN"/>
                    </w:rPr>
                    <w:t>/</w:t>
                  </w:r>
                  <w:r>
                    <w:rPr>
                      <w:color w:val="000000"/>
                      <w:sz w:val="21"/>
                      <w:szCs w:val="21"/>
                    </w:rPr>
                    <w:t>kg</w:t>
                  </w:r>
                  <w:r>
                    <w:rPr>
                      <w:rFonts w:hint="eastAsia"/>
                      <w:color w:val="000000"/>
                      <w:sz w:val="21"/>
                      <w:szCs w:val="21"/>
                      <w:lang w:eastAsia="zh-CN"/>
                    </w:rPr>
                    <w:t>（</w:t>
                  </w:r>
                  <w:r>
                    <w:rPr>
                      <w:color w:val="000000"/>
                      <w:sz w:val="21"/>
                      <w:szCs w:val="21"/>
                    </w:rPr>
                    <w:t>小鼠经口</w:t>
                  </w:r>
                  <w:r>
                    <w:rPr>
                      <w:rFonts w:hint="eastAsia"/>
                      <w:color w:val="000000"/>
                      <w:sz w:val="21"/>
                      <w:szCs w:val="21"/>
                      <w:lang w:eastAsia="zh-CN"/>
                    </w:rPr>
                    <w:t>）</w:t>
                  </w:r>
                </w:p>
              </w:tc>
            </w:tr>
          </w:tbl>
          <w:p w14:paraId="56009F8B">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000000" w:themeColor="text1"/>
                <w:kern w:val="0"/>
                <w14:textFill>
                  <w14:solidFill>
                    <w14:schemeClr w14:val="tx1"/>
                  </w14:solidFill>
                </w14:textFill>
              </w:rPr>
            </w:pPr>
            <w:r>
              <w:rPr>
                <w:rFonts w:hint="eastAsia"/>
                <w:b/>
                <w:color w:val="000000" w:themeColor="text1"/>
                <w:kern w:val="0"/>
                <w:lang w:val="en-US" w:eastAsia="zh-CN"/>
                <w14:textFill>
                  <w14:solidFill>
                    <w14:schemeClr w14:val="tx1"/>
                  </w14:solidFill>
                </w14:textFill>
              </w:rPr>
              <w:t>5</w:t>
            </w:r>
            <w:r>
              <w:rPr>
                <w:b/>
                <w:color w:val="000000" w:themeColor="text1"/>
                <w:kern w:val="0"/>
                <w14:textFill>
                  <w14:solidFill>
                    <w14:schemeClr w14:val="tx1"/>
                  </w14:solidFill>
                </w14:textFill>
              </w:rPr>
              <w:t>、职工人数及工作制度</w:t>
            </w:r>
          </w:p>
          <w:p w14:paraId="3C8CEF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kern w:val="0"/>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劳动定员</w:t>
            </w:r>
            <w:r>
              <w:rPr>
                <w:rFonts w:hint="eastAsia"/>
                <w:color w:val="000000" w:themeColor="text1"/>
                <w:lang w:val="en-US" w:eastAsia="zh-CN"/>
                <w14:textFill>
                  <w14:solidFill>
                    <w14:schemeClr w14:val="tx1"/>
                  </w14:solidFill>
                </w14:textFill>
              </w:rPr>
              <w:t>60</w:t>
            </w:r>
            <w:r>
              <w:rPr>
                <w:color w:val="000000" w:themeColor="text1"/>
                <w14:textFill>
                  <w14:solidFill>
                    <w14:schemeClr w14:val="tx1"/>
                  </w14:solidFill>
                </w14:textFill>
              </w:rPr>
              <w:t>人</w:t>
            </w:r>
            <w:r>
              <w:rPr>
                <w:rFonts w:hint="eastAsia"/>
                <w:color w:val="000000" w:themeColor="text1"/>
                <w14:textFill>
                  <w14:solidFill>
                    <w14:schemeClr w14:val="tx1"/>
                  </w14:solidFill>
                </w14:textFill>
              </w:rPr>
              <w:t>，</w:t>
            </w:r>
            <w:r>
              <w:rPr>
                <w:bCs/>
                <w:color w:val="000000" w:themeColor="text1"/>
                <w:kern w:val="0"/>
                <w14:textFill>
                  <w14:solidFill>
                    <w14:schemeClr w14:val="tx1"/>
                  </w14:solidFill>
                </w14:textFill>
              </w:rPr>
              <w:t>年工作日</w:t>
            </w:r>
            <w:r>
              <w:rPr>
                <w:rFonts w:hint="eastAsia"/>
                <w:bCs/>
                <w:color w:val="000000" w:themeColor="text1"/>
                <w:kern w:val="0"/>
                <w14:textFill>
                  <w14:solidFill>
                    <w14:schemeClr w14:val="tx1"/>
                  </w14:solidFill>
                </w14:textFill>
              </w:rPr>
              <w:t>300</w:t>
            </w:r>
            <w:r>
              <w:rPr>
                <w:bCs/>
                <w:color w:val="000000" w:themeColor="text1"/>
                <w:kern w:val="0"/>
                <w14:textFill>
                  <w14:solidFill>
                    <w14:schemeClr w14:val="tx1"/>
                  </w14:solidFill>
                </w14:textFill>
              </w:rPr>
              <w:t>天，</w:t>
            </w:r>
            <w:r>
              <w:rPr>
                <w:rFonts w:hint="eastAsia"/>
                <w:bCs/>
                <w:color w:val="000000" w:themeColor="text1"/>
                <w:kern w:val="0"/>
                <w:lang w:val="en-US" w:eastAsia="zh-CN"/>
                <w14:textFill>
                  <w14:solidFill>
                    <w14:schemeClr w14:val="tx1"/>
                  </w14:solidFill>
                </w14:textFill>
              </w:rPr>
              <w:t>一</w:t>
            </w:r>
            <w:r>
              <w:rPr>
                <w:bCs/>
                <w:color w:val="000000" w:themeColor="text1"/>
                <w:kern w:val="0"/>
                <w14:textFill>
                  <w14:solidFill>
                    <w14:schemeClr w14:val="tx1"/>
                  </w14:solidFill>
                </w14:textFill>
              </w:rPr>
              <w:t>班制，</w:t>
            </w:r>
            <w:r>
              <w:rPr>
                <w:rFonts w:hint="eastAsia"/>
                <w:bCs/>
                <w:color w:val="000000" w:themeColor="text1"/>
                <w:kern w:val="0"/>
                <w:lang w:val="en-US" w:eastAsia="zh-CN"/>
                <w14:textFill>
                  <w14:solidFill>
                    <w14:schemeClr w14:val="tx1"/>
                  </w14:solidFill>
                </w14:textFill>
              </w:rPr>
              <w:t>每班</w:t>
            </w:r>
            <w:r>
              <w:rPr>
                <w:rFonts w:hint="eastAsia"/>
                <w:bCs/>
                <w:color w:val="000000" w:themeColor="text1"/>
                <w:kern w:val="0"/>
                <w14:textFill>
                  <w14:solidFill>
                    <w14:schemeClr w14:val="tx1"/>
                  </w14:solidFill>
                </w14:textFill>
              </w:rPr>
              <w:t>8</w:t>
            </w:r>
            <w:r>
              <w:rPr>
                <w:bCs/>
                <w:color w:val="000000" w:themeColor="text1"/>
                <w:kern w:val="0"/>
                <w14:textFill>
                  <w14:solidFill>
                    <w14:schemeClr w14:val="tx1"/>
                  </w14:solidFill>
                </w14:textFill>
              </w:rPr>
              <w:t>小时</w:t>
            </w:r>
            <w:r>
              <w:rPr>
                <w:rFonts w:hint="eastAsia"/>
                <w:bCs/>
                <w:color w:val="000000" w:themeColor="text1"/>
                <w:kern w:val="0"/>
                <w14:textFill>
                  <w14:solidFill>
                    <w14:schemeClr w14:val="tx1"/>
                  </w14:solidFill>
                </w14:textFill>
              </w:rPr>
              <w:t>，</w:t>
            </w:r>
            <w:r>
              <w:rPr>
                <w:rFonts w:hint="eastAsia"/>
                <w:bCs/>
                <w:color w:val="000000" w:themeColor="text1"/>
                <w:kern w:val="0"/>
                <w:lang w:val="en-US" w:eastAsia="zh-CN"/>
                <w14:textFill>
                  <w14:solidFill>
                    <w14:schemeClr w14:val="tx1"/>
                  </w14:solidFill>
                </w14:textFill>
              </w:rPr>
              <w:t>厂区不设置食宿</w:t>
            </w:r>
            <w:r>
              <w:rPr>
                <w:bCs/>
                <w:color w:val="000000" w:themeColor="text1"/>
                <w:kern w:val="0"/>
                <w14:textFill>
                  <w14:solidFill>
                    <w14:schemeClr w14:val="tx1"/>
                  </w14:solidFill>
                </w14:textFill>
              </w:rPr>
              <w:t>。</w:t>
            </w:r>
          </w:p>
          <w:p w14:paraId="57138D65">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6</w:t>
            </w:r>
            <w:r>
              <w:rPr>
                <w:b/>
                <w:bCs/>
                <w:color w:val="000000" w:themeColor="text1"/>
                <w14:textFill>
                  <w14:solidFill>
                    <w14:schemeClr w14:val="tx1"/>
                  </w14:solidFill>
                </w14:textFill>
              </w:rPr>
              <w:t>、水量平衡</w:t>
            </w:r>
          </w:p>
          <w:p w14:paraId="2F34A3C6">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项目用水主要是员工生活用水、</w:t>
            </w:r>
            <w:r>
              <w:rPr>
                <w:rFonts w:hint="eastAsia" w:cs="Times New Roman"/>
                <w:b w:val="0"/>
                <w:bCs w:val="0"/>
                <w:color w:val="000000" w:themeColor="text1"/>
                <w:sz w:val="24"/>
                <w:szCs w:val="24"/>
                <w:lang w:val="en-US" w:eastAsia="zh-CN"/>
                <w14:textFill>
                  <w14:solidFill>
                    <w14:schemeClr w14:val="tx1"/>
                  </w14:solidFill>
                </w14:textFill>
              </w:rPr>
              <w:t>清洗剂</w:t>
            </w:r>
            <w:r>
              <w:rPr>
                <w:rFonts w:hint="default" w:ascii="Times New Roman" w:hAnsi="Times New Roman" w:eastAsia="宋体" w:cs="Times New Roman"/>
                <w:b w:val="0"/>
                <w:bCs w:val="0"/>
                <w:color w:val="000000" w:themeColor="text1"/>
                <w:sz w:val="24"/>
                <w:szCs w:val="24"/>
                <w14:textFill>
                  <w14:solidFill>
                    <w14:schemeClr w14:val="tx1"/>
                  </w14:solidFill>
                </w14:textFill>
              </w:rPr>
              <w:t>配置用水</w:t>
            </w:r>
            <w:r>
              <w:rPr>
                <w:rFonts w:hint="eastAsia" w:cs="Times New Roman"/>
                <w:b w:val="0"/>
                <w:bCs w:val="0"/>
                <w:color w:val="000000" w:themeColor="text1"/>
                <w:sz w:val="24"/>
                <w:szCs w:val="24"/>
                <w:lang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切削液</w:t>
            </w:r>
            <w:r>
              <w:rPr>
                <w:rFonts w:hint="default" w:ascii="Times New Roman" w:hAnsi="Times New Roman" w:eastAsia="宋体" w:cs="Times New Roman"/>
                <w:b w:val="0"/>
                <w:bCs w:val="0"/>
                <w:color w:val="000000" w:themeColor="text1"/>
                <w:sz w:val="24"/>
                <w:szCs w:val="24"/>
                <w14:textFill>
                  <w14:solidFill>
                    <w14:schemeClr w14:val="tx1"/>
                  </w14:solidFill>
                </w14:textFill>
              </w:rPr>
              <w:t>配置用水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和注塑冷却用水</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14:paraId="6888FF34">
            <w:pPr>
              <w:spacing w:line="360" w:lineRule="auto"/>
              <w:ind w:firstLine="480" w:firstLineChars="200"/>
              <w:jc w:val="left"/>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生活用水：</w:t>
            </w:r>
            <w:r>
              <w:rPr>
                <w:rFonts w:hint="default" w:ascii="Times New Roman" w:hAnsi="Times New Roman" w:eastAsia="宋体" w:cs="Times New Roman"/>
                <w:color w:val="000000" w:themeColor="text1"/>
                <w:sz w:val="24"/>
                <w:szCs w:val="24"/>
                <w14:textFill>
                  <w14:solidFill>
                    <w14:schemeClr w14:val="tx1"/>
                  </w14:solidFill>
                </w14:textFill>
              </w:rPr>
              <w:t>项目劳动定员</w:t>
            </w:r>
            <w:r>
              <w:rPr>
                <w:rFonts w:hint="eastAsia"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t>人，</w:t>
            </w:r>
            <w:r>
              <w:rPr>
                <w:rFonts w:hint="eastAsia"/>
                <w:bCs/>
                <w:color w:val="000000" w:themeColor="text1"/>
                <w:kern w:val="0"/>
                <w:lang w:val="en-US" w:eastAsia="zh-CN"/>
                <w14:textFill>
                  <w14:solidFill>
                    <w14:schemeClr w14:val="tx1"/>
                  </w14:solidFill>
                </w14:textFill>
              </w:rPr>
              <w:t>厂区不设置食宿</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用水标准参考《宿州市城市行业用水定额》（DB3413/T0001-2020），人均用水量按</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0L/d计</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auto"/>
                <w:sz w:val="24"/>
                <w:szCs w:val="24"/>
              </w:rPr>
              <w:t>则用水量为</w:t>
            </w:r>
            <w:r>
              <w:rPr>
                <w:rFonts w:hint="eastAsia" w:ascii="Times New Roman" w:hAnsi="Times New Roman" w:eastAsia="宋体" w:cs="Times New Roman"/>
                <w:b w:val="0"/>
                <w:bCs w:val="0"/>
                <w:color w:val="auto"/>
                <w:sz w:val="24"/>
                <w:szCs w:val="24"/>
                <w:lang w:val="en-US" w:eastAsia="zh-CN"/>
              </w:rPr>
              <w:t>4.</w:t>
            </w:r>
            <w:r>
              <w:rPr>
                <w:rFonts w:hint="eastAsia"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/d，年用水量为</w:t>
            </w:r>
            <w:r>
              <w:rPr>
                <w:rFonts w:hint="eastAsia" w:cs="Times New Roman"/>
                <w:b w:val="0"/>
                <w:bCs w:val="0"/>
                <w:color w:val="auto"/>
                <w:sz w:val="24"/>
                <w:szCs w:val="24"/>
                <w:lang w:val="en-US" w:eastAsia="zh-CN"/>
              </w:rPr>
              <w:t>1260</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/a，废水产生系数取0.8，则废水产生量为</w:t>
            </w:r>
            <w:r>
              <w:rPr>
                <w:rFonts w:hint="eastAsia" w:ascii="Times New Roman" w:hAnsi="Times New Roman" w:eastAsia="宋体" w:cs="Times New Roman"/>
                <w:b w:val="0"/>
                <w:bCs w:val="0"/>
                <w:color w:val="auto"/>
                <w:sz w:val="24"/>
                <w:szCs w:val="24"/>
                <w:lang w:val="en-US" w:eastAsia="zh-CN"/>
              </w:rPr>
              <w:t>3.</w:t>
            </w:r>
            <w:r>
              <w:rPr>
                <w:rFonts w:hint="eastAsia" w:cs="Times New Roman"/>
                <w:b w:val="0"/>
                <w:bCs w:val="0"/>
                <w:color w:val="auto"/>
                <w:sz w:val="24"/>
                <w:szCs w:val="24"/>
                <w:lang w:val="en-US" w:eastAsia="zh-CN"/>
              </w:rPr>
              <w:t>36</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008</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/a</w:t>
            </w:r>
            <w:r>
              <w:rPr>
                <w:rFonts w:hint="eastAsia" w:cs="Times New Roman"/>
                <w:b w:val="0"/>
                <w:bCs w:val="0"/>
                <w:color w:val="auto"/>
                <w:sz w:val="24"/>
                <w:szCs w:val="24"/>
                <w:lang w:eastAsia="zh-CN"/>
              </w:rPr>
              <w:t>。</w:t>
            </w:r>
          </w:p>
          <w:p w14:paraId="235E5963">
            <w:pPr>
              <w:adjustRightInd w:val="0"/>
              <w:snapToGrid w:val="0"/>
              <w:spacing w:line="360" w:lineRule="auto"/>
              <w:ind w:firstLine="480" w:firstLineChars="200"/>
              <w:rPr>
                <w:rFonts w:hint="default" w:ascii="Times New Roman" w:hAnsi="Times New Roman" w:eastAsia="宋体" w:cs="Times New Roman"/>
                <w:b w:val="0"/>
                <w:bCs w:val="0"/>
                <w:color w:val="0000FF"/>
                <w:sz w:val="24"/>
                <w:szCs w:val="24"/>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清洗剂</w:t>
            </w:r>
            <w:r>
              <w:rPr>
                <w:rFonts w:hint="eastAsia"/>
              </w:rPr>
              <w:t>配置</w:t>
            </w:r>
            <w:r>
              <w:rPr>
                <w:rFonts w:hint="eastAsia"/>
                <w:color w:val="000000" w:themeColor="text1"/>
                <w14:textFill>
                  <w14:solidFill>
                    <w14:schemeClr w14:val="tx1"/>
                  </w14:solidFill>
                </w14:textFill>
              </w:rPr>
              <w:t>用水：</w:t>
            </w:r>
            <w:r>
              <w:rPr>
                <w:rFonts w:hint="eastAsia" w:cs="Times New Roman"/>
                <w:color w:val="000000" w:themeColor="text1"/>
                <w:sz w:val="24"/>
                <w:szCs w:val="24"/>
                <w:lang w:val="en-US" w:eastAsia="zh-CN"/>
                <w14:textFill>
                  <w14:solidFill>
                    <w14:schemeClr w14:val="tx1"/>
                  </w14:solidFill>
                </w14:textFill>
              </w:rPr>
              <w:t>清洗剂</w:t>
            </w:r>
            <w:r>
              <w:rPr>
                <w:rFonts w:hint="eastAsia"/>
                <w:color w:val="000000" w:themeColor="text1"/>
                <w14:textFill>
                  <w14:solidFill>
                    <w14:schemeClr w14:val="tx1"/>
                  </w14:solidFill>
                </w14:textFill>
              </w:rPr>
              <w:t>需用水进行</w:t>
            </w:r>
            <w:r>
              <w:rPr>
                <w:color w:val="000000" w:themeColor="text1"/>
                <w14:textFill>
                  <w14:solidFill>
                    <w14:schemeClr w14:val="tx1"/>
                  </w14:solidFill>
                </w14:textFill>
              </w:rPr>
              <w:t>稀释，</w:t>
            </w:r>
            <w:r>
              <w:rPr>
                <w:rFonts w:hint="eastAsia"/>
                <w:color w:val="000000" w:themeColor="text1"/>
                <w14:textFill>
                  <w14:solidFill>
                    <w14:schemeClr w14:val="tx1"/>
                  </w14:solidFill>
                </w14:textFill>
              </w:rPr>
              <w:t>稀释</w:t>
            </w:r>
            <w:r>
              <w:rPr>
                <w:color w:val="000000" w:themeColor="text1"/>
                <w14:textFill>
                  <w14:solidFill>
                    <w14:schemeClr w14:val="tx1"/>
                  </w14:solidFill>
                </w14:textFill>
              </w:rPr>
              <w:t>比例为</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其中水为被稀释液体的</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倍</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清洗剂</w:t>
            </w:r>
            <w:r>
              <w:rPr>
                <w:color w:val="000000" w:themeColor="text1"/>
                <w14:textFill>
                  <w14:solidFill>
                    <w14:schemeClr w14:val="tx1"/>
                  </w14:solidFill>
                </w14:textFill>
              </w:rPr>
              <w:t>使用量为</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故稀释用水</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t/a</w:t>
            </w:r>
            <w:r>
              <w:rPr>
                <w:rFonts w:hint="eastAsia" w:ascii="Times New Roman" w:hAnsi="Times New Roman" w:cs="Times New Roman"/>
                <w:sz w:val="24"/>
                <w:szCs w:val="24"/>
                <w:lang w:val="en-US" w:eastAsia="zh-CN" w:bidi="ar"/>
              </w:rPr>
              <w:t>。</w:t>
            </w:r>
            <w:r>
              <w:rPr>
                <w:rFonts w:hint="eastAsia" w:cs="Times New Roman"/>
                <w:sz w:val="24"/>
                <w:szCs w:val="24"/>
                <w:lang w:val="en-US" w:eastAsia="zh-CN" w:bidi="ar"/>
              </w:rPr>
              <w:t>项目清洗液对工件进行喷淋清洗，清洗液循环使用，不外排，废清洗液作为危废处理，定期委托资质单位进行处置。</w:t>
            </w:r>
          </w:p>
          <w:p w14:paraId="050B3A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rPr>
              <w:t>切削液配置</w:t>
            </w:r>
            <w:r>
              <w:rPr>
                <w:rFonts w:hint="eastAsia"/>
                <w:color w:val="000000" w:themeColor="text1"/>
                <w14:textFill>
                  <w14:solidFill>
                    <w14:schemeClr w14:val="tx1"/>
                  </w14:solidFill>
                </w14:textFill>
              </w:rPr>
              <w:t>用水：切削</w:t>
            </w:r>
            <w:r>
              <w:rPr>
                <w:rFonts w:hint="eastAsia"/>
              </w:rPr>
              <w:t>液</w:t>
            </w:r>
            <w:r>
              <w:rPr>
                <w:rFonts w:hint="eastAsia"/>
                <w:color w:val="000000" w:themeColor="text1"/>
                <w14:textFill>
                  <w14:solidFill>
                    <w14:schemeClr w14:val="tx1"/>
                  </w14:solidFill>
                </w14:textFill>
              </w:rPr>
              <w:t>需用水进行</w:t>
            </w:r>
            <w:r>
              <w:rPr>
                <w:color w:val="000000" w:themeColor="text1"/>
                <w14:textFill>
                  <w14:solidFill>
                    <w14:schemeClr w14:val="tx1"/>
                  </w14:solidFill>
                </w14:textFill>
              </w:rPr>
              <w:t>稀释，</w:t>
            </w:r>
            <w:r>
              <w:rPr>
                <w:rFonts w:hint="eastAsia"/>
                <w:color w:val="000000" w:themeColor="text1"/>
                <w14:textFill>
                  <w14:solidFill>
                    <w14:schemeClr w14:val="tx1"/>
                  </w14:solidFill>
                </w14:textFill>
              </w:rPr>
              <w:t>稀释</w:t>
            </w:r>
            <w:r>
              <w:rPr>
                <w:color w:val="000000" w:themeColor="text1"/>
                <w14:textFill>
                  <w14:solidFill>
                    <w14:schemeClr w14:val="tx1"/>
                  </w14:solidFill>
                </w14:textFill>
              </w:rPr>
              <w:t>比例为</w:t>
            </w:r>
            <w:r>
              <w:rPr>
                <w:rFonts w:hint="eastAsia"/>
                <w:color w:val="000000" w:themeColor="text1"/>
                <w14:textFill>
                  <w14:solidFill>
                    <w14:schemeClr w14:val="tx1"/>
                  </w14:solidFill>
                </w14:textFill>
              </w:rPr>
              <w:t>1∶15，</w:t>
            </w:r>
            <w:r>
              <w:rPr>
                <w:color w:val="000000" w:themeColor="text1"/>
                <w14:textFill>
                  <w14:solidFill>
                    <w14:schemeClr w14:val="tx1"/>
                  </w14:solidFill>
                </w14:textFill>
              </w:rPr>
              <w:t>其中水为被稀释液体的</w:t>
            </w:r>
            <w:r>
              <w:rPr>
                <w:rFonts w:hint="eastAsia"/>
                <w:color w:val="000000" w:themeColor="text1"/>
                <w14:textFill>
                  <w14:solidFill>
                    <w14:schemeClr w14:val="tx1"/>
                  </w14:solidFill>
                </w14:textFill>
              </w:rPr>
              <w:t>15倍</w:t>
            </w:r>
            <w:r>
              <w:rPr>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企业提供资料</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项目</w:t>
            </w:r>
            <w:r>
              <w:rPr>
                <w:rFonts w:hint="eastAsia"/>
                <w:color w:val="000000" w:themeColor="text1"/>
                <w14:textFill>
                  <w14:solidFill>
                    <w14:schemeClr w14:val="tx1"/>
                  </w14:solidFill>
                </w14:textFill>
              </w:rPr>
              <w:t>切削液</w:t>
            </w:r>
            <w:r>
              <w:rPr>
                <w:color w:val="000000" w:themeColor="text1"/>
                <w14:textFill>
                  <w14:solidFill>
                    <w14:schemeClr w14:val="tx1"/>
                  </w14:solidFill>
                </w14:textFill>
              </w:rPr>
              <w:t>使用量为</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故稀释用水</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配置好的切削液循环使用，产生的废切削液作为危废处理，定委托有资质的单位进行处置</w:t>
            </w:r>
            <w:r>
              <w:rPr>
                <w:rFonts w:hint="default" w:ascii="Times New Roman" w:hAnsi="Times New Roman" w:eastAsia="宋体" w:cs="Times New Roman"/>
                <w:color w:val="auto"/>
                <w:sz w:val="24"/>
                <w:szCs w:val="24"/>
                <w:lang w:val="en-US" w:eastAsia="zh-CN"/>
              </w:rPr>
              <w:t>。</w:t>
            </w:r>
          </w:p>
          <w:p w14:paraId="041AAD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（4）</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注塑冷却用水</w:t>
            </w:r>
          </w:p>
          <w:p w14:paraId="7051D464">
            <w:pPr>
              <w:spacing w:line="360" w:lineRule="auto"/>
              <w:ind w:firstLine="480" w:firstLineChars="200"/>
              <w:rPr>
                <w:rFonts w:hint="default" w:cs="Times New Roman"/>
                <w:color w:val="auto"/>
                <w:sz w:val="24"/>
                <w:szCs w:val="24"/>
                <w:lang w:val="en-US" w:eastAsia="zh-CN"/>
              </w:rPr>
            </w:pPr>
            <w:r>
              <w:rPr>
                <w:rFonts w:hint="eastAsia"/>
                <w:b w:val="0"/>
                <w:bCs w:val="0"/>
                <w:color w:val="auto"/>
              </w:rPr>
              <w:t>项目注塑后需</w:t>
            </w:r>
            <w:r>
              <w:rPr>
                <w:rFonts w:hint="eastAsia"/>
                <w:b w:val="0"/>
                <w:bCs w:val="0"/>
                <w:color w:val="auto"/>
                <w:lang w:val="en-US" w:eastAsia="zh-CN"/>
              </w:rPr>
              <w:t>对产品进行间接</w:t>
            </w:r>
            <w:r>
              <w:rPr>
                <w:rFonts w:hint="eastAsia"/>
                <w:b w:val="0"/>
                <w:bCs w:val="0"/>
                <w:color w:val="auto"/>
              </w:rPr>
              <w:t>冷却。项目</w:t>
            </w:r>
            <w:r>
              <w:rPr>
                <w:rFonts w:hint="eastAsia"/>
                <w:b w:val="0"/>
                <w:bCs w:val="0"/>
                <w:color w:val="auto"/>
                <w:lang w:val="en-US" w:eastAsia="zh-CN"/>
              </w:rPr>
              <w:t>水箱</w:t>
            </w:r>
            <w:r>
              <w:rPr>
                <w:rFonts w:hint="eastAsia"/>
                <w:b w:val="0"/>
                <w:bCs w:val="0"/>
                <w:color w:val="auto"/>
              </w:rPr>
              <w:t>容积为</w:t>
            </w:r>
            <w:r>
              <w:rPr>
                <w:rFonts w:hint="eastAsia"/>
                <w:b w:val="0"/>
                <w:bCs w:val="0"/>
                <w:color w:val="auto"/>
                <w:lang w:val="en-US" w:eastAsia="zh-CN"/>
              </w:rPr>
              <w:t>3</w:t>
            </w:r>
            <w:r>
              <w:rPr>
                <w:rFonts w:hint="eastAsia"/>
                <w:b w:val="0"/>
                <w:bCs w:val="0"/>
                <w:color w:val="auto"/>
              </w:rPr>
              <w:t>m</w:t>
            </w:r>
            <w:r>
              <w:rPr>
                <w:rFonts w:hint="eastAsia"/>
                <w:b w:val="0"/>
                <w:bCs w:val="0"/>
                <w:color w:val="auto"/>
                <w:vertAlign w:val="superscript"/>
              </w:rPr>
              <w:t>3</w:t>
            </w:r>
            <w:r>
              <w:rPr>
                <w:rFonts w:hint="eastAsia"/>
                <w:b w:val="0"/>
                <w:bCs w:val="0"/>
                <w:color w:val="auto"/>
              </w:rPr>
              <w:t>，设计循环水量约</w:t>
            </w:r>
            <w:r>
              <w:rPr>
                <w:rFonts w:hint="eastAsia"/>
                <w:b w:val="0"/>
                <w:bCs w:val="0"/>
                <w:color w:val="auto"/>
                <w:lang w:val="en-US" w:eastAsia="zh-CN"/>
              </w:rPr>
              <w:t>2.5</w:t>
            </w:r>
            <w:r>
              <w:rPr>
                <w:rFonts w:hint="eastAsia"/>
                <w:b w:val="0"/>
                <w:bCs w:val="0"/>
                <w:color w:val="auto"/>
              </w:rPr>
              <w:t>m</w:t>
            </w:r>
            <w:r>
              <w:rPr>
                <w:rFonts w:hint="eastAsia"/>
                <w:b w:val="0"/>
                <w:bCs w:val="0"/>
                <w:color w:val="auto"/>
                <w:vertAlign w:val="superscript"/>
              </w:rPr>
              <w:t>3</w:t>
            </w:r>
            <w:r>
              <w:rPr>
                <w:rFonts w:hint="eastAsia"/>
                <w:b w:val="0"/>
                <w:bCs w:val="0"/>
                <w:color w:val="auto"/>
              </w:rPr>
              <w:t>/</w:t>
            </w:r>
            <w:r>
              <w:rPr>
                <w:rFonts w:hint="eastAsia"/>
                <w:b w:val="0"/>
                <w:bCs w:val="0"/>
                <w:color w:val="auto"/>
                <w:lang w:val="en-US" w:eastAsia="zh-CN"/>
              </w:rPr>
              <w:t>h（6000t/a）</w:t>
            </w:r>
            <w:r>
              <w:rPr>
                <w:rFonts w:hint="eastAsia"/>
                <w:b w:val="0"/>
                <w:bCs w:val="0"/>
                <w:color w:val="auto"/>
              </w:rPr>
              <w:t>，循环冷却水循环使用，定期</w:t>
            </w:r>
            <w:r>
              <w:rPr>
                <w:rFonts w:hint="eastAsia"/>
                <w:b w:val="0"/>
                <w:bCs w:val="0"/>
                <w:color w:val="auto"/>
                <w:lang w:val="en-US" w:eastAsia="zh-CN"/>
              </w:rPr>
              <w:t>添加，不外排</w:t>
            </w:r>
            <w:r>
              <w:rPr>
                <w:rFonts w:hint="eastAsia"/>
                <w:b w:val="0"/>
                <w:bCs w:val="0"/>
                <w:color w:val="auto"/>
              </w:rPr>
              <w:t>，</w:t>
            </w:r>
            <w:r>
              <w:rPr>
                <w:rFonts w:hint="eastAsia"/>
                <w:b w:val="0"/>
                <w:bCs w:val="0"/>
                <w:color w:val="auto"/>
                <w:lang w:val="en-US" w:eastAsia="zh-CN"/>
              </w:rPr>
              <w:t>水</w:t>
            </w:r>
            <w:r>
              <w:rPr>
                <w:rFonts w:hint="eastAsia"/>
                <w:b w:val="0"/>
                <w:bCs w:val="0"/>
                <w:color w:val="auto"/>
              </w:rPr>
              <w:t>补充占循环水量的2.5%，则需补充水</w:t>
            </w:r>
            <w:r>
              <w:rPr>
                <w:rFonts w:hint="eastAsia"/>
                <w:b w:val="0"/>
                <w:bCs w:val="0"/>
                <w:color w:val="auto"/>
                <w:lang w:val="en-US" w:eastAsia="zh-CN"/>
              </w:rPr>
              <w:t>150</w:t>
            </w:r>
            <w:r>
              <w:rPr>
                <w:rFonts w:hint="eastAsia"/>
                <w:b w:val="0"/>
                <w:bCs w:val="0"/>
                <w:color w:val="auto"/>
              </w:rPr>
              <w:t>m</w:t>
            </w:r>
            <w:r>
              <w:rPr>
                <w:rFonts w:hint="eastAsia"/>
                <w:b w:val="0"/>
                <w:bCs w:val="0"/>
                <w:color w:val="auto"/>
                <w:vertAlign w:val="superscript"/>
              </w:rPr>
              <w:t>3</w:t>
            </w:r>
            <w:r>
              <w:rPr>
                <w:rFonts w:hint="eastAsia"/>
                <w:b w:val="0"/>
                <w:bCs w:val="0"/>
                <w:color w:val="auto"/>
              </w:rPr>
              <w:t>/</w:t>
            </w:r>
            <w:r>
              <w:rPr>
                <w:rFonts w:hint="eastAsia"/>
                <w:b w:val="0"/>
                <w:bCs w:val="0"/>
                <w:color w:val="auto"/>
                <w:lang w:val="en-US" w:eastAsia="zh-CN"/>
              </w:rPr>
              <w:t>a</w:t>
            </w:r>
            <w:r>
              <w:rPr>
                <w:rFonts w:hint="eastAsia" w:cs="Times New Roman"/>
                <w:color w:val="auto"/>
                <w:sz w:val="24"/>
                <w:szCs w:val="24"/>
                <w:lang w:val="en-US" w:eastAsia="zh-CN"/>
              </w:rPr>
              <w:t>。</w:t>
            </w:r>
          </w:p>
          <w:p w14:paraId="5513C7D5">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项目水平衡图见下图所示。</w:t>
            </w:r>
          </w:p>
          <w:p w14:paraId="54CB0DF0">
            <w:pPr>
              <w:spacing w:line="360" w:lineRule="auto"/>
              <w:ind w:left="0" w:leftChars="0" w:firstLine="0" w:firstLineChars="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120640" cy="3165475"/>
                  <wp:effectExtent l="0" t="0" r="0" b="0"/>
                  <wp:docPr id="7" name="ECB019B1-382A-4266-B25C-5B523AA43C14-1" descr="C:/Users/45455/AppData/Local/Temp/wps.RwEnz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45455/AppData/Local/Temp/wps.RwEnzTwps"/>
                          <pic:cNvPicPr>
                            <a:picLocks noChangeAspect="1"/>
                          </pic:cNvPicPr>
                        </pic:nvPicPr>
                        <pic:blipFill>
                          <a:blip r:embed="rId13"/>
                          <a:stretch>
                            <a:fillRect/>
                          </a:stretch>
                        </pic:blipFill>
                        <pic:spPr>
                          <a:xfrm>
                            <a:off x="0" y="0"/>
                            <a:ext cx="5120640" cy="3165475"/>
                          </a:xfrm>
                          <a:prstGeom prst="rect">
                            <a:avLst/>
                          </a:prstGeom>
                        </pic:spPr>
                      </pic:pic>
                    </a:graphicData>
                  </a:graphic>
                </wp:inline>
              </w:drawing>
            </w:r>
          </w:p>
          <w:p w14:paraId="6893211B">
            <w:pPr>
              <w:spacing w:line="360" w:lineRule="auto"/>
              <w:ind w:firstLine="0" w:firstLineChars="0"/>
              <w:jc w:val="center"/>
              <w:rPr>
                <w:rFonts w:hint="eastAsia" w:eastAsia="宋体"/>
                <w:color w:val="000000" w:themeColor="text1"/>
                <w:lang w:eastAsia="zh-CN"/>
                <w14:textFill>
                  <w14:solidFill>
                    <w14:schemeClr w14:val="tx1"/>
                  </w14:solidFill>
                </w14:textFill>
              </w:rPr>
            </w:pPr>
            <w:r>
              <w:rPr>
                <w:rFonts w:hint="eastAsia"/>
                <w:b/>
                <w:bCs/>
                <w:color w:val="000000" w:themeColor="text1"/>
                <w14:textFill>
                  <w14:solidFill>
                    <w14:schemeClr w14:val="tx1"/>
                  </w14:solidFill>
                </w14:textFill>
              </w:rPr>
              <w:t>图2</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 xml:space="preserve">项目水平衡图  </w:t>
            </w:r>
            <w:r>
              <w:rPr>
                <w:rFonts w:hint="eastAsia"/>
                <w:b/>
                <w:bCs/>
                <w:color w:val="000000" w:themeColor="text1"/>
                <w:lang w:val="en-US" w:eastAsia="zh-CN"/>
                <w14:textFill>
                  <w14:solidFill>
                    <w14:schemeClr w14:val="tx1"/>
                  </w14:solidFill>
                </w14:textFill>
              </w:rPr>
              <w:t xml:space="preserve">  单位：t</w:t>
            </w:r>
            <w:r>
              <w:rPr>
                <w:rFonts w:hint="eastAsia"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/a</w:t>
            </w:r>
          </w:p>
          <w:p w14:paraId="5DFA7598">
            <w:p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7、平面布局</w:t>
            </w:r>
          </w:p>
          <w:p w14:paraId="30A50040">
            <w:pPr>
              <w:spacing w:before="0" w:beforeAutospacing="0" w:after="0" w:afterAutospacing="0" w:line="360" w:lineRule="auto"/>
              <w:ind w:firstLine="480" w:firstLineChars="200"/>
              <w:rPr>
                <w:rFonts w:hint="default" w:eastAsia="宋体"/>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建设项目位于</w:t>
            </w:r>
            <w:r>
              <w:rPr>
                <w:rFonts w:hint="eastAsia"/>
                <w:color w:val="000000" w:themeColor="text1"/>
                <w:sz w:val="24"/>
                <w:lang w:val="en-US" w:eastAsia="zh-CN"/>
                <w14:textFill>
                  <w14:solidFill>
                    <w14:schemeClr w14:val="tx1"/>
                  </w14:solidFill>
                </w14:textFill>
              </w:rPr>
              <w:t>安徽省宿州市泗县经济开发区泗县强宇体育设施公司2#厂房</w:t>
            </w:r>
            <w:r>
              <w:rPr>
                <w:rFonts w:hint="default"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cs="Times New Roman"/>
              </w:rPr>
              <w:t>根据项目功能要求和场地地形，</w:t>
            </w:r>
            <w:r>
              <w:rPr>
                <w:rFonts w:hint="eastAsia" w:cs="Times New Roman"/>
                <w:lang w:val="en-US" w:eastAsia="zh-CN"/>
              </w:rPr>
              <w:t>厂区出入口设置在车间北侧，</w:t>
            </w:r>
            <w:r>
              <w:rPr>
                <w:rFonts w:hint="eastAsia"/>
                <w:color w:val="000000" w:themeColor="text1"/>
                <w14:textFill>
                  <w14:solidFill>
                    <w14:schemeClr w14:val="tx1"/>
                  </w14:solidFill>
                </w14:textFill>
              </w:rPr>
              <w:t>在</w:t>
            </w:r>
            <w:r>
              <w:rPr>
                <w:rFonts w:hint="eastAsia" w:cs="Times New Roman"/>
                <w:lang w:val="en-US" w:eastAsia="zh-CN"/>
              </w:rPr>
              <w:t>生产车间</w:t>
            </w:r>
            <w:r>
              <w:rPr>
                <w:rFonts w:hint="eastAsia"/>
                <w:color w:val="000000" w:themeColor="text1"/>
                <w14:textFill>
                  <w14:solidFill>
                    <w14:schemeClr w14:val="tx1"/>
                  </w14:solidFill>
                </w14:textFill>
              </w:rPr>
              <w:t>内</w:t>
            </w:r>
            <w:r>
              <w:rPr>
                <w:rFonts w:hint="eastAsia"/>
                <w:color w:val="000000" w:themeColor="text1"/>
                <w:lang w:val="en-US" w:eastAsia="zh-CN"/>
                <w14:textFill>
                  <w14:solidFill>
                    <w14:schemeClr w14:val="tx1"/>
                  </w14:solidFill>
                </w14:textFill>
              </w:rPr>
              <w:t>自东向西划分清洗区、喷塑线、下料区、焊接区、机加工区等</w:t>
            </w:r>
            <w:r>
              <w:rPr>
                <w:rFonts w:hint="eastAsia"/>
              </w:rPr>
              <w:t>。</w:t>
            </w:r>
            <w:r>
              <w:rPr>
                <w:rFonts w:hint="eastAsia"/>
                <w:lang w:val="en-US" w:eastAsia="zh-CN"/>
              </w:rPr>
              <w:t>项目一般固废区位于</w:t>
            </w:r>
            <w:r>
              <w:rPr>
                <w:rFonts w:hint="eastAsia" w:cs="Times New Roman"/>
                <w:lang w:val="en-US" w:eastAsia="zh-CN"/>
              </w:rPr>
              <w:t>焊接区东南侧，危险废物暂存间位于生产车间东侧。</w:t>
            </w:r>
          </w:p>
          <w:p w14:paraId="1805D882">
            <w:pPr>
              <w:spacing w:before="0" w:beforeAutospacing="0" w:after="0" w:afterAutospacing="0" w:line="360" w:lineRule="auto"/>
              <w:ind w:firstLine="480" w:firstLineChars="200"/>
              <w:rPr>
                <w:rFonts w:hint="eastAsia" w:ascii="Times New Roman" w:hAnsi="Times New Roman" w:eastAsia="宋体" w:cs="Times New Roman"/>
                <w:b/>
                <w:lang w:eastAsia="zh-CN"/>
              </w:rPr>
            </w:pPr>
            <w:r>
              <w:rPr>
                <w:rFonts w:hint="eastAsia" w:ascii="Times New Roman" w:hAnsi="Times New Roman"/>
              </w:rPr>
              <w:t>项目布置总体来说，结构明朗，流程顺畅，布局紧凑，符合防火、安全卫生、环保、交通、运输、生产工艺流程等需求。总体上做到按功能分区，系统分明，布置整齐。</w:t>
            </w:r>
            <w:r>
              <w:rPr>
                <w:rFonts w:ascii="Times New Roman" w:hAnsi="Times New Roman" w:cs="Times New Roman"/>
              </w:rPr>
              <w:t>项目平面布置满足生产人流、物流分离、互不交叉干扰的原则（具体见附图）</w:t>
            </w:r>
            <w:r>
              <w:rPr>
                <w:rFonts w:hint="eastAsia" w:cs="Times New Roman"/>
                <w:lang w:eastAsia="zh-CN"/>
              </w:rPr>
              <w:t>。</w:t>
            </w:r>
          </w:p>
          <w:p w14:paraId="51821DC1">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color w:val="000000" w:themeColor="text1"/>
                <w14:textFill>
                  <w14:solidFill>
                    <w14:schemeClr w14:val="tx1"/>
                  </w14:solidFill>
                </w14:textFill>
              </w:rPr>
            </w:pPr>
            <w:r>
              <w:t>综上所述，本项目厂区平面布局较合理</w:t>
            </w:r>
            <w:r>
              <w:rPr>
                <w:color w:val="000000" w:themeColor="text1"/>
                <w14:textFill>
                  <w14:solidFill>
                    <w14:schemeClr w14:val="tx1"/>
                  </w14:solidFill>
                </w14:textFill>
              </w:rPr>
              <w:t>。</w:t>
            </w:r>
          </w:p>
        </w:tc>
      </w:tr>
    </w:tbl>
    <w:p w14:paraId="7E712BAB">
      <w:pPr>
        <w:pStyle w:val="26"/>
        <w:jc w:val="both"/>
        <w:rPr>
          <w:rFonts w:ascii="Times New Roman" w:hAnsi="Times New Roman"/>
          <w:snapToGrid w:val="0"/>
          <w:color w:val="000000" w:themeColor="text1"/>
          <w:sz w:val="36"/>
          <w:szCs w:val="36"/>
          <w14:textFill>
            <w14:solidFill>
              <w14:schemeClr w14:val="tx1"/>
            </w14:solidFill>
          </w14:textFill>
        </w:rPr>
        <w:sectPr>
          <w:pgSz w:w="11906" w:h="16838"/>
          <w:pgMar w:top="1531" w:right="1531" w:bottom="1531" w:left="1531" w:header="851" w:footer="851" w:gutter="0"/>
          <w:cols w:space="720" w:num="1"/>
          <w:docGrid w:linePitch="312" w:charSpace="0"/>
        </w:sectPr>
      </w:pPr>
    </w:p>
    <w:tbl>
      <w:tblPr>
        <w:tblStyle w:val="30"/>
        <w:tblW w:w="49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197"/>
      </w:tblGrid>
      <w:tr w14:paraId="73B92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7" w:hRule="atLeast"/>
          <w:jc w:val="center"/>
        </w:trPr>
        <w:tc>
          <w:tcPr>
            <w:tcW w:w="767" w:type="dxa"/>
            <w:vAlign w:val="center"/>
          </w:tcPr>
          <w:p w14:paraId="3D8A0D36">
            <w:pPr>
              <w:pStyle w:val="26"/>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97" w:type="dxa"/>
          </w:tcPr>
          <w:p w14:paraId="2AA1F934">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firstLine="482" w:firstLineChars="200"/>
              <w:jc w:val="left"/>
              <w:textAlignment w:val="auto"/>
              <w:rPr>
                <w:b/>
                <w:bCs/>
                <w:color w:val="000000" w:themeColor="text1"/>
                <w:kern w:val="0"/>
                <w:szCs w:val="20"/>
                <w14:textFill>
                  <w14:solidFill>
                    <w14:schemeClr w14:val="tx1"/>
                  </w14:solidFill>
                </w14:textFill>
              </w:rPr>
            </w:pPr>
            <w:r>
              <w:rPr>
                <w:b/>
                <w:bCs/>
                <w:color w:val="000000" w:themeColor="text1"/>
                <w:kern w:val="0"/>
                <w:szCs w:val="20"/>
                <w14:textFill>
                  <w14:solidFill>
                    <w14:schemeClr w14:val="tx1"/>
                  </w14:solidFill>
                </w14:textFill>
              </w:rPr>
              <w:t>本次项目产品为</w:t>
            </w:r>
            <w:r>
              <w:rPr>
                <w:rFonts w:hint="eastAsia"/>
                <w:b/>
                <w:bCs/>
                <w:color w:val="000000" w:themeColor="text1"/>
                <w:kern w:val="0"/>
                <w:szCs w:val="20"/>
                <w:lang w:val="en-US" w:eastAsia="zh-CN"/>
                <w14:textFill>
                  <w14:solidFill>
                    <w14:schemeClr w14:val="tx1"/>
                  </w14:solidFill>
                </w14:textFill>
              </w:rPr>
              <w:t>麻将机折叠脚、麻将机餐桌脚、麻将机铁板、麻将机玻璃茶几</w:t>
            </w:r>
            <w:r>
              <w:rPr>
                <w:rFonts w:hint="default"/>
                <w:b/>
                <w:bCs/>
                <w:color w:val="000000" w:themeColor="text1"/>
                <w:kern w:val="0"/>
                <w:szCs w:val="20"/>
                <w:lang w:val="en-US" w:eastAsia="zh-CN"/>
                <w14:textFill>
                  <w14:solidFill>
                    <w14:schemeClr w14:val="tx1"/>
                  </w14:solidFill>
                </w14:textFill>
              </w:rPr>
              <w:t>，</w:t>
            </w:r>
            <w:r>
              <w:rPr>
                <w:rFonts w:hint="eastAsia"/>
                <w:b/>
                <w:bCs/>
                <w:color w:val="000000" w:themeColor="text1"/>
                <w:kern w:val="0"/>
                <w:szCs w:val="20"/>
                <w:lang w:val="en-US" w:eastAsia="zh-CN"/>
                <w14:textFill>
                  <w14:solidFill>
                    <w14:schemeClr w14:val="tx1"/>
                  </w14:solidFill>
                </w14:textFill>
              </w:rPr>
              <w:t>麻将机折叠脚、麻将机餐桌脚、麻将机铁板三种</w:t>
            </w:r>
            <w:r>
              <w:rPr>
                <w:rFonts w:hint="default"/>
                <w:b/>
                <w:bCs/>
                <w:color w:val="000000" w:themeColor="text1"/>
                <w:kern w:val="0"/>
                <w:szCs w:val="20"/>
                <w:lang w:val="en-US" w:eastAsia="zh-CN"/>
                <w14:textFill>
                  <w14:solidFill>
                    <w14:schemeClr w14:val="tx1"/>
                  </w14:solidFill>
                </w14:textFill>
              </w:rPr>
              <w:t>产品的生产工艺流程相同，</w:t>
            </w:r>
            <w:r>
              <w:rPr>
                <w:rFonts w:hint="eastAsia"/>
                <w:b/>
                <w:bCs/>
                <w:color w:val="000000" w:themeColor="text1"/>
                <w:kern w:val="0"/>
                <w:szCs w:val="20"/>
                <w:lang w:val="en-US" w:eastAsia="zh-CN"/>
                <w14:textFill>
                  <w14:solidFill>
                    <w14:schemeClr w14:val="tx1"/>
                  </w14:solidFill>
                </w14:textFill>
              </w:rPr>
              <w:t>三种</w:t>
            </w:r>
            <w:r>
              <w:rPr>
                <w:rFonts w:hint="default"/>
                <w:b/>
                <w:bCs/>
                <w:color w:val="000000" w:themeColor="text1"/>
                <w:kern w:val="0"/>
                <w:szCs w:val="20"/>
                <w:lang w:val="en-US" w:eastAsia="zh-CN"/>
                <w14:textFill>
                  <w14:solidFill>
                    <w14:schemeClr w14:val="tx1"/>
                  </w14:solidFill>
                </w14:textFill>
              </w:rPr>
              <w:t>产品</w:t>
            </w:r>
            <w:r>
              <w:rPr>
                <w:rFonts w:hint="eastAsia"/>
                <w:b/>
                <w:bCs/>
                <w:color w:val="000000" w:themeColor="text1"/>
                <w:kern w:val="0"/>
                <w:szCs w:val="20"/>
                <w:lang w:val="en-US" w:eastAsia="zh-CN"/>
                <w14:textFill>
                  <w14:solidFill>
                    <w14:schemeClr w14:val="tx1"/>
                  </w14:solidFill>
                </w14:textFill>
              </w:rPr>
              <w:t>和麻将机玻璃茶几</w:t>
            </w:r>
            <w:r>
              <w:rPr>
                <w:rFonts w:hint="default"/>
                <w:b/>
                <w:bCs/>
                <w:color w:val="000000" w:themeColor="text1"/>
                <w:kern w:val="0"/>
                <w:szCs w:val="20"/>
                <w:lang w:val="en-US" w:eastAsia="zh-CN"/>
                <w14:textFill>
                  <w14:solidFill>
                    <w14:schemeClr w14:val="tx1"/>
                  </w14:solidFill>
                </w14:textFill>
              </w:rPr>
              <w:t>具体工艺流程及产污节点图如下</w:t>
            </w:r>
            <w:r>
              <w:rPr>
                <w:b/>
                <w:bCs/>
                <w:color w:val="000000" w:themeColor="text1"/>
                <w:kern w:val="0"/>
                <w:szCs w:val="20"/>
                <w14:textFill>
                  <w14:solidFill>
                    <w14:schemeClr w14:val="tx1"/>
                  </w14:solidFill>
                </w14:textFill>
              </w:rPr>
              <w:t>：</w:t>
            </w:r>
          </w:p>
          <w:p w14:paraId="5FCD6B24">
            <w:pPr>
              <w:numPr>
                <w:ilvl w:val="0"/>
                <w:numId w:val="0"/>
              </w:numPr>
              <w:spacing w:line="360" w:lineRule="auto"/>
              <w:ind w:firstLine="480" w:firstLineChars="200"/>
              <w:jc w:val="left"/>
              <w:rPr>
                <w:rFonts w:hint="eastAsia" w:eastAsia="仿宋_GB2312"/>
                <w:color w:val="000000" w:themeColor="text1"/>
                <w:lang w:eastAsia="zh-CN"/>
                <w14:textFill>
                  <w14:solidFill>
                    <w14:schemeClr w14:val="tx1"/>
                  </w14:solidFill>
                </w14:textFill>
              </w:rPr>
            </w:pPr>
            <w:r>
              <w:rPr>
                <w:rFonts w:ascii="Times New Roman" w:hAnsi="Times New Roman" w:eastAsia="宋体" w:cs="Times New Roman"/>
                <w:color w:val="000000" w:themeColor="text1"/>
                <w:kern w:val="0"/>
                <w:sz w:val="24"/>
                <w:szCs w:val="20"/>
                <w:lang w:val="en-US" w:eastAsia="zh-CN" w:bidi="ar-SA"/>
                <w14:textFill>
                  <w14:solidFill>
                    <w14:schemeClr w14:val="tx1"/>
                  </w14:solidFill>
                </w14:textFill>
              </w:rPr>
              <w:t>1、</w:t>
            </w:r>
            <w:r>
              <w:rPr>
                <w:color w:val="000000" w:themeColor="text1"/>
                <w:kern w:val="0"/>
                <w:szCs w:val="20"/>
                <w14:textFill>
                  <w14:solidFill>
                    <w14:schemeClr w14:val="tx1"/>
                  </w14:solidFill>
                </w14:textFill>
              </w:rPr>
              <w:t>工艺流程及产污节点图如下：</w:t>
            </w:r>
          </w:p>
          <w:p w14:paraId="14137841">
            <w:pPr>
              <w:spacing w:before="60" w:line="360" w:lineRule="auto"/>
              <w:ind w:left="0" w:leftChars="0" w:right="113" w:firstLine="0" w:firstLineChars="0"/>
              <w:jc w:val="center"/>
              <w:rPr>
                <w:rFonts w:hint="eastAsia" w:eastAsia="宋体"/>
                <w:b/>
                <w:color w:val="000000" w:themeColor="text1"/>
                <w:spacing w:val="-11"/>
                <w:sz w:val="24"/>
                <w:szCs w:val="24"/>
                <w:lang w:eastAsia="zh-CN"/>
                <w14:textFill>
                  <w14:solidFill>
                    <w14:schemeClr w14:val="tx1"/>
                  </w14:solidFill>
                </w14:textFill>
              </w:rPr>
            </w:pPr>
            <w:r>
              <w:rPr>
                <w:rFonts w:hint="eastAsia" w:eastAsia="宋体"/>
                <w:b/>
                <w:color w:val="000000" w:themeColor="text1"/>
                <w:spacing w:val="-11"/>
                <w:sz w:val="24"/>
                <w:szCs w:val="24"/>
                <w:lang w:eastAsia="zh-CN"/>
                <w14:textFill>
                  <w14:solidFill>
                    <w14:schemeClr w14:val="tx1"/>
                  </w14:solidFill>
                </w14:textFill>
              </w:rPr>
              <w:drawing>
                <wp:inline distT="0" distB="0" distL="114300" distR="114300">
                  <wp:extent cx="3150870" cy="6340475"/>
                  <wp:effectExtent l="0" t="0" r="0" b="0"/>
                  <wp:docPr id="17" name="ECB019B1-382A-4266-B25C-5B523AA43C14-2" descr="C:/Users/45455/AppData/Local/Temp/wps.DvpYe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2" descr="C:/Users/45455/AppData/Local/Temp/wps.DvpYevwps"/>
                          <pic:cNvPicPr>
                            <a:picLocks noChangeAspect="1"/>
                          </pic:cNvPicPr>
                        </pic:nvPicPr>
                        <pic:blipFill>
                          <a:blip r:embed="rId14"/>
                          <a:stretch>
                            <a:fillRect/>
                          </a:stretch>
                        </pic:blipFill>
                        <pic:spPr>
                          <a:xfrm>
                            <a:off x="0" y="0"/>
                            <a:ext cx="3150870" cy="6340475"/>
                          </a:xfrm>
                          <a:prstGeom prst="rect">
                            <a:avLst/>
                          </a:prstGeom>
                        </pic:spPr>
                      </pic:pic>
                    </a:graphicData>
                  </a:graphic>
                </wp:inline>
              </w:drawing>
            </w:r>
          </w:p>
          <w:p w14:paraId="22F8C3A0">
            <w:pPr>
              <w:spacing w:before="60" w:line="360" w:lineRule="auto"/>
              <w:ind w:left="0" w:leftChars="0" w:right="113" w:firstLine="0" w:firstLineChars="0"/>
              <w:jc w:val="center"/>
              <w:rPr>
                <w:b/>
                <w:color w:val="000000" w:themeColor="text1"/>
                <w:spacing w:val="-11"/>
                <w:sz w:val="24"/>
                <w14:textFill>
                  <w14:solidFill>
                    <w14:schemeClr w14:val="tx1"/>
                  </w14:solidFill>
                </w14:textFill>
              </w:rPr>
            </w:pPr>
            <w:r>
              <w:rPr>
                <w:b/>
                <w:color w:val="000000" w:themeColor="text1"/>
                <w:spacing w:val="-11"/>
                <w:sz w:val="24"/>
                <w:szCs w:val="24"/>
                <w14:textFill>
                  <w14:solidFill>
                    <w14:schemeClr w14:val="tx1"/>
                  </w14:solidFill>
                </w14:textFill>
              </w:rPr>
              <w:t>图2</w:t>
            </w:r>
            <w:r>
              <w:rPr>
                <w:rFonts w:hint="eastAsia"/>
                <w:b/>
                <w:color w:val="000000" w:themeColor="text1"/>
                <w:spacing w:val="-11"/>
                <w:sz w:val="24"/>
                <w:szCs w:val="24"/>
                <w:lang w:val="en-US" w:eastAsia="zh-CN"/>
                <w14:textFill>
                  <w14:solidFill>
                    <w14:schemeClr w14:val="tx1"/>
                  </w14:solidFill>
                </w14:textFill>
              </w:rPr>
              <w:t>-2</w:t>
            </w:r>
            <w:r>
              <w:rPr>
                <w:b/>
                <w:color w:val="000000" w:themeColor="text1"/>
                <w:spacing w:val="-11"/>
                <w:sz w:val="24"/>
                <w:szCs w:val="24"/>
                <w14:textFill>
                  <w14:solidFill>
                    <w14:schemeClr w14:val="tx1"/>
                  </w14:solidFill>
                </w14:textFill>
              </w:rPr>
              <w:t xml:space="preserve">  </w:t>
            </w:r>
            <w:r>
              <w:rPr>
                <w:rFonts w:hint="eastAsia"/>
                <w:b/>
                <w:bCs/>
                <w:color w:val="000000" w:themeColor="text1"/>
                <w:kern w:val="0"/>
                <w:szCs w:val="20"/>
                <w:lang w:val="en-US" w:eastAsia="zh-CN"/>
                <w14:textFill>
                  <w14:solidFill>
                    <w14:schemeClr w14:val="tx1"/>
                  </w14:solidFill>
                </w14:textFill>
              </w:rPr>
              <w:t>麻将机折叠脚、麻将机餐桌脚、麻将机铁板</w:t>
            </w:r>
            <w:r>
              <w:rPr>
                <w:rFonts w:hint="eastAsia"/>
                <w:b/>
                <w:color w:val="000000" w:themeColor="text1"/>
                <w:spacing w:val="-11"/>
                <w:sz w:val="24"/>
                <w:szCs w:val="24"/>
                <w:lang w:val="en-US" w:eastAsia="zh-CN"/>
                <w14:textFill>
                  <w14:solidFill>
                    <w14:schemeClr w14:val="tx1"/>
                  </w14:solidFill>
                </w14:textFill>
              </w:rPr>
              <w:t>项目</w:t>
            </w:r>
            <w:r>
              <w:rPr>
                <w:b/>
                <w:color w:val="000000" w:themeColor="text1"/>
                <w:spacing w:val="-11"/>
                <w:sz w:val="24"/>
                <w:szCs w:val="24"/>
                <w14:textFill>
                  <w14:solidFill>
                    <w14:schemeClr w14:val="tx1"/>
                  </w14:solidFill>
                </w14:textFill>
              </w:rPr>
              <w:t>生产工艺流程及产污节点图（G-废气，S-固废）</w:t>
            </w:r>
          </w:p>
          <w:p w14:paraId="0338DD2C">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工艺流程简述：</w:t>
            </w:r>
          </w:p>
          <w:p w14:paraId="426D58DF">
            <w:pPr>
              <w:keepNext w:val="0"/>
              <w:keepLines w:val="0"/>
              <w:pageBreakBefore w:val="0"/>
              <w:widowControl w:val="0"/>
              <w:numPr>
                <w:ilvl w:val="0"/>
                <w:numId w:val="0"/>
              </w:numPr>
              <w:kinsoku/>
              <w:wordWrap/>
              <w:overflowPunct/>
              <w:topLinePunct w:val="0"/>
              <w:autoSpaceDE/>
              <w:autoSpaceDN/>
              <w:bidi w:val="0"/>
              <w:spacing w:line="360" w:lineRule="auto"/>
              <w:ind w:right="0" w:rightChars="0" w:firstLine="480" w:firstLineChars="200"/>
              <w:jc w:val="both"/>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1、下料</w:t>
            </w:r>
            <w:r>
              <w:rPr>
                <w:rFonts w:hint="eastAsia"/>
              </w:rPr>
              <w:t>：</w:t>
            </w:r>
            <w:r>
              <w:rPr>
                <w:snapToGrid w:val="0"/>
                <w:kern w:val="0"/>
              </w:rPr>
              <w:t>将外购的</w:t>
            </w:r>
            <w:r>
              <w:rPr>
                <w:rFonts w:hint="eastAsia"/>
                <w:snapToGrid w:val="0"/>
                <w:kern w:val="0"/>
                <w:lang w:val="en-US" w:eastAsia="zh-CN"/>
              </w:rPr>
              <w:t>铁板材、铁板、镀锌管</w:t>
            </w:r>
            <w:r>
              <w:t>根据工艺要求，</w:t>
            </w:r>
            <w:r>
              <w:rPr>
                <w:rFonts w:hint="eastAsia"/>
                <w:lang w:val="en-US" w:eastAsia="zh-CN"/>
              </w:rPr>
              <w:t>使</w:t>
            </w:r>
            <w:r>
              <w:t>用</w:t>
            </w:r>
            <w:r>
              <w:rPr>
                <w:rFonts w:hint="eastAsia"/>
                <w:lang w:val="en-US" w:eastAsia="zh-CN"/>
              </w:rPr>
              <w:t>数控切板机、切管机等</w:t>
            </w:r>
            <w:r>
              <w:rPr>
                <w:rFonts w:hint="eastAsia"/>
              </w:rPr>
              <w:t>按照设定程序或者技术要求</w:t>
            </w:r>
            <w:r>
              <w:t>进行下料</w:t>
            </w:r>
            <w:r>
              <w:rPr>
                <w:rFonts w:hint="eastAsia"/>
              </w:rPr>
              <w:t>切割</w:t>
            </w:r>
            <w:r>
              <w:rPr>
                <w:rFonts w:hint="eastAsia"/>
                <w:color w:val="auto"/>
                <w:sz w:val="24"/>
                <w:lang w:val="en-US" w:eastAsia="zh-CN"/>
              </w:rPr>
              <w:t>。</w:t>
            </w:r>
            <w:r>
              <w:rPr>
                <w:rFonts w:hint="eastAsia"/>
              </w:rPr>
              <w:t>该工序主要污染物为设备运行噪声（N）、废边角料（S</w:t>
            </w:r>
            <w:r>
              <w:rPr>
                <w:rFonts w:hint="eastAsia"/>
                <w:lang w:val="en-US" w:eastAsia="zh-CN"/>
              </w:rPr>
              <w:t>1</w:t>
            </w:r>
            <w:r>
              <w:rPr>
                <w:rFonts w:hint="eastAsia"/>
              </w:rPr>
              <w:t>）、</w:t>
            </w:r>
            <w:r>
              <w:rPr>
                <w:rFonts w:hint="eastAsia"/>
                <w:lang w:val="en-US" w:eastAsia="zh-CN"/>
              </w:rPr>
              <w:t>下料废气</w:t>
            </w:r>
            <w:r>
              <w:rPr>
                <w:rFonts w:hint="eastAsia"/>
              </w:rPr>
              <w:t>（G1）</w:t>
            </w:r>
            <w:r>
              <w:rPr>
                <w:rFonts w:hint="eastAsia"/>
                <w:lang w:eastAsia="zh-CN"/>
              </w:rPr>
              <w:t>、</w:t>
            </w:r>
            <w:r>
              <w:rPr>
                <w:rFonts w:hint="eastAsia"/>
                <w:lang w:val="en-US" w:eastAsia="zh-CN"/>
              </w:rPr>
              <w:t>机加工废气（G2）。</w:t>
            </w:r>
          </w:p>
          <w:p w14:paraId="1D860334">
            <w:pPr>
              <w:keepNext w:val="0"/>
              <w:keepLines w:val="0"/>
              <w:pageBreakBefore w:val="0"/>
              <w:widowControl w:val="0"/>
              <w:numPr>
                <w:ilvl w:val="0"/>
                <w:numId w:val="0"/>
              </w:numPr>
              <w:kinsoku/>
              <w:wordWrap/>
              <w:overflowPunct/>
              <w:topLinePunct w:val="0"/>
              <w:autoSpaceDE/>
              <w:autoSpaceDN/>
              <w:bidi w:val="0"/>
              <w:spacing w:line="360" w:lineRule="auto"/>
              <w:ind w:right="0" w:rightChars="0" w:firstLine="480" w:firstLineChars="200"/>
              <w:jc w:val="both"/>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2、冲压：</w:t>
            </w:r>
            <w:r>
              <w:rPr>
                <w:rFonts w:hint="eastAsia"/>
                <w:color w:val="000000"/>
                <w:sz w:val="24"/>
              </w:rPr>
              <w:t>对切割好的成品板</w:t>
            </w:r>
            <w:r>
              <w:rPr>
                <w:rFonts w:hint="eastAsia"/>
                <w:color w:val="000000"/>
                <w:sz w:val="24"/>
                <w:lang w:val="en-US" w:eastAsia="zh-CN"/>
              </w:rPr>
              <w:t>使用冲床</w:t>
            </w:r>
            <w:r>
              <w:rPr>
                <w:rFonts w:hint="eastAsia"/>
                <w:color w:val="000000"/>
                <w:sz w:val="24"/>
              </w:rPr>
              <w:t>进行</w:t>
            </w:r>
            <w:r>
              <w:rPr>
                <w:rFonts w:hint="eastAsia"/>
                <w:color w:val="000000"/>
                <w:sz w:val="24"/>
                <w:lang w:val="en-US" w:eastAsia="zh-CN"/>
              </w:rPr>
              <w:t>冲压成型</w:t>
            </w:r>
            <w:r>
              <w:rPr>
                <w:rFonts w:hint="eastAsia"/>
              </w:rPr>
              <w:t>，该工序主要污染物为设备运行噪声（N）</w:t>
            </w:r>
            <w:r>
              <w:rPr>
                <w:rFonts w:hint="eastAsia"/>
                <w:lang w:eastAsia="zh-CN"/>
              </w:rPr>
              <w:t>、</w:t>
            </w:r>
            <w:r>
              <w:rPr>
                <w:rFonts w:hint="eastAsia"/>
                <w:lang w:val="en-US" w:eastAsia="zh-CN"/>
              </w:rPr>
              <w:t>废边角料（S2）</w:t>
            </w:r>
            <w:r>
              <w:rPr>
                <w:rFonts w:hint="eastAsia"/>
                <w:color w:val="000000" w:themeColor="text1"/>
                <w:lang w:val="en-US" w:eastAsia="zh-CN"/>
                <w14:textFill>
                  <w14:solidFill>
                    <w14:schemeClr w14:val="tx1"/>
                  </w14:solidFill>
                </w14:textFill>
              </w:rPr>
              <w:t>。</w:t>
            </w:r>
          </w:p>
          <w:p w14:paraId="0816BD11">
            <w:pPr>
              <w:keepNext w:val="0"/>
              <w:keepLines w:val="0"/>
              <w:pageBreakBefore w:val="0"/>
              <w:widowControl w:val="0"/>
              <w:numPr>
                <w:ilvl w:val="0"/>
                <w:numId w:val="0"/>
              </w:numPr>
              <w:kinsoku/>
              <w:wordWrap/>
              <w:overflowPunct/>
              <w:topLinePunct w:val="0"/>
              <w:autoSpaceDE/>
              <w:autoSpaceDN/>
              <w:bidi w:val="0"/>
              <w:spacing w:line="360" w:lineRule="auto"/>
              <w:ind w:right="0" w:rightChars="0" w:firstLine="480" w:firstLineChars="200"/>
              <w:jc w:val="both"/>
              <w:textAlignment w:val="auto"/>
              <w:rPr>
                <w:rFonts w:hint="default"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3、折弯：</w:t>
            </w:r>
            <w:r>
              <w:rPr>
                <w:rFonts w:hint="eastAsia"/>
                <w:color w:val="000000"/>
                <w:sz w:val="24"/>
              </w:rPr>
              <w:t>对</w:t>
            </w:r>
            <w:r>
              <w:rPr>
                <w:rFonts w:hint="eastAsia"/>
                <w:color w:val="000000"/>
                <w:sz w:val="24"/>
                <w:lang w:val="en-US" w:eastAsia="zh-CN"/>
              </w:rPr>
              <w:t>冲压好</w:t>
            </w:r>
            <w:r>
              <w:rPr>
                <w:rFonts w:hint="eastAsia"/>
                <w:color w:val="000000"/>
                <w:sz w:val="24"/>
              </w:rPr>
              <w:t>的</w:t>
            </w:r>
            <w:r>
              <w:rPr>
                <w:rFonts w:hint="eastAsia"/>
                <w:color w:val="000000"/>
                <w:sz w:val="24"/>
                <w:lang w:val="en-US" w:eastAsia="zh-CN"/>
              </w:rPr>
              <w:t>板材使用折弯机、弯管机等</w:t>
            </w:r>
            <w:r>
              <w:rPr>
                <w:rFonts w:hint="eastAsia"/>
                <w:color w:val="000000"/>
                <w:sz w:val="24"/>
              </w:rPr>
              <w:t>进行折弯</w:t>
            </w:r>
            <w:r>
              <w:rPr>
                <w:rFonts w:hint="eastAsia"/>
              </w:rPr>
              <w:t>，该工序主要污染物为设备运行噪声（N）</w:t>
            </w:r>
            <w:r>
              <w:rPr>
                <w:rFonts w:hint="eastAsia"/>
                <w:lang w:eastAsia="zh-CN"/>
              </w:rPr>
              <w:t>。</w:t>
            </w:r>
          </w:p>
          <w:p w14:paraId="476D3C35">
            <w:pPr>
              <w:keepNext w:val="0"/>
              <w:keepLines w:val="0"/>
              <w:pageBreakBefore w:val="0"/>
              <w:widowControl w:val="0"/>
              <w:numPr>
                <w:ilvl w:val="0"/>
                <w:numId w:val="0"/>
              </w:numPr>
              <w:kinsoku/>
              <w:wordWrap/>
              <w:overflowPunct/>
              <w:topLinePunct w:val="0"/>
              <w:autoSpaceDE/>
              <w:autoSpaceDN/>
              <w:bidi w:val="0"/>
              <w:spacing w:line="360" w:lineRule="auto"/>
              <w:ind w:right="0" w:rightChars="0" w:firstLine="480" w:firstLineChars="200"/>
              <w:jc w:val="both"/>
              <w:textAlignment w:val="auto"/>
              <w:rPr>
                <w:rFonts w:hint="default"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4、焊接：</w:t>
            </w:r>
            <w:r>
              <w:rPr>
                <w:rFonts w:hint="eastAsia" w:cs="Times New Roman"/>
                <w:lang w:val="en-US" w:eastAsia="zh-CN"/>
              </w:rPr>
              <w:t>将折弯好的工件使用气保焊机进行焊接</w:t>
            </w:r>
            <w:r>
              <w:rPr>
                <w:rFonts w:hint="eastAsia" w:eastAsia="宋体"/>
                <w:caps w:val="0"/>
                <w:color w:val="auto"/>
                <w:szCs w:val="24"/>
                <w:lang w:val="en-US" w:eastAsia="zh-CN"/>
              </w:rPr>
              <w:t>，</w:t>
            </w:r>
            <w:r>
              <w:rPr>
                <w:rFonts w:hint="eastAsia"/>
                <w:caps w:val="0"/>
                <w:color w:val="auto"/>
                <w:szCs w:val="24"/>
                <w:lang w:val="en-US" w:eastAsia="zh-CN"/>
              </w:rPr>
              <w:t>使用实芯焊丝，保护气为二氧化碳，</w:t>
            </w:r>
            <w:r>
              <w:rPr>
                <w:rFonts w:hint="eastAsia" w:cs="Times New Roman"/>
                <w:lang w:val="en-US" w:eastAsia="zh-CN"/>
              </w:rPr>
              <w:t>该工序主要污染物为设备运行噪声（N）、焊渣（S3）、焊接废气（G3）。</w:t>
            </w:r>
          </w:p>
          <w:p w14:paraId="4944DEE1">
            <w:pPr>
              <w:adjustRightInd w:val="0"/>
              <w:snapToGrid w:val="0"/>
              <w:spacing w:line="360" w:lineRule="auto"/>
              <w:ind w:firstLine="480" w:firstLineChars="200"/>
              <w:rPr>
                <w:rFonts w:hint="default" w:eastAsia="宋体"/>
                <w:lang w:val="en-US" w:eastAsia="zh-CN"/>
              </w:rPr>
            </w:pPr>
            <w:r>
              <w:rPr>
                <w:rFonts w:hint="eastAsia" w:cs="Times New Roman"/>
                <w:bCs/>
                <w:color w:val="000000" w:themeColor="text1"/>
                <w:sz w:val="24"/>
                <w:szCs w:val="24"/>
                <w:lang w:val="en-US" w:eastAsia="zh-CN"/>
                <w14:textFill>
                  <w14:solidFill>
                    <w14:schemeClr w14:val="tx1"/>
                  </w14:solidFill>
                </w14:textFill>
              </w:rPr>
              <w:t>5、打磨：</w:t>
            </w:r>
            <w:r>
              <w:rPr>
                <w:rFonts w:hint="eastAsia"/>
                <w:lang w:val="en-US" w:eastAsia="zh-CN"/>
              </w:rPr>
              <w:t>将焊接好的工件人工使用磨光机进行打磨并去除大颗粒的毛刺和焊点，</w:t>
            </w:r>
            <w:r>
              <w:rPr>
                <w:rFonts w:hint="eastAsia" w:cs="Times New Roman"/>
                <w:lang w:val="en-US" w:eastAsia="zh-CN"/>
              </w:rPr>
              <w:t>该工序主要污染物为设备运行噪声（N）、金属沉渣（S4）、打磨废气（G4）。</w:t>
            </w:r>
          </w:p>
          <w:p w14:paraId="5BB74D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6、清洗：打磨后的工件需对表面进行清洁，项目设置一座尺寸为1.5m×1.5m×0.7m的清洗槽，清洗剂与新鲜水配比为1：9，清洗采取常温喷淋浸洗方式，喷淋时间约1~2min，清洗槽定期更换槽液，定期清捞底渣，产生的清洗槽底渣S5和废清洗液S6为危险废物，暂存在危险废物暂存间，委托有资质单位处置。</w:t>
            </w:r>
            <w:r>
              <w:rPr>
                <w:rFonts w:hint="eastAsia" w:cs="Times New Roman"/>
                <w:lang w:val="en-US" w:eastAsia="zh-CN"/>
              </w:rPr>
              <w:t>该工序主要污染物为设备运行噪声（N）、</w:t>
            </w:r>
            <w:r>
              <w:rPr>
                <w:rFonts w:hint="eastAsia" w:cs="Times New Roman"/>
                <w:bCs/>
                <w:color w:val="000000" w:themeColor="text1"/>
                <w:sz w:val="24"/>
                <w:szCs w:val="24"/>
                <w:lang w:val="en-US" w:eastAsia="zh-CN"/>
                <w14:textFill>
                  <w14:solidFill>
                    <w14:schemeClr w14:val="tx1"/>
                  </w14:solidFill>
                </w14:textFill>
              </w:rPr>
              <w:t>底渣</w:t>
            </w:r>
            <w:r>
              <w:rPr>
                <w:rFonts w:hint="eastAsia" w:cs="Times New Roman"/>
                <w:lang w:val="en-US" w:eastAsia="zh-CN"/>
              </w:rPr>
              <w:t>（S5）、废清洗液（S6）。</w:t>
            </w:r>
          </w:p>
          <w:p w14:paraId="65C25A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7、烘干：清洗结束的工件进入烘箱内进行烘干，温度控制在</w:t>
            </w:r>
            <w:r>
              <w:rPr>
                <w:rFonts w:hint="eastAsia"/>
              </w:rPr>
              <w:t>1</w:t>
            </w:r>
            <w:r>
              <w:rPr>
                <w:rFonts w:hint="eastAsia"/>
                <w:lang w:val="en-US" w:eastAsia="zh-CN"/>
              </w:rPr>
              <w:t>20</w:t>
            </w:r>
            <w:r>
              <w:rPr>
                <w:rFonts w:hint="eastAsia"/>
              </w:rPr>
              <w:t>~</w:t>
            </w:r>
            <w:r>
              <w:rPr>
                <w:rFonts w:hint="eastAsia"/>
                <w:lang w:val="en-US" w:eastAsia="zh-CN"/>
              </w:rPr>
              <w:t>150</w:t>
            </w:r>
            <w:r>
              <w:t>℃</w:t>
            </w:r>
            <w:r>
              <w:rPr>
                <w:rFonts w:hint="eastAsia"/>
                <w:lang w:eastAsia="zh-CN"/>
              </w:rPr>
              <w:t>，</w:t>
            </w:r>
            <w:r>
              <w:rPr>
                <w:rFonts w:hint="eastAsia" w:cs="Times New Roman"/>
                <w:bCs/>
                <w:color w:val="000000" w:themeColor="text1"/>
                <w:sz w:val="24"/>
                <w:szCs w:val="24"/>
                <w:lang w:val="en-US" w:eastAsia="zh-CN"/>
                <w14:textFill>
                  <w14:solidFill>
                    <w14:schemeClr w14:val="tx1"/>
                  </w14:solidFill>
                </w14:textFill>
              </w:rPr>
              <w:t>供热方式为燃烧天然气，</w:t>
            </w:r>
            <w:r>
              <w:rPr>
                <w:rFonts w:hint="eastAsia" w:cs="Times New Roman"/>
                <w:lang w:val="en-US" w:eastAsia="zh-CN"/>
              </w:rPr>
              <w:t>该工序主要污染物为设备运行噪声（N）、天然气燃烧废气（G5）。</w:t>
            </w:r>
          </w:p>
          <w:p w14:paraId="4E0FB6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eastAsia" w:eastAsia="宋体"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8、喷塑：烘干完成的</w:t>
            </w:r>
            <w:r>
              <w:rPr>
                <w:rFonts w:hint="eastAsia"/>
              </w:rPr>
              <w:t>工件</w:t>
            </w:r>
            <w:r>
              <w:rPr>
                <w:rFonts w:hint="eastAsia"/>
                <w:lang w:val="en-US" w:eastAsia="zh-CN"/>
              </w:rPr>
              <w:t>进行表面</w:t>
            </w:r>
            <w:r>
              <w:rPr>
                <w:rFonts w:hint="eastAsia"/>
              </w:rPr>
              <w:t>喷塑</w:t>
            </w:r>
            <w:r>
              <w:rPr>
                <w:rFonts w:hint="eastAsia"/>
                <w:lang w:val="en-US" w:eastAsia="zh-CN"/>
              </w:rPr>
              <w:t>处理</w:t>
            </w:r>
            <w:r>
              <w:rPr>
                <w:rFonts w:hint="eastAsia"/>
              </w:rPr>
              <w:t>，喷塑是将塑粉喷涂在零件上的一种表面处理方法。其工作原理在于将塑料粉末通过高压静电设备充电，在电场的作用下，将涂料喷涂到工件的表面，粉末会被均匀地吸附在工件表面，形成粉状的涂层，该工序主要污染物为</w:t>
            </w:r>
            <w:r>
              <w:rPr>
                <w:rFonts w:hint="eastAsia" w:ascii="Times New Roman" w:hAnsi="Times New Roman" w:eastAsia="宋体" w:cs="黑体"/>
                <w:kern w:val="2"/>
                <w:sz w:val="24"/>
                <w:szCs w:val="24"/>
              </w:rPr>
              <w:t>设备运行噪声（N）</w:t>
            </w:r>
            <w:r>
              <w:rPr>
                <w:rFonts w:hint="eastAsia" w:ascii="Times New Roman" w:hAnsi="Times New Roman" w:eastAsia="宋体" w:cs="黑体"/>
                <w:kern w:val="2"/>
                <w:sz w:val="24"/>
                <w:szCs w:val="24"/>
                <w:lang w:eastAsia="zh-CN"/>
              </w:rPr>
              <w:t>、</w:t>
            </w:r>
            <w:r>
              <w:rPr>
                <w:rFonts w:hint="eastAsia"/>
              </w:rPr>
              <w:t>喷塑粉尘（G</w:t>
            </w:r>
            <w:r>
              <w:rPr>
                <w:rFonts w:hint="eastAsia"/>
                <w:lang w:val="en-US" w:eastAsia="zh-CN"/>
              </w:rPr>
              <w:t>6</w:t>
            </w:r>
            <w:r>
              <w:rPr>
                <w:rFonts w:hint="eastAsia"/>
              </w:rPr>
              <w:t>）、</w:t>
            </w:r>
            <w:r>
              <w:rPr>
                <w:rFonts w:hint="eastAsia"/>
                <w:lang w:val="en-US" w:eastAsia="zh-CN"/>
              </w:rPr>
              <w:t>滤筒收集的粉尘</w:t>
            </w:r>
            <w:r>
              <w:rPr>
                <w:rFonts w:hint="eastAsia"/>
              </w:rPr>
              <w:t>（S</w:t>
            </w:r>
            <w:r>
              <w:rPr>
                <w:rFonts w:hint="eastAsia"/>
                <w:lang w:val="en-US" w:eastAsia="zh-CN"/>
              </w:rPr>
              <w:t>7</w:t>
            </w:r>
            <w:r>
              <w:rPr>
                <w:rFonts w:hint="eastAsia"/>
              </w:rPr>
              <w:t>）</w:t>
            </w:r>
            <w:r>
              <w:rPr>
                <w:rFonts w:hint="eastAsia"/>
                <w:lang w:eastAsia="zh-CN"/>
              </w:rPr>
              <w:t>。</w:t>
            </w:r>
          </w:p>
          <w:p w14:paraId="202112C7">
            <w:pPr>
              <w:adjustRightInd w:val="0"/>
              <w:snapToGrid w:val="0"/>
              <w:spacing w:line="360" w:lineRule="auto"/>
              <w:ind w:firstLine="480" w:firstLineChars="200"/>
              <w:rPr>
                <w:rFonts w:hint="eastAsia" w:eastAsia="宋体"/>
                <w:lang w:val="en-US" w:eastAsia="zh-CN"/>
              </w:rPr>
            </w:pPr>
            <w:r>
              <w:rPr>
                <w:rFonts w:hint="eastAsia" w:cs="Times New Roman"/>
                <w:bCs/>
                <w:color w:val="000000" w:themeColor="text1"/>
                <w:sz w:val="24"/>
                <w:szCs w:val="24"/>
                <w:lang w:val="en-US" w:eastAsia="zh-CN"/>
                <w14:textFill>
                  <w14:solidFill>
                    <w14:schemeClr w14:val="tx1"/>
                  </w14:solidFill>
                </w14:textFill>
              </w:rPr>
              <w:t>9、固化：</w:t>
            </w:r>
            <w:r>
              <w:rPr>
                <w:rFonts w:hint="eastAsia"/>
              </w:rPr>
              <w:t>喷塑后的工件需要进行加热固化，通过</w:t>
            </w:r>
            <w:r>
              <w:rPr>
                <w:rFonts w:hint="eastAsia"/>
                <w:lang w:val="en-US" w:eastAsia="zh-CN"/>
              </w:rPr>
              <w:t>燃烧</w:t>
            </w:r>
            <w:r>
              <w:rPr>
                <w:rFonts w:hint="eastAsia"/>
              </w:rPr>
              <w:t>天然气加热</w:t>
            </w:r>
            <w:r>
              <w:rPr>
                <w:rFonts w:hint="eastAsia"/>
                <w:lang w:val="en-US" w:eastAsia="zh-CN"/>
              </w:rPr>
              <w:t>烘箱进行</w:t>
            </w:r>
            <w:r>
              <w:rPr>
                <w:rFonts w:hint="eastAsia"/>
              </w:rPr>
              <w:t>烘干</w:t>
            </w:r>
            <w:r>
              <w:rPr>
                <w:rFonts w:hint="eastAsia"/>
                <w:lang w:val="en-US" w:eastAsia="zh-CN"/>
              </w:rPr>
              <w:t>固化，烘箱</w:t>
            </w:r>
            <w:r>
              <w:rPr>
                <w:rFonts w:hint="eastAsia"/>
              </w:rPr>
              <w:t>内温度控制在1</w:t>
            </w:r>
            <w:r>
              <w:rPr>
                <w:rFonts w:hint="eastAsia"/>
                <w:lang w:val="en-US" w:eastAsia="zh-CN"/>
              </w:rPr>
              <w:t>20</w:t>
            </w:r>
            <w:r>
              <w:rPr>
                <w:rFonts w:hint="eastAsia"/>
              </w:rPr>
              <w:t>~</w:t>
            </w:r>
            <w:r>
              <w:rPr>
                <w:rFonts w:hint="eastAsia"/>
                <w:lang w:val="en-US" w:eastAsia="zh-CN"/>
              </w:rPr>
              <w:t>150</w:t>
            </w:r>
            <w:r>
              <w:t>℃</w:t>
            </w:r>
            <w:r>
              <w:rPr>
                <w:rFonts w:hint="eastAsia"/>
              </w:rPr>
              <w:t>，喷塑流水线上喷塑完成的产品直接进入</w:t>
            </w:r>
            <w:r>
              <w:rPr>
                <w:rFonts w:hint="eastAsia"/>
                <w:lang w:val="en-US" w:eastAsia="zh-CN"/>
              </w:rPr>
              <w:t>烘箱</w:t>
            </w:r>
            <w:r>
              <w:rPr>
                <w:rFonts w:hint="eastAsia"/>
              </w:rPr>
              <w:t>固化，固化时间约10~15min，使粉末熔融、固化，在工件表面形成坚硬的涂膜。该工序主要污染物为</w:t>
            </w:r>
            <w:r>
              <w:rPr>
                <w:rFonts w:hint="eastAsia" w:ascii="Times New Roman" w:hAnsi="Times New Roman" w:eastAsia="宋体" w:cs="黑体"/>
                <w:kern w:val="2"/>
                <w:sz w:val="24"/>
                <w:szCs w:val="24"/>
              </w:rPr>
              <w:t>设备运行噪声（N）</w:t>
            </w:r>
            <w:r>
              <w:rPr>
                <w:rFonts w:hint="eastAsia" w:ascii="Times New Roman" w:hAnsi="Times New Roman" w:eastAsia="宋体" w:cs="黑体"/>
                <w:kern w:val="2"/>
                <w:sz w:val="24"/>
                <w:szCs w:val="24"/>
                <w:lang w:eastAsia="zh-CN"/>
              </w:rPr>
              <w:t>、</w:t>
            </w:r>
            <w:r>
              <w:rPr>
                <w:rFonts w:hint="eastAsia"/>
              </w:rPr>
              <w:t>燃烧废气</w:t>
            </w:r>
            <w:r>
              <w:rPr>
                <w:rFonts w:hint="eastAsia"/>
                <w:lang w:eastAsia="zh-CN"/>
              </w:rPr>
              <w:t>（</w:t>
            </w:r>
            <w:r>
              <w:rPr>
                <w:rFonts w:hint="eastAsia"/>
                <w:lang w:val="en-US" w:eastAsia="zh-CN"/>
              </w:rPr>
              <w:t>G7</w:t>
            </w:r>
            <w:r>
              <w:rPr>
                <w:rFonts w:hint="eastAsia"/>
                <w:lang w:eastAsia="zh-CN"/>
              </w:rPr>
              <w:t>）、</w:t>
            </w:r>
            <w:r>
              <w:rPr>
                <w:rFonts w:hint="eastAsia"/>
                <w:lang w:val="en-US" w:eastAsia="zh-CN"/>
              </w:rPr>
              <w:t>固化</w:t>
            </w:r>
            <w:r>
              <w:rPr>
                <w:rFonts w:hint="eastAsia"/>
              </w:rPr>
              <w:t>废气（G</w:t>
            </w:r>
            <w:r>
              <w:rPr>
                <w:rFonts w:hint="eastAsia"/>
                <w:lang w:val="en-US" w:eastAsia="zh-CN"/>
              </w:rPr>
              <w:t>8</w:t>
            </w:r>
            <w:r>
              <w:rPr>
                <w:rFonts w:hint="eastAsia"/>
              </w:rPr>
              <w:t>）</w:t>
            </w:r>
            <w:r>
              <w:rPr>
                <w:rFonts w:hint="eastAsia"/>
                <w:lang w:eastAsia="zh-CN"/>
              </w:rPr>
              <w:t>。</w:t>
            </w:r>
          </w:p>
          <w:p w14:paraId="2B94A2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cs="Times New Roman"/>
                <w:bCs/>
                <w:color w:val="000000" w:themeColor="text1"/>
                <w:sz w:val="24"/>
                <w:szCs w:val="24"/>
                <w:lang w:val="en-US" w:eastAsia="zh-CN"/>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10、装配：将外购的五金配件与工件装配成成品后入库待售。</w:t>
            </w:r>
          </w:p>
          <w:p w14:paraId="5F5DE0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cs="Times New Roman"/>
                <w:bCs/>
                <w:color w:val="000000" w:themeColor="text1"/>
                <w:sz w:val="24"/>
                <w:szCs w:val="24"/>
                <w:lang w:val="en-US" w:eastAsia="zh-CN"/>
                <w14:textFill>
                  <w14:solidFill>
                    <w14:schemeClr w14:val="tx1"/>
                  </w14:solidFill>
                </w14:textFill>
              </w:rPr>
            </w:pPr>
            <w:r>
              <w:rPr>
                <w:rFonts w:hint="default" w:cs="Times New Roman"/>
                <w:bCs/>
                <w:color w:val="000000" w:themeColor="text1"/>
                <w:sz w:val="24"/>
                <w:szCs w:val="24"/>
                <w:lang w:val="en-US" w:eastAsia="zh-CN"/>
                <w14:textFill>
                  <w14:solidFill>
                    <w14:schemeClr w14:val="tx1"/>
                  </w14:solidFill>
                </w14:textFill>
              </w:rPr>
              <w:drawing>
                <wp:inline distT="0" distB="0" distL="114300" distR="114300">
                  <wp:extent cx="4117975" cy="3079750"/>
                  <wp:effectExtent l="0" t="0" r="0" b="0"/>
                  <wp:docPr id="20" name="ECB019B1-382A-4266-B25C-5B523AA43C14-3" descr="C:/Users/45455/AppData/Local/Temp/wps.hOEKs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3" descr="C:/Users/45455/AppData/Local/Temp/wps.hOEKsAwps"/>
                          <pic:cNvPicPr>
                            <a:picLocks noChangeAspect="1"/>
                          </pic:cNvPicPr>
                        </pic:nvPicPr>
                        <pic:blipFill>
                          <a:blip r:embed="rId15"/>
                          <a:stretch>
                            <a:fillRect/>
                          </a:stretch>
                        </pic:blipFill>
                        <pic:spPr>
                          <a:xfrm>
                            <a:off x="0" y="0"/>
                            <a:ext cx="4117975" cy="3079750"/>
                          </a:xfrm>
                          <a:prstGeom prst="rect">
                            <a:avLst/>
                          </a:prstGeom>
                        </pic:spPr>
                      </pic:pic>
                    </a:graphicData>
                  </a:graphic>
                </wp:inline>
              </w:drawing>
            </w:r>
          </w:p>
          <w:p w14:paraId="477F62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cs="Times New Roman"/>
                <w:bCs/>
                <w:color w:val="000000" w:themeColor="text1"/>
                <w:sz w:val="24"/>
                <w:szCs w:val="24"/>
                <w:lang w:val="en-US" w:eastAsia="zh-CN"/>
                <w14:textFill>
                  <w14:solidFill>
                    <w14:schemeClr w14:val="tx1"/>
                  </w14:solidFill>
                </w14:textFill>
              </w:rPr>
            </w:pPr>
            <w:r>
              <w:rPr>
                <w:b/>
                <w:color w:val="000000" w:themeColor="text1"/>
                <w:spacing w:val="-11"/>
                <w:sz w:val="24"/>
                <w:szCs w:val="24"/>
                <w14:textFill>
                  <w14:solidFill>
                    <w14:schemeClr w14:val="tx1"/>
                  </w14:solidFill>
                </w14:textFill>
              </w:rPr>
              <w:t>图2</w:t>
            </w:r>
            <w:r>
              <w:rPr>
                <w:rFonts w:hint="eastAsia"/>
                <w:b/>
                <w:color w:val="000000" w:themeColor="text1"/>
                <w:spacing w:val="-11"/>
                <w:sz w:val="24"/>
                <w:szCs w:val="24"/>
                <w:lang w:val="en-US" w:eastAsia="zh-CN"/>
                <w14:textFill>
                  <w14:solidFill>
                    <w14:schemeClr w14:val="tx1"/>
                  </w14:solidFill>
                </w14:textFill>
              </w:rPr>
              <w:t>-3</w:t>
            </w:r>
            <w:r>
              <w:rPr>
                <w:b/>
                <w:color w:val="000000" w:themeColor="text1"/>
                <w:spacing w:val="-11"/>
                <w:sz w:val="24"/>
                <w:szCs w:val="24"/>
                <w14:textFill>
                  <w14:solidFill>
                    <w14:schemeClr w14:val="tx1"/>
                  </w14:solidFill>
                </w14:textFill>
              </w:rPr>
              <w:t xml:space="preserve">  </w:t>
            </w:r>
            <w:r>
              <w:rPr>
                <w:rFonts w:hint="eastAsia"/>
                <w:b/>
                <w:bCs/>
                <w:color w:val="000000" w:themeColor="text1"/>
                <w:kern w:val="0"/>
                <w:szCs w:val="20"/>
                <w:lang w:val="en-US" w:eastAsia="zh-CN"/>
                <w14:textFill>
                  <w14:solidFill>
                    <w14:schemeClr w14:val="tx1"/>
                  </w14:solidFill>
                </w14:textFill>
              </w:rPr>
              <w:t>麻将机玻璃茶几</w:t>
            </w:r>
            <w:r>
              <w:rPr>
                <w:rFonts w:hint="eastAsia"/>
                <w:b/>
                <w:color w:val="000000" w:themeColor="text1"/>
                <w:spacing w:val="-11"/>
                <w:sz w:val="24"/>
                <w:szCs w:val="24"/>
                <w:lang w:val="en-US" w:eastAsia="zh-CN"/>
                <w14:textFill>
                  <w14:solidFill>
                    <w14:schemeClr w14:val="tx1"/>
                  </w14:solidFill>
                </w14:textFill>
              </w:rPr>
              <w:t>项目</w:t>
            </w:r>
            <w:r>
              <w:rPr>
                <w:b/>
                <w:color w:val="000000" w:themeColor="text1"/>
                <w:spacing w:val="-11"/>
                <w:sz w:val="24"/>
                <w:szCs w:val="24"/>
                <w14:textFill>
                  <w14:solidFill>
                    <w14:schemeClr w14:val="tx1"/>
                  </w14:solidFill>
                </w14:textFill>
              </w:rPr>
              <w:t>生产工艺流程及产污节点图（G-废气，S-固废）</w:t>
            </w:r>
          </w:p>
          <w:p w14:paraId="74DF9045">
            <w:pPr>
              <w:adjustRightInd w:val="0"/>
              <w:snapToGrid w:val="0"/>
              <w:spacing w:line="360" w:lineRule="auto"/>
              <w:ind w:firstLine="480" w:firstLineChars="200"/>
            </w:pPr>
            <w:r>
              <w:rPr>
                <w:rFonts w:hint="eastAsia" w:cs="Times New Roman"/>
                <w:bCs/>
                <w:color w:val="000000" w:themeColor="text1"/>
                <w:sz w:val="24"/>
                <w:szCs w:val="24"/>
                <w:lang w:val="en-US" w:eastAsia="zh-CN"/>
                <w14:textFill>
                  <w14:solidFill>
                    <w14:schemeClr w14:val="tx1"/>
                  </w14:solidFill>
                </w14:textFill>
              </w:rPr>
              <w:t>1、注塑：茶几</w:t>
            </w:r>
            <w:r>
              <w:rPr>
                <w:rFonts w:hint="eastAsia"/>
              </w:rPr>
              <w:t>的塑料配件为注塑生产，</w:t>
            </w:r>
            <w:r>
              <w:rPr>
                <w:rFonts w:hint="eastAsia"/>
                <w:lang w:val="en-US" w:eastAsia="zh-CN"/>
              </w:rPr>
              <w:t>PP</w:t>
            </w:r>
            <w:r>
              <w:rPr>
                <w:rFonts w:hint="eastAsia"/>
              </w:rPr>
              <w:t>通过注塑机对其进行电加热成流体，该过程没有添加剂。注塑机自带温度控制系统，通过机器仪表控制温度对原材料进行加热，原材料被加热塑化成均匀的熔体，定温定压条件下，熔体在模具中成型。基础温度控制在200~250</w:t>
            </w:r>
            <w:r>
              <w:t>℃</w:t>
            </w:r>
            <w:r>
              <w:rPr>
                <w:rFonts w:hint="eastAsia"/>
              </w:rPr>
              <w:t>左右，由于P</w:t>
            </w:r>
            <w:r>
              <w:rPr>
                <w:rFonts w:hint="eastAsia"/>
                <w:lang w:val="en-US" w:eastAsia="zh-CN"/>
              </w:rPr>
              <w:t>P</w:t>
            </w:r>
            <w:r>
              <w:rPr>
                <w:rFonts w:hint="eastAsia"/>
              </w:rPr>
              <w:t>分解温度约为300</w:t>
            </w:r>
            <w:r>
              <w:t>℃</w:t>
            </w:r>
            <w:r>
              <w:rPr>
                <w:rFonts w:hint="eastAsia"/>
              </w:rPr>
              <w:t>，该项目加热为200~250</w:t>
            </w:r>
            <w:r>
              <w:t>℃</w:t>
            </w:r>
            <w:r>
              <w:rPr>
                <w:rFonts w:hint="eastAsia"/>
              </w:rPr>
              <w:t>，因此该过程不会造成原料分解，只有少量非甲烷总烃废气产生并伴随着轻微异味，主要污染物以非甲烷总烃计。该工序主要污染物为设备运行噪声（N）、</w:t>
            </w:r>
            <w:r>
              <w:rPr>
                <w:rFonts w:hint="eastAsia"/>
                <w:lang w:val="en-US" w:eastAsia="zh-CN"/>
              </w:rPr>
              <w:t>废料/不合格品</w:t>
            </w:r>
            <w:r>
              <w:rPr>
                <w:rFonts w:hint="eastAsia"/>
              </w:rPr>
              <w:t>（S</w:t>
            </w:r>
            <w:r>
              <w:rPr>
                <w:rFonts w:hint="eastAsia"/>
                <w:lang w:val="en-US" w:eastAsia="zh-CN"/>
              </w:rPr>
              <w:t>8</w:t>
            </w:r>
            <w:r>
              <w:rPr>
                <w:rFonts w:hint="eastAsia"/>
              </w:rPr>
              <w:t>）、注塑废气（G</w:t>
            </w:r>
            <w:r>
              <w:rPr>
                <w:rFonts w:hint="eastAsia"/>
                <w:lang w:val="en-US" w:eastAsia="zh-CN"/>
              </w:rPr>
              <w:t>9</w:t>
            </w:r>
            <w:r>
              <w:rPr>
                <w:rFonts w:hint="eastAsia"/>
              </w:rPr>
              <w:t>）。</w:t>
            </w:r>
          </w:p>
          <w:p w14:paraId="6E5EACB0">
            <w:pPr>
              <w:spacing w:line="360" w:lineRule="auto"/>
              <w:ind w:firstLine="482"/>
            </w:pPr>
            <w:r>
              <w:rPr>
                <w:rFonts w:hint="eastAsia"/>
              </w:rPr>
              <w:t>3、</w:t>
            </w:r>
            <w:r>
              <w:rPr>
                <w:rFonts w:hint="eastAsia"/>
                <w:lang w:val="en-US" w:eastAsia="zh-CN"/>
              </w:rPr>
              <w:t>间接冷却</w:t>
            </w:r>
            <w:r>
              <w:rPr>
                <w:rFonts w:hint="eastAsia"/>
              </w:rPr>
              <w:t>：产品注塑后需进行冷却降温，项目新建一套冷却水系统，产品与水不接触，进行间接冷却定型</w:t>
            </w:r>
            <w:r>
              <w:rPr>
                <w:rFonts w:hint="eastAsia"/>
                <w:lang w:eastAsia="zh-CN"/>
              </w:rPr>
              <w:t>，</w:t>
            </w:r>
            <w:r>
              <w:rPr>
                <w:rFonts w:hint="eastAsia"/>
                <w:lang w:val="en-US" w:eastAsia="zh-CN"/>
              </w:rPr>
              <w:t>水定期添加，循环使用，不外排。</w:t>
            </w:r>
            <w:r>
              <w:rPr>
                <w:rFonts w:hint="eastAsia"/>
              </w:rPr>
              <w:t>该工序主要污染物为设备运行噪声（N）。</w:t>
            </w:r>
          </w:p>
          <w:p w14:paraId="71436A62">
            <w:pPr>
              <w:adjustRightInd w:val="0"/>
              <w:snapToGrid w:val="0"/>
              <w:spacing w:line="360" w:lineRule="auto"/>
              <w:ind w:firstLine="480" w:firstLineChars="200"/>
              <w:rPr>
                <w:rFonts w:hint="eastAsia"/>
              </w:rPr>
            </w:pPr>
            <w:r>
              <w:rPr>
                <w:rFonts w:hint="eastAsia"/>
                <w:lang w:val="en-US" w:eastAsia="zh-CN"/>
              </w:rPr>
              <w:t>4</w:t>
            </w:r>
            <w:r>
              <w:rPr>
                <w:rFonts w:hint="eastAsia"/>
              </w:rPr>
              <w:t>、密闭</w:t>
            </w:r>
            <w:r>
              <w:rPr>
                <w:rFonts w:hint="eastAsia"/>
                <w:lang w:val="en-US" w:eastAsia="zh-CN"/>
              </w:rPr>
              <w:t>搅碎</w:t>
            </w:r>
            <w:r>
              <w:rPr>
                <w:rFonts w:hint="eastAsia"/>
              </w:rPr>
              <w:t>：本项目产品不添加色母，产品均为单一的白色或透明色或黑色</w:t>
            </w:r>
            <w:r>
              <w:rPr>
                <w:rFonts w:hint="eastAsia"/>
                <w:color w:val="auto"/>
              </w:rPr>
              <w:t>，项目</w:t>
            </w:r>
            <w:r>
              <w:rPr>
                <w:rFonts w:hint="eastAsia"/>
                <w:color w:val="auto"/>
                <w:lang w:val="en-US" w:eastAsia="zh-CN"/>
              </w:rPr>
              <w:t>废料及</w:t>
            </w:r>
            <w:r>
              <w:rPr>
                <w:rFonts w:hint="eastAsia"/>
                <w:color w:val="auto"/>
              </w:rPr>
              <w:t>不合格品经过密闭</w:t>
            </w:r>
            <w:r>
              <w:rPr>
                <w:rFonts w:hint="eastAsia"/>
                <w:color w:val="auto"/>
                <w:lang w:val="en-US" w:eastAsia="zh-CN"/>
              </w:rPr>
              <w:t>搅碎</w:t>
            </w:r>
            <w:r>
              <w:rPr>
                <w:rFonts w:hint="eastAsia"/>
                <w:color w:val="auto"/>
              </w:rPr>
              <w:t>机密闭</w:t>
            </w:r>
            <w:r>
              <w:rPr>
                <w:rFonts w:hint="eastAsia"/>
                <w:color w:val="auto"/>
                <w:lang w:val="en-US" w:eastAsia="zh-CN"/>
              </w:rPr>
              <w:t>搅碎至粒径3~6mm</w:t>
            </w:r>
            <w:r>
              <w:rPr>
                <w:rStyle w:val="36"/>
                <w:rFonts w:hint="eastAsia"/>
                <w:color w:val="auto"/>
                <w:kern w:val="0"/>
                <w:szCs w:val="20"/>
                <w:lang w:eastAsia="zh-CN"/>
              </w:rPr>
              <w:t>，</w:t>
            </w:r>
            <w:r>
              <w:rPr>
                <w:rStyle w:val="36"/>
                <w:rFonts w:hint="eastAsia"/>
                <w:color w:val="auto"/>
                <w:kern w:val="0"/>
                <w:sz w:val="24"/>
                <w:szCs w:val="24"/>
                <w:lang w:val="en-US" w:eastAsia="zh-CN"/>
              </w:rPr>
              <w:t>搅碎后的粒子使用包装袋盛装后返回注塑工序</w:t>
            </w:r>
            <w:r>
              <w:rPr>
                <w:rFonts w:hint="eastAsia"/>
                <w:color w:val="auto"/>
                <w:sz w:val="24"/>
                <w:szCs w:val="24"/>
                <w:lang w:val="en-US" w:eastAsia="zh-CN"/>
              </w:rPr>
              <w:t>回用于生产</w:t>
            </w:r>
            <w:r>
              <w:rPr>
                <w:rFonts w:hint="eastAsia"/>
                <w:color w:val="auto"/>
              </w:rPr>
              <w:t>。该工</w:t>
            </w:r>
            <w:r>
              <w:rPr>
                <w:rFonts w:hint="eastAsia"/>
              </w:rPr>
              <w:t>序主要污染物为设备运行噪声（N）。</w:t>
            </w:r>
          </w:p>
          <w:p w14:paraId="4B11BF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rPr>
                <w:rFonts w:hint="default" w:eastAsia="宋体" w:cs="Times New Roman"/>
                <w:bCs/>
                <w:color w:val="000000" w:themeColor="text1"/>
                <w:sz w:val="24"/>
                <w:szCs w:val="24"/>
                <w:lang w:val="en-US" w:eastAsia="zh-CN"/>
                <w14:textFill>
                  <w14:solidFill>
                    <w14:schemeClr w14:val="tx1"/>
                  </w14:solidFill>
                </w14:textFill>
              </w:rPr>
            </w:pPr>
            <w:r>
              <w:rPr>
                <w:rFonts w:hint="eastAsia"/>
                <w:lang w:val="en-US" w:eastAsia="zh-CN"/>
              </w:rPr>
              <w:t>5</w:t>
            </w:r>
            <w:r>
              <w:rPr>
                <w:rFonts w:hint="eastAsia"/>
              </w:rPr>
              <w:t>、</w:t>
            </w:r>
            <w:r>
              <w:rPr>
                <w:rFonts w:hint="eastAsia"/>
                <w:lang w:val="en-US" w:eastAsia="zh-CN"/>
              </w:rPr>
              <w:t>组装</w:t>
            </w:r>
            <w:r>
              <w:rPr>
                <w:rFonts w:hint="eastAsia"/>
              </w:rPr>
              <w:t>：</w:t>
            </w:r>
            <w:r>
              <w:rPr>
                <w:rFonts w:hint="eastAsia" w:cs="Times New Roman"/>
                <w:bCs/>
                <w:color w:val="000000" w:themeColor="text1"/>
                <w:sz w:val="24"/>
                <w:szCs w:val="24"/>
                <w:lang w:val="en-US" w:eastAsia="zh-CN"/>
                <w14:textFill>
                  <w14:solidFill>
                    <w14:schemeClr w14:val="tx1"/>
                  </w14:solidFill>
                </w14:textFill>
              </w:rPr>
              <w:t>将外购的玻璃、五金配件使用亚克力胶与工件组装成成品后入库待售。</w:t>
            </w:r>
            <w:r>
              <w:rPr>
                <w:rFonts w:hint="eastAsia"/>
                <w:color w:val="auto"/>
              </w:rPr>
              <w:t>该工</w:t>
            </w:r>
            <w:r>
              <w:rPr>
                <w:rFonts w:hint="eastAsia"/>
              </w:rPr>
              <w:t>序主要污染物为</w:t>
            </w:r>
            <w:r>
              <w:rPr>
                <w:rFonts w:hint="eastAsia"/>
                <w:lang w:val="en-US" w:eastAsia="zh-CN"/>
              </w:rPr>
              <w:t>密封胶产生的废气（G10）。</w:t>
            </w:r>
          </w:p>
          <w:p w14:paraId="29A481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eastAsia="宋体"/>
                <w:b/>
                <w:bCs/>
                <w:color w:val="000000" w:themeColor="text1"/>
                <w:szCs w:val="24"/>
                <w14:textFill>
                  <w14:solidFill>
                    <w14:schemeClr w14:val="tx1"/>
                  </w14:solidFill>
                </w14:textFill>
              </w:rPr>
            </w:pPr>
            <w:r>
              <w:rPr>
                <w:rFonts w:hint="eastAsia" w:cs="Times New Roman"/>
                <w:bCs/>
                <w:color w:val="000000" w:themeColor="text1"/>
                <w:sz w:val="24"/>
                <w:szCs w:val="24"/>
                <w:lang w:val="en-US" w:eastAsia="zh-CN"/>
                <w14:textFill>
                  <w14:solidFill>
                    <w14:schemeClr w14:val="tx1"/>
                  </w14:solidFill>
                </w14:textFill>
              </w:rPr>
              <w:t>项目产污环节一览表见下表所示。</w:t>
            </w:r>
          </w:p>
          <w:p w14:paraId="1B1DDA87">
            <w:pPr>
              <w:pStyle w:val="9"/>
              <w:adjustRightInd w:val="0"/>
              <w:snapToGrid w:val="0"/>
              <w:spacing w:before="0" w:line="240" w:lineRule="auto"/>
              <w:rPr>
                <w:bCs/>
                <w:color w:val="000000" w:themeColor="text1"/>
                <w:szCs w:val="21"/>
                <w14:textFill>
                  <w14:solidFill>
                    <w14:schemeClr w14:val="tx1"/>
                  </w14:solidFill>
                </w14:textFill>
              </w:rPr>
            </w:pPr>
            <w:r>
              <w:rPr>
                <w:rFonts w:eastAsia="宋体"/>
                <w:b/>
                <w:bCs/>
                <w:color w:val="000000" w:themeColor="text1"/>
                <w:szCs w:val="24"/>
                <w14:textFill>
                  <w14:solidFill>
                    <w14:schemeClr w14:val="tx1"/>
                  </w14:solidFill>
                </w14:textFill>
              </w:rPr>
              <w:t>表2</w:t>
            </w:r>
            <w:r>
              <w:rPr>
                <w:rFonts w:hint="eastAsia" w:eastAsia="宋体"/>
                <w:b/>
                <w:bCs/>
                <w:color w:val="000000" w:themeColor="text1"/>
                <w:szCs w:val="24"/>
                <w:lang w:val="en-US" w:eastAsia="zh-CN"/>
                <w14:textFill>
                  <w14:solidFill>
                    <w14:schemeClr w14:val="tx1"/>
                  </w14:solidFill>
                </w14:textFill>
              </w:rPr>
              <w:t>-</w:t>
            </w:r>
            <w:r>
              <w:rPr>
                <w:rFonts w:hint="eastAsia"/>
                <w:b/>
                <w:bCs/>
                <w:color w:val="000000" w:themeColor="text1"/>
                <w:szCs w:val="24"/>
                <w:lang w:val="en-US" w:eastAsia="zh-CN"/>
                <w14:textFill>
                  <w14:solidFill>
                    <w14:schemeClr w14:val="tx1"/>
                  </w14:solidFill>
                </w14:textFill>
              </w:rPr>
              <w:t>11</w:t>
            </w:r>
            <w:r>
              <w:rPr>
                <w:rFonts w:eastAsia="宋体"/>
                <w:b/>
                <w:bCs/>
                <w:color w:val="000000" w:themeColor="text1"/>
                <w:szCs w:val="24"/>
                <w14:textFill>
                  <w14:solidFill>
                    <w14:schemeClr w14:val="tx1"/>
                  </w14:solidFill>
                </w14:textFill>
              </w:rPr>
              <w:t xml:space="preserve">  产污环节一览表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515"/>
              <w:gridCol w:w="927"/>
              <w:gridCol w:w="1103"/>
              <w:gridCol w:w="1547"/>
              <w:gridCol w:w="2182"/>
            </w:tblGrid>
            <w:tr w14:paraId="1924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tcBorders>
                    <w:top w:val="single" w:color="000000" w:sz="4" w:space="0"/>
                    <w:left w:val="single" w:color="000000" w:sz="4" w:space="0"/>
                    <w:bottom w:val="single" w:color="000000" w:sz="4" w:space="0"/>
                    <w:right w:val="single" w:color="000000" w:sz="4" w:space="0"/>
                  </w:tcBorders>
                  <w:noWrap w:val="0"/>
                  <w:vAlign w:val="center"/>
                </w:tcPr>
                <w:p w14:paraId="45F0E500">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050E740">
                  <w:pPr>
                    <w:spacing w:line="240" w:lineRule="auto"/>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污染</w:t>
                  </w:r>
                  <w:r>
                    <w:rPr>
                      <w:rFonts w:hint="eastAsia" w:cs="Times New Roman"/>
                      <w:b/>
                      <w:bCs/>
                      <w:color w:val="auto"/>
                      <w:sz w:val="21"/>
                      <w:szCs w:val="21"/>
                      <w:lang w:val="en-US" w:eastAsia="zh-CN"/>
                    </w:rPr>
                    <w:t>工序</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124826C0">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污染源编号</w:t>
                  </w:r>
                </w:p>
              </w:tc>
              <w:tc>
                <w:tcPr>
                  <w:tcW w:w="1103" w:type="dxa"/>
                  <w:tcBorders>
                    <w:top w:val="single" w:color="000000" w:sz="4" w:space="0"/>
                    <w:left w:val="single" w:color="000000" w:sz="4" w:space="0"/>
                    <w:bottom w:val="single" w:color="000000" w:sz="4" w:space="0"/>
                    <w:right w:val="single" w:color="000000" w:sz="4" w:space="0"/>
                  </w:tcBorders>
                  <w:noWrap w:val="0"/>
                  <w:vAlign w:val="center"/>
                </w:tcPr>
                <w:p w14:paraId="2B625B16">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产污环节</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0C2258EE">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主要污染因子</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14:paraId="189F3210">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处理措施</w:t>
                  </w:r>
                </w:p>
              </w:tc>
            </w:tr>
            <w:tr w14:paraId="4CA2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restart"/>
                  <w:tcBorders>
                    <w:top w:val="single" w:color="000000" w:sz="4" w:space="0"/>
                    <w:left w:val="single" w:color="000000" w:sz="4" w:space="0"/>
                    <w:right w:val="single" w:color="000000" w:sz="4" w:space="0"/>
                  </w:tcBorders>
                  <w:noWrap w:val="0"/>
                  <w:vAlign w:val="center"/>
                </w:tcPr>
                <w:p w14:paraId="7A46A43F">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A02DD87">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下料</w:t>
                  </w:r>
                  <w:r>
                    <w:rPr>
                      <w:rFonts w:hint="default" w:ascii="Times New Roman" w:hAnsi="Times New Roman" w:eastAsia="宋体" w:cs="Times New Roman"/>
                      <w:color w:val="auto"/>
                      <w:sz w:val="21"/>
                      <w:szCs w:val="21"/>
                      <w:lang w:val="en-US" w:eastAsia="zh-CN"/>
                    </w:rPr>
                    <w:t>废气</w:t>
                  </w:r>
                </w:p>
              </w:tc>
              <w:tc>
                <w:tcPr>
                  <w:tcW w:w="927" w:type="dxa"/>
                  <w:tcBorders>
                    <w:top w:val="single" w:color="000000" w:sz="4" w:space="0"/>
                    <w:left w:val="single" w:color="000000" w:sz="4" w:space="0"/>
                    <w:bottom w:val="single" w:color="000000" w:sz="4" w:space="0"/>
                    <w:right w:val="single" w:color="000000" w:sz="4" w:space="0"/>
                  </w:tcBorders>
                  <w:noWrap w:val="0"/>
                  <w:vAlign w:val="center"/>
                </w:tcPr>
                <w:p w14:paraId="265155F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G1</w:t>
                  </w:r>
                </w:p>
              </w:tc>
              <w:tc>
                <w:tcPr>
                  <w:tcW w:w="1103" w:type="dxa"/>
                  <w:tcBorders>
                    <w:top w:val="single" w:color="000000" w:sz="4" w:space="0"/>
                    <w:left w:val="single" w:color="000000" w:sz="4" w:space="0"/>
                    <w:bottom w:val="single" w:color="000000" w:sz="4" w:space="0"/>
                    <w:right w:val="single" w:color="000000" w:sz="4" w:space="0"/>
                  </w:tcBorders>
                  <w:noWrap w:val="0"/>
                  <w:vAlign w:val="center"/>
                </w:tcPr>
                <w:p w14:paraId="05787C1A">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切割</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12F0FC4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2182" w:type="dxa"/>
                  <w:tcBorders>
                    <w:top w:val="single" w:color="000000" w:sz="4" w:space="0"/>
                    <w:left w:val="single" w:color="000000" w:sz="4" w:space="0"/>
                    <w:right w:val="single" w:color="000000" w:sz="4" w:space="0"/>
                  </w:tcBorders>
                  <w:noWrap w:val="0"/>
                  <w:vAlign w:val="center"/>
                </w:tcPr>
                <w:p w14:paraId="57CCCC13">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袋式除尘器</w:t>
                  </w:r>
                  <w:r>
                    <w:rPr>
                      <w:rFonts w:hint="default" w:ascii="Times New Roman" w:hAnsi="Times New Roman" w:eastAsia="宋体" w:cs="Times New Roman"/>
                      <w:color w:val="auto"/>
                      <w:sz w:val="21"/>
                      <w:szCs w:val="21"/>
                      <w:lang w:val="en-US" w:eastAsia="zh-CN"/>
                    </w:rPr>
                    <w:t>处理后经15米高排气筒（DA001）排放</w:t>
                  </w:r>
                </w:p>
              </w:tc>
            </w:tr>
            <w:tr w14:paraId="191A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40FC2D7D">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79B3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焊接废气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6BC4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G</w:t>
                  </w:r>
                  <w:r>
                    <w:rPr>
                      <w:rFonts w:hint="eastAsia" w:cs="Times New Roman"/>
                      <w:color w:val="auto"/>
                      <w:sz w:val="21"/>
                      <w:szCs w:val="21"/>
                      <w:lang w:val="en-US" w:eastAsia="zh-CN"/>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F14D2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焊接</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E94F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2182" w:type="dxa"/>
                  <w:vMerge w:val="restart"/>
                  <w:tcBorders>
                    <w:top w:val="single" w:color="000000" w:sz="4" w:space="0"/>
                    <w:left w:val="single" w:color="000000" w:sz="4" w:space="0"/>
                    <w:right w:val="single" w:color="000000" w:sz="4" w:space="0"/>
                  </w:tcBorders>
                  <w:shd w:val="clear" w:color="auto" w:fill="auto"/>
                  <w:noWrap w:val="0"/>
                  <w:vAlign w:val="center"/>
                </w:tcPr>
                <w:p w14:paraId="7630838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移动烟尘净化器处理后</w:t>
                  </w:r>
                  <w:r>
                    <w:rPr>
                      <w:rFonts w:hint="default" w:ascii="Times New Roman" w:hAnsi="Times New Roman" w:eastAsia="宋体" w:cs="Times New Roman"/>
                      <w:color w:val="auto"/>
                      <w:sz w:val="21"/>
                      <w:szCs w:val="21"/>
                      <w:lang w:val="en-US" w:eastAsia="zh-CN"/>
                    </w:rPr>
                    <w:t>无组织排放</w:t>
                  </w:r>
                </w:p>
              </w:tc>
            </w:tr>
            <w:tr w14:paraId="068A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6695DFCF">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7590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打磨废气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70C7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G</w:t>
                  </w:r>
                  <w:r>
                    <w:rPr>
                      <w:rFonts w:hint="eastAsia" w:cs="Times New Roman"/>
                      <w:color w:val="auto"/>
                      <w:sz w:val="21"/>
                      <w:szCs w:val="21"/>
                      <w:lang w:val="en-US" w:eastAsia="zh-CN"/>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C5B69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打磨</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ECB4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2182" w:type="dxa"/>
                  <w:vMerge w:val="continue"/>
                  <w:tcBorders>
                    <w:left w:val="single" w:color="000000" w:sz="4" w:space="0"/>
                    <w:right w:val="single" w:color="000000" w:sz="4" w:space="0"/>
                  </w:tcBorders>
                  <w:shd w:val="clear" w:color="auto" w:fill="auto"/>
                  <w:noWrap w:val="0"/>
                  <w:vAlign w:val="center"/>
                </w:tcPr>
                <w:p w14:paraId="7AAD5940">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3D91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05900476">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B020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喷塑</w:t>
                  </w:r>
                  <w:r>
                    <w:rPr>
                      <w:rFonts w:hint="default" w:ascii="Times New Roman" w:hAnsi="Times New Roman" w:eastAsia="宋体" w:cs="Times New Roman"/>
                      <w:color w:val="auto"/>
                      <w:sz w:val="21"/>
                      <w:szCs w:val="21"/>
                      <w:lang w:val="en-US" w:eastAsia="zh-CN"/>
                    </w:rPr>
                    <w:t>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8027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G</w:t>
                  </w:r>
                  <w:r>
                    <w:rPr>
                      <w:rFonts w:hint="eastAsia" w:cs="Times New Roman"/>
                      <w:color w:val="auto"/>
                      <w:sz w:val="21"/>
                      <w:szCs w:val="21"/>
                      <w:lang w:val="en-US" w:eastAsia="zh-CN"/>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87A4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抛丸</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1091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2182" w:type="dxa"/>
                  <w:tcBorders>
                    <w:top w:val="single" w:color="000000" w:sz="4" w:space="0"/>
                    <w:left w:val="single" w:color="000000" w:sz="4" w:space="0"/>
                    <w:right w:val="single" w:color="000000" w:sz="4" w:space="0"/>
                  </w:tcBorders>
                  <w:shd w:val="clear" w:color="auto" w:fill="auto"/>
                  <w:noWrap w:val="0"/>
                  <w:vAlign w:val="center"/>
                </w:tcPr>
                <w:p w14:paraId="016B29B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设备自带</w:t>
                  </w:r>
                  <w:r>
                    <w:rPr>
                      <w:rFonts w:hint="eastAsia" w:cs="Times New Roman"/>
                      <w:color w:val="000000" w:themeColor="text1"/>
                      <w:sz w:val="21"/>
                      <w:szCs w:val="21"/>
                      <w:lang w:val="en-US" w:eastAsia="zh-CN" w:bidi="ar"/>
                      <w14:textFill>
                        <w14:solidFill>
                          <w14:schemeClr w14:val="tx1"/>
                        </w14:solidFill>
                      </w14:textFill>
                    </w:rPr>
                    <w:t>二级滤芯+自带旋风</w:t>
                  </w:r>
                  <w:r>
                    <w:rPr>
                      <w:rFonts w:hint="default" w:ascii="Times New Roman" w:hAnsi="Times New Roman" w:cs="Times New Roman"/>
                      <w:color w:val="auto"/>
                      <w:sz w:val="21"/>
                      <w:szCs w:val="21"/>
                      <w:lang w:val="en-US" w:eastAsia="zh-CN"/>
                    </w:rPr>
                    <w:t>处理后经</w:t>
                  </w:r>
                  <w:r>
                    <w:rPr>
                      <w:rFonts w:hint="default" w:ascii="Times New Roman" w:hAnsi="Times New Roman" w:eastAsia="宋体" w:cs="Times New Roman"/>
                      <w:color w:val="auto"/>
                      <w:sz w:val="21"/>
                      <w:szCs w:val="21"/>
                      <w:lang w:val="en-US" w:eastAsia="zh-CN"/>
                    </w:rPr>
                    <w:t>15米高</w:t>
                  </w:r>
                  <w:r>
                    <w:rPr>
                      <w:rFonts w:hint="default" w:ascii="Times New Roman" w:hAnsi="Times New Roman" w:cs="Times New Roman"/>
                      <w:color w:val="auto"/>
                      <w:sz w:val="21"/>
                      <w:szCs w:val="21"/>
                      <w:lang w:val="en-US" w:eastAsia="zh-CN"/>
                    </w:rPr>
                    <w:t>排气筒（DA00</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）排放</w:t>
                  </w:r>
                </w:p>
              </w:tc>
            </w:tr>
            <w:tr w14:paraId="2773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17BE3857">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4D9E7">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固化废气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3C175">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G8</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92E80">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固化</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BCB24">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2182" w:type="dxa"/>
                  <w:tcBorders>
                    <w:top w:val="single" w:color="000000" w:sz="4" w:space="0"/>
                    <w:left w:val="single" w:color="000000" w:sz="4" w:space="0"/>
                    <w:right w:val="single" w:color="000000" w:sz="4" w:space="0"/>
                  </w:tcBorders>
                  <w:shd w:val="clear" w:color="auto" w:fill="auto"/>
                  <w:noWrap w:val="0"/>
                  <w:vAlign w:val="center"/>
                </w:tcPr>
                <w:p w14:paraId="033F735F">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二级活性炭吸附装置</w:t>
                  </w:r>
                  <w:r>
                    <w:rPr>
                      <w:rFonts w:hint="default" w:ascii="Times New Roman" w:hAnsi="Times New Roman" w:cs="Times New Roman"/>
                      <w:color w:val="auto"/>
                      <w:sz w:val="21"/>
                      <w:szCs w:val="21"/>
                      <w:lang w:val="en-US" w:eastAsia="zh-CN"/>
                    </w:rPr>
                    <w:t>处理后经</w:t>
                  </w:r>
                  <w:r>
                    <w:rPr>
                      <w:rFonts w:hint="default" w:ascii="Times New Roman" w:hAnsi="Times New Roman" w:eastAsia="宋体" w:cs="Times New Roman"/>
                      <w:color w:val="auto"/>
                      <w:sz w:val="21"/>
                      <w:szCs w:val="21"/>
                      <w:lang w:val="en-US" w:eastAsia="zh-CN"/>
                    </w:rPr>
                    <w:t>15米高</w:t>
                  </w:r>
                  <w:r>
                    <w:rPr>
                      <w:rFonts w:hint="default" w:ascii="Times New Roman" w:hAnsi="Times New Roman" w:cs="Times New Roman"/>
                      <w:color w:val="auto"/>
                      <w:sz w:val="21"/>
                      <w:szCs w:val="21"/>
                      <w:lang w:val="en-US" w:eastAsia="zh-CN"/>
                    </w:rPr>
                    <w:t>排气筒（DA00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）排放</w:t>
                  </w:r>
                </w:p>
              </w:tc>
            </w:tr>
            <w:tr w14:paraId="026D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45E093C8">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79EAC">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烘干供热、固化供热废气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7CA7C">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G5、G7</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096C8">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天然气燃烧</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34760">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颗粒物、二氧化硫、氮氧化物</w:t>
                  </w:r>
                </w:p>
              </w:tc>
              <w:tc>
                <w:tcPr>
                  <w:tcW w:w="2182" w:type="dxa"/>
                  <w:tcBorders>
                    <w:top w:val="single" w:color="000000" w:sz="4" w:space="0"/>
                    <w:left w:val="single" w:color="000000" w:sz="4" w:space="0"/>
                    <w:right w:val="single" w:color="000000" w:sz="4" w:space="0"/>
                  </w:tcBorders>
                  <w:shd w:val="clear" w:color="auto" w:fill="auto"/>
                  <w:noWrap w:val="0"/>
                  <w:vAlign w:val="center"/>
                </w:tcPr>
                <w:p w14:paraId="1433EDEA">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低氮燃烧器源头控制后经</w:t>
                  </w:r>
                  <w:r>
                    <w:rPr>
                      <w:rFonts w:hint="default" w:ascii="Times New Roman" w:hAnsi="Times New Roman" w:eastAsia="宋体" w:cs="Times New Roman"/>
                      <w:color w:val="auto"/>
                      <w:sz w:val="21"/>
                      <w:szCs w:val="21"/>
                      <w:lang w:val="en-US" w:eastAsia="zh-CN"/>
                    </w:rPr>
                    <w:t>15米高</w:t>
                  </w:r>
                  <w:r>
                    <w:rPr>
                      <w:rFonts w:hint="default" w:ascii="Times New Roman" w:hAnsi="Times New Roman" w:cs="Times New Roman"/>
                      <w:color w:val="auto"/>
                      <w:sz w:val="21"/>
                      <w:szCs w:val="21"/>
                      <w:lang w:val="en-US" w:eastAsia="zh-CN"/>
                    </w:rPr>
                    <w:t>排气筒（DA00</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）排放</w:t>
                  </w:r>
                </w:p>
              </w:tc>
            </w:tr>
            <w:tr w14:paraId="6139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40A43897">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E2FAB">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注塑废气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76ED7">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G9</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22AF6">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注塑</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518CD">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2182" w:type="dxa"/>
                  <w:tcBorders>
                    <w:top w:val="single" w:color="000000" w:sz="4" w:space="0"/>
                    <w:left w:val="single" w:color="000000" w:sz="4" w:space="0"/>
                    <w:right w:val="single" w:color="000000" w:sz="4" w:space="0"/>
                  </w:tcBorders>
                  <w:shd w:val="clear" w:color="auto" w:fill="auto"/>
                  <w:noWrap w:val="0"/>
                  <w:vAlign w:val="center"/>
                </w:tcPr>
                <w:p w14:paraId="4B56F9CD">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二级活性炭吸附装置</w:t>
                  </w:r>
                  <w:r>
                    <w:rPr>
                      <w:rFonts w:hint="default" w:ascii="Times New Roman" w:hAnsi="Times New Roman" w:cs="Times New Roman"/>
                      <w:color w:val="auto"/>
                      <w:sz w:val="21"/>
                      <w:szCs w:val="21"/>
                      <w:lang w:val="en-US" w:eastAsia="zh-CN"/>
                    </w:rPr>
                    <w:t>处理后经</w:t>
                  </w:r>
                  <w:r>
                    <w:rPr>
                      <w:rFonts w:hint="default" w:ascii="Times New Roman" w:hAnsi="Times New Roman" w:eastAsia="宋体" w:cs="Times New Roman"/>
                      <w:color w:val="auto"/>
                      <w:sz w:val="21"/>
                      <w:szCs w:val="21"/>
                      <w:lang w:val="en-US" w:eastAsia="zh-CN"/>
                    </w:rPr>
                    <w:t>15米高</w:t>
                  </w:r>
                  <w:r>
                    <w:rPr>
                      <w:rFonts w:hint="default" w:ascii="Times New Roman" w:hAnsi="Times New Roman" w:cs="Times New Roman"/>
                      <w:color w:val="auto"/>
                      <w:sz w:val="21"/>
                      <w:szCs w:val="21"/>
                      <w:lang w:val="en-US" w:eastAsia="zh-CN"/>
                    </w:rPr>
                    <w:t>排气筒（DA00</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）排放</w:t>
                  </w:r>
                </w:p>
              </w:tc>
            </w:tr>
            <w:tr w14:paraId="2223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54768467">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21B15">
                  <w:pPr>
                    <w:spacing w:line="240" w:lineRule="auto"/>
                    <w:jc w:val="center"/>
                    <w:rPr>
                      <w:rFonts w:hint="eastAsia" w:cs="Times New Roman"/>
                      <w:color w:val="auto"/>
                      <w:sz w:val="21"/>
                      <w:szCs w:val="21"/>
                      <w:lang w:val="en-US" w:eastAsia="zh-CN"/>
                    </w:rPr>
                  </w:pPr>
                  <w:r>
                    <w:rPr>
                      <w:rFonts w:hint="eastAsia" w:cs="Times New Roman"/>
                      <w:color w:val="auto"/>
                      <w:kern w:val="2"/>
                      <w:sz w:val="21"/>
                      <w:szCs w:val="21"/>
                      <w:lang w:val="en-US" w:eastAsia="zh-CN" w:bidi="ar-SA"/>
                    </w:rPr>
                    <w:t>机加工废气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FA0C6">
                  <w:pPr>
                    <w:spacing w:line="24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w:t>
                  </w:r>
                  <w:r>
                    <w:rPr>
                      <w:rFonts w:hint="eastAsia" w:ascii="Times New Roman" w:hAnsi="Times New Roman" w:eastAsia="宋体" w:cs="Times New Roman"/>
                      <w:color w:val="auto"/>
                      <w:sz w:val="21"/>
                      <w:szCs w:val="21"/>
                      <w:lang w:val="en-US" w:eastAsia="zh-CN"/>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70B72">
                  <w:pPr>
                    <w:spacing w:line="240" w:lineRule="auto"/>
                    <w:jc w:val="center"/>
                    <w:rPr>
                      <w:rFonts w:hint="eastAsia" w:cs="Times New Roman"/>
                      <w:color w:val="auto"/>
                      <w:sz w:val="21"/>
                      <w:szCs w:val="21"/>
                      <w:lang w:val="en-US" w:eastAsia="zh-CN"/>
                    </w:rPr>
                  </w:pPr>
                  <w:r>
                    <w:rPr>
                      <w:rFonts w:hint="eastAsia" w:cs="Times New Roman"/>
                      <w:color w:val="auto"/>
                      <w:kern w:val="2"/>
                      <w:sz w:val="21"/>
                      <w:szCs w:val="21"/>
                      <w:lang w:val="en-US" w:eastAsia="zh-CN" w:bidi="ar-SA"/>
                    </w:rPr>
                    <w:t>机加工</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AF6A2">
                  <w:pPr>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非甲烷总烃</w:t>
                  </w:r>
                </w:p>
              </w:tc>
              <w:tc>
                <w:tcPr>
                  <w:tcW w:w="2182" w:type="dxa"/>
                  <w:tcBorders>
                    <w:top w:val="single" w:color="000000" w:sz="4" w:space="0"/>
                    <w:left w:val="single" w:color="000000" w:sz="4" w:space="0"/>
                    <w:right w:val="single" w:color="000000" w:sz="4" w:space="0"/>
                  </w:tcBorders>
                  <w:shd w:val="clear" w:color="auto" w:fill="auto"/>
                  <w:noWrap w:val="0"/>
                  <w:vAlign w:val="center"/>
                </w:tcPr>
                <w:p w14:paraId="175C5380">
                  <w:pPr>
                    <w:spacing w:line="240" w:lineRule="auto"/>
                    <w:jc w:val="center"/>
                    <w:rPr>
                      <w:rFonts w:hint="eastAsia" w:ascii="Times New Roman" w:hAnsi="Times New Roman" w:cs="Times New Roman"/>
                      <w:color w:val="auto"/>
                      <w:sz w:val="21"/>
                      <w:szCs w:val="21"/>
                      <w:lang w:val="en-US" w:eastAsia="zh-CN"/>
                    </w:rPr>
                  </w:pPr>
                  <w:r>
                    <w:rPr>
                      <w:rFonts w:hint="eastAsia" w:cs="Times New Roman"/>
                      <w:color w:val="auto"/>
                      <w:kern w:val="2"/>
                      <w:sz w:val="21"/>
                      <w:szCs w:val="21"/>
                      <w:lang w:val="en-US" w:eastAsia="zh-CN" w:bidi="ar-SA"/>
                    </w:rPr>
                    <w:t>经厂房通风后无组织排放</w:t>
                  </w:r>
                </w:p>
              </w:tc>
            </w:tr>
            <w:tr w14:paraId="4929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000000" w:sz="4" w:space="0"/>
                    <w:right w:val="single" w:color="000000" w:sz="4" w:space="0"/>
                  </w:tcBorders>
                  <w:noWrap w:val="0"/>
                  <w:vAlign w:val="center"/>
                </w:tcPr>
                <w:p w14:paraId="235465D3">
                  <w:pPr>
                    <w:spacing w:line="240" w:lineRule="auto"/>
                    <w:rPr>
                      <w:rFonts w:hint="default" w:ascii="Times New Roman" w:hAnsi="Times New Roman" w:cs="Times New Roman"/>
                      <w:color w:val="auto"/>
                      <w:sz w:val="21"/>
                      <w:szCs w:val="21"/>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EBDF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组装密封废气</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59D5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G</w:t>
                  </w:r>
                  <w:r>
                    <w:rPr>
                      <w:rFonts w:hint="eastAsia" w:ascii="Times New Roman" w:hAnsi="Times New Roman" w:eastAsia="宋体" w:cs="Times New Roman"/>
                      <w:color w:val="auto"/>
                      <w:sz w:val="21"/>
                      <w:szCs w:val="21"/>
                      <w:lang w:val="en-US" w:eastAsia="zh-CN"/>
                    </w:rPr>
                    <w:t>10</w:t>
                  </w: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D290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密封</w:t>
                  </w:r>
                </w:p>
              </w:tc>
              <w:tc>
                <w:tcPr>
                  <w:tcW w:w="154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6E56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非甲烷总烃</w:t>
                  </w:r>
                </w:p>
              </w:tc>
              <w:tc>
                <w:tcPr>
                  <w:tcW w:w="2182" w:type="dxa"/>
                  <w:tcBorders>
                    <w:left w:val="single" w:color="000000" w:sz="4" w:space="0"/>
                    <w:right w:val="single" w:color="000000" w:sz="4" w:space="0"/>
                  </w:tcBorders>
                  <w:shd w:val="clear" w:color="auto" w:fill="auto"/>
                  <w:noWrap w:val="0"/>
                  <w:vAlign w:val="center"/>
                </w:tcPr>
                <w:p w14:paraId="4D27130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经厂房通风后无组织排放</w:t>
                  </w:r>
                </w:p>
              </w:tc>
            </w:tr>
            <w:tr w14:paraId="43BF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tcBorders>
                    <w:left w:val="single" w:color="auto" w:sz="4" w:space="0"/>
                    <w:right w:val="single" w:color="auto" w:sz="4" w:space="0"/>
                  </w:tcBorders>
                  <w:noWrap w:val="0"/>
                  <w:vAlign w:val="center"/>
                </w:tcPr>
                <w:p w14:paraId="29688ED5">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515" w:type="dxa"/>
                  <w:tcBorders>
                    <w:left w:val="single" w:color="000000" w:sz="4" w:space="0"/>
                    <w:right w:val="single" w:color="auto" w:sz="4" w:space="0"/>
                  </w:tcBorders>
                  <w:noWrap w:val="0"/>
                  <w:vAlign w:val="center"/>
                </w:tcPr>
                <w:p w14:paraId="096AAD5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w:t>
                  </w:r>
                  <w:r>
                    <w:rPr>
                      <w:rFonts w:hint="eastAsia" w:ascii="Times New Roman" w:hAnsi="Times New Roman" w:eastAsia="宋体" w:cs="Times New Roman"/>
                      <w:color w:val="auto"/>
                      <w:sz w:val="21"/>
                      <w:szCs w:val="21"/>
                      <w:lang w:val="en-US" w:eastAsia="zh-CN"/>
                    </w:rPr>
                    <w:t>用水</w:t>
                  </w:r>
                </w:p>
              </w:tc>
              <w:tc>
                <w:tcPr>
                  <w:tcW w:w="927" w:type="dxa"/>
                  <w:tcBorders>
                    <w:left w:val="single" w:color="auto" w:sz="4" w:space="0"/>
                    <w:right w:val="single" w:color="000000" w:sz="4" w:space="0"/>
                  </w:tcBorders>
                  <w:noWrap w:val="0"/>
                  <w:vAlign w:val="center"/>
                </w:tcPr>
                <w:p w14:paraId="11A05F2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W1</w:t>
                  </w:r>
                </w:p>
              </w:tc>
              <w:tc>
                <w:tcPr>
                  <w:tcW w:w="1103" w:type="dxa"/>
                  <w:tcBorders>
                    <w:top w:val="single" w:color="auto" w:sz="4" w:space="0"/>
                    <w:left w:val="single" w:color="000000" w:sz="4" w:space="0"/>
                    <w:bottom w:val="single" w:color="auto" w:sz="4" w:space="0"/>
                    <w:right w:val="single" w:color="000000" w:sz="4" w:space="0"/>
                  </w:tcBorders>
                  <w:noWrap w:val="0"/>
                  <w:vAlign w:val="center"/>
                </w:tcPr>
                <w:p w14:paraId="5041B81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w:t>
                  </w:r>
                  <w:r>
                    <w:rPr>
                      <w:rFonts w:hint="eastAsia" w:ascii="Times New Roman" w:hAnsi="Times New Roman" w:eastAsia="宋体" w:cs="Times New Roman"/>
                      <w:color w:val="auto"/>
                      <w:sz w:val="21"/>
                      <w:szCs w:val="21"/>
                      <w:lang w:val="en-US" w:eastAsia="zh-CN"/>
                    </w:rPr>
                    <w:t>污水</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296D4D02">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pH、</w:t>
                  </w:r>
                  <w:r>
                    <w:rPr>
                      <w:rFonts w:hint="default" w:ascii="Times New Roman" w:hAnsi="Times New Roman" w:cs="Times New Roman"/>
                      <w:color w:val="auto"/>
                      <w:sz w:val="21"/>
                      <w:szCs w:val="21"/>
                      <w:lang w:val="en-US" w:eastAsia="zh-CN"/>
                    </w:rPr>
                    <w:t>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、SS、氨氮</w:t>
                  </w:r>
                </w:p>
              </w:tc>
              <w:tc>
                <w:tcPr>
                  <w:tcW w:w="2182" w:type="dxa"/>
                  <w:tcBorders>
                    <w:top w:val="single" w:color="000000" w:sz="4" w:space="0"/>
                    <w:left w:val="single" w:color="000000" w:sz="4" w:space="0"/>
                    <w:right w:val="single" w:color="000000" w:sz="4" w:space="0"/>
                  </w:tcBorders>
                  <w:noWrap w:val="0"/>
                  <w:vAlign w:val="center"/>
                </w:tcPr>
                <w:p w14:paraId="1B3F3456">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生活污水经过</w:t>
                  </w:r>
                  <w:r>
                    <w:rPr>
                      <w:rFonts w:hint="default" w:ascii="Times New Roman" w:hAnsi="Times New Roman" w:cs="Times New Roman"/>
                      <w:color w:val="auto"/>
                      <w:sz w:val="21"/>
                      <w:szCs w:val="21"/>
                      <w:lang w:val="en-US" w:eastAsia="zh-CN"/>
                    </w:rPr>
                    <w:t>化粪池处理后</w:t>
                  </w:r>
                  <w:r>
                    <w:rPr>
                      <w:rFonts w:hint="eastAsia" w:ascii="Times New Roman" w:hAnsi="Times New Roman" w:cs="Times New Roman"/>
                      <w:color w:val="auto"/>
                      <w:sz w:val="21"/>
                      <w:szCs w:val="21"/>
                      <w:lang w:val="en-US" w:eastAsia="zh-CN"/>
                    </w:rPr>
                    <w:t>经污水管网</w:t>
                  </w:r>
                  <w:r>
                    <w:rPr>
                      <w:rFonts w:hint="default" w:ascii="Times New Roman" w:hAnsi="Times New Roman" w:cs="Times New Roman"/>
                      <w:color w:val="auto"/>
                      <w:sz w:val="21"/>
                      <w:szCs w:val="21"/>
                      <w:lang w:val="en-US" w:eastAsia="zh-CN"/>
                    </w:rPr>
                    <w:t>进入泗县工业污水处理厂进一步处理</w:t>
                  </w:r>
                </w:p>
              </w:tc>
            </w:tr>
            <w:tr w14:paraId="0CBB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tcBorders>
                    <w:left w:val="single" w:color="auto" w:sz="4" w:space="0"/>
                    <w:right w:val="single" w:color="auto" w:sz="4" w:space="0"/>
                  </w:tcBorders>
                  <w:noWrap w:val="0"/>
                  <w:vAlign w:val="center"/>
                </w:tcPr>
                <w:p w14:paraId="0D1820EC">
                  <w:pPr>
                    <w:widowControl/>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噪声</w:t>
                  </w:r>
                </w:p>
              </w:tc>
              <w:tc>
                <w:tcPr>
                  <w:tcW w:w="1515" w:type="dxa"/>
                  <w:tcBorders>
                    <w:left w:val="single" w:color="000000" w:sz="4" w:space="0"/>
                    <w:right w:val="single" w:color="auto" w:sz="4" w:space="0"/>
                  </w:tcBorders>
                  <w:noWrap w:val="0"/>
                  <w:vAlign w:val="center"/>
                </w:tcPr>
                <w:p w14:paraId="010FF6A1">
                  <w:pPr>
                    <w:spacing w:line="24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生产设备</w:t>
                  </w:r>
                </w:p>
              </w:tc>
              <w:tc>
                <w:tcPr>
                  <w:tcW w:w="927" w:type="dxa"/>
                  <w:tcBorders>
                    <w:left w:val="single" w:color="auto" w:sz="4" w:space="0"/>
                    <w:right w:val="single" w:color="000000" w:sz="4" w:space="0"/>
                  </w:tcBorders>
                  <w:noWrap w:val="0"/>
                  <w:vAlign w:val="center"/>
                </w:tcPr>
                <w:p w14:paraId="26C68872">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103" w:type="dxa"/>
                  <w:tcBorders>
                    <w:top w:val="single" w:color="auto" w:sz="4" w:space="0"/>
                    <w:left w:val="single" w:color="000000" w:sz="4" w:space="0"/>
                    <w:bottom w:val="single" w:color="auto" w:sz="4" w:space="0"/>
                    <w:right w:val="single" w:color="000000" w:sz="4" w:space="0"/>
                  </w:tcBorders>
                  <w:noWrap w:val="0"/>
                  <w:vAlign w:val="center"/>
                </w:tcPr>
                <w:p w14:paraId="0035326E">
                  <w:pPr>
                    <w:spacing w:line="240" w:lineRule="auto"/>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设备运转</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0958153C">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w:t>
                  </w:r>
                </w:p>
              </w:tc>
              <w:tc>
                <w:tcPr>
                  <w:tcW w:w="2182" w:type="dxa"/>
                  <w:tcBorders>
                    <w:top w:val="single" w:color="000000" w:sz="4" w:space="0"/>
                    <w:left w:val="single" w:color="000000" w:sz="4" w:space="0"/>
                    <w:right w:val="single" w:color="000000" w:sz="4" w:space="0"/>
                  </w:tcBorders>
                  <w:noWrap w:val="0"/>
                  <w:vAlign w:val="center"/>
                </w:tcPr>
                <w:p w14:paraId="3476E424">
                  <w:pPr>
                    <w:jc w:val="center"/>
                    <w:rPr>
                      <w:rFonts w:hint="eastAsia"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选用低噪声设备，并安装减振垫</w:t>
                  </w:r>
                </w:p>
              </w:tc>
            </w:tr>
            <w:tr w14:paraId="1EFA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restart"/>
                  <w:tcBorders>
                    <w:left w:val="single" w:color="auto" w:sz="4" w:space="0"/>
                    <w:right w:val="single" w:color="auto" w:sz="4" w:space="0"/>
                  </w:tcBorders>
                  <w:noWrap w:val="0"/>
                  <w:vAlign w:val="center"/>
                </w:tcPr>
                <w:p w14:paraId="2032ED3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515" w:type="dxa"/>
                  <w:tcBorders>
                    <w:left w:val="single" w:color="000000" w:sz="4" w:space="0"/>
                    <w:right w:val="single" w:color="auto" w:sz="4" w:space="0"/>
                  </w:tcBorders>
                  <w:noWrap w:val="0"/>
                  <w:vAlign w:val="center"/>
                </w:tcPr>
                <w:p w14:paraId="5A69020F">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27" w:type="dxa"/>
                  <w:tcBorders>
                    <w:left w:val="single" w:color="auto" w:sz="4" w:space="0"/>
                    <w:right w:val="single" w:color="000000" w:sz="4" w:space="0"/>
                  </w:tcBorders>
                  <w:noWrap w:val="0"/>
                  <w:vAlign w:val="center"/>
                </w:tcPr>
                <w:p w14:paraId="5385AC2A">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103" w:type="dxa"/>
                  <w:tcBorders>
                    <w:top w:val="single" w:color="auto" w:sz="4" w:space="0"/>
                    <w:left w:val="single" w:color="000000" w:sz="4" w:space="0"/>
                    <w:right w:val="single" w:color="000000" w:sz="4" w:space="0"/>
                  </w:tcBorders>
                  <w:noWrap w:val="0"/>
                  <w:vAlign w:val="center"/>
                </w:tcPr>
                <w:p w14:paraId="656C35A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日常生活</w:t>
                  </w:r>
                </w:p>
              </w:tc>
              <w:tc>
                <w:tcPr>
                  <w:tcW w:w="1547" w:type="dxa"/>
                  <w:tcBorders>
                    <w:top w:val="single" w:color="000000" w:sz="4" w:space="0"/>
                    <w:left w:val="single" w:color="000000" w:sz="4" w:space="0"/>
                    <w:right w:val="single" w:color="000000" w:sz="4" w:space="0"/>
                  </w:tcBorders>
                  <w:noWrap w:val="0"/>
                  <w:vAlign w:val="center"/>
                </w:tcPr>
                <w:p w14:paraId="58B2396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生活垃圾</w:t>
                  </w:r>
                </w:p>
              </w:tc>
              <w:tc>
                <w:tcPr>
                  <w:tcW w:w="2182" w:type="dxa"/>
                  <w:tcBorders>
                    <w:top w:val="single" w:color="000000" w:sz="4" w:space="0"/>
                    <w:left w:val="single" w:color="000000" w:sz="4" w:space="0"/>
                    <w:right w:val="single" w:color="000000" w:sz="4" w:space="0"/>
                  </w:tcBorders>
                  <w:noWrap w:val="0"/>
                  <w:vAlign w:val="center"/>
                </w:tcPr>
                <w:p w14:paraId="7703C78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设置垃圾桶</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定期清理</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交由环卫部门</w:t>
                  </w:r>
                </w:p>
              </w:tc>
            </w:tr>
            <w:tr w14:paraId="5975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auto" w:sz="4" w:space="0"/>
                    <w:right w:val="single" w:color="auto" w:sz="4" w:space="0"/>
                  </w:tcBorders>
                  <w:noWrap w:val="0"/>
                  <w:vAlign w:val="center"/>
                </w:tcPr>
                <w:p w14:paraId="57B66DAB">
                  <w:pPr>
                    <w:widowControl/>
                    <w:spacing w:line="240" w:lineRule="auto"/>
                    <w:jc w:val="center"/>
                    <w:rPr>
                      <w:rFonts w:hint="default" w:ascii="Times New Roman" w:hAnsi="Times New Roman" w:cs="Times New Roman"/>
                      <w:color w:val="auto"/>
                      <w:sz w:val="21"/>
                      <w:szCs w:val="21"/>
                    </w:rPr>
                  </w:pPr>
                </w:p>
              </w:tc>
              <w:tc>
                <w:tcPr>
                  <w:tcW w:w="1515" w:type="dxa"/>
                  <w:vMerge w:val="restart"/>
                  <w:tcBorders>
                    <w:left w:val="single" w:color="000000" w:sz="4" w:space="0"/>
                    <w:right w:val="single" w:color="auto" w:sz="4" w:space="0"/>
                  </w:tcBorders>
                  <w:noWrap w:val="0"/>
                  <w:vAlign w:val="center"/>
                </w:tcPr>
                <w:p w14:paraId="3FB594F2">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生产</w:t>
                  </w:r>
                  <w:r>
                    <w:rPr>
                      <w:rFonts w:hint="eastAsia" w:ascii="Times New Roman" w:hAnsi="Times New Roman" w:eastAsia="宋体" w:cs="Times New Roman"/>
                      <w:color w:val="auto"/>
                      <w:kern w:val="2"/>
                      <w:sz w:val="21"/>
                      <w:szCs w:val="21"/>
                      <w:lang w:val="en-US" w:eastAsia="zh-CN" w:bidi="ar-SA"/>
                    </w:rPr>
                    <w:t>、物料使用</w:t>
                  </w:r>
                </w:p>
              </w:tc>
              <w:tc>
                <w:tcPr>
                  <w:tcW w:w="927" w:type="dxa"/>
                  <w:vMerge w:val="restart"/>
                  <w:tcBorders>
                    <w:left w:val="single" w:color="auto" w:sz="4" w:space="0"/>
                    <w:right w:val="single" w:color="000000" w:sz="4" w:space="0"/>
                  </w:tcBorders>
                  <w:noWrap w:val="0"/>
                  <w:vAlign w:val="center"/>
                </w:tcPr>
                <w:p w14:paraId="4CC44494">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103" w:type="dxa"/>
                  <w:vMerge w:val="restart"/>
                  <w:tcBorders>
                    <w:top w:val="single" w:color="auto" w:sz="4" w:space="0"/>
                    <w:left w:val="single" w:color="000000" w:sz="4" w:space="0"/>
                    <w:right w:val="single" w:color="000000" w:sz="4" w:space="0"/>
                  </w:tcBorders>
                  <w:noWrap w:val="0"/>
                  <w:vAlign w:val="center"/>
                </w:tcPr>
                <w:p w14:paraId="541D4CE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生产</w:t>
                  </w:r>
                  <w:r>
                    <w:rPr>
                      <w:rFonts w:hint="eastAsia" w:ascii="Times New Roman" w:hAnsi="Times New Roman" w:eastAsia="宋体" w:cs="Times New Roman"/>
                      <w:color w:val="auto"/>
                      <w:kern w:val="2"/>
                      <w:sz w:val="21"/>
                      <w:szCs w:val="21"/>
                      <w:lang w:val="en-US" w:eastAsia="zh-CN" w:bidi="ar-SA"/>
                    </w:rPr>
                    <w:t>、物料使用</w:t>
                  </w: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1E865706">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废边角料、焊渣、金属沉渣、废包装材料、除尘器收集的粉尘</w:t>
                  </w:r>
                </w:p>
              </w:tc>
              <w:tc>
                <w:tcPr>
                  <w:tcW w:w="2182" w:type="dxa"/>
                  <w:tcBorders>
                    <w:left w:val="single" w:color="000000" w:sz="4" w:space="0"/>
                    <w:right w:val="single" w:color="000000" w:sz="4" w:space="0"/>
                  </w:tcBorders>
                  <w:noWrap w:val="0"/>
                  <w:vAlign w:val="center"/>
                </w:tcPr>
                <w:p w14:paraId="7CC9B309">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收集后暂存于一般固废区，定期外售至物资回收中心</w:t>
                  </w:r>
                </w:p>
              </w:tc>
            </w:tr>
            <w:tr w14:paraId="49E4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auto" w:sz="4" w:space="0"/>
                    <w:right w:val="single" w:color="auto" w:sz="4" w:space="0"/>
                  </w:tcBorders>
                  <w:noWrap w:val="0"/>
                  <w:vAlign w:val="center"/>
                </w:tcPr>
                <w:p w14:paraId="6A9A6308">
                  <w:pPr>
                    <w:widowControl/>
                    <w:spacing w:line="240" w:lineRule="auto"/>
                    <w:jc w:val="center"/>
                    <w:rPr>
                      <w:rFonts w:hint="default" w:ascii="Times New Roman" w:hAnsi="Times New Roman" w:cs="Times New Roman"/>
                      <w:color w:val="auto"/>
                      <w:sz w:val="21"/>
                      <w:szCs w:val="21"/>
                    </w:rPr>
                  </w:pPr>
                </w:p>
              </w:tc>
              <w:tc>
                <w:tcPr>
                  <w:tcW w:w="1515" w:type="dxa"/>
                  <w:vMerge w:val="continue"/>
                  <w:tcBorders>
                    <w:left w:val="single" w:color="000000" w:sz="4" w:space="0"/>
                    <w:right w:val="single" w:color="auto" w:sz="4" w:space="0"/>
                  </w:tcBorders>
                  <w:noWrap w:val="0"/>
                  <w:vAlign w:val="center"/>
                </w:tcPr>
                <w:p w14:paraId="27BC0A52">
                  <w:pPr>
                    <w:spacing w:line="240" w:lineRule="auto"/>
                    <w:jc w:val="center"/>
                    <w:rPr>
                      <w:rFonts w:hint="default" w:ascii="Times New Roman" w:hAnsi="Times New Roman" w:cs="Times New Roman"/>
                      <w:color w:val="auto"/>
                      <w:sz w:val="21"/>
                      <w:szCs w:val="21"/>
                      <w:lang w:val="en-US" w:eastAsia="zh-CN"/>
                    </w:rPr>
                  </w:pPr>
                </w:p>
              </w:tc>
              <w:tc>
                <w:tcPr>
                  <w:tcW w:w="927" w:type="dxa"/>
                  <w:vMerge w:val="continue"/>
                  <w:tcBorders>
                    <w:left w:val="single" w:color="auto" w:sz="4" w:space="0"/>
                    <w:right w:val="single" w:color="000000" w:sz="4" w:space="0"/>
                  </w:tcBorders>
                  <w:noWrap w:val="0"/>
                  <w:vAlign w:val="center"/>
                </w:tcPr>
                <w:p w14:paraId="237A1335">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1103" w:type="dxa"/>
                  <w:vMerge w:val="continue"/>
                  <w:tcBorders>
                    <w:left w:val="single" w:color="000000" w:sz="4" w:space="0"/>
                    <w:bottom w:val="single" w:color="auto" w:sz="4" w:space="0"/>
                    <w:right w:val="single" w:color="000000" w:sz="4" w:space="0"/>
                  </w:tcBorders>
                  <w:noWrap w:val="0"/>
                  <w:vAlign w:val="center"/>
                </w:tcPr>
                <w:p w14:paraId="24CB1C13">
                  <w:pPr>
                    <w:spacing w:line="240" w:lineRule="auto"/>
                    <w:jc w:val="center"/>
                    <w:rPr>
                      <w:rFonts w:hint="default" w:ascii="Times New Roman" w:hAnsi="Times New Roman" w:cs="Times New Roman"/>
                      <w:color w:val="auto"/>
                      <w:sz w:val="21"/>
                      <w:szCs w:val="21"/>
                      <w:lang w:val="en-US" w:eastAsia="zh-CN"/>
                    </w:rPr>
                  </w:pP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39EF051C">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废料、不合格品、滤筒收集的粉尘</w:t>
                  </w:r>
                </w:p>
              </w:tc>
              <w:tc>
                <w:tcPr>
                  <w:tcW w:w="2182" w:type="dxa"/>
                  <w:tcBorders>
                    <w:left w:val="single" w:color="000000" w:sz="4" w:space="0"/>
                    <w:right w:val="single" w:color="000000" w:sz="4" w:space="0"/>
                  </w:tcBorders>
                  <w:noWrap w:val="0"/>
                  <w:vAlign w:val="center"/>
                </w:tcPr>
                <w:p w14:paraId="780CF71C">
                  <w:pPr>
                    <w:spacing w:line="240" w:lineRule="auto"/>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收集后回用于生产</w:t>
                  </w:r>
                </w:p>
              </w:tc>
            </w:tr>
            <w:tr w14:paraId="3D61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vMerge w:val="continue"/>
                  <w:tcBorders>
                    <w:left w:val="single" w:color="auto" w:sz="4" w:space="0"/>
                    <w:right w:val="single" w:color="auto" w:sz="4" w:space="0"/>
                  </w:tcBorders>
                  <w:noWrap w:val="0"/>
                  <w:vAlign w:val="center"/>
                </w:tcPr>
                <w:p w14:paraId="42ED26D0">
                  <w:pPr>
                    <w:widowControl/>
                    <w:spacing w:line="240" w:lineRule="auto"/>
                    <w:jc w:val="center"/>
                    <w:rPr>
                      <w:rFonts w:hint="default" w:ascii="Times New Roman" w:hAnsi="Times New Roman" w:cs="Times New Roman"/>
                      <w:color w:val="auto"/>
                      <w:sz w:val="21"/>
                      <w:szCs w:val="21"/>
                    </w:rPr>
                  </w:pPr>
                </w:p>
              </w:tc>
              <w:tc>
                <w:tcPr>
                  <w:tcW w:w="1515" w:type="dxa"/>
                  <w:tcBorders>
                    <w:left w:val="single" w:color="000000" w:sz="4" w:space="0"/>
                    <w:right w:val="single" w:color="auto" w:sz="4" w:space="0"/>
                  </w:tcBorders>
                  <w:noWrap w:val="0"/>
                  <w:vAlign w:val="center"/>
                </w:tcPr>
                <w:p w14:paraId="6DDA3622">
                  <w:pPr>
                    <w:spacing w:line="240" w:lineRule="auto"/>
                    <w:jc w:val="center"/>
                    <w:rPr>
                      <w:rFonts w:hint="default" w:cs="Times New Roman"/>
                      <w:color w:val="auto"/>
                      <w:sz w:val="21"/>
                      <w:szCs w:val="21"/>
                      <w:lang w:val="en-US" w:eastAsia="zh-CN"/>
                    </w:rPr>
                  </w:pPr>
                </w:p>
              </w:tc>
              <w:tc>
                <w:tcPr>
                  <w:tcW w:w="927" w:type="dxa"/>
                  <w:tcBorders>
                    <w:left w:val="single" w:color="auto" w:sz="4" w:space="0"/>
                    <w:right w:val="single" w:color="000000" w:sz="4" w:space="0"/>
                  </w:tcBorders>
                  <w:noWrap w:val="0"/>
                  <w:vAlign w:val="center"/>
                </w:tcPr>
                <w:p w14:paraId="40517E8A">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1103" w:type="dxa"/>
                  <w:tcBorders>
                    <w:top w:val="single" w:color="auto" w:sz="4" w:space="0"/>
                    <w:left w:val="single" w:color="000000" w:sz="4" w:space="0"/>
                    <w:bottom w:val="single" w:color="auto" w:sz="4" w:space="0"/>
                    <w:right w:val="single" w:color="000000" w:sz="4" w:space="0"/>
                  </w:tcBorders>
                  <w:noWrap w:val="0"/>
                  <w:vAlign w:val="center"/>
                </w:tcPr>
                <w:p w14:paraId="765D1CA8">
                  <w:pPr>
                    <w:spacing w:line="240" w:lineRule="auto"/>
                    <w:jc w:val="center"/>
                    <w:rPr>
                      <w:rFonts w:hint="default" w:ascii="Times New Roman" w:hAnsi="Times New Roman" w:cs="Times New Roman"/>
                      <w:color w:val="auto"/>
                      <w:sz w:val="21"/>
                      <w:szCs w:val="21"/>
                      <w:lang w:val="en-US" w:eastAsia="zh-CN"/>
                    </w:rPr>
                  </w:pPr>
                </w:p>
              </w:tc>
              <w:tc>
                <w:tcPr>
                  <w:tcW w:w="1547" w:type="dxa"/>
                  <w:tcBorders>
                    <w:top w:val="single" w:color="000000" w:sz="4" w:space="0"/>
                    <w:left w:val="single" w:color="000000" w:sz="4" w:space="0"/>
                    <w:bottom w:val="single" w:color="000000" w:sz="4" w:space="0"/>
                    <w:right w:val="single" w:color="000000" w:sz="4" w:space="0"/>
                  </w:tcBorders>
                  <w:noWrap w:val="0"/>
                  <w:vAlign w:val="center"/>
                </w:tcPr>
                <w:p w14:paraId="5700CD71">
                  <w:pPr>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底渣、废清洗液、废包装桶、废胶及包装物、废活性炭、废切削液、废切削液桶、废润滑油、废润滑油桶</w:t>
                  </w:r>
                </w:p>
              </w:tc>
              <w:tc>
                <w:tcPr>
                  <w:tcW w:w="2182" w:type="dxa"/>
                  <w:tcBorders>
                    <w:left w:val="single" w:color="000000" w:sz="4" w:space="0"/>
                    <w:right w:val="single" w:color="000000" w:sz="4" w:space="0"/>
                  </w:tcBorders>
                  <w:noWrap w:val="0"/>
                  <w:vAlign w:val="center"/>
                </w:tcPr>
                <w:p w14:paraId="04CC5D37">
                  <w:pPr>
                    <w:spacing w:line="240" w:lineRule="auto"/>
                    <w:jc w:val="center"/>
                    <w:rPr>
                      <w:rFonts w:hint="default" w:cs="Times New Roman"/>
                      <w:color w:val="auto"/>
                      <w:kern w:val="2"/>
                      <w:sz w:val="21"/>
                      <w:szCs w:val="21"/>
                      <w:lang w:val="en-US" w:eastAsia="zh-CN" w:bidi="ar-SA"/>
                    </w:rPr>
                  </w:pPr>
                  <w:r>
                    <w:rPr>
                      <w:rFonts w:hint="eastAsia" w:cs="Times New Roman"/>
                      <w:color w:val="auto"/>
                      <w:sz w:val="21"/>
                      <w:szCs w:val="21"/>
                      <w:lang w:val="en-US" w:eastAsia="zh-CN"/>
                    </w:rPr>
                    <w:t>收集后暂存于危险废物暂存间，定期委托有资质的单位进行处置</w:t>
                  </w:r>
                </w:p>
              </w:tc>
            </w:tr>
          </w:tbl>
          <w:p w14:paraId="66E4EA8E">
            <w:pPr>
              <w:pStyle w:val="12"/>
              <w:rPr>
                <w:color w:val="000000" w:themeColor="text1"/>
                <w14:textFill>
                  <w14:solidFill>
                    <w14:schemeClr w14:val="tx1"/>
                  </w14:solidFill>
                </w14:textFill>
              </w:rPr>
            </w:pPr>
          </w:p>
        </w:tc>
      </w:tr>
      <w:tr w14:paraId="7E56B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7" w:type="dxa"/>
            <w:vAlign w:val="center"/>
          </w:tcPr>
          <w:p w14:paraId="6017CDD5">
            <w:pPr>
              <w:pStyle w:val="26"/>
              <w:adjustRightInd w:val="0"/>
              <w:snapToGrid w:val="0"/>
              <w:spacing w:before="0" w:beforeAutospacing="0" w:after="0" w:afterAutospacing="0" w:line="240" w:lineRule="auto"/>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8197" w:type="dxa"/>
          </w:tcPr>
          <w:p w14:paraId="0D8D6308">
            <w:pPr>
              <w:pStyle w:val="4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p>
          <w:p w14:paraId="17FACC05">
            <w:pPr>
              <w:pStyle w:val="4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Autospacing="0" w:after="0" w:afterAutospacing="0" w:line="360" w:lineRule="auto"/>
              <w:ind w:left="0" w:right="0" w:firstLine="480" w:firstLineChars="200"/>
              <w:jc w:val="left"/>
              <w:textAlignment w:val="auto"/>
              <w:rPr>
                <w:rFonts w:hint="default"/>
                <w:szCs w:val="22"/>
                <w:highlight w:val="none"/>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本</w:t>
            </w:r>
            <w:r>
              <w:rPr>
                <w:rFonts w:hint="default" w:ascii="Times New Roman" w:hAnsi="Times New Roman" w:cs="Times New Roman"/>
                <w:color w:val="000000" w:themeColor="text1"/>
                <w:sz w:val="24"/>
                <w:szCs w:val="24"/>
                <w:lang w:val="en-US" w:eastAsia="zh-CN"/>
                <w14:textFill>
                  <w14:solidFill>
                    <w14:schemeClr w14:val="tx1"/>
                  </w14:solidFill>
                </w14:textFill>
              </w:rPr>
              <w:t>项目为新建项目，</w:t>
            </w:r>
            <w:r>
              <w:rPr>
                <w:rFonts w:hint="eastAsia"/>
                <w:color w:val="000000" w:themeColor="text1"/>
                <w:sz w:val="24"/>
                <w:szCs w:val="24"/>
                <w:lang w:val="en-US" w:eastAsia="zh-CN"/>
                <w14:textFill>
                  <w14:solidFill>
                    <w14:schemeClr w14:val="tx1"/>
                  </w14:solidFill>
                </w14:textFill>
              </w:rPr>
              <w:t>租赁</w:t>
            </w:r>
            <w:r>
              <w:rPr>
                <w:rFonts w:hint="eastAsia"/>
                <w:color w:val="000000" w:themeColor="text1"/>
                <w:sz w:val="24"/>
                <w:lang w:val="en-US" w:eastAsia="zh-CN"/>
                <w14:textFill>
                  <w14:solidFill>
                    <w14:schemeClr w14:val="tx1"/>
                  </w14:solidFill>
                </w14:textFill>
              </w:rPr>
              <w:t>泗县强宇体育设施公司2#厂房</w:t>
            </w:r>
            <w:r>
              <w:rPr>
                <w:rFonts w:hint="eastAsia"/>
                <w:color w:val="000000" w:themeColor="text1"/>
                <w:highlight w:val="none"/>
                <w:lang w:val="en-US" w:eastAsia="zh-CN"/>
                <w14:textFill>
                  <w14:solidFill>
                    <w14:schemeClr w14:val="tx1"/>
                  </w14:solidFill>
                </w14:textFill>
              </w:rPr>
              <w:t>，该厂房原先租赁给安徽好派文化体育用品股份有限公司，</w:t>
            </w:r>
            <w:r>
              <w:rPr>
                <w:rFonts w:hint="eastAsia"/>
                <w:bCs/>
                <w:szCs w:val="24"/>
                <w:highlight w:val="none"/>
                <w:lang w:eastAsia="zh-CN"/>
              </w:rPr>
              <w:t>安徽好派文化体育用品股份有限公司年产35万台（套）智能麻将机及零配件生产项目</w:t>
            </w:r>
            <w:r>
              <w:rPr>
                <w:rFonts w:hint="eastAsia"/>
                <w:szCs w:val="22"/>
                <w:highlight w:val="none"/>
                <w:lang w:val="en-US" w:eastAsia="zh-CN"/>
              </w:rPr>
              <w:t>已由泗</w:t>
            </w:r>
            <w:r>
              <w:rPr>
                <w:rFonts w:hint="eastAsia" w:cs="Times New Roman"/>
                <w:lang w:val="en-US" w:eastAsia="zh-CN"/>
              </w:rPr>
              <w:t>县发展和改革委员会予以备案（项目代码：2105-341324-04-01846138）</w:t>
            </w:r>
            <w:r>
              <w:rPr>
                <w:rFonts w:hint="eastAsia"/>
                <w:szCs w:val="22"/>
                <w:highlight w:val="none"/>
                <w:lang w:val="en-US" w:eastAsia="zh-CN"/>
              </w:rPr>
              <w:t>，并由宿州市生态环境局通过《宿州市生态环境局关于安徽好派文化体育用品股份有限公司年产35万台（套）智能麻将机及零配件生产项目环境影响报告书审批意见的函》（宿环建函【2024】16号）予以审批，该项目目前已经搬走。</w:t>
            </w:r>
          </w:p>
          <w:p w14:paraId="35503101">
            <w:pPr>
              <w:pStyle w:val="4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Autospacing="0" w:after="0" w:afterAutospacing="0" w:line="360" w:lineRule="auto"/>
              <w:ind w:right="0" w:firstLine="480" w:firstLineChars="200"/>
              <w:jc w:val="left"/>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本项目租赁时厂房闲置，内部无生产设备且已打扫干净，</w:t>
            </w:r>
            <w:r>
              <w:rPr>
                <w:rFonts w:hint="default" w:ascii="Times New Roman" w:hAnsi="Times New Roman" w:cs="Times New Roman"/>
                <w:color w:val="000000" w:themeColor="text1"/>
                <w:sz w:val="24"/>
                <w:szCs w:val="24"/>
                <w:lang w:val="en-US" w:eastAsia="zh-CN"/>
                <w14:textFill>
                  <w14:solidFill>
                    <w14:schemeClr w14:val="tx1"/>
                  </w14:solidFill>
                </w14:textFill>
              </w:rPr>
              <w:t>不存在与本项目相关的原有污染情况及主要环境问题。</w:t>
            </w:r>
          </w:p>
          <w:p w14:paraId="78FE7975">
            <w:pPr>
              <w:pStyle w:val="46"/>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Autospacing="0" w:after="0" w:afterAutospacing="0" w:line="360" w:lineRule="auto"/>
              <w:ind w:left="0" w:right="0" w:firstLine="480" w:firstLineChars="200"/>
              <w:jc w:val="left"/>
              <w:textAlignment w:val="auto"/>
              <w:rPr>
                <w:rFonts w:hint="default"/>
                <w:bCs/>
                <w:color w:val="000000" w:themeColor="text1"/>
                <w:lang w:val="en-US"/>
                <w14:textFill>
                  <w14:solidFill>
                    <w14:schemeClr w14:val="tx1"/>
                  </w14:solidFill>
                </w14:textFill>
              </w:rPr>
            </w:pPr>
          </w:p>
        </w:tc>
      </w:tr>
    </w:tbl>
    <w:p w14:paraId="31C8212E">
      <w:pPr>
        <w:pStyle w:val="26"/>
        <w:jc w:val="both"/>
        <w:rPr>
          <w:rFonts w:ascii="Times New Roman" w:hAnsi="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14:paraId="61FE78B4">
      <w:pPr>
        <w:pStyle w:val="26"/>
        <w:ind w:firstLine="1205" w:firstLineChars="400"/>
        <w:jc w:val="both"/>
        <w:outlineLvl w:val="0"/>
        <w:rPr>
          <w:rFonts w:hint="eastAsia" w:ascii="宋体" w:hAnsi="宋体" w:eastAsia="宋体" w:cs="宋体"/>
          <w:b/>
          <w:bCs/>
          <w:snapToGrid w:val="0"/>
          <w:color w:val="000000" w:themeColor="text1"/>
          <w:sz w:val="30"/>
          <w:szCs w:val="30"/>
          <w14:textFill>
            <w14:solidFill>
              <w14:schemeClr w14:val="tx1"/>
            </w14:solidFill>
          </w14:textFill>
        </w:rPr>
      </w:pPr>
      <w:r>
        <w:rPr>
          <w:rFonts w:hint="eastAsia" w:ascii="宋体" w:hAnsi="宋体" w:eastAsia="宋体" w:cs="宋体"/>
          <w:b/>
          <w:bCs/>
          <w:snapToGrid w:val="0"/>
          <w:color w:val="000000" w:themeColor="text1"/>
          <w:sz w:val="30"/>
          <w:szCs w:val="30"/>
          <w14:textFill>
            <w14:solidFill>
              <w14:schemeClr w14:val="tx1"/>
            </w14:solidFill>
          </w14:textFill>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8240"/>
      </w:tblGrid>
      <w:tr w14:paraId="223CC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21" w:type="dxa"/>
            <w:vAlign w:val="center"/>
          </w:tcPr>
          <w:p w14:paraId="47B80E38">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区域</w:t>
            </w:r>
          </w:p>
          <w:p w14:paraId="7F4088EF">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w:t>
            </w:r>
          </w:p>
          <w:p w14:paraId="43E10010">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质量</w:t>
            </w:r>
          </w:p>
          <w:p w14:paraId="206D190F">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现状</w:t>
            </w:r>
          </w:p>
        </w:tc>
        <w:tc>
          <w:tcPr>
            <w:tcW w:w="8240" w:type="dxa"/>
            <w:vAlign w:val="center"/>
          </w:tcPr>
          <w:p w14:paraId="6DFB6ED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建设项目所在地区域环境质量现状及主要环境问题（环境空气、地面水、地下水、声环境、生态环境等）</w:t>
            </w:r>
          </w:p>
          <w:p w14:paraId="67692E94">
            <w:p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1、环境空气质量现状</w:t>
            </w:r>
          </w:p>
          <w:p w14:paraId="614F9943">
            <w:pPr>
              <w:adjustRightInd/>
              <w:snapToGrid/>
              <w:spacing w:line="360" w:lineRule="auto"/>
              <w:ind w:firstLine="482" w:firstLineChars="200"/>
              <w:rPr>
                <w:color w:val="000000" w:themeColor="text1"/>
                <w14:textFill>
                  <w14:solidFill>
                    <w14:schemeClr w14:val="tx1"/>
                  </w14:solidFill>
                </w14:textFill>
              </w:rPr>
            </w:pPr>
            <w:r>
              <w:rPr>
                <w:b/>
                <w:bCs/>
                <w:color w:val="000000" w:themeColor="text1"/>
                <w:sz w:val="24"/>
                <w14:textFill>
                  <w14:solidFill>
                    <w14:schemeClr w14:val="tx1"/>
                  </w14:solidFill>
                </w14:textFill>
              </w:rPr>
              <w:t>（1）达标区判定</w:t>
            </w:r>
          </w:p>
          <w:p w14:paraId="57FA2E6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根据《环境空气质量模型技术支持服务系统》对区域达标情况进行判定，宿州市202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年均浓度分别为6</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71</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；CO 24小时平均第95百分位数为</w:t>
            </w:r>
            <w:r>
              <w:rPr>
                <w:rFonts w:hint="eastAsia" w:ascii="Times New Roman" w:hAnsi="Times New Roman" w:eastAsia="宋体" w:cs="Times New Roman"/>
                <w:color w:val="auto"/>
                <w:sz w:val="24"/>
                <w:szCs w:val="24"/>
                <w:lang w:val="en-US" w:eastAsia="zh-CN"/>
              </w:rPr>
              <w:t>0.9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日最大8小时平均第90百分位数为1</w:t>
            </w:r>
            <w:r>
              <w:rPr>
                <w:rFonts w:hint="eastAsia"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；超过《环境空气质量标准》（GB3095-2012）中二级标准限值的污染物为PM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。宿州市202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年环境空气质量基础污染物监测浓度见下表</w:t>
            </w:r>
            <w:r>
              <w:rPr>
                <w:rFonts w:hint="default" w:ascii="Times New Roman" w:hAnsi="Times New Roman" w:eastAsia="宋体" w:cs="Times New Roman"/>
                <w:color w:val="auto"/>
                <w:sz w:val="24"/>
                <w:szCs w:val="24"/>
                <w:lang w:eastAsia="zh-CN"/>
              </w:rPr>
              <w:t>。</w:t>
            </w:r>
          </w:p>
          <w:p w14:paraId="49EBFAD6">
            <w:pPr>
              <w:pStyle w:val="9"/>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-1 区域基本污染物环境质量现状评价表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855"/>
              <w:gridCol w:w="1256"/>
              <w:gridCol w:w="1275"/>
              <w:gridCol w:w="1247"/>
              <w:gridCol w:w="1336"/>
            </w:tblGrid>
            <w:tr w14:paraId="133B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14:paraId="47CADEF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 w:val="21"/>
                      <w:szCs w:val="21"/>
                    </w:rPr>
                    <w:t>污染物</w:t>
                  </w:r>
                </w:p>
              </w:tc>
              <w:tc>
                <w:tcPr>
                  <w:tcW w:w="1923" w:type="dxa"/>
                  <w:vAlign w:val="center"/>
                </w:tcPr>
                <w:p w14:paraId="6CC662D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 w:val="21"/>
                      <w:szCs w:val="21"/>
                    </w:rPr>
                    <w:t>评价标准</w:t>
                  </w:r>
                </w:p>
              </w:tc>
              <w:tc>
                <w:tcPr>
                  <w:tcW w:w="1299" w:type="dxa"/>
                  <w:vAlign w:val="center"/>
                </w:tcPr>
                <w:p w14:paraId="384406E7">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 w:val="21"/>
                      <w:szCs w:val="21"/>
                    </w:rPr>
                    <w:t>年均浓度（μg/m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1319" w:type="dxa"/>
                  <w:vAlign w:val="center"/>
                </w:tcPr>
                <w:p w14:paraId="49FAE2BD">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 w:val="21"/>
                      <w:szCs w:val="21"/>
                    </w:rPr>
                    <w:t>标准值（μg/m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1290" w:type="dxa"/>
                  <w:vAlign w:val="center"/>
                </w:tcPr>
                <w:p w14:paraId="3404C41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 w:val="21"/>
                      <w:szCs w:val="21"/>
                    </w:rPr>
                    <w:t>占标率</w:t>
                  </w:r>
                  <w:r>
                    <w:rPr>
                      <w:rFonts w:hint="eastAsia"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w:t>
                  </w:r>
                  <w:r>
                    <w:rPr>
                      <w:rFonts w:hint="eastAsia" w:ascii="Times New Roman" w:hAnsi="Times New Roman" w:eastAsia="宋体" w:cs="Times New Roman"/>
                      <w:b/>
                      <w:bCs/>
                      <w:color w:val="auto"/>
                      <w:kern w:val="0"/>
                      <w:sz w:val="21"/>
                      <w:szCs w:val="21"/>
                      <w:lang w:eastAsia="zh-CN"/>
                    </w:rPr>
                    <w:t>）</w:t>
                  </w:r>
                </w:p>
              </w:tc>
              <w:tc>
                <w:tcPr>
                  <w:tcW w:w="1383" w:type="dxa"/>
                  <w:vAlign w:val="center"/>
                </w:tcPr>
                <w:p w14:paraId="1E767DB0">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 w:val="21"/>
                      <w:szCs w:val="21"/>
                    </w:rPr>
                    <w:t>达标情况</w:t>
                  </w:r>
                </w:p>
              </w:tc>
            </w:tr>
            <w:tr w14:paraId="5D8B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14:paraId="13F39D64">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PM</w:t>
                  </w:r>
                  <w:r>
                    <w:rPr>
                      <w:rFonts w:hint="default" w:ascii="Times New Roman" w:hAnsi="Times New Roman" w:eastAsia="宋体" w:cs="Times New Roman"/>
                      <w:color w:val="auto"/>
                      <w:kern w:val="0"/>
                      <w:sz w:val="21"/>
                      <w:szCs w:val="21"/>
                      <w:vertAlign w:val="subscript"/>
                    </w:rPr>
                    <w:t>10</w:t>
                  </w:r>
                </w:p>
              </w:tc>
              <w:tc>
                <w:tcPr>
                  <w:tcW w:w="1923" w:type="dxa"/>
                  <w:vAlign w:val="center"/>
                </w:tcPr>
                <w:p w14:paraId="1C1DC0F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年平均浓度</w:t>
                  </w:r>
                </w:p>
              </w:tc>
              <w:tc>
                <w:tcPr>
                  <w:tcW w:w="1299" w:type="dxa"/>
                  <w:vAlign w:val="center"/>
                </w:tcPr>
                <w:p w14:paraId="5CF76A10">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rPr>
                    <w:t>71</w:t>
                  </w:r>
                </w:p>
              </w:tc>
              <w:tc>
                <w:tcPr>
                  <w:tcW w:w="1319" w:type="dxa"/>
                  <w:vAlign w:val="center"/>
                </w:tcPr>
                <w:p w14:paraId="66E1B1DF">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70</w:t>
                  </w:r>
                </w:p>
              </w:tc>
              <w:tc>
                <w:tcPr>
                  <w:tcW w:w="1290" w:type="dxa"/>
                  <w:vAlign w:val="center"/>
                </w:tcPr>
                <w:p w14:paraId="5181371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101.4</w:t>
                  </w:r>
                </w:p>
              </w:tc>
              <w:tc>
                <w:tcPr>
                  <w:tcW w:w="1383" w:type="dxa"/>
                  <w:vAlign w:val="center"/>
                </w:tcPr>
                <w:p w14:paraId="7EE937D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不达标</w:t>
                  </w:r>
                </w:p>
              </w:tc>
            </w:tr>
            <w:tr w14:paraId="0224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14:paraId="3F6A7D1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PM</w:t>
                  </w:r>
                  <w:r>
                    <w:rPr>
                      <w:rFonts w:hint="default" w:ascii="Times New Roman" w:hAnsi="Times New Roman" w:eastAsia="宋体" w:cs="Times New Roman"/>
                      <w:color w:val="auto"/>
                      <w:kern w:val="0"/>
                      <w:sz w:val="21"/>
                      <w:szCs w:val="21"/>
                      <w:vertAlign w:val="subscript"/>
                    </w:rPr>
                    <w:t>2.5</w:t>
                  </w:r>
                </w:p>
              </w:tc>
              <w:tc>
                <w:tcPr>
                  <w:tcW w:w="1923" w:type="dxa"/>
                  <w:vAlign w:val="center"/>
                </w:tcPr>
                <w:p w14:paraId="4015398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年平均浓度</w:t>
                  </w:r>
                </w:p>
              </w:tc>
              <w:tc>
                <w:tcPr>
                  <w:tcW w:w="1299" w:type="dxa"/>
                  <w:vAlign w:val="center"/>
                </w:tcPr>
                <w:p w14:paraId="3F36C3EB">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rPr>
                    <w:t>43</w:t>
                  </w:r>
                </w:p>
              </w:tc>
              <w:tc>
                <w:tcPr>
                  <w:tcW w:w="1319" w:type="dxa"/>
                  <w:vAlign w:val="center"/>
                </w:tcPr>
                <w:p w14:paraId="6B0876F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35</w:t>
                  </w:r>
                </w:p>
              </w:tc>
              <w:tc>
                <w:tcPr>
                  <w:tcW w:w="1290" w:type="dxa"/>
                  <w:vAlign w:val="center"/>
                </w:tcPr>
                <w:p w14:paraId="14CC7FA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122.9</w:t>
                  </w:r>
                </w:p>
              </w:tc>
              <w:tc>
                <w:tcPr>
                  <w:tcW w:w="1383" w:type="dxa"/>
                  <w:vAlign w:val="center"/>
                </w:tcPr>
                <w:p w14:paraId="003A1332">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不达标</w:t>
                  </w:r>
                </w:p>
              </w:tc>
            </w:tr>
            <w:tr w14:paraId="5FF1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14:paraId="2693BC06">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SO</w:t>
                  </w:r>
                  <w:r>
                    <w:rPr>
                      <w:rFonts w:hint="default" w:ascii="Times New Roman" w:hAnsi="Times New Roman" w:eastAsia="宋体" w:cs="Times New Roman"/>
                      <w:color w:val="auto"/>
                      <w:kern w:val="0"/>
                      <w:sz w:val="21"/>
                      <w:szCs w:val="21"/>
                      <w:vertAlign w:val="subscript"/>
                    </w:rPr>
                    <w:t>2</w:t>
                  </w:r>
                </w:p>
              </w:tc>
              <w:tc>
                <w:tcPr>
                  <w:tcW w:w="1923" w:type="dxa"/>
                  <w:vAlign w:val="center"/>
                </w:tcPr>
                <w:p w14:paraId="02B49D9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年平均浓度</w:t>
                  </w:r>
                </w:p>
              </w:tc>
              <w:tc>
                <w:tcPr>
                  <w:tcW w:w="1299" w:type="dxa"/>
                  <w:vAlign w:val="center"/>
                </w:tcPr>
                <w:p w14:paraId="65F8DC6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6</w:t>
                  </w:r>
                </w:p>
              </w:tc>
              <w:tc>
                <w:tcPr>
                  <w:tcW w:w="1319" w:type="dxa"/>
                  <w:vAlign w:val="center"/>
                </w:tcPr>
                <w:p w14:paraId="0C3F7E03">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60</w:t>
                  </w:r>
                </w:p>
              </w:tc>
              <w:tc>
                <w:tcPr>
                  <w:tcW w:w="1290" w:type="dxa"/>
                  <w:vAlign w:val="center"/>
                </w:tcPr>
                <w:p w14:paraId="37C7068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383" w:type="dxa"/>
                  <w:vAlign w:val="center"/>
                </w:tcPr>
                <w:p w14:paraId="7A788CD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达标</w:t>
                  </w:r>
                </w:p>
              </w:tc>
            </w:tr>
            <w:tr w14:paraId="33F8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14:paraId="7E040BF4">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NO</w:t>
                  </w:r>
                  <w:r>
                    <w:rPr>
                      <w:rFonts w:hint="default" w:ascii="Times New Roman" w:hAnsi="Times New Roman" w:eastAsia="宋体" w:cs="Times New Roman"/>
                      <w:color w:val="auto"/>
                      <w:kern w:val="0"/>
                      <w:sz w:val="21"/>
                      <w:szCs w:val="21"/>
                      <w:vertAlign w:val="subscript"/>
                    </w:rPr>
                    <w:t>2</w:t>
                  </w:r>
                </w:p>
              </w:tc>
              <w:tc>
                <w:tcPr>
                  <w:tcW w:w="1923" w:type="dxa"/>
                  <w:vAlign w:val="center"/>
                </w:tcPr>
                <w:p w14:paraId="690DC438">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年平均浓度</w:t>
                  </w:r>
                </w:p>
              </w:tc>
              <w:tc>
                <w:tcPr>
                  <w:tcW w:w="1299" w:type="dxa"/>
                  <w:vAlign w:val="center"/>
                </w:tcPr>
                <w:p w14:paraId="55FAFCCE">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rPr>
                    <w:t>18</w:t>
                  </w:r>
                </w:p>
              </w:tc>
              <w:tc>
                <w:tcPr>
                  <w:tcW w:w="1319" w:type="dxa"/>
                  <w:vAlign w:val="center"/>
                </w:tcPr>
                <w:p w14:paraId="0DD641B2">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40</w:t>
                  </w:r>
                </w:p>
              </w:tc>
              <w:tc>
                <w:tcPr>
                  <w:tcW w:w="1290" w:type="dxa"/>
                  <w:vAlign w:val="center"/>
                </w:tcPr>
                <w:p w14:paraId="75AE018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45.0</w:t>
                  </w:r>
                </w:p>
              </w:tc>
              <w:tc>
                <w:tcPr>
                  <w:tcW w:w="1383" w:type="dxa"/>
                  <w:vAlign w:val="center"/>
                </w:tcPr>
                <w:p w14:paraId="4D108A3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达标</w:t>
                  </w:r>
                </w:p>
              </w:tc>
            </w:tr>
            <w:tr w14:paraId="541B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14:paraId="45CF6FBD">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CO</w:t>
                  </w:r>
                </w:p>
              </w:tc>
              <w:tc>
                <w:tcPr>
                  <w:tcW w:w="1923" w:type="dxa"/>
                  <w:vAlign w:val="center"/>
                </w:tcPr>
                <w:p w14:paraId="1F72935C">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日平均第95百分位质量浓度</w:t>
                  </w:r>
                </w:p>
              </w:tc>
              <w:tc>
                <w:tcPr>
                  <w:tcW w:w="1299" w:type="dxa"/>
                  <w:vAlign w:val="center"/>
                </w:tcPr>
                <w:p w14:paraId="7D5A735C">
                  <w:pPr>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 w:val="21"/>
                      <w:szCs w:val="21"/>
                      <w:lang w:val="en-US" w:eastAsia="zh-CN"/>
                    </w:rPr>
                    <w:t>0.9</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319" w:type="dxa"/>
                  <w:vAlign w:val="center"/>
                </w:tcPr>
                <w:p w14:paraId="46B0E6AB">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4mg/m</w:t>
                  </w:r>
                  <w:r>
                    <w:rPr>
                      <w:rFonts w:hint="default" w:ascii="Times New Roman" w:hAnsi="Times New Roman" w:eastAsia="宋体" w:cs="Times New Roman"/>
                      <w:color w:val="auto"/>
                      <w:kern w:val="0"/>
                      <w:sz w:val="21"/>
                      <w:szCs w:val="21"/>
                      <w:vertAlign w:val="superscript"/>
                    </w:rPr>
                    <w:t>3</w:t>
                  </w:r>
                </w:p>
              </w:tc>
              <w:tc>
                <w:tcPr>
                  <w:tcW w:w="1290" w:type="dxa"/>
                  <w:vAlign w:val="center"/>
                </w:tcPr>
                <w:p w14:paraId="32809EB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383" w:type="dxa"/>
                  <w:vAlign w:val="center"/>
                </w:tcPr>
                <w:p w14:paraId="67A4AF50">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达标</w:t>
                  </w:r>
                </w:p>
              </w:tc>
            </w:tr>
            <w:tr w14:paraId="6963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9" w:type="dxa"/>
                  <w:vAlign w:val="center"/>
                </w:tcPr>
                <w:p w14:paraId="03177761">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O</w:t>
                  </w:r>
                  <w:r>
                    <w:rPr>
                      <w:rFonts w:hint="default" w:ascii="Times New Roman" w:hAnsi="Times New Roman" w:eastAsia="宋体" w:cs="Times New Roman"/>
                      <w:color w:val="auto"/>
                      <w:kern w:val="0"/>
                      <w:sz w:val="21"/>
                      <w:szCs w:val="21"/>
                      <w:vertAlign w:val="subscript"/>
                    </w:rPr>
                    <w:t>3</w:t>
                  </w:r>
                </w:p>
              </w:tc>
              <w:tc>
                <w:tcPr>
                  <w:tcW w:w="1923" w:type="dxa"/>
                  <w:vAlign w:val="center"/>
                </w:tcPr>
                <w:p w14:paraId="46801B66">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日最大8小时平均第90百分位质量浓度</w:t>
                  </w:r>
                </w:p>
              </w:tc>
              <w:tc>
                <w:tcPr>
                  <w:tcW w:w="1299" w:type="dxa"/>
                  <w:vAlign w:val="center"/>
                </w:tcPr>
                <w:p w14:paraId="789A3700">
                  <w:pPr>
                    <w:adjustRightInd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1"/>
                      <w:szCs w:val="21"/>
                      <w:lang w:val="en-US" w:eastAsia="zh-CN"/>
                    </w:rPr>
                    <w:t>170</w:t>
                  </w:r>
                </w:p>
              </w:tc>
              <w:tc>
                <w:tcPr>
                  <w:tcW w:w="1319" w:type="dxa"/>
                  <w:vAlign w:val="center"/>
                </w:tcPr>
                <w:p w14:paraId="15FCC8EE">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160</w:t>
                  </w:r>
                </w:p>
              </w:tc>
              <w:tc>
                <w:tcPr>
                  <w:tcW w:w="1290" w:type="dxa"/>
                  <w:vAlign w:val="center"/>
                </w:tcPr>
                <w:p w14:paraId="4C022E3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106.3</w:t>
                  </w:r>
                </w:p>
              </w:tc>
              <w:tc>
                <w:tcPr>
                  <w:tcW w:w="1383" w:type="dxa"/>
                  <w:vAlign w:val="center"/>
                </w:tcPr>
                <w:p w14:paraId="3E12B234">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1"/>
                      <w:szCs w:val="21"/>
                    </w:rPr>
                    <w:t>不达标</w:t>
                  </w:r>
                </w:p>
              </w:tc>
            </w:tr>
          </w:tbl>
          <w:p w14:paraId="1ABB828F">
            <w:pPr>
              <w:adjustRightInd w:val="0"/>
              <w:snapToGrid w:val="0"/>
              <w:spacing w:before="156" w:beforeLines="5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针对基本污染物不达标问题，宿州市人民政府决定采取措施进行区域整改，具体整改措施如下：在加大调整产业结构、强化环境监督、综合整治面源污染的同时，进一步完善工业污染源治理，取缔分散居民燃煤锅炉的使用，加强施工临时堆土管理及车辆运输管理；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两高”行业产能；强化“散乱污”企业综合整治；深化工业污染治理；大力培育绿色环保产业；加快调整能源结构，构建清洁低碳高效能源体系；积极调整运输结构，发展绿色交通体系等，采取以上措施，使宿州市区域环境空气质量大大改善。</w:t>
            </w:r>
          </w:p>
          <w:p w14:paraId="22896EFD">
            <w:pPr>
              <w:pStyle w:val="75"/>
              <w:adjustRightInd w:val="0"/>
              <w:snapToGrid w:val="0"/>
              <w:spacing w:line="360" w:lineRule="auto"/>
              <w:ind w:firstLine="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eastAsia="zh-CN"/>
                <w14:textFill>
                  <w14:solidFill>
                    <w14:schemeClr w14:val="tx1"/>
                  </w14:solidFill>
                </w14:textFill>
              </w:rPr>
              <w:t>（</w:t>
            </w:r>
            <w:r>
              <w:rPr>
                <w:rFonts w:hint="eastAsia" w:cs="Times New Roman"/>
                <w:b/>
                <w:bCs/>
                <w:color w:val="000000" w:themeColor="text1"/>
                <w:sz w:val="24"/>
                <w:szCs w:val="24"/>
                <w:lang w:val="en-US" w:eastAsia="zh-CN"/>
                <w14:textFill>
                  <w14:solidFill>
                    <w14:schemeClr w14:val="tx1"/>
                  </w14:solidFill>
                </w14:textFill>
              </w:rPr>
              <w:t>2</w:t>
            </w:r>
            <w:r>
              <w:rPr>
                <w:rFonts w:hint="eastAsia" w:cs="Times New Roman"/>
                <w:b/>
                <w:bCs/>
                <w:color w:val="000000" w:themeColor="text1"/>
                <w:sz w:val="24"/>
                <w:szCs w:val="24"/>
                <w:lang w:eastAsia="zh-CN"/>
                <w14:textFill>
                  <w14:solidFill>
                    <w14:schemeClr w14:val="tx1"/>
                  </w14:solidFill>
                </w14:textFill>
              </w:rPr>
              <w:t>）</w:t>
            </w:r>
            <w:r>
              <w:rPr>
                <w:rFonts w:cs="Times New Roman"/>
                <w:b/>
                <w:bCs/>
                <w:color w:val="000000" w:themeColor="text1"/>
                <w:sz w:val="24"/>
                <w:szCs w:val="24"/>
                <w14:textFill>
                  <w14:solidFill>
                    <w14:schemeClr w14:val="tx1"/>
                  </w14:solidFill>
                </w14:textFill>
              </w:rPr>
              <w:t>引用监测（TSP）：</w:t>
            </w:r>
          </w:p>
          <w:p w14:paraId="47736D83">
            <w:pPr>
              <w:pStyle w:val="75"/>
              <w:keepNext w:val="0"/>
              <w:keepLines w:val="0"/>
              <w:pageBreakBefore w:val="0"/>
              <w:widowControl w:val="0"/>
              <w:kinsoku/>
              <w:wordWrap/>
              <w:overflowPunct/>
              <w:topLinePunct w:val="0"/>
              <w:autoSpaceDE/>
              <w:autoSpaceDN/>
              <w:bidi w:val="0"/>
              <w:adjustRightInd w:val="0"/>
              <w:snapToGrid w:val="0"/>
              <w:spacing w:line="360" w:lineRule="auto"/>
              <w:ind w:firstLineChars="200"/>
              <w:textAlignment w:val="auto"/>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根据《建设项目环境影响报告表编制技术指南（污染影响类）》（试行）可知，排放国家、地方环境空气质量标准中有标准限值要求的特征污染物时，引用建设项目周边5千米范围内近3年的现有监测数据，无相关数据的选择当季主导风向下风向1个点位补充不少于3天的监测数据。</w:t>
            </w:r>
          </w:p>
          <w:p w14:paraId="3D946CC4">
            <w:pPr>
              <w:autoSpaceDE w:val="0"/>
              <w:autoSpaceDN w:val="0"/>
              <w:adjustRightInd w:val="0"/>
              <w:snapToGrid w:val="0"/>
              <w:spacing w:line="360" w:lineRule="auto"/>
              <w:ind w:firstLine="480" w:firstLineChars="200"/>
              <w:rPr>
                <w:color w:val="000000"/>
              </w:rPr>
            </w:pPr>
            <w:r>
              <w:rPr>
                <w:rFonts w:hint="eastAsia" w:ascii="Times New Roman" w:hAnsi="Times New Roman" w:eastAsia="宋体" w:cs="Times New Roman"/>
                <w:color w:val="000000" w:themeColor="text1"/>
                <w:sz w:val="24"/>
                <w:szCs w:val="24"/>
                <w14:textFill>
                  <w14:solidFill>
                    <w14:schemeClr w14:val="tx1"/>
                  </w14:solidFill>
                </w14:textFill>
              </w:rPr>
              <w:t>本</w:t>
            </w:r>
            <w:r>
              <w:rPr>
                <w:color w:val="000000"/>
              </w:rPr>
              <w:t>项目</w:t>
            </w:r>
            <w:r>
              <w:rPr>
                <w:rFonts w:hint="eastAsia"/>
                <w:color w:val="000000"/>
                <w:lang w:val="en-US" w:eastAsia="zh-CN"/>
              </w:rPr>
              <w:t>TSP日均值</w:t>
            </w:r>
            <w:r>
              <w:rPr>
                <w:color w:val="000000"/>
              </w:rPr>
              <w:t>大气环境现状监测引用</w:t>
            </w:r>
            <w:r>
              <w:t>《</w:t>
            </w:r>
            <w:r>
              <w:rPr>
                <w:rFonts w:hint="eastAsia"/>
              </w:rPr>
              <w:t>泗县凌冰工贸有限公司年产1.5万吨功能性塑料母料项目环境质量现状监测</w:t>
            </w:r>
            <w:r>
              <w:t>报告》</w:t>
            </w:r>
            <w:r>
              <w:rPr>
                <w:color w:val="000000"/>
              </w:rPr>
              <w:t>中监测数据</w:t>
            </w:r>
            <w:r>
              <w:t>。</w:t>
            </w:r>
            <w:r>
              <w:rPr>
                <w:color w:val="000000"/>
              </w:rPr>
              <w:t>监测时间为</w:t>
            </w:r>
            <w:r>
              <w:t>202</w:t>
            </w:r>
            <w:r>
              <w:rPr>
                <w:rFonts w:hint="eastAsia"/>
                <w:lang w:val="en-US" w:eastAsia="zh-CN"/>
              </w:rPr>
              <w:t>3</w:t>
            </w:r>
            <w:r>
              <w:t>年</w:t>
            </w:r>
            <w:r>
              <w:rPr>
                <w:rFonts w:hint="eastAsia"/>
                <w:lang w:val="en-US" w:eastAsia="zh-CN"/>
              </w:rPr>
              <w:t>4</w:t>
            </w:r>
            <w:r>
              <w:t>月</w:t>
            </w:r>
            <w:r>
              <w:rPr>
                <w:rFonts w:hint="eastAsia"/>
                <w:lang w:val="en-US" w:eastAsia="zh-CN"/>
              </w:rPr>
              <w:t>1</w:t>
            </w:r>
            <w:r>
              <w:rPr>
                <w:rFonts w:hint="eastAsia"/>
              </w:rPr>
              <w:t>5</w:t>
            </w:r>
            <w:r>
              <w:t>日~202</w:t>
            </w:r>
            <w:r>
              <w:rPr>
                <w:rFonts w:hint="eastAsia"/>
                <w:lang w:val="en-US" w:eastAsia="zh-CN"/>
              </w:rPr>
              <w:t>3</w:t>
            </w:r>
            <w:r>
              <w:t>年</w:t>
            </w:r>
            <w:r>
              <w:rPr>
                <w:rFonts w:hint="eastAsia"/>
                <w:lang w:val="en-US" w:eastAsia="zh-CN"/>
              </w:rPr>
              <w:t>4</w:t>
            </w:r>
            <w:r>
              <w:t>月</w:t>
            </w:r>
            <w:r>
              <w:rPr>
                <w:rFonts w:hint="eastAsia"/>
                <w:lang w:val="en-US" w:eastAsia="zh-CN"/>
              </w:rPr>
              <w:t>22</w:t>
            </w:r>
            <w:r>
              <w:t>日</w:t>
            </w:r>
            <w:r>
              <w:rPr>
                <w:rFonts w:hint="eastAsia"/>
              </w:rPr>
              <w:t>。引用数据监测位点为</w:t>
            </w:r>
            <w:r>
              <w:rPr>
                <w:rFonts w:hint="eastAsia"/>
                <w:lang w:val="en-US" w:eastAsia="zh-CN"/>
              </w:rPr>
              <w:t>凌冰项目所在地</w:t>
            </w:r>
            <w:r>
              <w:rPr>
                <w:rFonts w:hint="eastAsia"/>
              </w:rPr>
              <w:t>，</w:t>
            </w:r>
            <w:r>
              <w:rPr>
                <w:rFonts w:hint="eastAsia"/>
                <w:color w:val="000000"/>
                <w:lang w:val="en-US" w:eastAsia="zh-CN"/>
              </w:rPr>
              <w:t>泗县凌冰工贸有限公司</w:t>
            </w:r>
            <w:r>
              <w:rPr>
                <w:color w:val="000000"/>
              </w:rPr>
              <w:t>监测点位</w:t>
            </w:r>
            <w:r>
              <w:rPr>
                <w:rFonts w:hint="eastAsia"/>
                <w:color w:val="000000"/>
                <w:lang w:val="en-US" w:eastAsia="zh-CN"/>
              </w:rPr>
              <w:t>位于</w:t>
            </w:r>
            <w:r>
              <w:rPr>
                <w:color w:val="000000"/>
              </w:rPr>
              <w:t>本项目</w:t>
            </w:r>
            <w:r>
              <w:rPr>
                <w:rFonts w:hint="eastAsia"/>
                <w:color w:val="000000"/>
                <w:lang w:val="en-US" w:eastAsia="zh-CN"/>
              </w:rPr>
              <w:t>西北447</w:t>
            </w:r>
            <w:r>
              <w:rPr>
                <w:rFonts w:hint="eastAsia"/>
                <w:color w:val="000000"/>
              </w:rPr>
              <w:t>m。</w:t>
            </w:r>
            <w:r>
              <w:rPr>
                <w:color w:val="000000"/>
              </w:rPr>
              <w:t>根据《</w:t>
            </w:r>
            <w:r>
              <w:rPr>
                <w:rFonts w:hint="eastAsia"/>
                <w:color w:val="000000"/>
              </w:rPr>
              <w:t>建设项目环境影响报告表编制技术指南</w:t>
            </w:r>
            <w:r>
              <w:rPr>
                <w:color w:val="000000"/>
              </w:rPr>
              <w:t>》</w:t>
            </w:r>
            <w:r>
              <w:rPr>
                <w:rFonts w:hint="eastAsia"/>
                <w:color w:val="000000"/>
              </w:rPr>
              <w:t>（污染影响类）（试行）</w:t>
            </w:r>
            <w:r>
              <w:rPr>
                <w:color w:val="000000"/>
              </w:rPr>
              <w:t>要求，本项目环境质量现状监测引用该项目现状监测数据是可行的。</w:t>
            </w:r>
          </w:p>
          <w:p w14:paraId="0E6BB381">
            <w:pPr>
              <w:widowControl/>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（1）监测点布设</w:t>
            </w:r>
          </w:p>
          <w:p w14:paraId="3DE521B4">
            <w:pPr>
              <w:pStyle w:val="75"/>
              <w:spacing w:line="360" w:lineRule="auto"/>
              <w:ind w:firstLine="482"/>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监测布点位置分别见</w:t>
            </w:r>
            <w:r>
              <w:rPr>
                <w:rFonts w:hint="eastAsia" w:cs="Times New Roman"/>
                <w:color w:val="000000" w:themeColor="text1"/>
                <w:sz w:val="24"/>
                <w:szCs w:val="24"/>
                <w14:textFill>
                  <w14:solidFill>
                    <w14:schemeClr w14:val="tx1"/>
                  </w14:solidFill>
                </w14:textFill>
              </w:rPr>
              <w:t>下</w:t>
            </w:r>
            <w:r>
              <w:rPr>
                <w:rFonts w:cs="Times New Roman"/>
                <w:color w:val="000000" w:themeColor="text1"/>
                <w:sz w:val="24"/>
                <w:szCs w:val="24"/>
                <w14:textFill>
                  <w14:solidFill>
                    <w14:schemeClr w14:val="tx1"/>
                  </w14:solidFill>
                </w14:textFill>
              </w:rPr>
              <w:t>表。</w:t>
            </w:r>
          </w:p>
          <w:p w14:paraId="208357E7">
            <w:pPr>
              <w:pStyle w:val="75"/>
              <w:ind w:firstLine="0"/>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表3</w:t>
            </w:r>
            <w:r>
              <w:rPr>
                <w:rFonts w:hint="eastAsia" w:cs="Times New Roman"/>
                <w:b/>
                <w:color w:val="000000" w:themeColor="text1"/>
                <w:sz w:val="24"/>
                <w:szCs w:val="24"/>
                <w:lang w:val="en-US" w:eastAsia="zh-CN"/>
                <w14:textFill>
                  <w14:solidFill>
                    <w14:schemeClr w14:val="tx1"/>
                  </w14:solidFill>
                </w14:textFill>
              </w:rPr>
              <w:t>-</w:t>
            </w:r>
            <w:r>
              <w:rPr>
                <w:rFonts w:hint="eastAsia" w:cs="Times New Roman"/>
                <w:b/>
                <w:color w:val="000000" w:themeColor="text1"/>
                <w:sz w:val="24"/>
                <w:szCs w:val="24"/>
                <w14:textFill>
                  <w14:solidFill>
                    <w14:schemeClr w14:val="tx1"/>
                  </w14:solidFill>
                </w14:textFill>
              </w:rPr>
              <w:t>2</w:t>
            </w:r>
            <w:r>
              <w:rPr>
                <w:rFonts w:cs="Times New Roman"/>
                <w:b/>
                <w:color w:val="000000" w:themeColor="text1"/>
                <w:sz w:val="24"/>
                <w:szCs w:val="24"/>
                <w14:textFill>
                  <w14:solidFill>
                    <w14:schemeClr w14:val="tx1"/>
                  </w14:solidFill>
                </w14:textFill>
              </w:rPr>
              <w:t xml:space="preserve"> </w:t>
            </w:r>
            <w:r>
              <w:rPr>
                <w:rFonts w:hint="eastAsia" w:cs="Times New Roman"/>
                <w:b/>
                <w:color w:val="000000" w:themeColor="text1"/>
                <w:sz w:val="24"/>
                <w:szCs w:val="24"/>
                <w:lang w:val="en-US" w:eastAsia="zh-CN"/>
                <w14:textFill>
                  <w14:solidFill>
                    <w14:schemeClr w14:val="tx1"/>
                  </w14:solidFill>
                </w14:textFill>
              </w:rPr>
              <w:t xml:space="preserve"> </w:t>
            </w:r>
            <w:r>
              <w:rPr>
                <w:rFonts w:cs="Times New Roman"/>
                <w:b/>
                <w:color w:val="000000" w:themeColor="text1"/>
                <w:sz w:val="24"/>
                <w:szCs w:val="24"/>
                <w14:textFill>
                  <w14:solidFill>
                    <w14:schemeClr w14:val="tx1"/>
                  </w14:solidFill>
                </w14:textFill>
              </w:rPr>
              <w:t>环境空气质量监测布点</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1987"/>
              <w:gridCol w:w="1818"/>
              <w:gridCol w:w="1850"/>
            </w:tblGrid>
            <w:tr w14:paraId="56B9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0" w:type="pct"/>
                  <w:vAlign w:val="center"/>
                </w:tcPr>
                <w:p w14:paraId="46663DDA">
                  <w:pPr>
                    <w:jc w:val="center"/>
                    <w:rPr>
                      <w:b/>
                      <w:bCs/>
                      <w:color w:val="000000"/>
                      <w:sz w:val="21"/>
                      <w:szCs w:val="21"/>
                    </w:rPr>
                  </w:pPr>
                  <w:r>
                    <w:rPr>
                      <w:b/>
                      <w:bCs/>
                      <w:color w:val="000000"/>
                      <w:sz w:val="21"/>
                      <w:szCs w:val="21"/>
                    </w:rPr>
                    <w:t>测点名称</w:t>
                  </w:r>
                </w:p>
              </w:tc>
              <w:tc>
                <w:tcPr>
                  <w:tcW w:w="1240" w:type="pct"/>
                  <w:vAlign w:val="center"/>
                </w:tcPr>
                <w:p w14:paraId="715BF91F">
                  <w:pPr>
                    <w:jc w:val="center"/>
                    <w:rPr>
                      <w:b/>
                      <w:bCs/>
                      <w:color w:val="000000"/>
                      <w:sz w:val="21"/>
                      <w:szCs w:val="21"/>
                    </w:rPr>
                  </w:pPr>
                  <w:r>
                    <w:rPr>
                      <w:b/>
                      <w:bCs/>
                      <w:color w:val="000000"/>
                      <w:sz w:val="21"/>
                      <w:szCs w:val="21"/>
                    </w:rPr>
                    <w:t>监测项目</w:t>
                  </w:r>
                </w:p>
              </w:tc>
              <w:tc>
                <w:tcPr>
                  <w:tcW w:w="1134" w:type="pct"/>
                  <w:vAlign w:val="center"/>
                </w:tcPr>
                <w:p w14:paraId="708402BD">
                  <w:pPr>
                    <w:jc w:val="center"/>
                    <w:rPr>
                      <w:b/>
                      <w:bCs/>
                      <w:color w:val="000000"/>
                      <w:sz w:val="21"/>
                      <w:szCs w:val="21"/>
                    </w:rPr>
                  </w:pPr>
                  <w:r>
                    <w:rPr>
                      <w:b/>
                      <w:color w:val="000000"/>
                      <w:sz w:val="21"/>
                      <w:szCs w:val="21"/>
                      <w:lang w:bidi="ar"/>
                    </w:rPr>
                    <w:t>相对厂址方位</w:t>
                  </w:r>
                </w:p>
              </w:tc>
              <w:tc>
                <w:tcPr>
                  <w:tcW w:w="1154" w:type="pct"/>
                  <w:vAlign w:val="center"/>
                </w:tcPr>
                <w:p w14:paraId="6234F59D">
                  <w:pPr>
                    <w:jc w:val="center"/>
                    <w:rPr>
                      <w:b/>
                      <w:bCs/>
                      <w:color w:val="000000"/>
                      <w:sz w:val="21"/>
                      <w:szCs w:val="21"/>
                    </w:rPr>
                  </w:pPr>
                  <w:r>
                    <w:rPr>
                      <w:b/>
                      <w:color w:val="000000"/>
                      <w:sz w:val="21"/>
                      <w:szCs w:val="21"/>
                      <w:lang w:bidi="ar"/>
                    </w:rPr>
                    <w:t>相对厂址距离</w:t>
                  </w:r>
                </w:p>
              </w:tc>
            </w:tr>
            <w:tr w14:paraId="540B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0" w:type="pct"/>
                  <w:vAlign w:val="center"/>
                </w:tcPr>
                <w:p w14:paraId="290134DC">
                  <w:pPr>
                    <w:jc w:val="center"/>
                    <w:rPr>
                      <w:color w:val="000000"/>
                      <w:sz w:val="21"/>
                      <w:szCs w:val="21"/>
                    </w:rPr>
                  </w:pPr>
                  <w:r>
                    <w:rPr>
                      <w:rFonts w:hint="eastAsia"/>
                      <w:color w:val="000000"/>
                      <w:kern w:val="0"/>
                      <w:sz w:val="21"/>
                      <w:szCs w:val="21"/>
                      <w:lang w:val="en-US" w:eastAsia="zh-CN" w:bidi="ar"/>
                    </w:rPr>
                    <w:t>泗县凌冰工贸有限公司</w:t>
                  </w:r>
                </w:p>
              </w:tc>
              <w:tc>
                <w:tcPr>
                  <w:tcW w:w="1240" w:type="pct"/>
                  <w:vAlign w:val="center"/>
                </w:tcPr>
                <w:p w14:paraId="6E679A67">
                  <w:pPr>
                    <w:jc w:val="center"/>
                    <w:rPr>
                      <w:rFonts w:hint="default" w:eastAsia="宋体"/>
                      <w:color w:val="000000"/>
                      <w:sz w:val="21"/>
                      <w:szCs w:val="21"/>
                      <w:lang w:val="en-US" w:eastAsia="zh-CN"/>
                    </w:rPr>
                  </w:pPr>
                  <w:r>
                    <w:rPr>
                      <w:rFonts w:hint="eastAsia"/>
                      <w:color w:val="000000"/>
                      <w:kern w:val="0"/>
                      <w:sz w:val="21"/>
                      <w:szCs w:val="21"/>
                      <w:lang w:val="en-US" w:eastAsia="zh-CN" w:bidi="ar"/>
                    </w:rPr>
                    <w:t>TSP</w:t>
                  </w:r>
                </w:p>
              </w:tc>
              <w:tc>
                <w:tcPr>
                  <w:tcW w:w="1134" w:type="pct"/>
                  <w:vAlign w:val="center"/>
                </w:tcPr>
                <w:p w14:paraId="0D2E443F">
                  <w:pPr>
                    <w:jc w:val="center"/>
                    <w:rPr>
                      <w:rFonts w:hint="eastAsia" w:eastAsia="宋体"/>
                      <w:color w:val="000000"/>
                      <w:kern w:val="0"/>
                      <w:sz w:val="21"/>
                      <w:szCs w:val="21"/>
                      <w:lang w:val="en-US" w:eastAsia="zh-CN" w:bidi="ar"/>
                    </w:rPr>
                  </w:pPr>
                  <w:r>
                    <w:rPr>
                      <w:rFonts w:hint="eastAsia"/>
                      <w:color w:val="000000"/>
                      <w:kern w:val="0"/>
                      <w:sz w:val="21"/>
                      <w:szCs w:val="21"/>
                      <w:lang w:val="en-US" w:eastAsia="zh-CN" w:bidi="ar"/>
                    </w:rPr>
                    <w:t>西北</w:t>
                  </w:r>
                </w:p>
              </w:tc>
              <w:tc>
                <w:tcPr>
                  <w:tcW w:w="1154" w:type="pct"/>
                  <w:vAlign w:val="center"/>
                </w:tcPr>
                <w:p w14:paraId="46BFE3F7">
                  <w:pPr>
                    <w:jc w:val="center"/>
                    <w:rPr>
                      <w:color w:val="000000"/>
                      <w:kern w:val="0"/>
                      <w:sz w:val="21"/>
                      <w:szCs w:val="21"/>
                      <w:lang w:bidi="ar"/>
                    </w:rPr>
                  </w:pPr>
                  <w:r>
                    <w:rPr>
                      <w:rFonts w:hint="eastAsia"/>
                      <w:color w:val="000000"/>
                      <w:sz w:val="21"/>
                      <w:szCs w:val="21"/>
                      <w:lang w:val="en-US" w:eastAsia="zh-CN" w:bidi="ar"/>
                    </w:rPr>
                    <w:t>447</w:t>
                  </w:r>
                  <w:r>
                    <w:rPr>
                      <w:color w:val="000000"/>
                      <w:sz w:val="21"/>
                      <w:szCs w:val="21"/>
                      <w:lang w:bidi="ar"/>
                    </w:rPr>
                    <w:t>m</w:t>
                  </w:r>
                </w:p>
              </w:tc>
            </w:tr>
          </w:tbl>
          <w:p w14:paraId="50B858BF">
            <w:pPr>
              <w:pStyle w:val="7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（2）监测项目</w:t>
            </w:r>
          </w:p>
          <w:p w14:paraId="4B8EC36B">
            <w:pPr>
              <w:pStyle w:val="75"/>
              <w:spacing w:line="360" w:lineRule="auto"/>
              <w:ind w:firstLine="482"/>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监测项目为</w:t>
            </w:r>
            <w:r>
              <w:rPr>
                <w:rFonts w:hint="eastAsia" w:cs="Times New Roman"/>
                <w:color w:val="000000" w:themeColor="text1"/>
                <w:sz w:val="24"/>
                <w:szCs w:val="24"/>
                <w14:textFill>
                  <w14:solidFill>
                    <w14:schemeClr w14:val="tx1"/>
                  </w14:solidFill>
                </w14:textFill>
              </w:rPr>
              <w:t>TSP</w:t>
            </w:r>
            <w:r>
              <w:rPr>
                <w:rFonts w:cs="Times New Roman"/>
                <w:color w:val="000000" w:themeColor="text1"/>
                <w:sz w:val="24"/>
                <w:szCs w:val="24"/>
                <w14:textFill>
                  <w14:solidFill>
                    <w14:schemeClr w14:val="tx1"/>
                  </w14:solidFill>
                </w14:textFill>
              </w:rPr>
              <w:t>，同步采集有关气温、气压、风向、风速等常规气象参数。</w:t>
            </w:r>
          </w:p>
          <w:p w14:paraId="0A22B632">
            <w:pPr>
              <w:pStyle w:val="75"/>
              <w:spacing w:line="360" w:lineRule="auto"/>
              <w:ind w:firstLine="482"/>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（3）监测结果</w:t>
            </w:r>
          </w:p>
          <w:p w14:paraId="41E241D0">
            <w:pPr>
              <w:pStyle w:val="75"/>
              <w:spacing w:line="360" w:lineRule="auto"/>
              <w:ind w:firstLine="482"/>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大气污染物监测结果见</w:t>
            </w:r>
            <w:r>
              <w:rPr>
                <w:rFonts w:hint="eastAsia" w:cs="Times New Roman"/>
                <w:color w:val="000000" w:themeColor="text1"/>
                <w:sz w:val="24"/>
                <w:szCs w:val="24"/>
                <w14:textFill>
                  <w14:solidFill>
                    <w14:schemeClr w14:val="tx1"/>
                  </w14:solidFill>
                </w14:textFill>
              </w:rPr>
              <w:t>下</w:t>
            </w:r>
            <w:r>
              <w:rPr>
                <w:rFonts w:cs="Times New Roman"/>
                <w:color w:val="000000" w:themeColor="text1"/>
                <w:sz w:val="24"/>
                <w:szCs w:val="24"/>
                <w14:textFill>
                  <w14:solidFill>
                    <w14:schemeClr w14:val="tx1"/>
                  </w14:solidFill>
                </w14:textFill>
              </w:rPr>
              <w:t>表。</w:t>
            </w:r>
          </w:p>
          <w:p w14:paraId="15C5BED0">
            <w:pPr>
              <w:pStyle w:val="75"/>
              <w:ind w:firstLine="0"/>
              <w:jc w:val="center"/>
              <w:rPr>
                <w:rFonts w:cs="Times New Roman"/>
                <w:b/>
                <w:color w:val="000000" w:themeColor="text1"/>
                <w:sz w:val="24"/>
                <w:szCs w:val="24"/>
                <w14:textFill>
                  <w14:solidFill>
                    <w14:schemeClr w14:val="tx1"/>
                  </w14:solidFill>
                </w14:textFill>
              </w:rPr>
            </w:pPr>
            <w:r>
              <w:rPr>
                <w:rFonts w:cs="Times New Roman"/>
                <w:b/>
                <w:color w:val="000000" w:themeColor="text1"/>
                <w:sz w:val="24"/>
                <w:szCs w:val="24"/>
                <w14:textFill>
                  <w14:solidFill>
                    <w14:schemeClr w14:val="tx1"/>
                  </w14:solidFill>
                </w14:textFill>
              </w:rPr>
              <w:t>表3</w:t>
            </w:r>
            <w:r>
              <w:rPr>
                <w:rFonts w:hint="eastAsia" w:cs="Times New Roman"/>
                <w:b/>
                <w:color w:val="000000" w:themeColor="text1"/>
                <w:sz w:val="24"/>
                <w:szCs w:val="24"/>
                <w:lang w:val="en-US" w:eastAsia="zh-CN"/>
                <w14:textFill>
                  <w14:solidFill>
                    <w14:schemeClr w14:val="tx1"/>
                  </w14:solidFill>
                </w14:textFill>
              </w:rPr>
              <w:t>-</w:t>
            </w:r>
            <w:r>
              <w:rPr>
                <w:rFonts w:hint="eastAsia" w:cs="Times New Roman"/>
                <w:b/>
                <w:color w:val="000000" w:themeColor="text1"/>
                <w:sz w:val="24"/>
                <w:szCs w:val="24"/>
                <w14:textFill>
                  <w14:solidFill>
                    <w14:schemeClr w14:val="tx1"/>
                  </w14:solidFill>
                </w14:textFill>
              </w:rPr>
              <w:t>3</w:t>
            </w:r>
            <w:r>
              <w:rPr>
                <w:rFonts w:hint="eastAsia" w:cs="Times New Roman"/>
                <w:b/>
                <w:color w:val="000000" w:themeColor="text1"/>
                <w:sz w:val="24"/>
                <w:szCs w:val="24"/>
                <w:lang w:val="en-US" w:eastAsia="zh-CN"/>
                <w14:textFill>
                  <w14:solidFill>
                    <w14:schemeClr w14:val="tx1"/>
                  </w14:solidFill>
                </w14:textFill>
              </w:rPr>
              <w:t xml:space="preserve"> </w:t>
            </w:r>
            <w:r>
              <w:rPr>
                <w:rFonts w:cs="Times New Roman"/>
                <w:b/>
                <w:color w:val="000000" w:themeColor="text1"/>
                <w:sz w:val="24"/>
                <w:szCs w:val="24"/>
                <w14:textFill>
                  <w14:solidFill>
                    <w14:schemeClr w14:val="tx1"/>
                  </w14:solidFill>
                </w14:textFill>
              </w:rPr>
              <w:t xml:space="preserve"> </w:t>
            </w:r>
            <w:r>
              <w:rPr>
                <w:rFonts w:hint="eastAsia" w:cs="Times New Roman"/>
                <w:b/>
                <w:color w:val="000000" w:themeColor="text1"/>
                <w:sz w:val="24"/>
                <w:szCs w:val="24"/>
                <w14:textFill>
                  <w14:solidFill>
                    <w14:schemeClr w14:val="tx1"/>
                  </w14:solidFill>
                </w14:textFill>
              </w:rPr>
              <w:t>大气污染物</w:t>
            </w:r>
            <w:r>
              <w:rPr>
                <w:rFonts w:cs="Times New Roman"/>
                <w:b/>
                <w:color w:val="000000" w:themeColor="text1"/>
                <w:sz w:val="24"/>
                <w:szCs w:val="24"/>
                <w14:textFill>
                  <w14:solidFill>
                    <w14:schemeClr w14:val="tx1"/>
                  </w14:solidFill>
                </w14:textFill>
              </w:rPr>
              <w:t>监测结果一览表</w:t>
            </w:r>
          </w:p>
          <w:tbl>
            <w:tblPr>
              <w:tblStyle w:val="11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7"/>
              <w:gridCol w:w="821"/>
              <w:gridCol w:w="896"/>
              <w:gridCol w:w="896"/>
              <w:gridCol w:w="902"/>
              <w:gridCol w:w="896"/>
              <w:gridCol w:w="896"/>
              <w:gridCol w:w="896"/>
              <w:gridCol w:w="902"/>
            </w:tblGrid>
            <w:tr w14:paraId="0EAF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196" w:type="pct"/>
                  <w:gridSpan w:val="4"/>
                  <w:vAlign w:val="center"/>
                </w:tcPr>
                <w:p w14:paraId="1C1084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采样日期：2023年4月15日～4月22日</w:t>
                  </w:r>
                </w:p>
              </w:tc>
              <w:tc>
                <w:tcPr>
                  <w:tcW w:w="2803" w:type="pct"/>
                  <w:gridSpan w:val="5"/>
                  <w:vAlign w:val="center"/>
                </w:tcPr>
                <w:p w14:paraId="1C6C8D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spacing w:val="0"/>
                      <w:sz w:val="21"/>
                      <w:szCs w:val="21"/>
                    </w:rPr>
                  </w:pPr>
                  <w:r>
                    <w:rPr>
                      <w:rFonts w:hint="default" w:ascii="Times New Roman" w:hAnsi="Times New Roman" w:eastAsia="宋体" w:cs="Times New Roman"/>
                      <w:b/>
                      <w:bCs/>
                      <w:spacing w:val="0"/>
                      <w:sz w:val="21"/>
                      <w:szCs w:val="21"/>
                    </w:rPr>
                    <w:t>检测日期：2023年4月20日～4月25日</w:t>
                  </w:r>
                </w:p>
              </w:tc>
            </w:tr>
            <w:tr w14:paraId="2E08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6" w:type="pct"/>
                  <w:vMerge w:val="restart"/>
                  <w:vAlign w:val="center"/>
                </w:tcPr>
                <w:p w14:paraId="75FA2D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检测地点</w:t>
                  </w:r>
                </w:p>
              </w:tc>
              <w:tc>
                <w:tcPr>
                  <w:tcW w:w="512" w:type="pct"/>
                  <w:vMerge w:val="restart"/>
                  <w:vAlign w:val="center"/>
                </w:tcPr>
                <w:p w14:paraId="09FCEE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检测</w:t>
                  </w:r>
                </w:p>
                <w:p w14:paraId="3FA65E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项目</w:t>
                  </w:r>
                </w:p>
              </w:tc>
              <w:tc>
                <w:tcPr>
                  <w:tcW w:w="3921" w:type="pct"/>
                  <w:gridSpan w:val="7"/>
                  <w:vAlign w:val="center"/>
                </w:tcPr>
                <w:p w14:paraId="36AAA6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val="0"/>
                      <w:bCs w:val="0"/>
                      <w:spacing w:val="0"/>
                      <w:sz w:val="21"/>
                      <w:szCs w:val="21"/>
                      <w:lang w:eastAsia="zh-CN"/>
                    </w:rPr>
                  </w:pPr>
                  <w:r>
                    <w:rPr>
                      <w:rFonts w:hint="default" w:ascii="Times New Roman" w:hAnsi="Times New Roman" w:eastAsia="宋体" w:cs="Times New Roman"/>
                      <w:b w:val="0"/>
                      <w:bCs w:val="0"/>
                      <w:spacing w:val="0"/>
                      <w:sz w:val="21"/>
                      <w:szCs w:val="21"/>
                    </w:rPr>
                    <w:t>检测结果</w:t>
                  </w:r>
                  <w:r>
                    <w:rPr>
                      <w:rFonts w:hint="eastAsia" w:cs="Times New Roman"/>
                      <w:b w:val="0"/>
                      <w:bCs w:val="0"/>
                      <w:spacing w:val="0"/>
                      <w:sz w:val="21"/>
                      <w:szCs w:val="21"/>
                      <w:lang w:eastAsia="zh-CN"/>
                    </w:rPr>
                    <w:t>（</w:t>
                  </w:r>
                  <w:r>
                    <w:rPr>
                      <w:rFonts w:hint="default" w:ascii="Times New Roman" w:hAnsi="Times New Roman" w:eastAsia="宋体" w:cs="Times New Roman"/>
                      <w:b w:val="0"/>
                      <w:bCs w:val="0"/>
                      <w:spacing w:val="0"/>
                      <w:sz w:val="21"/>
                      <w:szCs w:val="21"/>
                      <w:lang w:val="en-US" w:eastAsia="zh-CN"/>
                    </w:rPr>
                    <w:t>μ</w:t>
                  </w:r>
                  <w:r>
                    <w:rPr>
                      <w:rFonts w:hint="default" w:ascii="Times New Roman" w:hAnsi="Times New Roman" w:eastAsia="宋体" w:cs="Times New Roman"/>
                      <w:b w:val="0"/>
                      <w:bCs w:val="0"/>
                      <w:spacing w:val="0"/>
                      <w:sz w:val="21"/>
                      <w:szCs w:val="21"/>
                    </w:rPr>
                    <w:t>g/m</w:t>
                  </w:r>
                  <w:r>
                    <w:rPr>
                      <w:rFonts w:hint="eastAsia" w:ascii="Times New Roman" w:hAnsi="Times New Roman" w:eastAsia="宋体" w:cs="Times New Roman"/>
                      <w:b w:val="0"/>
                      <w:bCs w:val="0"/>
                      <w:spacing w:val="0"/>
                      <w:sz w:val="21"/>
                      <w:szCs w:val="21"/>
                      <w:vertAlign w:val="superscript"/>
                      <w:lang w:val="en-US" w:eastAsia="zh-CN"/>
                    </w:rPr>
                    <w:t>3</w:t>
                  </w:r>
                  <w:r>
                    <w:rPr>
                      <w:rFonts w:hint="eastAsia" w:cs="Times New Roman"/>
                      <w:b w:val="0"/>
                      <w:bCs w:val="0"/>
                      <w:spacing w:val="0"/>
                      <w:sz w:val="21"/>
                      <w:szCs w:val="21"/>
                      <w:lang w:eastAsia="zh-CN"/>
                    </w:rPr>
                    <w:t>）</w:t>
                  </w:r>
                </w:p>
              </w:tc>
            </w:tr>
            <w:tr w14:paraId="78CA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6" w:type="pct"/>
                  <w:vMerge w:val="continue"/>
                  <w:vAlign w:val="center"/>
                </w:tcPr>
                <w:p w14:paraId="559CBC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spacing w:val="0"/>
                      <w:sz w:val="21"/>
                      <w:szCs w:val="21"/>
                    </w:rPr>
                  </w:pPr>
                </w:p>
              </w:tc>
              <w:tc>
                <w:tcPr>
                  <w:tcW w:w="512" w:type="pct"/>
                  <w:vMerge w:val="continue"/>
                  <w:vAlign w:val="center"/>
                </w:tcPr>
                <w:p w14:paraId="711FA3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val="0"/>
                      <w:bCs w:val="0"/>
                      <w:spacing w:val="0"/>
                      <w:sz w:val="21"/>
                      <w:szCs w:val="21"/>
                    </w:rPr>
                  </w:pPr>
                </w:p>
              </w:tc>
              <w:tc>
                <w:tcPr>
                  <w:tcW w:w="559" w:type="pct"/>
                  <w:vAlign w:val="center"/>
                </w:tcPr>
                <w:p w14:paraId="58067B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4月15日</w:t>
                  </w:r>
                </w:p>
                <w:p w14:paraId="0D8D3B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-16日</w:t>
                  </w:r>
                </w:p>
              </w:tc>
              <w:tc>
                <w:tcPr>
                  <w:tcW w:w="559" w:type="pct"/>
                  <w:vAlign w:val="center"/>
                </w:tcPr>
                <w:p w14:paraId="1B4DB7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4月16日</w:t>
                  </w:r>
                </w:p>
                <w:p w14:paraId="100B6D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-17日</w:t>
                  </w:r>
                </w:p>
              </w:tc>
              <w:tc>
                <w:tcPr>
                  <w:tcW w:w="563" w:type="pct"/>
                  <w:vAlign w:val="center"/>
                </w:tcPr>
                <w:p w14:paraId="390598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4月17日</w:t>
                  </w:r>
                </w:p>
                <w:p w14:paraId="06954A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-18日</w:t>
                  </w:r>
                </w:p>
              </w:tc>
              <w:tc>
                <w:tcPr>
                  <w:tcW w:w="559" w:type="pct"/>
                  <w:vAlign w:val="center"/>
                </w:tcPr>
                <w:p w14:paraId="583DA7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4月18日</w:t>
                  </w:r>
                </w:p>
                <w:p w14:paraId="1D78F0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-19日</w:t>
                  </w:r>
                </w:p>
              </w:tc>
              <w:tc>
                <w:tcPr>
                  <w:tcW w:w="559" w:type="pct"/>
                  <w:vAlign w:val="center"/>
                </w:tcPr>
                <w:p w14:paraId="75D838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4月19日</w:t>
                  </w:r>
                </w:p>
                <w:p w14:paraId="7B6F55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-20日</w:t>
                  </w:r>
                </w:p>
              </w:tc>
              <w:tc>
                <w:tcPr>
                  <w:tcW w:w="559" w:type="pct"/>
                  <w:vAlign w:val="center"/>
                </w:tcPr>
                <w:p w14:paraId="317AD7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4月20日</w:t>
                  </w:r>
                </w:p>
                <w:p w14:paraId="366115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-21日</w:t>
                  </w:r>
                </w:p>
              </w:tc>
              <w:tc>
                <w:tcPr>
                  <w:tcW w:w="562" w:type="pct"/>
                  <w:vAlign w:val="center"/>
                </w:tcPr>
                <w:p w14:paraId="639CBD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4月21日</w:t>
                  </w:r>
                </w:p>
                <w:p w14:paraId="75512E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val="0"/>
                      <w:bCs w:val="0"/>
                      <w:spacing w:val="0"/>
                      <w:sz w:val="21"/>
                      <w:szCs w:val="21"/>
                    </w:rPr>
                  </w:pPr>
                  <w:r>
                    <w:rPr>
                      <w:rFonts w:hint="default" w:ascii="Times New Roman" w:hAnsi="Times New Roman" w:eastAsia="宋体" w:cs="Times New Roman"/>
                      <w:b w:val="0"/>
                      <w:bCs w:val="0"/>
                      <w:spacing w:val="0"/>
                      <w:sz w:val="21"/>
                      <w:szCs w:val="21"/>
                    </w:rPr>
                    <w:t>-22日</w:t>
                  </w:r>
                </w:p>
              </w:tc>
            </w:tr>
            <w:tr w14:paraId="5D88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6" w:type="pct"/>
                  <w:vAlign w:val="center"/>
                </w:tcPr>
                <w:p w14:paraId="4BAEB1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项目所在地</w:t>
                  </w:r>
                </w:p>
              </w:tc>
              <w:tc>
                <w:tcPr>
                  <w:tcW w:w="512" w:type="pct"/>
                  <w:vAlign w:val="center"/>
                </w:tcPr>
                <w:p w14:paraId="0B313E7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总悬浮颗粒物</w:t>
                  </w:r>
                </w:p>
              </w:tc>
              <w:tc>
                <w:tcPr>
                  <w:tcW w:w="559" w:type="pct"/>
                  <w:vAlign w:val="center"/>
                </w:tcPr>
                <w:p w14:paraId="63ECF1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277</w:t>
                  </w:r>
                </w:p>
              </w:tc>
              <w:tc>
                <w:tcPr>
                  <w:tcW w:w="559" w:type="pct"/>
                  <w:vAlign w:val="center"/>
                </w:tcPr>
                <w:p w14:paraId="48B151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289</w:t>
                  </w:r>
                </w:p>
              </w:tc>
              <w:tc>
                <w:tcPr>
                  <w:tcW w:w="563" w:type="pct"/>
                  <w:vAlign w:val="center"/>
                </w:tcPr>
                <w:p w14:paraId="702319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220</w:t>
                  </w:r>
                </w:p>
              </w:tc>
              <w:tc>
                <w:tcPr>
                  <w:tcW w:w="559" w:type="pct"/>
                  <w:vAlign w:val="center"/>
                </w:tcPr>
                <w:p w14:paraId="339099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235</w:t>
                  </w:r>
                </w:p>
              </w:tc>
              <w:tc>
                <w:tcPr>
                  <w:tcW w:w="559" w:type="pct"/>
                  <w:vAlign w:val="center"/>
                </w:tcPr>
                <w:p w14:paraId="491FBC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241</w:t>
                  </w:r>
                </w:p>
              </w:tc>
              <w:tc>
                <w:tcPr>
                  <w:tcW w:w="559" w:type="pct"/>
                  <w:vAlign w:val="center"/>
                </w:tcPr>
                <w:p w14:paraId="329888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242</w:t>
                  </w:r>
                </w:p>
              </w:tc>
              <w:tc>
                <w:tcPr>
                  <w:tcW w:w="562" w:type="pct"/>
                  <w:vAlign w:val="center"/>
                </w:tcPr>
                <w:p w14:paraId="4A71A5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235</w:t>
                  </w:r>
                </w:p>
              </w:tc>
            </w:tr>
          </w:tbl>
          <w:p w14:paraId="407CDED5">
            <w:pPr>
              <w:pStyle w:val="7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通过对以上监测结果的分析可知，评价区域大气监测点的TSP满足《环境空气质量标准》（GB3095-2012）中的二级标准</w:t>
            </w:r>
            <w:r>
              <w:rPr>
                <w:rFonts w:hint="eastAsia" w:cs="Times New Roman"/>
                <w:color w:val="000000" w:themeColor="text1"/>
                <w:sz w:val="24"/>
                <w:szCs w:val="24"/>
                <w:lang w:eastAsia="zh-CN"/>
                <w14:textFill>
                  <w14:solidFill>
                    <w14:schemeClr w14:val="tx1"/>
                  </w14:solidFill>
                </w14:textFill>
              </w:rPr>
              <w:t>。</w:t>
            </w:r>
          </w:p>
          <w:p w14:paraId="0C01A02E">
            <w:pPr>
              <w:pStyle w:val="75"/>
              <w:keepNext w:val="0"/>
              <w:keepLines w:val="0"/>
              <w:pageBreakBefore w:val="0"/>
              <w:widowControl w:val="0"/>
              <w:kinsoku/>
              <w:wordWrap/>
              <w:overflowPunct/>
              <w:topLinePunct w:val="0"/>
              <w:autoSpaceDE/>
              <w:autoSpaceDN/>
              <w:bidi w:val="0"/>
              <w:adjustRightInd/>
              <w:snapToGrid/>
              <w:spacing w:line="360" w:lineRule="auto"/>
              <w:ind w:right="0" w:rightChars="0" w:firstLine="0"/>
              <w:jc w:val="center"/>
              <w:textAlignment w:val="auto"/>
              <w:rPr>
                <w:rFonts w:cs="Times New Roman"/>
                <w:b/>
                <w:bCs/>
                <w:color w:val="000000" w:themeColor="text1"/>
                <w:sz w:val="24"/>
                <w:szCs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887095</wp:posOffset>
                      </wp:positionH>
                      <wp:positionV relativeFrom="paragraph">
                        <wp:posOffset>1468120</wp:posOffset>
                      </wp:positionV>
                      <wp:extent cx="1078230" cy="317500"/>
                      <wp:effectExtent l="4445" t="4445" r="288925" b="20955"/>
                      <wp:wrapNone/>
                      <wp:docPr id="28" name="矩形标注 28"/>
                      <wp:cNvGraphicFramePr/>
                      <a:graphic xmlns:a="http://schemas.openxmlformats.org/drawingml/2006/main">
                        <a:graphicData uri="http://schemas.microsoft.com/office/word/2010/wordprocessingShape">
                          <wps:wsp>
                            <wps:cNvSpPr/>
                            <wps:spPr>
                              <a:xfrm>
                                <a:off x="0" y="0"/>
                                <a:ext cx="1078230" cy="317500"/>
                              </a:xfrm>
                              <a:prstGeom prst="wedgeRectCallout">
                                <a:avLst>
                                  <a:gd name="adj1" fmla="val 75500"/>
                                  <a:gd name="adj2" fmla="val 362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9DD44">
                                  <w:pPr>
                                    <w:jc w:val="center"/>
                                    <w:rPr>
                                      <w:color w:val="FF0000"/>
                                      <w:sz w:val="21"/>
                                      <w:szCs w:val="21"/>
                                    </w:rPr>
                                  </w:pPr>
                                  <w:r>
                                    <w:rPr>
                                      <w:rFonts w:hint="eastAsia" w:ascii="宋体" w:hAnsi="宋体" w:cs="宋体"/>
                                      <w:b/>
                                      <w:bCs/>
                                      <w:color w:val="FF0000"/>
                                      <w:sz w:val="21"/>
                                      <w:szCs w:val="21"/>
                                      <w:lang w:val="en-US" w:eastAsia="zh-CN"/>
                                    </w:rPr>
                                    <w:t>凌冰工贸</w:t>
                                  </w:r>
                                  <w:r>
                                    <w:rPr>
                                      <w:rFonts w:hint="eastAsia" w:ascii="宋体" w:hAnsi="宋体" w:cs="宋体"/>
                                      <w:b/>
                                      <w:bCs/>
                                      <w:color w:val="FF0000"/>
                                      <w:sz w:val="21"/>
                                      <w:szCs w:val="21"/>
                                    </w:rP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9.85pt;margin-top:115.6pt;height:25pt;width:84.9pt;z-index:251663360;v-text-anchor:middle;mso-width-relative:page;mso-height-relative:page;" fillcolor="#D9D9D9 [2732]" filled="t" stroked="t" coordsize="21600,21600" o:gfxdata="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&#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9/MM42AAAAAsBAAAPAAAAAAAAAAEAIAAAACIAAABk&#10;cnMvZG93bnJldi54bWxQSwECFAAUAAAACACHTuJAt/gjGrECAABuBQAADgAAAAAAAAABACAAAAAn&#10;AQAAZHJzL2Uyb0RvYy54bWxQSwUGAAAAAAYABgBZAQAASgYAAAAA&#10;" adj="27108,18619">
                      <v:fill on="t" focussize="0,0"/>
                      <v:stroke weight="0.5pt" color="#000000 [3213]" joinstyle="round"/>
                      <v:imagedata o:title=""/>
                      <o:lock v:ext="edit" aspectratio="f"/>
                      <v:textbox>
                        <w:txbxContent>
                          <w:p w14:paraId="4379DD44">
                            <w:pPr>
                              <w:jc w:val="center"/>
                              <w:rPr>
                                <w:color w:val="FF0000"/>
                                <w:sz w:val="21"/>
                                <w:szCs w:val="21"/>
                              </w:rPr>
                            </w:pPr>
                            <w:r>
                              <w:rPr>
                                <w:rFonts w:hint="eastAsia" w:ascii="宋体" w:hAnsi="宋体" w:cs="宋体"/>
                                <w:b/>
                                <w:bCs/>
                                <w:color w:val="FF0000"/>
                                <w:sz w:val="21"/>
                                <w:szCs w:val="21"/>
                                <w:lang w:val="en-US" w:eastAsia="zh-CN"/>
                              </w:rPr>
                              <w:t>凌冰工贸</w:t>
                            </w:r>
                            <w:r>
                              <w:rPr>
                                <w:rFonts w:hint="eastAsia" w:ascii="宋体" w:hAnsi="宋体" w:cs="宋体"/>
                                <w:b/>
                                <w:bCs/>
                                <w:color w:val="FF0000"/>
                                <w:sz w:val="21"/>
                                <w:szCs w:val="21"/>
                              </w:rPr>
                              <w:t>位置</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4526280</wp:posOffset>
                  </wp:positionH>
                  <wp:positionV relativeFrom="paragraph">
                    <wp:posOffset>22860</wp:posOffset>
                  </wp:positionV>
                  <wp:extent cx="548640" cy="655320"/>
                  <wp:effectExtent l="0" t="0" r="0" b="0"/>
                  <wp:wrapNone/>
                  <wp:docPr id="6921960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6053" name="图片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48640" cy="655320"/>
                          </a:xfrm>
                          <a:prstGeom prst="rect">
                            <a:avLst/>
                          </a:prstGeom>
                          <a:noFill/>
                          <a:ln>
                            <a:noFill/>
                          </a:ln>
                          <a:effectLst/>
                        </pic:spPr>
                      </pic:pic>
                    </a:graphicData>
                  </a:graphic>
                </wp:anchor>
              </w:drawing>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3335020</wp:posOffset>
                      </wp:positionH>
                      <wp:positionV relativeFrom="paragraph">
                        <wp:posOffset>2753995</wp:posOffset>
                      </wp:positionV>
                      <wp:extent cx="897890" cy="279400"/>
                      <wp:effectExtent l="231775" t="4445" r="13335" b="20955"/>
                      <wp:wrapNone/>
                      <wp:docPr id="19" name="矩形标注 19"/>
                      <wp:cNvGraphicFramePr/>
                      <a:graphic xmlns:a="http://schemas.openxmlformats.org/drawingml/2006/main">
                        <a:graphicData uri="http://schemas.microsoft.com/office/word/2010/wordprocessingShape">
                          <wps:wsp>
                            <wps:cNvSpPr/>
                            <wps:spPr>
                              <a:xfrm>
                                <a:off x="4032885" y="6807200"/>
                                <a:ext cx="897890" cy="279400"/>
                              </a:xfrm>
                              <a:prstGeom prst="wedgeRectCallout">
                                <a:avLst>
                                  <a:gd name="adj1" fmla="val -75318"/>
                                  <a:gd name="adj2" fmla="val 17727"/>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FD4AA">
                                  <w:pPr>
                                    <w:jc w:val="center"/>
                                    <w:rPr>
                                      <w:color w:val="FF0000"/>
                                      <w:sz w:val="21"/>
                                      <w:szCs w:val="21"/>
                                    </w:rPr>
                                  </w:pPr>
                                  <w:r>
                                    <w:rPr>
                                      <w:rFonts w:ascii="宋体" w:hAnsi="宋体" w:cs="宋体"/>
                                      <w:b/>
                                      <w:bCs/>
                                      <w:color w:val="FF0000"/>
                                      <w:sz w:val="21"/>
                                      <w:szCs w:val="21"/>
                                    </w:rPr>
                                    <w:t>项目</w:t>
                                  </w:r>
                                  <w:r>
                                    <w:rPr>
                                      <w:rFonts w:hint="eastAsia" w:ascii="宋体" w:hAnsi="宋体" w:cs="宋体"/>
                                      <w:b/>
                                      <w:bCs/>
                                      <w:color w:val="FF0000"/>
                                      <w:sz w:val="21"/>
                                      <w:szCs w:val="21"/>
                                    </w:rPr>
                                    <w:t>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2.6pt;margin-top:216.85pt;height:22pt;width:70.7pt;z-index:251659264;v-text-anchor:middle;mso-width-relative:page;mso-height-relative:page;" fillcolor="#D9D9D9 [2732]" filled="t" stroked="t" coordsize="21600,21600" o:gfxdata="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eTLS92AAAAAsBAAAPAAAA&#10;AAAAAAEAIAAAACIAAABkcnMvZG93bnJldi54bWxQSwECFAAUAAAACACHTuJA/jNTeMACAAB6BQAA&#10;DgAAAAAAAAABACAAAAAnAQAAZHJzL2Uyb0RvYy54bWxQSwUGAAAAAAYABgBZAQAAWQYAAAAA&#10;" adj="-5469,14629">
                      <v:fill on="t" focussize="0,0"/>
                      <v:stroke weight="0.5pt" color="#000000 [3213]" joinstyle="round"/>
                      <v:imagedata o:title=""/>
                      <o:lock v:ext="edit" aspectratio="f"/>
                      <v:textbox>
                        <w:txbxContent>
                          <w:p w14:paraId="507FD4AA">
                            <w:pPr>
                              <w:jc w:val="center"/>
                              <w:rPr>
                                <w:color w:val="FF0000"/>
                                <w:sz w:val="21"/>
                                <w:szCs w:val="21"/>
                              </w:rPr>
                            </w:pPr>
                            <w:r>
                              <w:rPr>
                                <w:rFonts w:ascii="宋体" w:hAnsi="宋体" w:cs="宋体"/>
                                <w:b/>
                                <w:bCs/>
                                <w:color w:val="FF0000"/>
                                <w:sz w:val="21"/>
                                <w:szCs w:val="21"/>
                              </w:rPr>
                              <w:t>项目</w:t>
                            </w:r>
                            <w:r>
                              <w:rPr>
                                <w:rFonts w:hint="eastAsia" w:ascii="宋体" w:hAnsi="宋体" w:cs="宋体"/>
                                <w:b/>
                                <w:bCs/>
                                <w:color w:val="FF0000"/>
                                <w:sz w:val="21"/>
                                <w:szCs w:val="21"/>
                              </w:rPr>
                              <w:t>位置</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2546350</wp:posOffset>
                      </wp:positionH>
                      <wp:positionV relativeFrom="paragraph">
                        <wp:posOffset>2218055</wp:posOffset>
                      </wp:positionV>
                      <wp:extent cx="682625" cy="285750"/>
                      <wp:effectExtent l="4445" t="4445" r="17780" b="14605"/>
                      <wp:wrapNone/>
                      <wp:docPr id="11" name="文本框 11"/>
                      <wp:cNvGraphicFramePr/>
                      <a:graphic xmlns:a="http://schemas.openxmlformats.org/drawingml/2006/main">
                        <a:graphicData uri="http://schemas.microsoft.com/office/word/2010/wordprocessingShape">
                          <wps:wsp>
                            <wps:cNvSpPr txBox="1"/>
                            <wps:spPr>
                              <a:xfrm>
                                <a:off x="3329305" y="3581400"/>
                                <a:ext cx="6826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6A50F8">
                                  <w:pPr>
                                    <w:jc w:val="center"/>
                                    <w:rPr>
                                      <w:rFonts w:hint="default" w:eastAsia="宋体"/>
                                      <w:lang w:val="en-US" w:eastAsia="zh-CN"/>
                                    </w:rPr>
                                  </w:pPr>
                                  <w:r>
                                    <w:rPr>
                                      <w:rFonts w:hint="eastAsia"/>
                                      <w:lang w:val="en-US" w:eastAsia="zh-CN"/>
                                    </w:rPr>
                                    <w:t>447m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5pt;margin-top:174.65pt;height:22.5pt;width:53.75pt;z-index:251662336;mso-width-relative:page;mso-height-relative:page;" fillcolor="#FFFFFF [3201]" filled="t" stroked="t" coordsize="21600,21600" o:gfxdata="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Z74Q2AAAAAsBAAAPAAAAAAAAAAEAIAAAACIAAABkcnMvZG93bnJldi54bWxQSwECFAAU&#10;AAAACACHTuJA+O9PymMCAADEBAAADgAAAAAAAAABACAAAAAnAQAAZHJzL2Uyb0RvYy54bWxQSwUG&#10;AAAAAAYABgBZAQAA/AUAAAAA&#10;">
                      <v:fill on="t" focussize="0,0"/>
                      <v:stroke weight="0.5pt" color="#000000 [3204]" joinstyle="round"/>
                      <v:imagedata o:title=""/>
                      <o:lock v:ext="edit" aspectratio="f"/>
                      <v:textbox>
                        <w:txbxContent>
                          <w:p w14:paraId="5F6A50F8">
                            <w:pPr>
                              <w:jc w:val="center"/>
                              <w:rPr>
                                <w:rFonts w:hint="default" w:eastAsia="宋体"/>
                                <w:lang w:val="en-US" w:eastAsia="zh-CN"/>
                              </w:rPr>
                            </w:pPr>
                            <w:r>
                              <w:rPr>
                                <w:rFonts w:hint="eastAsia"/>
                                <w:lang w:val="en-US" w:eastAsia="zh-CN"/>
                              </w:rPr>
                              <w:t>447m</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2211070</wp:posOffset>
                      </wp:positionH>
                      <wp:positionV relativeFrom="paragraph">
                        <wp:posOffset>1731645</wp:posOffset>
                      </wp:positionV>
                      <wp:extent cx="730250" cy="1206500"/>
                      <wp:effectExtent l="0" t="0" r="12700" b="12700"/>
                      <wp:wrapNone/>
                      <wp:docPr id="9" name="直接箭头连接符 9"/>
                      <wp:cNvGraphicFramePr/>
                      <a:graphic xmlns:a="http://schemas.openxmlformats.org/drawingml/2006/main">
                        <a:graphicData uri="http://schemas.microsoft.com/office/word/2010/wordprocessingShape">
                          <wps:wsp>
                            <wps:cNvCnPr/>
                            <wps:spPr>
                              <a:xfrm flipH="1" flipV="1">
                                <a:off x="2512060" y="3898900"/>
                                <a:ext cx="730250" cy="120650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74.1pt;margin-top:136.35pt;height:95pt;width:57.5pt;z-index:251661312;mso-width-relative:page;mso-height-relative:page;" filled="f" stroked="t" coordsize="21600,21600" o:gfxdata="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oNrXdgAAAALAQAADwAAAAAA&#10;AAABACAAAAAiAAAAZHJzL2Rvd25yZXYueG1sUEsBAhQAFAAAAAgAh07iQL5wDiMTAgAA7QMAAA4A&#10;AAAAAAAAAQAgAAAAJwEAAGRycy9lMm9Eb2MueG1sUEsFBgAAAAAGAAYAWQEAAKwFAAAAAA==&#10;">
                      <v:fill on="f" focussize="0,0"/>
                      <v:stroke weight="2pt" color="#FFFF00 [3204]" joinstyle="round" endarrow="open"/>
                      <v:imagedata o:title=""/>
                      <o:lock v:ext="edit" aspectratio="f"/>
                    </v:shape>
                  </w:pict>
                </mc:Fallback>
              </mc:AlternateContent>
            </w:r>
            <w:r>
              <w:drawing>
                <wp:inline distT="0" distB="0" distL="114300" distR="114300">
                  <wp:extent cx="5093970" cy="4876165"/>
                  <wp:effectExtent l="0" t="0" r="11430" b="63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7"/>
                          <a:stretch>
                            <a:fillRect/>
                          </a:stretch>
                        </pic:blipFill>
                        <pic:spPr>
                          <a:xfrm>
                            <a:off x="0" y="0"/>
                            <a:ext cx="5093970" cy="4876165"/>
                          </a:xfrm>
                          <a:prstGeom prst="rect">
                            <a:avLst/>
                          </a:prstGeom>
                          <a:noFill/>
                          <a:ln>
                            <a:noFill/>
                          </a:ln>
                        </pic:spPr>
                      </pic:pic>
                    </a:graphicData>
                  </a:graphic>
                </wp:inline>
              </w:drawing>
            </w:r>
          </w:p>
          <w:p w14:paraId="191FF259">
            <w:pPr>
              <w:pStyle w:val="75"/>
              <w:ind w:right="-247" w:rightChars="-103" w:firstLine="0"/>
              <w:jc w:val="center"/>
              <w:rPr>
                <w:rFonts w:cs="Times New Roman"/>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图3</w:t>
            </w:r>
            <w:r>
              <w:rPr>
                <w:rFonts w:hint="eastAsia" w:cs="Times New Roman"/>
                <w:b/>
                <w:bCs/>
                <w:color w:val="000000" w:themeColor="text1"/>
                <w:sz w:val="24"/>
                <w:szCs w:val="24"/>
                <w:lang w:val="en-US" w:eastAsia="zh-CN"/>
                <w14:textFill>
                  <w14:solidFill>
                    <w14:schemeClr w14:val="tx1"/>
                  </w14:solidFill>
                </w14:textFill>
              </w:rPr>
              <w:t>-</w:t>
            </w:r>
            <w:r>
              <w:rPr>
                <w:rFonts w:cs="Times New Roman"/>
                <w:b/>
                <w:bCs/>
                <w:color w:val="000000" w:themeColor="text1"/>
                <w:sz w:val="24"/>
                <w:szCs w:val="24"/>
                <w14:textFill>
                  <w14:solidFill>
                    <w14:schemeClr w14:val="tx1"/>
                  </w14:solidFill>
                </w14:textFill>
              </w:rPr>
              <w:t>1</w:t>
            </w:r>
            <w:r>
              <w:rPr>
                <w:rFonts w:hint="eastAsia" w:cs="Times New Roman"/>
                <w:b/>
                <w:bCs/>
                <w:color w:val="000000" w:themeColor="text1"/>
                <w:sz w:val="24"/>
                <w:szCs w:val="24"/>
                <w:lang w:val="en-US" w:eastAsia="zh-CN"/>
                <w14:textFill>
                  <w14:solidFill>
                    <w14:schemeClr w14:val="tx1"/>
                  </w14:solidFill>
                </w14:textFill>
              </w:rPr>
              <w:t xml:space="preserve"> </w:t>
            </w:r>
            <w:r>
              <w:rPr>
                <w:rFonts w:cs="Times New Roman"/>
                <w:b/>
                <w:bCs/>
                <w:color w:val="000000" w:themeColor="text1"/>
                <w:sz w:val="24"/>
                <w:szCs w:val="24"/>
                <w14:textFill>
                  <w14:solidFill>
                    <w14:schemeClr w14:val="tx1"/>
                  </w14:solidFill>
                </w14:textFill>
              </w:rPr>
              <w:t xml:space="preserve"> 监测点位图</w:t>
            </w:r>
          </w:p>
          <w:p w14:paraId="2F01A023">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2、地表水环境</w:t>
            </w:r>
          </w:p>
          <w:p w14:paraId="432A201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000000" w:themeColor="text1"/>
                <w:lang w:eastAsia="zh-CN"/>
                <w14:textFill>
                  <w14:solidFill>
                    <w14:schemeClr w14:val="tx1"/>
                  </w14:solidFill>
                </w14:textFill>
              </w:rPr>
            </w:pPr>
            <w:r>
              <w:rPr>
                <w:rFonts w:hint="eastAsia" w:cs="Times New Roman"/>
                <w:bCs w:val="0"/>
                <w:color w:val="000000" w:themeColor="text1"/>
                <w:sz w:val="24"/>
                <w:szCs w:val="24"/>
                <w:lang w:val="en-US" w:eastAsia="zh-CN"/>
                <w14:textFill>
                  <w14:solidFill>
                    <w14:schemeClr w14:val="tx1"/>
                  </w14:solidFill>
                </w14:textFill>
              </w:rPr>
              <w:t>项目纳污水体为石梁河，</w:t>
            </w:r>
            <w:r>
              <w:rPr>
                <w:rFonts w:hint="eastAsia" w:ascii="Times New Roman" w:hAnsi="Times New Roman" w:eastAsia="宋体" w:cs="Times New Roman"/>
                <w:bCs w:val="0"/>
                <w:color w:val="000000" w:themeColor="text1"/>
                <w:sz w:val="24"/>
                <w:szCs w:val="24"/>
                <w:lang w:val="en-US" w:eastAsia="zh-CN"/>
                <w14:textFill>
                  <w14:solidFill>
                    <w14:schemeClr w14:val="tx1"/>
                  </w14:solidFill>
                </w14:textFill>
              </w:rPr>
              <w:t>根据</w:t>
            </w:r>
            <w:r>
              <w:rPr>
                <w:rFonts w:hint="eastAsia"/>
                <w:color w:val="000000" w:themeColor="text1"/>
                <w:sz w:val="24"/>
                <w14:textFill>
                  <w14:solidFill>
                    <w14:schemeClr w14:val="tx1"/>
                  </w14:solidFill>
                </w14:textFill>
              </w:rPr>
              <w:t>发布</w:t>
            </w:r>
            <w:r>
              <w:rPr>
                <w:rFonts w:hint="eastAsia"/>
                <w:color w:val="auto"/>
                <w:sz w:val="24"/>
              </w:rPr>
              <w:t>的宿州市202</w:t>
            </w:r>
            <w:r>
              <w:rPr>
                <w:rFonts w:hint="eastAsia"/>
                <w:color w:val="auto"/>
                <w:sz w:val="24"/>
                <w:lang w:val="en-US" w:eastAsia="zh-CN"/>
              </w:rPr>
              <w:t>4</w:t>
            </w:r>
            <w:r>
              <w:rPr>
                <w:rFonts w:hint="eastAsia"/>
                <w:color w:val="auto"/>
                <w:sz w:val="24"/>
              </w:rPr>
              <w:t>年环境质量状况，</w:t>
            </w:r>
            <w:r>
              <w:rPr>
                <w:rFonts w:hint="eastAsia" w:ascii="Times New Roman" w:hAnsi="Times New Roman" w:eastAsia="宋体" w:cs="Times New Roman"/>
                <w:bCs w:val="0"/>
                <w:color w:val="000000"/>
                <w:sz w:val="24"/>
                <w:szCs w:val="24"/>
                <w:lang w:val="en-US" w:eastAsia="zh-CN"/>
              </w:rPr>
              <w:t>2024年，宿州市水环境质量稳中向好、稳中趋优。全市13个地表水国家考核断面中10个水质达到</w:t>
            </w:r>
            <w:r>
              <w:rPr>
                <w:rFonts w:hint="default" w:ascii="Times New Roman" w:hAnsi="Times New Roman" w:eastAsia="宋体" w:cs="Times New Roman"/>
                <w:bCs w:val="0"/>
                <w:color w:val="000000"/>
                <w:sz w:val="24"/>
                <w:szCs w:val="24"/>
                <w:lang w:val="en-US" w:eastAsia="zh-CN"/>
              </w:rPr>
              <w:t>Ⅲ</w:t>
            </w:r>
            <w:r>
              <w:rPr>
                <w:rFonts w:hint="eastAsia" w:ascii="Times New Roman" w:hAnsi="Times New Roman" w:eastAsia="宋体" w:cs="Times New Roman"/>
                <w:bCs w:val="0"/>
                <w:color w:val="000000"/>
                <w:sz w:val="24"/>
                <w:szCs w:val="24"/>
                <w:lang w:val="en-US" w:eastAsia="zh-CN"/>
              </w:rPr>
              <w:t>类，水质优良比例为76.9%，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w:t>
            </w:r>
          </w:p>
          <w:p w14:paraId="5D9FF99E">
            <w:pPr>
              <w:adjustRightInd w:val="0"/>
              <w:snapToGrid w:val="0"/>
              <w:spacing w:line="360" w:lineRule="auto"/>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3、声环境</w:t>
            </w:r>
          </w:p>
          <w:p w14:paraId="062D99E7">
            <w:pPr>
              <w:adjustRightInd w:val="0"/>
              <w:snapToGrid w:val="0"/>
              <w:spacing w:line="360" w:lineRule="auto"/>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本项目厂界周边50米范围内无声环境保护目标，不需要进行保护目标声环境质量现状监测。</w:t>
            </w:r>
          </w:p>
          <w:p w14:paraId="603817B5">
            <w:pPr>
              <w:adjustRightInd w:val="0"/>
              <w:snapToGrid w:val="0"/>
              <w:spacing w:line="360" w:lineRule="auto"/>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4、生态环境</w:t>
            </w:r>
          </w:p>
          <w:p w14:paraId="0AFB9E8D">
            <w:pPr>
              <w:spacing w:line="360" w:lineRule="auto"/>
              <w:ind w:firstLine="480" w:firstLineChars="200"/>
              <w:rPr>
                <w:color w:val="000000" w:themeColor="text1"/>
                <w:kern w:val="0"/>
                <w14:textFill>
                  <w14:solidFill>
                    <w14:schemeClr w14:val="tx1"/>
                  </w14:solidFill>
                </w14:textFill>
              </w:rPr>
            </w:pPr>
            <w:r>
              <w:rPr>
                <w:color w:val="auto"/>
                <w:sz w:val="24"/>
              </w:rPr>
              <w:t>本项目属于开发区内工业用地，无需进行生态现状调查。</w:t>
            </w:r>
          </w:p>
          <w:p w14:paraId="2A9285C8">
            <w:pPr>
              <w:adjustRightInd w:val="0"/>
              <w:snapToGrid w:val="0"/>
              <w:spacing w:line="360" w:lineRule="auto"/>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5、电磁辐射</w:t>
            </w:r>
          </w:p>
          <w:p w14:paraId="6B6F68F0">
            <w:pPr>
              <w:adjustRightInd w:val="0"/>
              <w:snapToGrid w:val="0"/>
              <w:spacing w:line="360" w:lineRule="auto"/>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本项目无电磁辐射。</w:t>
            </w:r>
          </w:p>
          <w:p w14:paraId="7C95B69B">
            <w:pPr>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6、地下水、土壤环境</w:t>
            </w:r>
            <w:r>
              <w:rPr>
                <w:rFonts w:hint="eastAsia" w:cs="宋体"/>
                <w:b/>
                <w:bCs/>
                <w:color w:val="000000" w:themeColor="text1"/>
                <w14:textFill>
                  <w14:solidFill>
                    <w14:schemeClr w14:val="tx1"/>
                  </w14:solidFill>
                </w14:textFill>
              </w:rPr>
              <w:t>质量现状</w:t>
            </w:r>
          </w:p>
          <w:p w14:paraId="751CF7F2">
            <w:pPr>
              <w:adjustRightInd w:val="0"/>
              <w:snapToGrid w:val="0"/>
              <w:spacing w:line="360" w:lineRule="auto"/>
              <w:ind w:firstLine="480" w:firstLineChars="200"/>
              <w:rPr>
                <w:rFonts w:hint="eastAsia"/>
                <w:color w:val="auto"/>
                <w:sz w:val="24"/>
                <w:lang w:val="en-US" w:eastAsia="zh-CN"/>
              </w:rPr>
            </w:pPr>
            <w:r>
              <w:rPr>
                <w:rStyle w:val="36"/>
                <w:color w:val="auto"/>
                <w:sz w:val="24"/>
              </w:rPr>
              <w:t>根据《</w:t>
            </w:r>
            <w:r>
              <w:rPr>
                <w:color w:val="auto"/>
                <w:sz w:val="24"/>
              </w:rPr>
              <w:t>建设项目环境影响报告表编制技术指南</w:t>
            </w:r>
            <w:r>
              <w:rPr>
                <w:rFonts w:hint="eastAsia"/>
                <w:color w:val="auto"/>
                <w:sz w:val="24"/>
                <w:lang w:eastAsia="zh-CN"/>
              </w:rPr>
              <w:t>（</w:t>
            </w:r>
            <w:r>
              <w:rPr>
                <w:color w:val="auto"/>
                <w:sz w:val="24"/>
              </w:rPr>
              <w:t>污染影响类</w:t>
            </w:r>
            <w:r>
              <w:rPr>
                <w:rFonts w:hint="eastAsia"/>
                <w:color w:val="auto"/>
                <w:sz w:val="24"/>
                <w:lang w:eastAsia="zh-CN"/>
              </w:rPr>
              <w:t>）</w:t>
            </w:r>
            <w:r>
              <w:rPr>
                <w:rStyle w:val="36"/>
                <w:color w:val="auto"/>
                <w:sz w:val="24"/>
              </w:rPr>
              <w:t>（</w:t>
            </w:r>
            <w:r>
              <w:rPr>
                <w:color w:val="auto"/>
                <w:sz w:val="24"/>
              </w:rPr>
              <w:t>试行</w:t>
            </w:r>
            <w:r>
              <w:rPr>
                <w:rStyle w:val="36"/>
                <w:color w:val="auto"/>
                <w:sz w:val="24"/>
              </w:rPr>
              <w:t>）》</w:t>
            </w:r>
            <w:r>
              <w:rPr>
                <w:color w:val="auto"/>
                <w:sz w:val="24"/>
              </w:rPr>
              <w:t>，原则上不开展土壤和地下水环境质量现状调查。</w:t>
            </w:r>
            <w:r>
              <w:rPr>
                <w:rFonts w:hint="eastAsia"/>
                <w:color w:val="auto"/>
                <w:sz w:val="24"/>
              </w:rPr>
              <w:t>本项目厂界外500米范围内无地下水集中式饮用水水源和热水、矿泉水、温泉等特殊地下水资源，并且本项目严格按照导则要求对厂区进行分区防控，因此无需开展地下水、土壤环境质量现状调查。</w:t>
            </w:r>
          </w:p>
          <w:p w14:paraId="6A44ACB9">
            <w:pPr>
              <w:adjustRightInd w:val="0"/>
              <w:snapToGrid w:val="0"/>
              <w:spacing w:line="360" w:lineRule="auto"/>
              <w:ind w:firstLine="480" w:firstLineChars="200"/>
              <w:rPr>
                <w:rFonts w:hint="eastAsia"/>
                <w:color w:val="auto"/>
                <w:sz w:val="24"/>
                <w:lang w:val="en-US" w:eastAsia="zh-CN"/>
              </w:rPr>
            </w:pPr>
          </w:p>
          <w:p w14:paraId="58148CCA">
            <w:pPr>
              <w:adjustRightInd w:val="0"/>
              <w:snapToGrid w:val="0"/>
              <w:spacing w:line="360" w:lineRule="auto"/>
              <w:ind w:firstLine="480" w:firstLineChars="200"/>
              <w:rPr>
                <w:rFonts w:hint="eastAsia"/>
                <w:color w:val="auto"/>
                <w:sz w:val="24"/>
                <w:lang w:val="en-US" w:eastAsia="zh-CN"/>
              </w:rPr>
            </w:pPr>
          </w:p>
          <w:p w14:paraId="7CA6E76A">
            <w:pPr>
              <w:adjustRightInd w:val="0"/>
              <w:snapToGrid w:val="0"/>
              <w:spacing w:line="360" w:lineRule="auto"/>
              <w:ind w:firstLine="480" w:firstLineChars="200"/>
              <w:rPr>
                <w:rFonts w:hint="eastAsia"/>
                <w:color w:val="auto"/>
                <w:sz w:val="24"/>
                <w:lang w:val="en-US" w:eastAsia="zh-CN"/>
              </w:rPr>
            </w:pPr>
          </w:p>
          <w:p w14:paraId="3143229D">
            <w:pPr>
              <w:adjustRightInd w:val="0"/>
              <w:snapToGrid w:val="0"/>
              <w:spacing w:line="360" w:lineRule="auto"/>
              <w:ind w:firstLine="480" w:firstLineChars="200"/>
              <w:rPr>
                <w:rFonts w:hint="eastAsia"/>
                <w:color w:val="auto"/>
                <w:sz w:val="24"/>
                <w:lang w:val="en-US" w:eastAsia="zh-CN"/>
              </w:rPr>
            </w:pPr>
          </w:p>
          <w:p w14:paraId="02F5BA0A">
            <w:pPr>
              <w:adjustRightInd w:val="0"/>
              <w:snapToGrid w:val="0"/>
              <w:spacing w:line="360" w:lineRule="auto"/>
              <w:ind w:firstLine="480" w:firstLineChars="200"/>
              <w:rPr>
                <w:rFonts w:hint="eastAsia"/>
                <w:color w:val="auto"/>
                <w:sz w:val="24"/>
                <w:lang w:val="en-US" w:eastAsia="zh-CN"/>
              </w:rPr>
            </w:pPr>
          </w:p>
          <w:p w14:paraId="3559B960">
            <w:pPr>
              <w:adjustRightInd w:val="0"/>
              <w:snapToGrid w:val="0"/>
              <w:spacing w:line="360" w:lineRule="auto"/>
              <w:ind w:firstLine="480" w:firstLineChars="200"/>
              <w:rPr>
                <w:rFonts w:hint="eastAsia"/>
                <w:color w:val="auto"/>
                <w:sz w:val="24"/>
                <w:lang w:val="en-US" w:eastAsia="zh-CN"/>
              </w:rPr>
            </w:pPr>
          </w:p>
          <w:p w14:paraId="55774C9F">
            <w:pPr>
              <w:adjustRightInd w:val="0"/>
              <w:snapToGrid w:val="0"/>
              <w:spacing w:line="360" w:lineRule="auto"/>
              <w:ind w:firstLine="480" w:firstLineChars="200"/>
              <w:rPr>
                <w:rFonts w:hint="eastAsia"/>
                <w:color w:val="auto"/>
                <w:sz w:val="24"/>
                <w:lang w:val="en-US" w:eastAsia="zh-CN"/>
              </w:rPr>
            </w:pPr>
          </w:p>
          <w:p w14:paraId="3D6212E0">
            <w:pPr>
              <w:adjustRightInd w:val="0"/>
              <w:snapToGrid w:val="0"/>
              <w:spacing w:line="360" w:lineRule="auto"/>
              <w:ind w:firstLine="480" w:firstLineChars="200"/>
              <w:rPr>
                <w:rFonts w:hint="eastAsia"/>
                <w:color w:val="auto"/>
                <w:sz w:val="24"/>
                <w:lang w:val="en-US" w:eastAsia="zh-CN"/>
              </w:rPr>
            </w:pPr>
          </w:p>
          <w:p w14:paraId="09674BDB">
            <w:pPr>
              <w:adjustRightInd w:val="0"/>
              <w:snapToGrid w:val="0"/>
              <w:spacing w:line="360" w:lineRule="auto"/>
              <w:ind w:firstLine="480" w:firstLineChars="200"/>
              <w:rPr>
                <w:rFonts w:hint="eastAsia"/>
                <w:color w:val="auto"/>
                <w:sz w:val="24"/>
                <w:lang w:val="en-US" w:eastAsia="zh-CN"/>
              </w:rPr>
            </w:pPr>
          </w:p>
          <w:p w14:paraId="08BBB928">
            <w:pPr>
              <w:adjustRightInd w:val="0"/>
              <w:snapToGrid w:val="0"/>
              <w:spacing w:line="360" w:lineRule="auto"/>
              <w:ind w:firstLine="480" w:firstLineChars="200"/>
              <w:rPr>
                <w:rFonts w:hint="eastAsia"/>
                <w:color w:val="auto"/>
                <w:sz w:val="24"/>
                <w:lang w:val="en-US" w:eastAsia="zh-CN"/>
              </w:rPr>
            </w:pPr>
          </w:p>
          <w:p w14:paraId="73E8246F">
            <w:pPr>
              <w:adjustRightInd w:val="0"/>
              <w:snapToGrid w:val="0"/>
              <w:spacing w:line="360" w:lineRule="auto"/>
              <w:ind w:firstLine="480" w:firstLineChars="200"/>
              <w:rPr>
                <w:rFonts w:hint="eastAsia"/>
                <w:color w:val="auto"/>
                <w:sz w:val="24"/>
                <w:lang w:val="en-US" w:eastAsia="zh-CN"/>
              </w:rPr>
            </w:pPr>
          </w:p>
          <w:p w14:paraId="4F9B1D1D">
            <w:pPr>
              <w:adjustRightInd w:val="0"/>
              <w:snapToGrid w:val="0"/>
              <w:spacing w:line="360" w:lineRule="auto"/>
              <w:ind w:firstLine="480" w:firstLineChars="200"/>
              <w:rPr>
                <w:rFonts w:hint="default" w:eastAsia="宋体"/>
                <w:color w:val="000000" w:themeColor="text1"/>
                <w:lang w:val="en-US" w:eastAsia="zh-CN"/>
                <w14:textFill>
                  <w14:solidFill>
                    <w14:schemeClr w14:val="tx1"/>
                  </w14:solidFill>
                </w14:textFill>
              </w:rPr>
            </w:pPr>
          </w:p>
        </w:tc>
      </w:tr>
      <w:tr w14:paraId="21BCDD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21" w:type="dxa"/>
            <w:vAlign w:val="center"/>
          </w:tcPr>
          <w:p w14:paraId="1D7757AA">
            <w:pPr>
              <w:pStyle w:val="26"/>
              <w:adjustRightInd w:val="0"/>
              <w:snapToGrid w:val="0"/>
              <w:spacing w:before="0" w:beforeAutospacing="0" w:after="0" w:afterAutospacing="0" w:line="360" w:lineRule="auto"/>
              <w:jc w:val="center"/>
              <w:outlineLvl w:val="0"/>
              <w:rPr>
                <w:rFonts w:ascii="Times New Roman" w:hAnsi="Times New Roman"/>
                <w:color w:val="000000" w:themeColor="text1"/>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环境保护目标</w:t>
            </w:r>
          </w:p>
        </w:tc>
        <w:tc>
          <w:tcPr>
            <w:tcW w:w="8240" w:type="dxa"/>
          </w:tcPr>
          <w:p w14:paraId="5CBB97DF">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1、大气环境</w:t>
            </w:r>
          </w:p>
          <w:p w14:paraId="73AB1F67">
            <w:pPr>
              <w:ind w:left="-7" w:leftChars="-19" w:hanging="39" w:hangingChars="16"/>
              <w:jc w:val="center"/>
              <w:rPr>
                <w:color w:val="auto"/>
              </w:rPr>
            </w:pPr>
            <w:r>
              <w:rPr>
                <w:b/>
                <w:color w:val="auto"/>
              </w:rPr>
              <w:t>表3</w:t>
            </w:r>
            <w:r>
              <w:rPr>
                <w:rFonts w:hint="eastAsia"/>
                <w:b/>
                <w:color w:val="auto"/>
                <w:lang w:val="en-US" w:eastAsia="zh-CN"/>
              </w:rPr>
              <w:t>-4</w:t>
            </w:r>
            <w:r>
              <w:rPr>
                <w:b/>
                <w:color w:val="auto"/>
              </w:rPr>
              <w:t xml:space="preserve">  大气环境保护目标一览表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514"/>
              <w:gridCol w:w="694"/>
              <w:gridCol w:w="664"/>
              <w:gridCol w:w="679"/>
              <w:gridCol w:w="1147"/>
              <w:gridCol w:w="1055"/>
              <w:gridCol w:w="810"/>
              <w:gridCol w:w="1022"/>
            </w:tblGrid>
            <w:tr w14:paraId="2680D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dxa"/>
                  <w:vMerge w:val="restart"/>
                  <w:noWrap w:val="0"/>
                  <w:vAlign w:val="center"/>
                </w:tcPr>
                <w:p w14:paraId="0E6FD35F">
                  <w:pPr>
                    <w:jc w:val="center"/>
                    <w:rPr>
                      <w:b/>
                      <w:bCs/>
                      <w:color w:val="auto"/>
                      <w:sz w:val="21"/>
                      <w:szCs w:val="21"/>
                    </w:rPr>
                  </w:pPr>
                  <w:r>
                    <w:rPr>
                      <w:b/>
                      <w:bCs/>
                      <w:color w:val="auto"/>
                      <w:sz w:val="21"/>
                      <w:szCs w:val="21"/>
                    </w:rPr>
                    <w:t>序号</w:t>
                  </w:r>
                </w:p>
              </w:tc>
              <w:tc>
                <w:tcPr>
                  <w:tcW w:w="1514" w:type="dxa"/>
                  <w:vMerge w:val="restart"/>
                  <w:noWrap w:val="0"/>
                  <w:vAlign w:val="center"/>
                </w:tcPr>
                <w:p w14:paraId="32FE69B0">
                  <w:pPr>
                    <w:jc w:val="center"/>
                    <w:rPr>
                      <w:b/>
                      <w:bCs/>
                      <w:color w:val="auto"/>
                      <w:sz w:val="21"/>
                      <w:szCs w:val="21"/>
                    </w:rPr>
                  </w:pPr>
                  <w:r>
                    <w:rPr>
                      <w:b/>
                      <w:bCs/>
                      <w:color w:val="auto"/>
                      <w:sz w:val="21"/>
                      <w:szCs w:val="21"/>
                    </w:rPr>
                    <w:t>名称</w:t>
                  </w:r>
                </w:p>
              </w:tc>
              <w:tc>
                <w:tcPr>
                  <w:tcW w:w="1358" w:type="dxa"/>
                  <w:gridSpan w:val="2"/>
                  <w:noWrap w:val="0"/>
                  <w:vAlign w:val="center"/>
                </w:tcPr>
                <w:p w14:paraId="3083823C">
                  <w:pPr>
                    <w:jc w:val="center"/>
                    <w:rPr>
                      <w:b/>
                      <w:bCs/>
                      <w:color w:val="auto"/>
                      <w:sz w:val="21"/>
                      <w:szCs w:val="21"/>
                    </w:rPr>
                  </w:pPr>
                  <w:r>
                    <w:rPr>
                      <w:b/>
                      <w:bCs/>
                      <w:color w:val="auto"/>
                      <w:sz w:val="21"/>
                      <w:szCs w:val="21"/>
                    </w:rPr>
                    <w:t>坐标/m</w:t>
                  </w:r>
                </w:p>
              </w:tc>
              <w:tc>
                <w:tcPr>
                  <w:tcW w:w="679" w:type="dxa"/>
                  <w:vMerge w:val="restart"/>
                  <w:noWrap w:val="0"/>
                  <w:vAlign w:val="center"/>
                </w:tcPr>
                <w:p w14:paraId="0D9B986F">
                  <w:pPr>
                    <w:jc w:val="center"/>
                    <w:rPr>
                      <w:b/>
                      <w:bCs/>
                      <w:color w:val="auto"/>
                      <w:sz w:val="21"/>
                      <w:szCs w:val="21"/>
                    </w:rPr>
                  </w:pPr>
                  <w:r>
                    <w:rPr>
                      <w:b/>
                      <w:bCs/>
                      <w:color w:val="auto"/>
                      <w:sz w:val="21"/>
                      <w:szCs w:val="21"/>
                    </w:rPr>
                    <w:t>保护对象</w:t>
                  </w:r>
                </w:p>
              </w:tc>
              <w:tc>
                <w:tcPr>
                  <w:tcW w:w="1147" w:type="dxa"/>
                  <w:vMerge w:val="restart"/>
                  <w:noWrap w:val="0"/>
                  <w:vAlign w:val="center"/>
                </w:tcPr>
                <w:p w14:paraId="5324391C">
                  <w:pPr>
                    <w:jc w:val="center"/>
                    <w:rPr>
                      <w:b/>
                      <w:bCs/>
                      <w:color w:val="auto"/>
                      <w:sz w:val="21"/>
                      <w:szCs w:val="21"/>
                    </w:rPr>
                  </w:pPr>
                  <w:r>
                    <w:rPr>
                      <w:b/>
                      <w:bCs/>
                      <w:color w:val="auto"/>
                      <w:sz w:val="21"/>
                      <w:szCs w:val="21"/>
                    </w:rPr>
                    <w:t>保护内容</w:t>
                  </w:r>
                </w:p>
              </w:tc>
              <w:tc>
                <w:tcPr>
                  <w:tcW w:w="1055" w:type="dxa"/>
                  <w:vMerge w:val="restart"/>
                  <w:noWrap w:val="0"/>
                  <w:vAlign w:val="center"/>
                </w:tcPr>
                <w:p w14:paraId="3967E8F1">
                  <w:pPr>
                    <w:jc w:val="center"/>
                    <w:rPr>
                      <w:b/>
                      <w:bCs/>
                      <w:color w:val="auto"/>
                      <w:sz w:val="21"/>
                      <w:szCs w:val="21"/>
                    </w:rPr>
                  </w:pPr>
                  <w:r>
                    <w:rPr>
                      <w:b/>
                      <w:bCs/>
                      <w:color w:val="auto"/>
                      <w:sz w:val="21"/>
                      <w:szCs w:val="21"/>
                    </w:rPr>
                    <w:t>环境功能区</w:t>
                  </w:r>
                </w:p>
              </w:tc>
              <w:tc>
                <w:tcPr>
                  <w:tcW w:w="810" w:type="dxa"/>
                  <w:vMerge w:val="restart"/>
                  <w:noWrap w:val="0"/>
                  <w:vAlign w:val="center"/>
                </w:tcPr>
                <w:p w14:paraId="56A1C045">
                  <w:pPr>
                    <w:jc w:val="center"/>
                    <w:rPr>
                      <w:b/>
                      <w:bCs/>
                      <w:color w:val="auto"/>
                      <w:sz w:val="21"/>
                      <w:szCs w:val="21"/>
                    </w:rPr>
                  </w:pPr>
                  <w:r>
                    <w:rPr>
                      <w:b/>
                      <w:bCs/>
                      <w:color w:val="auto"/>
                      <w:sz w:val="21"/>
                      <w:szCs w:val="21"/>
                    </w:rPr>
                    <w:t>相对厂址方位</w:t>
                  </w:r>
                </w:p>
              </w:tc>
              <w:tc>
                <w:tcPr>
                  <w:tcW w:w="1022" w:type="dxa"/>
                  <w:vMerge w:val="restart"/>
                  <w:noWrap w:val="0"/>
                  <w:vAlign w:val="center"/>
                </w:tcPr>
                <w:p w14:paraId="2B45AE1A">
                  <w:pPr>
                    <w:jc w:val="center"/>
                    <w:rPr>
                      <w:b/>
                      <w:bCs/>
                      <w:color w:val="auto"/>
                      <w:sz w:val="21"/>
                      <w:szCs w:val="21"/>
                    </w:rPr>
                  </w:pPr>
                  <w:r>
                    <w:rPr>
                      <w:b/>
                      <w:bCs/>
                      <w:color w:val="auto"/>
                      <w:sz w:val="21"/>
                      <w:szCs w:val="21"/>
                    </w:rPr>
                    <w:t>相对厂界距离/m</w:t>
                  </w:r>
                </w:p>
              </w:tc>
            </w:tr>
            <w:tr w14:paraId="079C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dxa"/>
                  <w:vMerge w:val="continue"/>
                  <w:noWrap w:val="0"/>
                  <w:vAlign w:val="center"/>
                </w:tcPr>
                <w:p w14:paraId="32DF8BCB">
                  <w:pPr>
                    <w:jc w:val="center"/>
                    <w:rPr>
                      <w:color w:val="auto"/>
                      <w:sz w:val="21"/>
                      <w:szCs w:val="21"/>
                    </w:rPr>
                  </w:pPr>
                </w:p>
              </w:tc>
              <w:tc>
                <w:tcPr>
                  <w:tcW w:w="1514" w:type="dxa"/>
                  <w:vMerge w:val="continue"/>
                  <w:noWrap w:val="0"/>
                  <w:vAlign w:val="center"/>
                </w:tcPr>
                <w:p w14:paraId="7AB47951">
                  <w:pPr>
                    <w:jc w:val="center"/>
                    <w:rPr>
                      <w:color w:val="auto"/>
                      <w:sz w:val="21"/>
                      <w:szCs w:val="21"/>
                    </w:rPr>
                  </w:pPr>
                </w:p>
              </w:tc>
              <w:tc>
                <w:tcPr>
                  <w:tcW w:w="694" w:type="dxa"/>
                  <w:noWrap w:val="0"/>
                  <w:vAlign w:val="center"/>
                </w:tcPr>
                <w:p w14:paraId="7AC1B741">
                  <w:pPr>
                    <w:jc w:val="center"/>
                    <w:rPr>
                      <w:b/>
                      <w:bCs/>
                      <w:color w:val="auto"/>
                      <w:sz w:val="21"/>
                      <w:szCs w:val="21"/>
                    </w:rPr>
                  </w:pPr>
                  <w:r>
                    <w:rPr>
                      <w:b/>
                      <w:bCs/>
                      <w:color w:val="auto"/>
                      <w:sz w:val="21"/>
                      <w:szCs w:val="21"/>
                    </w:rPr>
                    <w:t>x</w:t>
                  </w:r>
                </w:p>
              </w:tc>
              <w:tc>
                <w:tcPr>
                  <w:tcW w:w="664" w:type="dxa"/>
                  <w:noWrap w:val="0"/>
                  <w:vAlign w:val="center"/>
                </w:tcPr>
                <w:p w14:paraId="63C76FE5">
                  <w:pPr>
                    <w:jc w:val="center"/>
                    <w:rPr>
                      <w:b/>
                      <w:bCs/>
                      <w:color w:val="auto"/>
                      <w:sz w:val="21"/>
                      <w:szCs w:val="21"/>
                    </w:rPr>
                  </w:pPr>
                  <w:r>
                    <w:rPr>
                      <w:b/>
                      <w:bCs/>
                      <w:color w:val="auto"/>
                      <w:sz w:val="21"/>
                      <w:szCs w:val="21"/>
                    </w:rPr>
                    <w:t>y</w:t>
                  </w:r>
                </w:p>
              </w:tc>
              <w:tc>
                <w:tcPr>
                  <w:tcW w:w="679" w:type="dxa"/>
                  <w:vMerge w:val="continue"/>
                  <w:noWrap w:val="0"/>
                  <w:vAlign w:val="center"/>
                </w:tcPr>
                <w:p w14:paraId="68BB238D">
                  <w:pPr>
                    <w:jc w:val="center"/>
                    <w:rPr>
                      <w:color w:val="auto"/>
                      <w:sz w:val="21"/>
                      <w:szCs w:val="21"/>
                    </w:rPr>
                  </w:pPr>
                </w:p>
              </w:tc>
              <w:tc>
                <w:tcPr>
                  <w:tcW w:w="1147" w:type="dxa"/>
                  <w:vMerge w:val="continue"/>
                  <w:noWrap w:val="0"/>
                  <w:vAlign w:val="center"/>
                </w:tcPr>
                <w:p w14:paraId="5B86BA18">
                  <w:pPr>
                    <w:jc w:val="center"/>
                    <w:rPr>
                      <w:color w:val="auto"/>
                      <w:sz w:val="21"/>
                      <w:szCs w:val="21"/>
                    </w:rPr>
                  </w:pPr>
                </w:p>
              </w:tc>
              <w:tc>
                <w:tcPr>
                  <w:tcW w:w="1055" w:type="dxa"/>
                  <w:vMerge w:val="continue"/>
                  <w:noWrap w:val="0"/>
                  <w:vAlign w:val="center"/>
                </w:tcPr>
                <w:p w14:paraId="1F50794E">
                  <w:pPr>
                    <w:jc w:val="center"/>
                    <w:rPr>
                      <w:color w:val="auto"/>
                      <w:sz w:val="21"/>
                      <w:szCs w:val="21"/>
                    </w:rPr>
                  </w:pPr>
                </w:p>
              </w:tc>
              <w:tc>
                <w:tcPr>
                  <w:tcW w:w="810" w:type="dxa"/>
                  <w:vMerge w:val="continue"/>
                  <w:noWrap w:val="0"/>
                  <w:vAlign w:val="center"/>
                </w:tcPr>
                <w:p w14:paraId="4F7560ED">
                  <w:pPr>
                    <w:jc w:val="center"/>
                    <w:rPr>
                      <w:color w:val="auto"/>
                      <w:sz w:val="21"/>
                      <w:szCs w:val="21"/>
                    </w:rPr>
                  </w:pPr>
                </w:p>
              </w:tc>
              <w:tc>
                <w:tcPr>
                  <w:tcW w:w="1022" w:type="dxa"/>
                  <w:vMerge w:val="continue"/>
                  <w:noWrap w:val="0"/>
                  <w:vAlign w:val="center"/>
                </w:tcPr>
                <w:p w14:paraId="4BAA93CE">
                  <w:pPr>
                    <w:jc w:val="center"/>
                    <w:rPr>
                      <w:color w:val="auto"/>
                      <w:sz w:val="21"/>
                      <w:szCs w:val="21"/>
                    </w:rPr>
                  </w:pPr>
                </w:p>
              </w:tc>
            </w:tr>
            <w:tr w14:paraId="31BC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 w:type="dxa"/>
                  <w:noWrap w:val="0"/>
                  <w:vAlign w:val="center"/>
                </w:tcPr>
                <w:p w14:paraId="15DEDA8C">
                  <w:pPr>
                    <w:jc w:val="center"/>
                    <w:rPr>
                      <w:color w:val="auto"/>
                      <w:sz w:val="21"/>
                      <w:szCs w:val="21"/>
                    </w:rPr>
                  </w:pPr>
                  <w:r>
                    <w:rPr>
                      <w:color w:val="auto"/>
                      <w:sz w:val="21"/>
                      <w:szCs w:val="21"/>
                    </w:rPr>
                    <w:t>1</w:t>
                  </w:r>
                </w:p>
              </w:tc>
              <w:tc>
                <w:tcPr>
                  <w:tcW w:w="1514" w:type="dxa"/>
                  <w:noWrap w:val="0"/>
                  <w:vAlign w:val="center"/>
                </w:tcPr>
                <w:p w14:paraId="689F4C7A">
                  <w:pPr>
                    <w:jc w:val="center"/>
                    <w:rPr>
                      <w:rFonts w:hint="default" w:eastAsia="宋体"/>
                      <w:color w:val="auto"/>
                      <w:sz w:val="21"/>
                      <w:szCs w:val="21"/>
                      <w:lang w:val="en-US" w:eastAsia="zh-CN"/>
                    </w:rPr>
                  </w:pPr>
                  <w:r>
                    <w:rPr>
                      <w:rFonts w:hint="eastAsia" w:eastAsia="宋体"/>
                      <w:color w:val="auto"/>
                      <w:sz w:val="21"/>
                      <w:szCs w:val="21"/>
                      <w:lang w:val="en-US" w:eastAsia="zh-CN"/>
                    </w:rPr>
                    <w:t>泗县经济开发区管理委员会</w:t>
                  </w:r>
                </w:p>
              </w:tc>
              <w:tc>
                <w:tcPr>
                  <w:tcW w:w="694" w:type="dxa"/>
                  <w:noWrap w:val="0"/>
                  <w:vAlign w:val="center"/>
                </w:tcPr>
                <w:p w14:paraId="0E6739CA">
                  <w:pPr>
                    <w:jc w:val="center"/>
                    <w:rPr>
                      <w:rFonts w:hint="default" w:eastAsia="宋体"/>
                      <w:color w:val="auto"/>
                      <w:sz w:val="21"/>
                      <w:szCs w:val="21"/>
                      <w:lang w:val="en-US" w:eastAsia="zh-CN"/>
                    </w:rPr>
                  </w:pPr>
                  <w:r>
                    <w:rPr>
                      <w:rFonts w:hint="eastAsia"/>
                      <w:color w:val="auto"/>
                      <w:sz w:val="21"/>
                      <w:szCs w:val="21"/>
                      <w:lang w:val="en-US" w:eastAsia="zh-CN"/>
                    </w:rPr>
                    <w:t>-491</w:t>
                  </w:r>
                </w:p>
              </w:tc>
              <w:tc>
                <w:tcPr>
                  <w:tcW w:w="664" w:type="dxa"/>
                  <w:noWrap w:val="0"/>
                  <w:vAlign w:val="center"/>
                </w:tcPr>
                <w:p w14:paraId="1D70E937">
                  <w:pPr>
                    <w:jc w:val="center"/>
                    <w:rPr>
                      <w:rFonts w:hint="default" w:eastAsia="宋体"/>
                      <w:color w:val="auto"/>
                      <w:sz w:val="21"/>
                      <w:szCs w:val="21"/>
                      <w:lang w:val="en-US" w:eastAsia="zh-CN"/>
                    </w:rPr>
                  </w:pPr>
                  <w:r>
                    <w:rPr>
                      <w:rFonts w:hint="eastAsia"/>
                      <w:color w:val="auto"/>
                      <w:sz w:val="21"/>
                      <w:szCs w:val="21"/>
                      <w:lang w:val="en-US" w:eastAsia="zh-CN"/>
                    </w:rPr>
                    <w:t>0</w:t>
                  </w:r>
                </w:p>
              </w:tc>
              <w:tc>
                <w:tcPr>
                  <w:tcW w:w="679" w:type="dxa"/>
                  <w:noWrap w:val="0"/>
                  <w:vAlign w:val="center"/>
                </w:tcPr>
                <w:p w14:paraId="16C9923D">
                  <w:pPr>
                    <w:jc w:val="center"/>
                    <w:rPr>
                      <w:rFonts w:hint="eastAsia" w:eastAsia="宋体"/>
                      <w:color w:val="auto"/>
                      <w:sz w:val="21"/>
                      <w:szCs w:val="21"/>
                      <w:lang w:val="en-US" w:eastAsia="zh-CN"/>
                    </w:rPr>
                  </w:pPr>
                  <w:r>
                    <w:rPr>
                      <w:rFonts w:hint="eastAsia"/>
                      <w:color w:val="auto"/>
                      <w:sz w:val="21"/>
                      <w:szCs w:val="21"/>
                      <w:lang w:val="en-US" w:eastAsia="zh-CN"/>
                    </w:rPr>
                    <w:t>工作人员</w:t>
                  </w:r>
                </w:p>
              </w:tc>
              <w:tc>
                <w:tcPr>
                  <w:tcW w:w="1147" w:type="dxa"/>
                  <w:noWrap w:val="0"/>
                  <w:vAlign w:val="center"/>
                </w:tcPr>
                <w:p w14:paraId="7E9D5B05">
                  <w:pPr>
                    <w:jc w:val="center"/>
                    <w:rPr>
                      <w:color w:val="auto"/>
                      <w:sz w:val="21"/>
                      <w:szCs w:val="21"/>
                    </w:rPr>
                  </w:pPr>
                  <w:r>
                    <w:rPr>
                      <w:color w:val="auto"/>
                      <w:sz w:val="21"/>
                      <w:szCs w:val="21"/>
                    </w:rPr>
                    <w:t>约</w:t>
                  </w:r>
                  <w:r>
                    <w:rPr>
                      <w:rFonts w:hint="eastAsia"/>
                      <w:color w:val="auto"/>
                      <w:sz w:val="21"/>
                      <w:szCs w:val="21"/>
                      <w:lang w:val="en-US" w:eastAsia="zh-CN"/>
                    </w:rPr>
                    <w:t>200</w:t>
                  </w:r>
                  <w:r>
                    <w:rPr>
                      <w:color w:val="auto"/>
                      <w:sz w:val="21"/>
                      <w:szCs w:val="21"/>
                    </w:rPr>
                    <w:t>人</w:t>
                  </w:r>
                </w:p>
              </w:tc>
              <w:tc>
                <w:tcPr>
                  <w:tcW w:w="1055" w:type="dxa"/>
                  <w:noWrap w:val="0"/>
                  <w:vAlign w:val="center"/>
                </w:tcPr>
                <w:p w14:paraId="2BF9D57F">
                  <w:pPr>
                    <w:pStyle w:val="10"/>
                    <w:jc w:val="center"/>
                    <w:rPr>
                      <w:color w:val="auto"/>
                      <w:sz w:val="21"/>
                      <w:szCs w:val="21"/>
                    </w:rPr>
                  </w:pPr>
                  <w:r>
                    <w:rPr>
                      <w:color w:val="auto"/>
                      <w:sz w:val="21"/>
                      <w:szCs w:val="21"/>
                    </w:rPr>
                    <w:t>二类区</w:t>
                  </w:r>
                </w:p>
              </w:tc>
              <w:tc>
                <w:tcPr>
                  <w:tcW w:w="810" w:type="dxa"/>
                  <w:noWrap w:val="0"/>
                  <w:vAlign w:val="center"/>
                </w:tcPr>
                <w:p w14:paraId="68FB9C06">
                  <w:pPr>
                    <w:jc w:val="center"/>
                    <w:rPr>
                      <w:rFonts w:hint="default" w:eastAsia="宋体"/>
                      <w:color w:val="auto"/>
                      <w:sz w:val="21"/>
                      <w:szCs w:val="21"/>
                      <w:lang w:val="en-US" w:eastAsia="zh-CN"/>
                    </w:rPr>
                  </w:pPr>
                  <w:r>
                    <w:rPr>
                      <w:rFonts w:hint="eastAsia" w:eastAsia="宋体"/>
                      <w:color w:val="auto"/>
                      <w:sz w:val="21"/>
                      <w:szCs w:val="21"/>
                      <w:lang w:val="en-US" w:eastAsia="zh-CN"/>
                    </w:rPr>
                    <w:t>西</w:t>
                  </w:r>
                </w:p>
              </w:tc>
              <w:tc>
                <w:tcPr>
                  <w:tcW w:w="1022" w:type="dxa"/>
                  <w:noWrap w:val="0"/>
                  <w:vAlign w:val="center"/>
                </w:tcPr>
                <w:p w14:paraId="502F4057">
                  <w:pPr>
                    <w:jc w:val="center"/>
                    <w:rPr>
                      <w:rFonts w:hint="default" w:eastAsia="宋体"/>
                      <w:color w:val="auto"/>
                      <w:sz w:val="21"/>
                      <w:szCs w:val="21"/>
                      <w:lang w:val="en-US" w:eastAsia="zh-CN"/>
                    </w:rPr>
                  </w:pPr>
                  <w:r>
                    <w:rPr>
                      <w:rFonts w:hint="eastAsia"/>
                      <w:color w:val="auto"/>
                      <w:sz w:val="21"/>
                      <w:szCs w:val="21"/>
                      <w:lang w:val="en-US" w:eastAsia="zh-CN"/>
                    </w:rPr>
                    <w:t>468</w:t>
                  </w:r>
                </w:p>
              </w:tc>
            </w:tr>
          </w:tbl>
          <w:p w14:paraId="560F1082">
            <w:pPr>
              <w:pStyle w:val="5"/>
              <w:adjustRightInd w:val="0"/>
              <w:snapToGrid w:val="0"/>
              <w:spacing w:before="0" w:after="0" w:line="36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注：项目以厂区中心点为坐标原</w:t>
            </w:r>
            <w:r>
              <w:rPr>
                <w:rFonts w:ascii="Times New Roman" w:hAnsi="Times New Roman" w:eastAsia="宋体"/>
                <w:b w:val="0"/>
                <w:bCs/>
                <w:color w:val="auto"/>
                <w:sz w:val="21"/>
                <w:szCs w:val="21"/>
              </w:rPr>
              <w:t>点，正东为X轴，正北为Y轴</w:t>
            </w:r>
          </w:p>
          <w:p w14:paraId="02B29707">
            <w:pPr>
              <w:pStyle w:val="5"/>
              <w:adjustRightInd w:val="0"/>
              <w:snapToGrid w:val="0"/>
              <w:spacing w:before="0" w:after="0" w:line="360" w:lineRule="auto"/>
              <w:rPr>
                <w:rFonts w:ascii="Times New Roman" w:hAnsi="Times New Roman" w:eastAsia="宋体"/>
                <w:bCs/>
                <w:color w:val="000000" w:themeColor="text1"/>
                <w:kern w:val="0"/>
                <w14:textFill>
                  <w14:solidFill>
                    <w14:schemeClr w14:val="tx1"/>
                  </w14:solidFill>
                </w14:textFill>
              </w:rPr>
            </w:pPr>
            <w:r>
              <w:rPr>
                <w:rFonts w:ascii="Times New Roman" w:hAnsi="Times New Roman" w:eastAsia="宋体"/>
                <w:bCs/>
                <w:color w:val="000000" w:themeColor="text1"/>
                <w:kern w:val="0"/>
                <w14:textFill>
                  <w14:solidFill>
                    <w14:schemeClr w14:val="tx1"/>
                  </w14:solidFill>
                </w14:textFill>
              </w:rPr>
              <w:t>2、地表水</w:t>
            </w:r>
          </w:p>
          <w:p w14:paraId="6D656E27">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表3</w:t>
            </w:r>
            <w:r>
              <w:rPr>
                <w:rFonts w:hint="eastAsia"/>
                <w:b/>
                <w:bCs/>
                <w:color w:val="000000" w:themeColor="text1"/>
                <w:lang w:val="en-US" w:eastAsia="zh-CN"/>
                <w14:textFill>
                  <w14:solidFill>
                    <w14:schemeClr w14:val="tx1"/>
                  </w14:solidFill>
                </w14:textFill>
              </w:rPr>
              <w:t xml:space="preserve">-5 </w:t>
            </w:r>
            <w:r>
              <w:rPr>
                <w:b/>
                <w:bCs/>
                <w:color w:val="000000" w:themeColor="text1"/>
                <w14:textFill>
                  <w14:solidFill>
                    <w14:schemeClr w14:val="tx1"/>
                  </w14:solidFill>
                </w14:textFill>
              </w:rPr>
              <w:t xml:space="preserve"> 水环境保护目标一览表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8"/>
              <w:gridCol w:w="1473"/>
              <w:gridCol w:w="1473"/>
              <w:gridCol w:w="1473"/>
              <w:gridCol w:w="2459"/>
            </w:tblGrid>
            <w:tr w14:paraId="1B7A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4" w:type="pct"/>
                  <w:vAlign w:val="center"/>
                </w:tcPr>
                <w:p w14:paraId="606EADFC">
                  <w:pPr>
                    <w:jc w:val="center"/>
                    <w:rPr>
                      <w:b/>
                      <w:bCs/>
                      <w:sz w:val="21"/>
                      <w:szCs w:val="21"/>
                    </w:rPr>
                  </w:pPr>
                  <w:r>
                    <w:rPr>
                      <w:b/>
                      <w:bCs/>
                      <w:sz w:val="21"/>
                      <w:szCs w:val="21"/>
                    </w:rPr>
                    <w:t>环境要素</w:t>
                  </w:r>
                </w:p>
              </w:tc>
              <w:tc>
                <w:tcPr>
                  <w:tcW w:w="919" w:type="pct"/>
                  <w:vAlign w:val="center"/>
                </w:tcPr>
                <w:p w14:paraId="2F0FF344">
                  <w:pPr>
                    <w:jc w:val="center"/>
                    <w:rPr>
                      <w:b/>
                      <w:bCs/>
                      <w:sz w:val="21"/>
                      <w:szCs w:val="21"/>
                    </w:rPr>
                  </w:pPr>
                  <w:r>
                    <w:rPr>
                      <w:b/>
                      <w:bCs/>
                      <w:sz w:val="21"/>
                      <w:szCs w:val="21"/>
                    </w:rPr>
                    <w:t>环境保护对象</w:t>
                  </w:r>
                </w:p>
                <w:p w14:paraId="732FC7B7">
                  <w:pPr>
                    <w:jc w:val="center"/>
                    <w:rPr>
                      <w:b/>
                      <w:bCs/>
                      <w:sz w:val="21"/>
                      <w:szCs w:val="21"/>
                    </w:rPr>
                  </w:pPr>
                  <w:r>
                    <w:rPr>
                      <w:b/>
                      <w:bCs/>
                      <w:sz w:val="21"/>
                      <w:szCs w:val="21"/>
                    </w:rPr>
                    <w:t>名称</w:t>
                  </w:r>
                </w:p>
              </w:tc>
              <w:tc>
                <w:tcPr>
                  <w:tcW w:w="919" w:type="pct"/>
                  <w:vAlign w:val="center"/>
                </w:tcPr>
                <w:p w14:paraId="398C785C">
                  <w:pPr>
                    <w:jc w:val="center"/>
                    <w:rPr>
                      <w:b/>
                      <w:bCs/>
                      <w:sz w:val="21"/>
                      <w:szCs w:val="21"/>
                    </w:rPr>
                  </w:pPr>
                  <w:r>
                    <w:rPr>
                      <w:b/>
                      <w:bCs/>
                      <w:sz w:val="21"/>
                      <w:szCs w:val="21"/>
                    </w:rPr>
                    <w:t>方位/距离(m)</w:t>
                  </w:r>
                </w:p>
              </w:tc>
              <w:tc>
                <w:tcPr>
                  <w:tcW w:w="919" w:type="pct"/>
                  <w:vAlign w:val="center"/>
                </w:tcPr>
                <w:p w14:paraId="51F76319">
                  <w:pPr>
                    <w:jc w:val="center"/>
                    <w:rPr>
                      <w:b/>
                      <w:bCs/>
                      <w:sz w:val="21"/>
                      <w:szCs w:val="21"/>
                    </w:rPr>
                  </w:pPr>
                  <w:r>
                    <w:rPr>
                      <w:b/>
                      <w:bCs/>
                      <w:sz w:val="21"/>
                      <w:szCs w:val="21"/>
                    </w:rPr>
                    <w:t>规模</w:t>
                  </w:r>
                </w:p>
              </w:tc>
              <w:tc>
                <w:tcPr>
                  <w:tcW w:w="1535" w:type="pct"/>
                  <w:vAlign w:val="center"/>
                </w:tcPr>
                <w:p w14:paraId="5FC2EED3">
                  <w:pPr>
                    <w:jc w:val="center"/>
                    <w:rPr>
                      <w:b/>
                      <w:bCs/>
                      <w:sz w:val="21"/>
                      <w:szCs w:val="21"/>
                    </w:rPr>
                  </w:pPr>
                  <w:r>
                    <w:rPr>
                      <w:b/>
                      <w:bCs/>
                      <w:sz w:val="21"/>
                      <w:szCs w:val="21"/>
                    </w:rPr>
                    <w:t>保护目标</w:t>
                  </w:r>
                </w:p>
              </w:tc>
            </w:tr>
            <w:tr w14:paraId="7445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4" w:type="pct"/>
                  <w:vAlign w:val="center"/>
                </w:tcPr>
                <w:p w14:paraId="277400B2">
                  <w:pPr>
                    <w:jc w:val="center"/>
                    <w:rPr>
                      <w:sz w:val="21"/>
                      <w:szCs w:val="21"/>
                    </w:rPr>
                  </w:pPr>
                  <w:r>
                    <w:rPr>
                      <w:sz w:val="21"/>
                      <w:szCs w:val="21"/>
                    </w:rPr>
                    <w:t>地表水</w:t>
                  </w:r>
                </w:p>
              </w:tc>
              <w:tc>
                <w:tcPr>
                  <w:tcW w:w="919" w:type="pct"/>
                  <w:vAlign w:val="center"/>
                </w:tcPr>
                <w:p w14:paraId="0568266C">
                  <w:pPr>
                    <w:jc w:val="center"/>
                    <w:rPr>
                      <w:sz w:val="21"/>
                      <w:szCs w:val="21"/>
                    </w:rPr>
                  </w:pPr>
                  <w:r>
                    <w:rPr>
                      <w:sz w:val="21"/>
                      <w:szCs w:val="21"/>
                      <w:lang w:bidi="ar"/>
                    </w:rPr>
                    <w:t>石梁河</w:t>
                  </w:r>
                </w:p>
              </w:tc>
              <w:tc>
                <w:tcPr>
                  <w:tcW w:w="919" w:type="pct"/>
                  <w:vAlign w:val="center"/>
                </w:tcPr>
                <w:p w14:paraId="2D74B3A2">
                  <w:pPr>
                    <w:jc w:val="center"/>
                    <w:rPr>
                      <w:sz w:val="21"/>
                      <w:szCs w:val="21"/>
                    </w:rPr>
                  </w:pPr>
                  <w:r>
                    <w:rPr>
                      <w:sz w:val="21"/>
                      <w:szCs w:val="21"/>
                    </w:rPr>
                    <w:t>西南</w:t>
                  </w:r>
                  <w:r>
                    <w:rPr>
                      <w:rFonts w:hint="eastAsia"/>
                      <w:sz w:val="21"/>
                      <w:szCs w:val="21"/>
                      <w:lang w:val="en-US" w:eastAsia="zh-CN"/>
                    </w:rPr>
                    <w:t>2560</w:t>
                  </w:r>
                  <w:r>
                    <w:rPr>
                      <w:sz w:val="21"/>
                      <w:szCs w:val="21"/>
                    </w:rPr>
                    <w:t>米</w:t>
                  </w:r>
                </w:p>
              </w:tc>
              <w:tc>
                <w:tcPr>
                  <w:tcW w:w="919" w:type="pct"/>
                  <w:vAlign w:val="center"/>
                </w:tcPr>
                <w:p w14:paraId="3CEF0E26">
                  <w:pPr>
                    <w:jc w:val="center"/>
                    <w:rPr>
                      <w:sz w:val="21"/>
                      <w:szCs w:val="21"/>
                    </w:rPr>
                  </w:pPr>
                  <w:r>
                    <w:rPr>
                      <w:sz w:val="21"/>
                      <w:szCs w:val="21"/>
                    </w:rPr>
                    <w:t>小河</w:t>
                  </w:r>
                </w:p>
              </w:tc>
              <w:tc>
                <w:tcPr>
                  <w:tcW w:w="1535" w:type="pct"/>
                  <w:vAlign w:val="center"/>
                </w:tcPr>
                <w:p w14:paraId="56729065">
                  <w:pPr>
                    <w:jc w:val="center"/>
                    <w:rPr>
                      <w:sz w:val="21"/>
                      <w:szCs w:val="21"/>
                    </w:rPr>
                  </w:pPr>
                  <w:r>
                    <w:rPr>
                      <w:sz w:val="21"/>
                      <w:szCs w:val="21"/>
                    </w:rPr>
                    <w:t>《</w:t>
                  </w:r>
                  <w:r>
                    <w:rPr>
                      <w:color w:val="000000"/>
                      <w:sz w:val="21"/>
                      <w:szCs w:val="21"/>
                    </w:rPr>
                    <w:t>地表水环境质量标准》（GB3838-2002）Ⅲ类</w:t>
                  </w:r>
                </w:p>
              </w:tc>
            </w:tr>
          </w:tbl>
          <w:p w14:paraId="380C15DB">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3、声环境</w:t>
            </w:r>
          </w:p>
          <w:p w14:paraId="31AAC110">
            <w:pPr>
              <w:adjustRightInd w:val="0"/>
              <w:snapToGrid w:val="0"/>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厂界外50m范围内没有声环境保护目标。</w:t>
            </w:r>
          </w:p>
          <w:p w14:paraId="75BEF311">
            <w:pPr>
              <w:adjustRightInd w:val="0"/>
              <w:snapToGrid w:val="0"/>
              <w:spacing w:line="360" w:lineRule="auto"/>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4、地下水环境</w:t>
            </w:r>
          </w:p>
          <w:p w14:paraId="053092B4">
            <w:pPr>
              <w:adjustRightInd w:val="0"/>
              <w:snapToGrid w:val="0"/>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厂界外500m范围内无地下水集中式引用水水源和热水、矿泉水、温泉等特殊地下水资源。</w:t>
            </w:r>
          </w:p>
          <w:p w14:paraId="57334FCF">
            <w:pPr>
              <w:adjustRightInd w:val="0"/>
              <w:snapToGrid w:val="0"/>
              <w:spacing w:line="360" w:lineRule="auto"/>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5、生态环境</w:t>
            </w:r>
          </w:p>
          <w:p w14:paraId="68D64A18">
            <w:pPr>
              <w:adjustRightInd w:val="0"/>
              <w:snapToGrid w:val="0"/>
              <w:spacing w:line="360" w:lineRule="auto"/>
              <w:ind w:firstLine="480" w:firstLineChars="200"/>
              <w:jc w:val="both"/>
              <w:rPr>
                <w:rFonts w:hint="eastAsia"/>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本项目位于</w:t>
            </w:r>
            <w:r>
              <w:rPr>
                <w:rFonts w:hint="eastAsia"/>
                <w:color w:val="000000" w:themeColor="text1"/>
                <w:kern w:val="0"/>
                <w:lang w:eastAsia="zh-CN"/>
                <w14:textFill>
                  <w14:solidFill>
                    <w14:schemeClr w14:val="tx1"/>
                  </w14:solidFill>
                </w14:textFill>
              </w:rPr>
              <w:t>安徽</w:t>
            </w:r>
            <w:r>
              <w:rPr>
                <w:rFonts w:hint="eastAsia"/>
                <w:color w:val="000000" w:themeColor="text1"/>
                <w:kern w:val="0"/>
                <w:lang w:val="en-US" w:eastAsia="zh-CN"/>
                <w14:textFill>
                  <w14:solidFill>
                    <w14:schemeClr w14:val="tx1"/>
                  </w14:solidFill>
                </w14:textFill>
              </w:rPr>
              <w:t>泗县</w:t>
            </w:r>
            <w:r>
              <w:rPr>
                <w:rFonts w:hint="eastAsia"/>
                <w:color w:val="000000" w:themeColor="text1"/>
                <w:kern w:val="0"/>
                <w:lang w:eastAsia="zh-CN"/>
                <w14:textFill>
                  <w14:solidFill>
                    <w14:schemeClr w14:val="tx1"/>
                  </w14:solidFill>
                </w14:textFill>
              </w:rPr>
              <w:t>经济开发区</w:t>
            </w:r>
            <w:r>
              <w:rPr>
                <w:color w:val="000000" w:themeColor="text1"/>
                <w:kern w:val="0"/>
                <w14:textFill>
                  <w14:solidFill>
                    <w14:schemeClr w14:val="tx1"/>
                  </w14:solidFill>
                </w14:textFill>
              </w:rPr>
              <w:t>，</w:t>
            </w:r>
            <w:r>
              <w:rPr>
                <w:rFonts w:hint="eastAsia" w:cs="宋体"/>
                <w:color w:val="auto"/>
                <w:kern w:val="0"/>
                <w:sz w:val="24"/>
                <w:szCs w:val="21"/>
                <w:lang w:val="en-US" w:eastAsia="zh-CN"/>
              </w:rPr>
              <w:t>租赁已建成空置厂房，项目位于合规的产业园内</w:t>
            </w:r>
            <w:r>
              <w:rPr>
                <w:rFonts w:hint="eastAsia" w:cs="宋体"/>
                <w:color w:val="auto"/>
                <w:kern w:val="0"/>
                <w:sz w:val="24"/>
                <w:szCs w:val="21"/>
              </w:rPr>
              <w:t>，</w:t>
            </w:r>
            <w:r>
              <w:rPr>
                <w:rFonts w:hint="eastAsia" w:cs="宋体"/>
                <w:color w:val="auto"/>
                <w:kern w:val="0"/>
                <w:sz w:val="24"/>
                <w:szCs w:val="21"/>
                <w:lang w:val="en-US" w:eastAsia="zh-CN"/>
              </w:rPr>
              <w:t>无</w:t>
            </w:r>
            <w:r>
              <w:rPr>
                <w:rFonts w:hint="eastAsia" w:cs="宋体"/>
                <w:color w:val="auto"/>
                <w:kern w:val="0"/>
                <w:sz w:val="24"/>
                <w:szCs w:val="21"/>
              </w:rPr>
              <w:t>生态环境保护目标</w:t>
            </w:r>
            <w:r>
              <w:rPr>
                <w:color w:val="000000" w:themeColor="text1"/>
                <w:kern w:val="0"/>
                <w14:textFill>
                  <w14:solidFill>
                    <w14:schemeClr w14:val="tx1"/>
                  </w14:solidFill>
                </w14:textFill>
              </w:rPr>
              <w:t>。</w:t>
            </w:r>
          </w:p>
          <w:p w14:paraId="7D04855F">
            <w:pPr>
              <w:adjustRightInd w:val="0"/>
              <w:snapToGrid w:val="0"/>
              <w:spacing w:line="360" w:lineRule="auto"/>
              <w:ind w:firstLine="480" w:firstLineChars="200"/>
              <w:jc w:val="both"/>
              <w:rPr>
                <w:rFonts w:hint="eastAsia"/>
                <w:color w:val="000000" w:themeColor="text1"/>
                <w:kern w:val="0"/>
                <w:lang w:val="en-US" w:eastAsia="zh-CN"/>
                <w14:textFill>
                  <w14:solidFill>
                    <w14:schemeClr w14:val="tx1"/>
                  </w14:solidFill>
                </w14:textFill>
              </w:rPr>
            </w:pPr>
          </w:p>
          <w:p w14:paraId="449A966A">
            <w:pPr>
              <w:adjustRightInd w:val="0"/>
              <w:snapToGrid w:val="0"/>
              <w:spacing w:line="360" w:lineRule="auto"/>
              <w:ind w:firstLine="480" w:firstLineChars="200"/>
              <w:jc w:val="both"/>
              <w:rPr>
                <w:rFonts w:hint="eastAsia"/>
                <w:color w:val="000000" w:themeColor="text1"/>
                <w:kern w:val="0"/>
                <w:lang w:val="en-US" w:eastAsia="zh-CN"/>
                <w14:textFill>
                  <w14:solidFill>
                    <w14:schemeClr w14:val="tx1"/>
                  </w14:solidFill>
                </w14:textFill>
              </w:rPr>
            </w:pPr>
          </w:p>
          <w:p w14:paraId="3C4D81CF">
            <w:pPr>
              <w:adjustRightInd w:val="0"/>
              <w:snapToGrid w:val="0"/>
              <w:spacing w:line="360" w:lineRule="auto"/>
              <w:ind w:firstLine="480" w:firstLineChars="200"/>
              <w:jc w:val="both"/>
              <w:rPr>
                <w:rFonts w:hint="eastAsia"/>
                <w:color w:val="000000" w:themeColor="text1"/>
                <w:kern w:val="0"/>
                <w:lang w:val="en-US" w:eastAsia="zh-CN"/>
                <w14:textFill>
                  <w14:solidFill>
                    <w14:schemeClr w14:val="tx1"/>
                  </w14:solidFill>
                </w14:textFill>
              </w:rPr>
            </w:pPr>
          </w:p>
          <w:p w14:paraId="3C864A41">
            <w:pPr>
              <w:adjustRightInd w:val="0"/>
              <w:snapToGrid w:val="0"/>
              <w:spacing w:line="360" w:lineRule="auto"/>
              <w:ind w:firstLine="480" w:firstLineChars="200"/>
              <w:jc w:val="both"/>
              <w:rPr>
                <w:rFonts w:hint="eastAsia"/>
                <w:color w:val="000000" w:themeColor="text1"/>
                <w:kern w:val="0"/>
                <w:lang w:val="en-US" w:eastAsia="zh-CN"/>
                <w14:textFill>
                  <w14:solidFill>
                    <w14:schemeClr w14:val="tx1"/>
                  </w14:solidFill>
                </w14:textFill>
              </w:rPr>
            </w:pPr>
          </w:p>
          <w:p w14:paraId="6C5B959C">
            <w:pPr>
              <w:adjustRightInd w:val="0"/>
              <w:snapToGrid w:val="0"/>
              <w:spacing w:line="360" w:lineRule="auto"/>
              <w:ind w:firstLine="480" w:firstLineChars="200"/>
              <w:jc w:val="both"/>
              <w:rPr>
                <w:rFonts w:hint="eastAsia"/>
                <w:color w:val="000000" w:themeColor="text1"/>
                <w:kern w:val="0"/>
                <w:lang w:val="en-US" w:eastAsia="zh-CN"/>
                <w14:textFill>
                  <w14:solidFill>
                    <w14:schemeClr w14:val="tx1"/>
                  </w14:solidFill>
                </w14:textFill>
              </w:rPr>
            </w:pPr>
          </w:p>
          <w:p w14:paraId="498868F9">
            <w:pPr>
              <w:adjustRightInd w:val="0"/>
              <w:snapToGrid w:val="0"/>
              <w:spacing w:line="360" w:lineRule="auto"/>
              <w:ind w:firstLine="480" w:firstLineChars="200"/>
              <w:jc w:val="both"/>
              <w:rPr>
                <w:rFonts w:hint="eastAsia"/>
                <w:color w:val="000000" w:themeColor="text1"/>
                <w:lang w:val="en-US" w:eastAsia="zh-CN"/>
                <w14:textFill>
                  <w14:solidFill>
                    <w14:schemeClr w14:val="tx1"/>
                  </w14:solidFill>
                </w14:textFill>
              </w:rPr>
            </w:pPr>
          </w:p>
          <w:p w14:paraId="6CBACE6A">
            <w:pPr>
              <w:adjustRightInd w:val="0"/>
              <w:snapToGrid w:val="0"/>
              <w:spacing w:line="360" w:lineRule="auto"/>
              <w:ind w:firstLine="480" w:firstLineChars="200"/>
              <w:jc w:val="both"/>
              <w:rPr>
                <w:rFonts w:hint="eastAsia"/>
                <w:color w:val="000000" w:themeColor="text1"/>
                <w:lang w:val="en-US" w:eastAsia="zh-CN"/>
                <w14:textFill>
                  <w14:solidFill>
                    <w14:schemeClr w14:val="tx1"/>
                  </w14:solidFill>
                </w14:textFill>
              </w:rPr>
            </w:pPr>
          </w:p>
          <w:p w14:paraId="72133FDE">
            <w:pPr>
              <w:adjustRightInd w:val="0"/>
              <w:snapToGrid w:val="0"/>
              <w:spacing w:line="360" w:lineRule="auto"/>
              <w:ind w:firstLine="480" w:firstLineChars="200"/>
              <w:jc w:val="both"/>
              <w:rPr>
                <w:rFonts w:hint="eastAsia"/>
                <w:color w:val="000000" w:themeColor="text1"/>
                <w:lang w:val="en-US" w:eastAsia="zh-CN"/>
                <w14:textFill>
                  <w14:solidFill>
                    <w14:schemeClr w14:val="tx1"/>
                  </w14:solidFill>
                </w14:textFill>
              </w:rPr>
            </w:pPr>
          </w:p>
          <w:p w14:paraId="048080D0">
            <w:pPr>
              <w:adjustRightInd w:val="0"/>
              <w:snapToGrid w:val="0"/>
              <w:spacing w:line="360" w:lineRule="auto"/>
              <w:ind w:firstLine="480" w:firstLineChars="200"/>
              <w:jc w:val="both"/>
              <w:rPr>
                <w:rFonts w:hint="default" w:eastAsia="宋体"/>
                <w:color w:val="000000" w:themeColor="text1"/>
                <w:lang w:val="en-US" w:eastAsia="zh-CN"/>
                <w14:textFill>
                  <w14:solidFill>
                    <w14:schemeClr w14:val="tx1"/>
                  </w14:solidFill>
                </w14:textFill>
              </w:rPr>
            </w:pPr>
          </w:p>
        </w:tc>
      </w:tr>
      <w:tr w14:paraId="77151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21" w:type="dxa"/>
            <w:vAlign w:val="center"/>
          </w:tcPr>
          <w:p w14:paraId="7F95123D">
            <w:pPr>
              <w:pStyle w:val="26"/>
              <w:snapToGrid w:val="0"/>
              <w:spacing w:before="0" w:beforeAutospacing="0" w:after="0" w:afterAutospacing="0"/>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污染</w:t>
            </w:r>
          </w:p>
          <w:p w14:paraId="36EB63A3">
            <w:pPr>
              <w:pStyle w:val="26"/>
              <w:snapToGrid w:val="0"/>
              <w:spacing w:before="0" w:beforeAutospacing="0" w:after="0" w:afterAutospacing="0"/>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物排</w:t>
            </w:r>
          </w:p>
          <w:p w14:paraId="270682C7">
            <w:pPr>
              <w:pStyle w:val="26"/>
              <w:snapToGrid w:val="0"/>
              <w:spacing w:before="0" w:beforeAutospacing="0" w:after="0" w:afterAutospacing="0"/>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放控</w:t>
            </w:r>
          </w:p>
          <w:p w14:paraId="773A791D">
            <w:pPr>
              <w:pStyle w:val="26"/>
              <w:snapToGrid w:val="0"/>
              <w:spacing w:before="0" w:beforeAutospacing="0" w:after="0" w:afterAutospacing="0"/>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制标</w:t>
            </w:r>
          </w:p>
          <w:p w14:paraId="3912D615">
            <w:pPr>
              <w:pStyle w:val="26"/>
              <w:adjustRightInd w:val="0"/>
              <w:snapToGrid w:val="0"/>
              <w:spacing w:before="0" w:beforeAutospacing="0" w:after="0" w:afterAutospacing="0" w:line="360" w:lineRule="auto"/>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snapToGrid w:val="0"/>
                <w:color w:val="000000" w:themeColor="text1"/>
                <w:szCs w:val="24"/>
                <w14:textFill>
                  <w14:solidFill>
                    <w14:schemeClr w14:val="tx1"/>
                  </w14:solidFill>
                </w14:textFill>
              </w:rPr>
              <w:t>准</w:t>
            </w:r>
          </w:p>
        </w:tc>
        <w:tc>
          <w:tcPr>
            <w:tcW w:w="8240" w:type="dxa"/>
          </w:tcPr>
          <w:p w14:paraId="5EC686B5">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000000" w:themeColor="text1"/>
                <w14:textFill>
                  <w14:solidFill>
                    <w14:schemeClr w14:val="tx1"/>
                  </w14:solidFill>
                </w14:textFill>
              </w:rPr>
            </w:pPr>
            <w:bookmarkStart w:id="38" w:name="_Hlk149309130"/>
            <w:r>
              <w:rPr>
                <w:b/>
                <w:color w:val="000000" w:themeColor="text1"/>
                <w14:textFill>
                  <w14:solidFill>
                    <w14:schemeClr w14:val="tx1"/>
                  </w14:solidFill>
                </w14:textFill>
              </w:rPr>
              <w:t>1、大气污染物排放标准</w:t>
            </w:r>
          </w:p>
          <w:p w14:paraId="3ABC59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000000" w:themeColor="text1"/>
                <w:lang w:val="en-US" w:eastAsia="zh-CN"/>
                <w14:textFill>
                  <w14:solidFill>
                    <w14:schemeClr w14:val="tx1"/>
                  </w14:solidFill>
                </w14:textFill>
              </w:rPr>
            </w:pPr>
            <w:r>
              <w:rPr>
                <w:color w:val="000000" w:themeColor="text1"/>
                <w:lang w:bidi="ar"/>
                <w14:textFill>
                  <w14:solidFill>
                    <w14:schemeClr w14:val="tx1"/>
                  </w14:solidFill>
                </w14:textFill>
              </w:rPr>
              <w:t>项目</w:t>
            </w:r>
            <w:r>
              <w:rPr>
                <w:rFonts w:hint="eastAsia"/>
                <w:color w:val="000000" w:themeColor="text1"/>
                <w:lang w:val="en-US" w:eastAsia="zh-CN" w:bidi="ar"/>
                <w14:textFill>
                  <w14:solidFill>
                    <w14:schemeClr w14:val="tx1"/>
                  </w14:solidFill>
                </w14:textFill>
              </w:rPr>
              <w:t>下料、喷塑及固化工序</w:t>
            </w:r>
            <w:r>
              <w:rPr>
                <w:color w:val="000000" w:themeColor="text1"/>
                <w:lang w:bidi="ar"/>
                <w14:textFill>
                  <w14:solidFill>
                    <w14:schemeClr w14:val="tx1"/>
                  </w14:solidFill>
                </w14:textFill>
              </w:rPr>
              <w:t>产生的</w:t>
            </w:r>
            <w:r>
              <w:rPr>
                <w:rFonts w:hint="eastAsia"/>
                <w:color w:val="000000" w:themeColor="text1"/>
                <w:lang w:val="en-US" w:eastAsia="zh-CN" w:bidi="ar"/>
                <w14:textFill>
                  <w14:solidFill>
                    <w14:schemeClr w14:val="tx1"/>
                  </w14:solidFill>
                </w14:textFill>
              </w:rPr>
              <w:t>废气</w:t>
            </w:r>
            <w:r>
              <w:rPr>
                <w:color w:val="000000" w:themeColor="text1"/>
                <w:lang w:bidi="ar"/>
                <w14:textFill>
                  <w14:solidFill>
                    <w14:schemeClr w14:val="tx1"/>
                  </w14:solidFill>
                </w14:textFill>
              </w:rPr>
              <w:t>执行</w:t>
            </w:r>
            <w:r>
              <w:rPr>
                <w:rFonts w:hint="eastAsia"/>
                <w:color w:val="000000" w:themeColor="text1"/>
                <w:lang w:val="en-US" w:eastAsia="zh-CN"/>
                <w14:textFill>
                  <w14:solidFill>
                    <w14:schemeClr w14:val="tx1"/>
                  </w14:solidFill>
                </w14:textFill>
              </w:rPr>
              <w:t>《大气污染物综合排放标准》（GB16297-1996）中表2新污染源</w:t>
            </w:r>
            <w:r>
              <w:rPr>
                <w:rFonts w:hint="eastAsia"/>
                <w:color w:val="000000" w:themeColor="text1"/>
                <w14:textFill>
                  <w14:solidFill>
                    <w14:schemeClr w14:val="tx1"/>
                  </w14:solidFill>
                </w14:textFill>
              </w:rPr>
              <w:t>排放限值要求</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注塑</w:t>
            </w:r>
            <w:r>
              <w:rPr>
                <w:rFonts w:hint="eastAsia"/>
                <w:color w:val="000000" w:themeColor="text1"/>
                <w:lang w:val="en-US" w:eastAsia="zh-CN" w:bidi="ar"/>
                <w14:textFill>
                  <w14:solidFill>
                    <w14:schemeClr w14:val="tx1"/>
                  </w14:solidFill>
                </w14:textFill>
              </w:rPr>
              <w:t>工序</w:t>
            </w:r>
            <w:r>
              <w:rPr>
                <w:color w:val="000000" w:themeColor="text1"/>
                <w:lang w:bidi="ar"/>
                <w14:textFill>
                  <w14:solidFill>
                    <w14:schemeClr w14:val="tx1"/>
                  </w14:solidFill>
                </w14:textFill>
              </w:rPr>
              <w:t>产生的</w:t>
            </w:r>
            <w:r>
              <w:rPr>
                <w:rFonts w:hint="eastAsia"/>
                <w:color w:val="000000" w:themeColor="text1"/>
                <w:lang w:val="en-US" w:eastAsia="zh-CN" w:bidi="ar"/>
                <w14:textFill>
                  <w14:solidFill>
                    <w14:schemeClr w14:val="tx1"/>
                  </w14:solidFill>
                </w14:textFill>
              </w:rPr>
              <w:t>废气</w:t>
            </w:r>
            <w:r>
              <w:rPr>
                <w:color w:val="000000" w:themeColor="text1"/>
                <w:lang w:bidi="ar"/>
                <w14:textFill>
                  <w14:solidFill>
                    <w14:schemeClr w14:val="tx1"/>
                  </w14:solidFill>
                </w14:textFill>
              </w:rPr>
              <w:t>执行</w:t>
            </w:r>
            <w:r>
              <w:rPr>
                <w:rFonts w:hint="eastAsia" w:cs="Times New Roman"/>
                <w:b w:val="0"/>
                <w:bCs w:val="0"/>
                <w:color w:val="auto"/>
                <w:lang w:val="en-US" w:eastAsia="zh-CN"/>
              </w:rPr>
              <w:t>安徽省</w:t>
            </w:r>
            <w:r>
              <w:rPr>
                <w:rFonts w:hint="eastAsia"/>
                <w:color w:val="auto"/>
                <w:lang w:val="en-US" w:eastAsia="zh-CN"/>
              </w:rPr>
              <w:t>《</w:t>
            </w:r>
            <w:r>
              <w:t>固定源挥发性有机物综合排放标准</w:t>
            </w:r>
            <w:r>
              <w:rPr>
                <w:rFonts w:hint="eastAsia"/>
                <w:lang w:val="en-US" w:eastAsia="zh-CN"/>
              </w:rPr>
              <w:t xml:space="preserve"> </w:t>
            </w:r>
            <w:r>
              <w:t>第6部分其他行业</w:t>
            </w:r>
            <w:r>
              <w:rPr>
                <w:rFonts w:hint="eastAsia"/>
                <w:color w:val="auto"/>
                <w:lang w:val="en-US" w:eastAsia="zh-CN"/>
              </w:rPr>
              <w:t>》（DB 34/ 4812.6-2024）表1中排放限值要求</w:t>
            </w:r>
            <w:r>
              <w:rPr>
                <w:rFonts w:hint="eastAsia"/>
                <w:color w:val="000000" w:themeColor="text1"/>
                <w:lang w:eastAsia="zh-CN"/>
                <w14:textFill>
                  <w14:solidFill>
                    <w14:schemeClr w14:val="tx1"/>
                  </w14:solidFill>
                </w14:textFill>
              </w:rPr>
              <w:t>；</w:t>
            </w:r>
            <w:r>
              <w:rPr>
                <w:rFonts w:hint="eastAsia"/>
                <w:color w:val="000000"/>
              </w:rPr>
              <w:t>天然气燃烧废气执行</w:t>
            </w:r>
            <w:r>
              <w:rPr>
                <w:color w:val="000000"/>
              </w:rPr>
              <w:t>《工业炉窑大气污染综合治理方案》</w:t>
            </w:r>
            <w:r>
              <w:rPr>
                <w:rFonts w:hint="eastAsia"/>
                <w:color w:val="000000"/>
                <w:lang w:bidi="ar"/>
              </w:rPr>
              <w:t>（环大气【2</w:t>
            </w:r>
            <w:r>
              <w:rPr>
                <w:color w:val="000000"/>
                <w:lang w:bidi="ar"/>
              </w:rPr>
              <w:t>019</w:t>
            </w:r>
            <w:r>
              <w:rPr>
                <w:rFonts w:hint="eastAsia"/>
                <w:color w:val="000000"/>
                <w:lang w:bidi="ar"/>
              </w:rPr>
              <w:t>】5</w:t>
            </w:r>
            <w:r>
              <w:rPr>
                <w:color w:val="000000"/>
                <w:lang w:bidi="ar"/>
              </w:rPr>
              <w:t>6</w:t>
            </w:r>
            <w:r>
              <w:rPr>
                <w:rFonts w:hint="eastAsia"/>
                <w:color w:val="000000"/>
                <w:lang w:bidi="ar"/>
              </w:rPr>
              <w:t>号）中污染物</w:t>
            </w:r>
            <w:r>
              <w:rPr>
                <w:rFonts w:hint="eastAsia"/>
                <w:color w:val="000000"/>
                <w:lang w:val="en-US" w:eastAsia="zh-CN" w:bidi="ar"/>
              </w:rPr>
              <w:t>管理</w:t>
            </w:r>
            <w:r>
              <w:rPr>
                <w:rFonts w:hint="eastAsia"/>
                <w:color w:val="000000"/>
                <w:lang w:bidi="ar"/>
              </w:rPr>
              <w:t>要求</w:t>
            </w:r>
            <w:r>
              <w:rPr>
                <w:rFonts w:hint="eastAsia"/>
                <w:color w:val="000000"/>
              </w:rPr>
              <w:t>。</w:t>
            </w:r>
            <w:r>
              <w:rPr>
                <w:rFonts w:hint="eastAsia"/>
                <w:color w:val="000000"/>
                <w:lang w:val="en-US" w:eastAsia="zh-CN"/>
              </w:rPr>
              <w:t>烟气黑度执行</w:t>
            </w:r>
            <w:r>
              <w:rPr>
                <w:rFonts w:hint="eastAsia"/>
                <w:color w:val="auto"/>
                <w:sz w:val="24"/>
                <w:lang w:val="en-US" w:eastAsia="zh-CN"/>
              </w:rPr>
              <w:t>《工业炉窑大气污染物排放标准》（GB 9078-1996）中污染物排放标准要求；</w:t>
            </w:r>
            <w:r>
              <w:rPr>
                <w:rFonts w:hint="eastAsia"/>
                <w:color w:val="000000" w:themeColor="text1"/>
                <w:lang w:val="en-US" w:eastAsia="zh-CN"/>
                <w14:textFill>
                  <w14:solidFill>
                    <w14:schemeClr w14:val="tx1"/>
                  </w14:solidFill>
                </w14:textFill>
              </w:rPr>
              <w:t>厂区内非甲烷总烃排放限值执行</w:t>
            </w:r>
            <w:r>
              <w:rPr>
                <w:rFonts w:hint="eastAsia" w:cs="Times New Roman"/>
                <w:b w:val="0"/>
                <w:bCs w:val="0"/>
                <w:color w:val="auto"/>
                <w:lang w:val="en-US" w:eastAsia="zh-CN"/>
              </w:rPr>
              <w:t>安徽省</w:t>
            </w:r>
            <w:r>
              <w:rPr>
                <w:rFonts w:hint="eastAsia"/>
                <w:color w:val="auto"/>
                <w:lang w:val="en-US" w:eastAsia="zh-CN"/>
              </w:rPr>
              <w:t>《</w:t>
            </w:r>
            <w:r>
              <w:t>固定源挥发性有机物综合排放标准</w:t>
            </w:r>
            <w:r>
              <w:rPr>
                <w:rFonts w:hint="eastAsia"/>
                <w:lang w:val="en-US" w:eastAsia="zh-CN"/>
              </w:rPr>
              <w:t xml:space="preserve"> </w:t>
            </w:r>
            <w:r>
              <w:t>第6部分其他行业</w:t>
            </w:r>
            <w:r>
              <w:rPr>
                <w:rFonts w:hint="eastAsia"/>
                <w:color w:val="auto"/>
                <w:lang w:val="en-US" w:eastAsia="zh-CN"/>
              </w:rPr>
              <w:t>》（DB 34/ 4812.6-2024）表4中排放限值要求</w:t>
            </w:r>
            <w:r>
              <w:rPr>
                <w:rFonts w:hint="eastAsia"/>
                <w:color w:val="000000" w:themeColor="text1"/>
                <w:lang w:val="en-US" w:eastAsia="zh-CN"/>
                <w14:textFill>
                  <w14:solidFill>
                    <w14:schemeClr w14:val="tx1"/>
                  </w14:solidFill>
                </w14:textFill>
              </w:rPr>
              <w:t>。</w:t>
            </w:r>
          </w:p>
          <w:p w14:paraId="07F33D20">
            <w:pPr>
              <w:adjustRightInd w:val="0"/>
              <w:snapToGri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表3</w:t>
            </w:r>
            <w:r>
              <w:rPr>
                <w:rFonts w:hint="eastAsia"/>
                <w:b/>
                <w:bCs/>
                <w:color w:val="000000" w:themeColor="text1"/>
                <w:lang w:val="en-US" w:eastAsia="zh-CN"/>
                <w14:textFill>
                  <w14:solidFill>
                    <w14:schemeClr w14:val="tx1"/>
                  </w14:solidFill>
                </w14:textFill>
              </w:rPr>
              <w:t>-6</w:t>
            </w:r>
            <w:r>
              <w:rPr>
                <w:rFonts w:hint="eastAsia"/>
                <w:b/>
                <w:bCs/>
                <w:color w:val="000000" w:themeColor="text1"/>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《大气污染物综合排放标准》（GB16297-1996）</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764"/>
              <w:gridCol w:w="1436"/>
              <w:gridCol w:w="1436"/>
              <w:gridCol w:w="1303"/>
              <w:gridCol w:w="796"/>
            </w:tblGrid>
            <w:tr w14:paraId="04C96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93" w:type="pct"/>
                  <w:noWrap w:val="0"/>
                  <w:vAlign w:val="center"/>
                </w:tcPr>
                <w:p w14:paraId="32ABE4DB">
                  <w:pPr>
                    <w:widowControl/>
                    <w:jc w:val="center"/>
                    <w:rPr>
                      <w:b/>
                      <w:color w:val="auto"/>
                      <w:kern w:val="0"/>
                      <w:sz w:val="21"/>
                      <w:szCs w:val="21"/>
                    </w:rPr>
                  </w:pPr>
                  <w:r>
                    <w:rPr>
                      <w:b/>
                      <w:color w:val="auto"/>
                      <w:kern w:val="0"/>
                      <w:sz w:val="21"/>
                      <w:szCs w:val="21"/>
                      <w:lang w:bidi="ar"/>
                    </w:rPr>
                    <w:t>污染物</w:t>
                  </w:r>
                </w:p>
              </w:tc>
              <w:tc>
                <w:tcPr>
                  <w:tcW w:w="1101" w:type="pct"/>
                  <w:noWrap w:val="0"/>
                  <w:vAlign w:val="center"/>
                </w:tcPr>
                <w:p w14:paraId="50060331">
                  <w:pPr>
                    <w:widowControl/>
                    <w:jc w:val="center"/>
                    <w:rPr>
                      <w:b/>
                      <w:color w:val="auto"/>
                      <w:kern w:val="0"/>
                      <w:sz w:val="21"/>
                      <w:szCs w:val="21"/>
                    </w:rPr>
                  </w:pPr>
                  <w:r>
                    <w:rPr>
                      <w:b/>
                      <w:color w:val="auto"/>
                      <w:kern w:val="0"/>
                      <w:sz w:val="21"/>
                      <w:szCs w:val="21"/>
                      <w:lang w:bidi="ar"/>
                    </w:rPr>
                    <w:t>有组织最高允许排放浓度mg/m</w:t>
                  </w:r>
                  <w:r>
                    <w:rPr>
                      <w:b/>
                      <w:color w:val="auto"/>
                      <w:kern w:val="0"/>
                      <w:sz w:val="21"/>
                      <w:szCs w:val="21"/>
                      <w:vertAlign w:val="superscript"/>
                      <w:lang w:bidi="ar"/>
                    </w:rPr>
                    <w:t>3</w:t>
                  </w:r>
                </w:p>
              </w:tc>
              <w:tc>
                <w:tcPr>
                  <w:tcW w:w="896" w:type="pct"/>
                  <w:noWrap w:val="0"/>
                  <w:vAlign w:val="center"/>
                </w:tcPr>
                <w:p w14:paraId="3472C507">
                  <w:pPr>
                    <w:widowControl/>
                    <w:jc w:val="center"/>
                    <w:rPr>
                      <w:b/>
                      <w:color w:val="auto"/>
                      <w:kern w:val="0"/>
                      <w:sz w:val="21"/>
                      <w:szCs w:val="21"/>
                      <w:lang w:bidi="ar"/>
                    </w:rPr>
                  </w:pPr>
                  <w:r>
                    <w:rPr>
                      <w:b/>
                      <w:color w:val="auto"/>
                      <w:kern w:val="0"/>
                      <w:sz w:val="21"/>
                      <w:szCs w:val="21"/>
                      <w:lang w:bidi="ar"/>
                    </w:rPr>
                    <w:t>排气筒高度</w:t>
                  </w:r>
                </w:p>
                <w:p w14:paraId="491F22B3">
                  <w:pPr>
                    <w:widowControl/>
                    <w:jc w:val="center"/>
                    <w:rPr>
                      <w:b/>
                      <w:color w:val="auto"/>
                      <w:kern w:val="0"/>
                      <w:sz w:val="21"/>
                      <w:szCs w:val="21"/>
                      <w:lang w:val="en-US" w:eastAsia="zh-CN" w:bidi="ar"/>
                    </w:rPr>
                  </w:pPr>
                  <w:r>
                    <w:rPr>
                      <w:b/>
                      <w:color w:val="auto"/>
                      <w:kern w:val="0"/>
                      <w:sz w:val="21"/>
                      <w:szCs w:val="21"/>
                      <w:lang w:bidi="ar"/>
                    </w:rPr>
                    <w:t>（m）</w:t>
                  </w:r>
                </w:p>
              </w:tc>
              <w:tc>
                <w:tcPr>
                  <w:tcW w:w="896" w:type="pct"/>
                  <w:noWrap w:val="0"/>
                  <w:vAlign w:val="center"/>
                </w:tcPr>
                <w:p w14:paraId="407F478A">
                  <w:pPr>
                    <w:widowControl/>
                    <w:jc w:val="center"/>
                    <w:rPr>
                      <w:rFonts w:hint="default" w:eastAsia="宋体"/>
                      <w:b/>
                      <w:color w:val="auto"/>
                      <w:kern w:val="0"/>
                      <w:sz w:val="21"/>
                      <w:szCs w:val="21"/>
                      <w:lang w:val="en-US" w:eastAsia="zh-CN" w:bidi="ar"/>
                    </w:rPr>
                  </w:pPr>
                  <w:r>
                    <w:rPr>
                      <w:rFonts w:hint="eastAsia"/>
                      <w:b/>
                      <w:color w:val="auto"/>
                      <w:kern w:val="0"/>
                      <w:sz w:val="21"/>
                      <w:szCs w:val="21"/>
                      <w:lang w:val="en-US" w:eastAsia="zh-CN" w:bidi="ar"/>
                    </w:rPr>
                    <w:t>最高允许排放速率（kg/h）</w:t>
                  </w:r>
                </w:p>
              </w:tc>
              <w:tc>
                <w:tcPr>
                  <w:tcW w:w="1310" w:type="pct"/>
                  <w:gridSpan w:val="2"/>
                  <w:noWrap w:val="0"/>
                  <w:vAlign w:val="center"/>
                </w:tcPr>
                <w:p w14:paraId="756C357F">
                  <w:pPr>
                    <w:widowControl/>
                    <w:jc w:val="center"/>
                    <w:rPr>
                      <w:b/>
                      <w:color w:val="auto"/>
                      <w:kern w:val="0"/>
                      <w:sz w:val="21"/>
                      <w:szCs w:val="21"/>
                    </w:rPr>
                  </w:pPr>
                  <w:r>
                    <w:rPr>
                      <w:b/>
                      <w:color w:val="auto"/>
                      <w:kern w:val="0"/>
                      <w:sz w:val="21"/>
                      <w:szCs w:val="21"/>
                      <w:lang w:bidi="ar"/>
                    </w:rPr>
                    <w:t>无组织排放监控浓度限值mg/m</w:t>
                  </w:r>
                  <w:r>
                    <w:rPr>
                      <w:b/>
                      <w:color w:val="auto"/>
                      <w:kern w:val="0"/>
                      <w:sz w:val="21"/>
                      <w:szCs w:val="21"/>
                      <w:vertAlign w:val="superscript"/>
                      <w:lang w:bidi="ar"/>
                    </w:rPr>
                    <w:t>3</w:t>
                  </w:r>
                </w:p>
              </w:tc>
            </w:tr>
            <w:tr w14:paraId="68E8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93" w:type="pct"/>
                  <w:noWrap w:val="0"/>
                  <w:vAlign w:val="center"/>
                </w:tcPr>
                <w:p w14:paraId="6929FE21">
                  <w:pPr>
                    <w:widowControl/>
                    <w:jc w:val="center"/>
                    <w:rPr>
                      <w:rFonts w:hint="eastAsia" w:eastAsia="宋体"/>
                      <w:color w:val="auto"/>
                      <w:kern w:val="0"/>
                      <w:sz w:val="21"/>
                      <w:szCs w:val="21"/>
                      <w:lang w:eastAsia="zh-CN"/>
                    </w:rPr>
                  </w:pPr>
                  <w:r>
                    <w:rPr>
                      <w:rFonts w:hint="eastAsia"/>
                      <w:color w:val="auto"/>
                      <w:kern w:val="0"/>
                      <w:sz w:val="21"/>
                      <w:szCs w:val="21"/>
                      <w:lang w:val="en-US" w:eastAsia="zh-CN" w:bidi="ar"/>
                    </w:rPr>
                    <w:t>颗粒物</w:t>
                  </w:r>
                </w:p>
              </w:tc>
              <w:tc>
                <w:tcPr>
                  <w:tcW w:w="1101" w:type="pct"/>
                  <w:noWrap w:val="0"/>
                  <w:vAlign w:val="center"/>
                </w:tcPr>
                <w:p w14:paraId="6D5E248F">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bidi="ar"/>
                    </w:rPr>
                    <w:t>120</w:t>
                  </w:r>
                </w:p>
              </w:tc>
              <w:tc>
                <w:tcPr>
                  <w:tcW w:w="896" w:type="pct"/>
                  <w:noWrap w:val="0"/>
                  <w:vAlign w:val="center"/>
                </w:tcPr>
                <w:p w14:paraId="476AA1DC">
                  <w:pPr>
                    <w:widowControl/>
                    <w:jc w:val="center"/>
                    <w:rPr>
                      <w:rFonts w:hint="eastAsia" w:eastAsia="宋体"/>
                      <w:color w:val="auto"/>
                      <w:kern w:val="0"/>
                      <w:sz w:val="21"/>
                      <w:szCs w:val="21"/>
                      <w:lang w:val="en-US" w:eastAsia="zh-CN" w:bidi="ar"/>
                    </w:rPr>
                  </w:pPr>
                  <w:r>
                    <w:rPr>
                      <w:rFonts w:hint="eastAsia"/>
                      <w:color w:val="auto"/>
                      <w:kern w:val="0"/>
                      <w:sz w:val="21"/>
                      <w:szCs w:val="21"/>
                      <w:lang w:val="en-US" w:eastAsia="zh-CN" w:bidi="ar"/>
                    </w:rPr>
                    <w:t>15</w:t>
                  </w:r>
                </w:p>
              </w:tc>
              <w:tc>
                <w:tcPr>
                  <w:tcW w:w="896" w:type="pct"/>
                  <w:noWrap w:val="0"/>
                  <w:vAlign w:val="center"/>
                </w:tcPr>
                <w:p w14:paraId="1B83D415">
                  <w:pPr>
                    <w:widowControl/>
                    <w:jc w:val="center"/>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3.5</w:t>
                  </w:r>
                </w:p>
              </w:tc>
              <w:tc>
                <w:tcPr>
                  <w:tcW w:w="813" w:type="pct"/>
                  <w:noWrap w:val="0"/>
                  <w:vAlign w:val="center"/>
                </w:tcPr>
                <w:p w14:paraId="5AA18E9D">
                  <w:pPr>
                    <w:jc w:val="center"/>
                    <w:rPr>
                      <w:color w:val="auto"/>
                      <w:kern w:val="0"/>
                      <w:sz w:val="21"/>
                      <w:szCs w:val="21"/>
                    </w:rPr>
                  </w:pPr>
                  <w:r>
                    <w:rPr>
                      <w:color w:val="auto"/>
                      <w:kern w:val="0"/>
                      <w:sz w:val="21"/>
                      <w:szCs w:val="21"/>
                    </w:rPr>
                    <w:t>周界外浓度最高点</w:t>
                  </w:r>
                </w:p>
              </w:tc>
              <w:tc>
                <w:tcPr>
                  <w:tcW w:w="497" w:type="pct"/>
                  <w:noWrap w:val="0"/>
                  <w:vAlign w:val="center"/>
                </w:tcPr>
                <w:p w14:paraId="7B331501">
                  <w:pPr>
                    <w:jc w:val="center"/>
                    <w:rPr>
                      <w:rFonts w:hint="default" w:eastAsia="宋体"/>
                      <w:color w:val="auto"/>
                      <w:kern w:val="0"/>
                      <w:sz w:val="21"/>
                      <w:szCs w:val="21"/>
                      <w:lang w:val="en-US" w:eastAsia="zh-CN"/>
                    </w:rPr>
                  </w:pPr>
                  <w:r>
                    <w:rPr>
                      <w:rFonts w:hint="eastAsia" w:eastAsia="宋体"/>
                      <w:color w:val="auto"/>
                      <w:kern w:val="0"/>
                      <w:sz w:val="21"/>
                      <w:szCs w:val="21"/>
                      <w:lang w:val="en-US" w:eastAsia="zh-CN" w:bidi="ar"/>
                    </w:rPr>
                    <w:t>1.0</w:t>
                  </w:r>
                </w:p>
              </w:tc>
            </w:tr>
            <w:tr w14:paraId="75F0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93" w:type="pct"/>
                  <w:noWrap w:val="0"/>
                  <w:vAlign w:val="center"/>
                </w:tcPr>
                <w:p w14:paraId="7616C420">
                  <w:pPr>
                    <w:widowControl/>
                    <w:jc w:val="center"/>
                    <w:rPr>
                      <w:rFonts w:hint="default"/>
                      <w:color w:val="auto"/>
                      <w:kern w:val="0"/>
                      <w:sz w:val="21"/>
                      <w:szCs w:val="21"/>
                      <w:lang w:val="en-US" w:eastAsia="zh-CN" w:bidi="ar"/>
                    </w:rPr>
                  </w:pPr>
                  <w:r>
                    <w:rPr>
                      <w:rFonts w:hint="eastAsia"/>
                      <w:color w:val="auto"/>
                      <w:kern w:val="0"/>
                      <w:sz w:val="21"/>
                      <w:szCs w:val="21"/>
                      <w:lang w:val="en-US" w:eastAsia="zh-CN" w:bidi="ar"/>
                    </w:rPr>
                    <w:t>非甲烷总烃</w:t>
                  </w:r>
                </w:p>
              </w:tc>
              <w:tc>
                <w:tcPr>
                  <w:tcW w:w="1101" w:type="pct"/>
                  <w:noWrap w:val="0"/>
                  <w:vAlign w:val="center"/>
                </w:tcPr>
                <w:p w14:paraId="700CCAD2">
                  <w:pPr>
                    <w:widowControl/>
                    <w:jc w:val="center"/>
                    <w:rPr>
                      <w:rFonts w:hint="default"/>
                      <w:color w:val="auto"/>
                      <w:kern w:val="0"/>
                      <w:sz w:val="21"/>
                      <w:szCs w:val="21"/>
                      <w:lang w:val="en-US" w:eastAsia="zh-CN" w:bidi="ar"/>
                    </w:rPr>
                  </w:pPr>
                  <w:r>
                    <w:rPr>
                      <w:rFonts w:hint="eastAsia"/>
                      <w:color w:val="auto"/>
                      <w:kern w:val="0"/>
                      <w:sz w:val="21"/>
                      <w:szCs w:val="21"/>
                      <w:lang w:val="en-US" w:eastAsia="zh-CN" w:bidi="ar"/>
                    </w:rPr>
                    <w:t>120</w:t>
                  </w:r>
                </w:p>
              </w:tc>
              <w:tc>
                <w:tcPr>
                  <w:tcW w:w="896" w:type="pct"/>
                  <w:noWrap w:val="0"/>
                  <w:vAlign w:val="center"/>
                </w:tcPr>
                <w:p w14:paraId="22E2FEEF">
                  <w:pPr>
                    <w:widowControl/>
                    <w:jc w:val="center"/>
                    <w:rPr>
                      <w:rFonts w:hint="eastAsia"/>
                      <w:color w:val="auto"/>
                      <w:kern w:val="0"/>
                      <w:sz w:val="21"/>
                      <w:szCs w:val="21"/>
                      <w:lang w:val="en-US" w:eastAsia="zh-CN" w:bidi="ar"/>
                    </w:rPr>
                  </w:pPr>
                  <w:r>
                    <w:rPr>
                      <w:rFonts w:hint="eastAsia"/>
                      <w:color w:val="auto"/>
                      <w:kern w:val="0"/>
                      <w:sz w:val="21"/>
                      <w:szCs w:val="21"/>
                      <w:lang w:val="en-US" w:eastAsia="zh-CN" w:bidi="ar"/>
                    </w:rPr>
                    <w:t>15</w:t>
                  </w:r>
                </w:p>
              </w:tc>
              <w:tc>
                <w:tcPr>
                  <w:tcW w:w="896" w:type="pct"/>
                  <w:noWrap w:val="0"/>
                  <w:vAlign w:val="center"/>
                </w:tcPr>
                <w:p w14:paraId="1EFAFA44">
                  <w:pPr>
                    <w:widowControl/>
                    <w:jc w:val="center"/>
                    <w:rPr>
                      <w:rFonts w:hint="default"/>
                      <w:color w:val="auto"/>
                      <w:kern w:val="0"/>
                      <w:sz w:val="21"/>
                      <w:szCs w:val="21"/>
                      <w:lang w:val="en-US" w:eastAsia="zh-CN" w:bidi="ar"/>
                    </w:rPr>
                  </w:pPr>
                  <w:r>
                    <w:rPr>
                      <w:rFonts w:hint="eastAsia"/>
                      <w:color w:val="auto"/>
                      <w:kern w:val="0"/>
                      <w:sz w:val="21"/>
                      <w:szCs w:val="21"/>
                      <w:lang w:val="en-US" w:eastAsia="zh-CN" w:bidi="ar"/>
                    </w:rPr>
                    <w:t>10</w:t>
                  </w:r>
                </w:p>
              </w:tc>
              <w:tc>
                <w:tcPr>
                  <w:tcW w:w="813" w:type="pct"/>
                  <w:noWrap w:val="0"/>
                  <w:vAlign w:val="center"/>
                </w:tcPr>
                <w:p w14:paraId="6972270B">
                  <w:pPr>
                    <w:jc w:val="center"/>
                    <w:rPr>
                      <w:rFonts w:hint="eastAsia"/>
                      <w:color w:val="auto"/>
                      <w:kern w:val="0"/>
                      <w:sz w:val="21"/>
                      <w:szCs w:val="21"/>
                      <w:lang w:val="en-US" w:eastAsia="zh-CN"/>
                    </w:rPr>
                  </w:pPr>
                  <w:r>
                    <w:rPr>
                      <w:color w:val="auto"/>
                      <w:kern w:val="0"/>
                      <w:sz w:val="21"/>
                      <w:szCs w:val="21"/>
                    </w:rPr>
                    <w:t>周界外浓度最高点</w:t>
                  </w:r>
                </w:p>
              </w:tc>
              <w:tc>
                <w:tcPr>
                  <w:tcW w:w="497" w:type="pct"/>
                  <w:noWrap w:val="0"/>
                  <w:vAlign w:val="center"/>
                </w:tcPr>
                <w:p w14:paraId="621D295C">
                  <w:pPr>
                    <w:jc w:val="center"/>
                    <w:rPr>
                      <w:rFonts w:hint="default"/>
                      <w:color w:val="auto"/>
                      <w:kern w:val="0"/>
                      <w:sz w:val="21"/>
                      <w:szCs w:val="21"/>
                      <w:lang w:val="en-US" w:eastAsia="zh-CN" w:bidi="ar"/>
                    </w:rPr>
                  </w:pPr>
                  <w:r>
                    <w:rPr>
                      <w:rFonts w:hint="eastAsia"/>
                      <w:color w:val="auto"/>
                      <w:kern w:val="0"/>
                      <w:sz w:val="21"/>
                      <w:szCs w:val="21"/>
                      <w:lang w:val="en-US" w:eastAsia="zh-CN" w:bidi="ar"/>
                    </w:rPr>
                    <w:t>4.0</w:t>
                  </w:r>
                </w:p>
              </w:tc>
            </w:tr>
          </w:tbl>
          <w:p w14:paraId="29115C7E">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eastAsia" w:ascii="Times New Roman" w:hAnsi="Times New Roman" w:eastAsia="宋体" w:cs="Times New Roman"/>
                <w:b/>
                <w:bCs/>
                <w:color w:val="auto"/>
                <w:kern w:val="0"/>
                <w:lang w:val="en-US" w:eastAsia="zh-CN"/>
              </w:rPr>
            </w:pPr>
            <w:r>
              <w:rPr>
                <w:rFonts w:ascii="Times New Roman" w:hAnsi="Times New Roman" w:eastAsia="宋体" w:cs="Times New Roman"/>
                <w:b/>
                <w:bCs/>
                <w:color w:val="auto"/>
                <w:kern w:val="0"/>
              </w:rPr>
              <w:t>表3</w:t>
            </w:r>
            <w:r>
              <w:rPr>
                <w:rFonts w:hint="eastAsia" w:ascii="Times New Roman" w:hAnsi="Times New Roman" w:cs="Times New Roman"/>
                <w:b/>
                <w:bCs/>
                <w:color w:val="auto"/>
                <w:kern w:val="0"/>
                <w:lang w:val="en-US" w:eastAsia="zh-CN"/>
              </w:rPr>
              <w:t>-7</w:t>
            </w:r>
            <w:r>
              <w:rPr>
                <w:rFonts w:ascii="Times New Roman" w:hAnsi="Times New Roman" w:eastAsia="宋体" w:cs="Times New Roman"/>
                <w:b/>
                <w:bCs/>
                <w:color w:val="auto"/>
                <w:kern w:val="0"/>
              </w:rPr>
              <w:t xml:space="preserve"> </w:t>
            </w:r>
            <w:r>
              <w:rPr>
                <w:rFonts w:hint="eastAsia" w:ascii="Times New Roman" w:hAnsi="Times New Roman" w:eastAsia="宋体" w:cs="Times New Roman"/>
                <w:b/>
                <w:bCs/>
                <w:color w:val="auto"/>
                <w:kern w:val="0"/>
              </w:rPr>
              <w:t xml:space="preserve"> </w:t>
            </w:r>
            <w:r>
              <w:rPr>
                <w:rFonts w:hint="eastAsia" w:ascii="Times New Roman" w:hAnsi="Times New Roman" w:cs="Times New Roman"/>
                <w:b/>
                <w:bCs/>
                <w:color w:val="auto"/>
                <w:kern w:val="0"/>
                <w:lang w:val="en-US" w:eastAsia="zh-CN"/>
              </w:rPr>
              <w:t>安徽省</w:t>
            </w:r>
            <w:r>
              <w:rPr>
                <w:rFonts w:ascii="Times New Roman" w:hAnsi="Times New Roman" w:eastAsia="宋体" w:cs="Times New Roman"/>
                <w:b/>
                <w:bCs/>
                <w:color w:val="auto"/>
                <w:kern w:val="0"/>
              </w:rPr>
              <w:t>《固定源挥发性有机物综合排放标准</w:t>
            </w:r>
            <w:r>
              <w:rPr>
                <w:rFonts w:hint="eastAsia" w:ascii="Times New Roman" w:hAnsi="Times New Roman" w:eastAsia="宋体" w:cs="Times New Roman"/>
                <w:b/>
                <w:bCs/>
                <w:color w:val="auto"/>
                <w:kern w:val="0"/>
                <w:lang w:val="en-US" w:eastAsia="zh-CN"/>
              </w:rPr>
              <w:t xml:space="preserve"> </w:t>
            </w:r>
            <w:r>
              <w:rPr>
                <w:rFonts w:ascii="Times New Roman" w:hAnsi="Times New Roman" w:eastAsia="宋体" w:cs="Times New Roman"/>
                <w:b/>
                <w:bCs/>
                <w:color w:val="auto"/>
                <w:kern w:val="0"/>
              </w:rPr>
              <w:t>第6部分其他行业</w:t>
            </w:r>
            <w:r>
              <w:rPr>
                <w:rFonts w:hint="eastAsia" w:ascii="Times New Roman" w:hAnsi="Times New Roman" w:eastAsia="宋体" w:cs="Times New Roman"/>
                <w:b/>
                <w:bCs/>
                <w:color w:val="auto"/>
                <w:kern w:val="0"/>
                <w:lang w:val="en-US" w:eastAsia="zh-CN"/>
              </w:rPr>
              <w:t>》</w:t>
            </w:r>
          </w:p>
          <w:p w14:paraId="5048F410">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color w:val="auto"/>
                <w:kern w:val="0"/>
              </w:rPr>
            </w:pPr>
            <w:r>
              <w:rPr>
                <w:rFonts w:hint="eastAsia" w:ascii="Times New Roman" w:hAnsi="Times New Roman" w:eastAsia="宋体" w:cs="Times New Roman"/>
                <w:b/>
                <w:bCs/>
                <w:color w:val="auto"/>
                <w:kern w:val="0"/>
                <w:lang w:val="en-US" w:eastAsia="zh-CN"/>
              </w:rPr>
              <w:t>（DB 34/ 4812.6</w:t>
            </w:r>
            <w:r>
              <w:rPr>
                <w:rFonts w:hint="eastAsia" w:ascii="Times New Roman" w:hAnsi="Times New Roman" w:cs="Times New Roman"/>
                <w:b/>
                <w:bCs/>
                <w:color w:val="auto"/>
                <w:kern w:val="0"/>
                <w:lang w:val="en-US" w:eastAsia="zh-CN"/>
              </w:rPr>
              <w:t>-</w:t>
            </w:r>
            <w:r>
              <w:rPr>
                <w:rFonts w:hint="eastAsia" w:ascii="Times New Roman" w:hAnsi="Times New Roman" w:eastAsia="宋体" w:cs="Times New Roman"/>
                <w:b/>
                <w:bCs/>
                <w:color w:val="auto"/>
                <w:kern w:val="0"/>
                <w:lang w:val="en-US" w:eastAsia="zh-CN"/>
              </w:rPr>
              <w:t>2024）</w:t>
            </w:r>
          </w:p>
          <w:tbl>
            <w:tblPr>
              <w:tblStyle w:val="30"/>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1350"/>
              <w:gridCol w:w="2220"/>
              <w:gridCol w:w="2338"/>
            </w:tblGrid>
            <w:tr w14:paraId="1E81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6" w:type="dxa"/>
                  <w:vAlign w:val="center"/>
                </w:tcPr>
                <w:p w14:paraId="574AA6D7">
                  <w:pPr>
                    <w:adjustRightInd w:val="0"/>
                    <w:snapToGrid w:val="0"/>
                    <w:spacing w:line="240" w:lineRule="atLeast"/>
                    <w:jc w:val="center"/>
                    <w:rPr>
                      <w:rFonts w:hint="default" w:eastAsia="宋体"/>
                      <w:b/>
                      <w:bCs/>
                      <w:color w:val="auto"/>
                      <w:sz w:val="21"/>
                      <w:szCs w:val="21"/>
                      <w:lang w:val="en-US" w:eastAsia="zh-CN"/>
                    </w:rPr>
                  </w:pPr>
                  <w:r>
                    <w:rPr>
                      <w:rFonts w:hint="eastAsia"/>
                      <w:b/>
                      <w:bCs/>
                      <w:color w:val="auto"/>
                      <w:sz w:val="21"/>
                      <w:szCs w:val="21"/>
                      <w:lang w:val="en-US" w:eastAsia="zh-CN"/>
                    </w:rPr>
                    <w:t>工艺</w:t>
                  </w:r>
                </w:p>
              </w:tc>
              <w:tc>
                <w:tcPr>
                  <w:tcW w:w="1350" w:type="dxa"/>
                  <w:vAlign w:val="center"/>
                </w:tcPr>
                <w:p w14:paraId="7E1D1E74">
                  <w:pPr>
                    <w:adjustRightInd w:val="0"/>
                    <w:snapToGrid w:val="0"/>
                    <w:spacing w:line="240" w:lineRule="atLeast"/>
                    <w:jc w:val="center"/>
                    <w:rPr>
                      <w:b/>
                      <w:bCs/>
                      <w:color w:val="auto"/>
                      <w:sz w:val="21"/>
                      <w:szCs w:val="21"/>
                    </w:rPr>
                  </w:pPr>
                  <w:r>
                    <w:rPr>
                      <w:b/>
                      <w:bCs/>
                      <w:color w:val="auto"/>
                      <w:sz w:val="21"/>
                      <w:szCs w:val="21"/>
                    </w:rPr>
                    <w:t>污染物</w:t>
                  </w:r>
                </w:p>
              </w:tc>
              <w:tc>
                <w:tcPr>
                  <w:tcW w:w="2220" w:type="dxa"/>
                  <w:vAlign w:val="center"/>
                </w:tcPr>
                <w:p w14:paraId="5DA72D55">
                  <w:pPr>
                    <w:adjustRightInd w:val="0"/>
                    <w:snapToGrid w:val="0"/>
                    <w:spacing w:line="240" w:lineRule="atLeast"/>
                    <w:jc w:val="center"/>
                    <w:rPr>
                      <w:b/>
                      <w:bCs/>
                      <w:color w:val="auto"/>
                      <w:sz w:val="21"/>
                      <w:szCs w:val="21"/>
                    </w:rPr>
                  </w:pPr>
                  <w:r>
                    <w:rPr>
                      <w:b/>
                      <w:bCs/>
                      <w:color w:val="auto"/>
                      <w:sz w:val="21"/>
                      <w:szCs w:val="21"/>
                    </w:rPr>
                    <w:t>大气污染物排</w:t>
                  </w:r>
                  <w:r>
                    <w:rPr>
                      <w:rFonts w:hint="eastAsia"/>
                      <w:b/>
                      <w:bCs/>
                      <w:color w:val="auto"/>
                      <w:sz w:val="21"/>
                      <w:szCs w:val="21"/>
                    </w:rPr>
                    <w:t>放</w:t>
                  </w:r>
                  <w:r>
                    <w:rPr>
                      <w:b/>
                      <w:bCs/>
                      <w:color w:val="auto"/>
                      <w:sz w:val="21"/>
                      <w:szCs w:val="21"/>
                    </w:rPr>
                    <w:t>限值（mg/m</w:t>
                  </w:r>
                  <w:r>
                    <w:rPr>
                      <w:b/>
                      <w:bCs/>
                      <w:color w:val="auto"/>
                      <w:sz w:val="21"/>
                      <w:szCs w:val="21"/>
                      <w:vertAlign w:val="superscript"/>
                    </w:rPr>
                    <w:t>3</w:t>
                  </w:r>
                  <w:r>
                    <w:rPr>
                      <w:b/>
                      <w:bCs/>
                      <w:color w:val="auto"/>
                      <w:sz w:val="21"/>
                      <w:szCs w:val="21"/>
                    </w:rPr>
                    <w:t>）</w:t>
                  </w:r>
                </w:p>
              </w:tc>
              <w:tc>
                <w:tcPr>
                  <w:tcW w:w="2338" w:type="dxa"/>
                  <w:vAlign w:val="center"/>
                </w:tcPr>
                <w:p w14:paraId="326CC426">
                  <w:pPr>
                    <w:adjustRightInd w:val="0"/>
                    <w:snapToGrid w:val="0"/>
                    <w:spacing w:line="240" w:lineRule="atLeast"/>
                    <w:jc w:val="center"/>
                    <w:rPr>
                      <w:b/>
                      <w:bCs/>
                      <w:color w:val="auto"/>
                      <w:sz w:val="21"/>
                      <w:szCs w:val="21"/>
                    </w:rPr>
                  </w:pPr>
                  <w:r>
                    <w:rPr>
                      <w:rFonts w:hint="eastAsia"/>
                      <w:b/>
                      <w:bCs/>
                      <w:color w:val="auto"/>
                      <w:sz w:val="21"/>
                      <w:szCs w:val="21"/>
                      <w:lang w:val="en-US" w:eastAsia="zh-CN"/>
                    </w:rPr>
                    <w:t>最高允许排放速率</w:t>
                  </w:r>
                </w:p>
                <w:p w14:paraId="66E1668B">
                  <w:pPr>
                    <w:adjustRightInd w:val="0"/>
                    <w:snapToGrid w:val="0"/>
                    <w:spacing w:line="240" w:lineRule="atLeast"/>
                    <w:jc w:val="center"/>
                    <w:rPr>
                      <w:b/>
                      <w:bCs/>
                      <w:color w:val="auto"/>
                      <w:sz w:val="21"/>
                      <w:szCs w:val="21"/>
                    </w:rPr>
                  </w:pPr>
                  <w:r>
                    <w:rPr>
                      <w:rFonts w:hint="eastAsia"/>
                      <w:b/>
                      <w:bCs/>
                      <w:color w:val="auto"/>
                      <w:sz w:val="21"/>
                      <w:szCs w:val="21"/>
                      <w:lang w:val="en-US" w:eastAsia="zh-CN"/>
                    </w:rPr>
                    <w:t>（</w:t>
                  </w:r>
                  <w:r>
                    <w:rPr>
                      <w:rFonts w:hint="default"/>
                      <w:b/>
                      <w:bCs/>
                      <w:color w:val="auto"/>
                      <w:sz w:val="21"/>
                      <w:szCs w:val="21"/>
                      <w:lang w:val="en-US" w:eastAsia="zh-CN"/>
                    </w:rPr>
                    <w:t>kg/h</w:t>
                  </w:r>
                  <w:r>
                    <w:rPr>
                      <w:rFonts w:hint="eastAsia"/>
                      <w:b/>
                      <w:bCs/>
                      <w:color w:val="auto"/>
                      <w:sz w:val="21"/>
                      <w:szCs w:val="21"/>
                      <w:lang w:val="en-US" w:eastAsia="zh-CN"/>
                    </w:rPr>
                    <w:t>）</w:t>
                  </w:r>
                </w:p>
              </w:tc>
            </w:tr>
            <w:tr w14:paraId="298B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6" w:type="dxa"/>
                  <w:vAlign w:val="center"/>
                </w:tcPr>
                <w:p w14:paraId="0A2B53C6">
                  <w:pPr>
                    <w:autoSpaceDE w:val="0"/>
                    <w:autoSpaceDN w:val="0"/>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塑料制品工业</w:t>
                  </w:r>
                </w:p>
              </w:tc>
              <w:tc>
                <w:tcPr>
                  <w:tcW w:w="1350" w:type="dxa"/>
                  <w:vAlign w:val="center"/>
                </w:tcPr>
                <w:p w14:paraId="7C55C556">
                  <w:pPr>
                    <w:autoSpaceDE w:val="0"/>
                    <w:autoSpaceDN w:val="0"/>
                    <w:adjustRightInd w:val="0"/>
                    <w:spacing w:line="240" w:lineRule="auto"/>
                    <w:jc w:val="center"/>
                    <w:rPr>
                      <w:rFonts w:hint="default"/>
                      <w:color w:val="auto"/>
                      <w:kern w:val="0"/>
                      <w:sz w:val="21"/>
                      <w:szCs w:val="21"/>
                      <w:lang w:val="en-US" w:eastAsia="zh-CN"/>
                    </w:rPr>
                  </w:pPr>
                  <w:r>
                    <w:rPr>
                      <w:rFonts w:hint="default"/>
                      <w:color w:val="auto"/>
                      <w:kern w:val="0"/>
                      <w:sz w:val="21"/>
                      <w:szCs w:val="21"/>
                      <w:lang w:val="en-US" w:eastAsia="zh-CN"/>
                    </w:rPr>
                    <w:t>NMHC</w:t>
                  </w:r>
                </w:p>
              </w:tc>
              <w:tc>
                <w:tcPr>
                  <w:tcW w:w="2220" w:type="dxa"/>
                  <w:vAlign w:val="center"/>
                </w:tcPr>
                <w:p w14:paraId="3E321F0C">
                  <w:pPr>
                    <w:autoSpaceDE w:val="0"/>
                    <w:autoSpaceDN w:val="0"/>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40</w:t>
                  </w:r>
                </w:p>
              </w:tc>
              <w:tc>
                <w:tcPr>
                  <w:tcW w:w="2338" w:type="dxa"/>
                  <w:vAlign w:val="center"/>
                </w:tcPr>
                <w:p w14:paraId="14A33E1B">
                  <w:pPr>
                    <w:autoSpaceDE w:val="0"/>
                    <w:autoSpaceDN w:val="0"/>
                    <w:adjustRightInd w:val="0"/>
                    <w:spacing w:line="240" w:lineRule="auto"/>
                    <w:jc w:val="center"/>
                    <w:rPr>
                      <w:rFonts w:hint="default"/>
                      <w:color w:val="auto"/>
                      <w:kern w:val="0"/>
                      <w:sz w:val="21"/>
                      <w:szCs w:val="21"/>
                      <w:lang w:val="en-US" w:eastAsia="zh-CN"/>
                    </w:rPr>
                  </w:pPr>
                  <w:r>
                    <w:rPr>
                      <w:rFonts w:hint="eastAsia"/>
                      <w:color w:val="auto"/>
                      <w:kern w:val="0"/>
                      <w:sz w:val="21"/>
                      <w:szCs w:val="21"/>
                      <w:lang w:val="en-US" w:eastAsia="zh-CN"/>
                    </w:rPr>
                    <w:t>1.6</w:t>
                  </w:r>
                </w:p>
              </w:tc>
            </w:tr>
          </w:tbl>
          <w:p w14:paraId="44111EAA">
            <w:pPr>
              <w:widowControl w:val="0"/>
              <w:numPr>
                <w:ilvl w:val="0"/>
                <w:numId w:val="0"/>
              </w:numPr>
              <w:adjustRightInd w:val="0"/>
              <w:snapToGrid w:val="0"/>
              <w:spacing w:before="120" w:beforeLines="50" w:line="240" w:lineRule="auto"/>
              <w:jc w:val="center"/>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表3</w:t>
            </w:r>
            <w:r>
              <w:rPr>
                <w:rFonts w:hint="eastAsia" w:ascii="Times New Roman" w:hAnsi="Times New Roman" w:eastAsia="宋体" w:cs="Times New Roman"/>
                <w:b/>
                <w:bCs/>
                <w:color w:val="auto"/>
                <w:kern w:val="0"/>
                <w:sz w:val="24"/>
                <w:szCs w:val="24"/>
                <w:lang w:val="en-US" w:eastAsia="zh-CN" w:bidi="ar-SA"/>
              </w:rPr>
              <w:t>-</w:t>
            </w:r>
            <w:r>
              <w:rPr>
                <w:rFonts w:hint="eastAsia" w:cs="Times New Roman"/>
                <w:b/>
                <w:bCs/>
                <w:color w:val="auto"/>
                <w:kern w:val="0"/>
                <w:sz w:val="24"/>
                <w:szCs w:val="24"/>
                <w:lang w:val="en-US" w:eastAsia="zh-CN" w:bidi="ar-SA"/>
              </w:rPr>
              <w:t>8</w:t>
            </w:r>
            <w:r>
              <w:rPr>
                <w:rFonts w:hint="eastAsia" w:ascii="Times New Roman" w:hAnsi="Times New Roman" w:eastAsia="宋体" w:cs="Times New Roman"/>
                <w:b/>
                <w:bCs/>
                <w:color w:val="auto"/>
                <w:kern w:val="0"/>
                <w:sz w:val="24"/>
                <w:szCs w:val="24"/>
                <w:lang w:val="en-US" w:eastAsia="zh-CN" w:bidi="ar-SA"/>
              </w:rPr>
              <w:t xml:space="preserve"> </w:t>
            </w:r>
            <w:r>
              <w:rPr>
                <w:rFonts w:ascii="Times New Roman" w:hAnsi="Times New Roman" w:eastAsia="宋体" w:cs="Times New Roman"/>
                <w:b/>
                <w:bCs/>
                <w:color w:val="auto"/>
                <w:kern w:val="0"/>
                <w:sz w:val="24"/>
                <w:szCs w:val="24"/>
                <w:lang w:val="en-US" w:eastAsia="zh-CN" w:bidi="ar-SA"/>
              </w:rPr>
              <w:t xml:space="preserve"> </w:t>
            </w:r>
            <w:r>
              <w:rPr>
                <w:rFonts w:hint="eastAsia" w:ascii="Times New Roman" w:hAnsi="Times New Roman" w:eastAsia="宋体" w:cs="Times New Roman"/>
                <w:b/>
                <w:bCs/>
                <w:color w:val="auto"/>
                <w:kern w:val="0"/>
                <w:sz w:val="24"/>
                <w:szCs w:val="24"/>
                <w:lang w:val="en-US" w:eastAsia="zh-CN" w:bidi="ar-SA"/>
              </w:rPr>
              <w:t>天然气燃烧废气</w:t>
            </w:r>
            <w:r>
              <w:rPr>
                <w:rFonts w:ascii="Times New Roman" w:hAnsi="Times New Roman" w:eastAsia="宋体" w:cs="Times New Roman"/>
                <w:b/>
                <w:bCs/>
                <w:color w:val="auto"/>
                <w:kern w:val="0"/>
                <w:sz w:val="24"/>
                <w:szCs w:val="24"/>
                <w:lang w:val="en-US" w:eastAsia="zh-CN" w:bidi="ar-SA"/>
              </w:rPr>
              <w:t>排放限值</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42"/>
              <w:gridCol w:w="1477"/>
              <w:gridCol w:w="1255"/>
              <w:gridCol w:w="3540"/>
            </w:tblGrid>
            <w:tr w14:paraId="26FE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86" w:type="pct"/>
                  <w:vAlign w:val="center"/>
                </w:tcPr>
                <w:p w14:paraId="4DEE5719">
                  <w:pPr>
                    <w:widowControl w:val="0"/>
                    <w:spacing w:line="240" w:lineRule="atLeast"/>
                    <w:jc w:val="center"/>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污染物项目</w:t>
                  </w:r>
                </w:p>
              </w:tc>
              <w:tc>
                <w:tcPr>
                  <w:tcW w:w="921" w:type="pct"/>
                  <w:vAlign w:val="center"/>
                </w:tcPr>
                <w:p w14:paraId="6F98269F">
                  <w:pPr>
                    <w:widowControl w:val="0"/>
                    <w:spacing w:line="240" w:lineRule="atLeast"/>
                    <w:jc w:val="center"/>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排放限值</w:t>
                  </w:r>
                </w:p>
              </w:tc>
              <w:tc>
                <w:tcPr>
                  <w:tcW w:w="782" w:type="pct"/>
                  <w:vAlign w:val="center"/>
                </w:tcPr>
                <w:p w14:paraId="72530488">
                  <w:pPr>
                    <w:widowControl w:val="0"/>
                    <w:spacing w:line="240" w:lineRule="atLeast"/>
                    <w:jc w:val="center"/>
                    <w:rPr>
                      <w:rFonts w:hint="default" w:ascii="Times New Roman" w:hAnsi="Times New Roman" w:eastAsia="宋体" w:cs="Times New Roman"/>
                      <w:b/>
                      <w:bCs/>
                      <w:kern w:val="2"/>
                      <w:sz w:val="21"/>
                      <w:szCs w:val="21"/>
                      <w:lang w:val="en-US" w:eastAsia="zh-CN" w:bidi="ar-SA"/>
                    </w:rPr>
                  </w:pPr>
                  <w:r>
                    <w:rPr>
                      <w:rFonts w:hint="eastAsia" w:cs="Times New Roman"/>
                      <w:b/>
                      <w:bCs/>
                      <w:kern w:val="2"/>
                      <w:sz w:val="21"/>
                      <w:szCs w:val="21"/>
                      <w:lang w:val="en-US" w:eastAsia="zh-CN" w:bidi="ar-SA"/>
                    </w:rPr>
                    <w:t>单位</w:t>
                  </w:r>
                </w:p>
              </w:tc>
              <w:tc>
                <w:tcPr>
                  <w:tcW w:w="2208" w:type="pct"/>
                  <w:vAlign w:val="center"/>
                </w:tcPr>
                <w:p w14:paraId="7A82CCF1">
                  <w:pPr>
                    <w:widowControl w:val="0"/>
                    <w:spacing w:line="240" w:lineRule="atLeast"/>
                    <w:jc w:val="center"/>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执行标准</w:t>
                  </w:r>
                </w:p>
              </w:tc>
            </w:tr>
            <w:tr w14:paraId="3B0B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86" w:type="pct"/>
                  <w:vAlign w:val="center"/>
                </w:tcPr>
                <w:p w14:paraId="02671F14">
                  <w:pPr>
                    <w:widowControl w:val="0"/>
                    <w:spacing w:line="240" w:lineRule="atLeast"/>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921" w:type="pct"/>
                  <w:vAlign w:val="center"/>
                </w:tcPr>
                <w:p w14:paraId="188111EA">
                  <w:pPr>
                    <w:widowControl w:val="0"/>
                    <w:spacing w:line="240" w:lineRule="atLeast"/>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782" w:type="pct"/>
                  <w:vAlign w:val="center"/>
                </w:tcPr>
                <w:p w14:paraId="76CAF1AB">
                  <w:pPr>
                    <w:widowControl w:val="0"/>
                    <w:spacing w:line="240" w:lineRule="atLeast"/>
                    <w:jc w:val="center"/>
                    <w:rPr>
                      <w:rFonts w:hint="eastAsia"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color w:val="auto"/>
                      <w:kern w:val="0"/>
                      <w:sz w:val="24"/>
                      <w:szCs w:val="24"/>
                      <w:lang w:val="en-US" w:eastAsia="zh-CN" w:bidi="ar-SA"/>
                    </w:rPr>
                    <w:t>mg/m</w:t>
                  </w:r>
                  <w:r>
                    <w:rPr>
                      <w:rFonts w:ascii="Times New Roman" w:hAnsi="Times New Roman" w:eastAsia="宋体" w:cs="Times New Roman"/>
                      <w:b w:val="0"/>
                      <w:bCs w:val="0"/>
                      <w:color w:val="auto"/>
                      <w:kern w:val="0"/>
                      <w:sz w:val="24"/>
                      <w:szCs w:val="24"/>
                      <w:vertAlign w:val="superscript"/>
                      <w:lang w:val="en-US" w:eastAsia="zh-CN" w:bidi="ar-SA"/>
                    </w:rPr>
                    <w:t>3</w:t>
                  </w:r>
                </w:p>
              </w:tc>
              <w:tc>
                <w:tcPr>
                  <w:tcW w:w="2208" w:type="pct"/>
                  <w:vMerge w:val="restart"/>
                  <w:vAlign w:val="center"/>
                </w:tcPr>
                <w:p w14:paraId="3A4E7486">
                  <w:pPr>
                    <w:widowControl w:val="0"/>
                    <w:spacing w:line="240" w:lineRule="atLeast"/>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《工业炉窑大气污染综合治理方案》（环大气【2019】56号）</w:t>
                  </w:r>
                </w:p>
              </w:tc>
            </w:tr>
            <w:tr w14:paraId="1BD5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86" w:type="pct"/>
                  <w:vAlign w:val="center"/>
                </w:tcPr>
                <w:p w14:paraId="48C1759F">
                  <w:pPr>
                    <w:widowControl w:val="0"/>
                    <w:spacing w:line="240" w:lineRule="atLeast"/>
                    <w:jc w:val="center"/>
                    <w:rPr>
                      <w:rFonts w:ascii="Times New Roman" w:hAnsi="Times New Roman" w:eastAsia="宋体" w:cs="Times New Roman"/>
                      <w:kern w:val="2"/>
                      <w:sz w:val="21"/>
                      <w:szCs w:val="21"/>
                      <w:vertAlign w:val="subscript"/>
                      <w:lang w:val="en-US" w:eastAsia="zh-CN" w:bidi="ar-SA"/>
                    </w:rPr>
                  </w:pPr>
                  <w:r>
                    <w:rPr>
                      <w:rFonts w:hint="eastAsia" w:ascii="Times New Roman" w:hAnsi="Times New Roman" w:eastAsia="宋体" w:cs="Times New Roman"/>
                      <w:kern w:val="2"/>
                      <w:sz w:val="21"/>
                      <w:szCs w:val="21"/>
                      <w:lang w:val="en-US" w:eastAsia="zh-CN" w:bidi="ar-SA"/>
                    </w:rPr>
                    <w:t>SO</w:t>
                  </w:r>
                  <w:r>
                    <w:rPr>
                      <w:rFonts w:hint="eastAsia" w:ascii="Times New Roman" w:hAnsi="Times New Roman" w:eastAsia="宋体" w:cs="Times New Roman"/>
                      <w:kern w:val="2"/>
                      <w:sz w:val="21"/>
                      <w:szCs w:val="21"/>
                      <w:vertAlign w:val="subscript"/>
                      <w:lang w:val="en-US" w:eastAsia="zh-CN" w:bidi="ar-SA"/>
                    </w:rPr>
                    <w:t>2</w:t>
                  </w:r>
                </w:p>
              </w:tc>
              <w:tc>
                <w:tcPr>
                  <w:tcW w:w="921" w:type="pct"/>
                  <w:vAlign w:val="center"/>
                </w:tcPr>
                <w:p w14:paraId="62B5127E">
                  <w:pPr>
                    <w:widowControl w:val="0"/>
                    <w:spacing w:line="240" w:lineRule="atLeast"/>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782" w:type="pct"/>
                  <w:vAlign w:val="center"/>
                </w:tcPr>
                <w:p w14:paraId="7B2B9FDA">
                  <w:pPr>
                    <w:widowControl w:val="0"/>
                    <w:spacing w:line="240" w:lineRule="atLeast"/>
                    <w:jc w:val="center"/>
                    <w:rPr>
                      <w:rFonts w:hint="eastAsia"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color w:val="auto"/>
                      <w:kern w:val="0"/>
                      <w:sz w:val="24"/>
                      <w:szCs w:val="24"/>
                      <w:lang w:val="en-US" w:eastAsia="zh-CN" w:bidi="ar-SA"/>
                    </w:rPr>
                    <w:t>mg/m</w:t>
                  </w:r>
                  <w:r>
                    <w:rPr>
                      <w:rFonts w:ascii="Times New Roman" w:hAnsi="Times New Roman" w:eastAsia="宋体" w:cs="Times New Roman"/>
                      <w:b w:val="0"/>
                      <w:bCs w:val="0"/>
                      <w:color w:val="auto"/>
                      <w:kern w:val="0"/>
                      <w:sz w:val="24"/>
                      <w:szCs w:val="24"/>
                      <w:vertAlign w:val="superscript"/>
                      <w:lang w:val="en-US" w:eastAsia="zh-CN" w:bidi="ar-SA"/>
                    </w:rPr>
                    <w:t>3</w:t>
                  </w:r>
                </w:p>
              </w:tc>
              <w:tc>
                <w:tcPr>
                  <w:tcW w:w="2208" w:type="pct"/>
                  <w:vMerge w:val="continue"/>
                  <w:vAlign w:val="center"/>
                </w:tcPr>
                <w:p w14:paraId="4307ED6E">
                  <w:pPr>
                    <w:widowControl w:val="0"/>
                    <w:spacing w:line="240" w:lineRule="atLeast"/>
                    <w:jc w:val="center"/>
                    <w:rPr>
                      <w:rFonts w:ascii="Times New Roman" w:hAnsi="Times New Roman" w:eastAsia="宋体" w:cs="Times New Roman"/>
                      <w:kern w:val="2"/>
                      <w:sz w:val="21"/>
                      <w:szCs w:val="21"/>
                      <w:lang w:val="en-US" w:eastAsia="zh-CN" w:bidi="ar-SA"/>
                    </w:rPr>
                  </w:pPr>
                </w:p>
              </w:tc>
            </w:tr>
            <w:tr w14:paraId="2800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86" w:type="pct"/>
                  <w:vAlign w:val="center"/>
                </w:tcPr>
                <w:p w14:paraId="0E2F806A">
                  <w:pPr>
                    <w:widowControl w:val="0"/>
                    <w:spacing w:line="240" w:lineRule="atLeast"/>
                    <w:jc w:val="center"/>
                    <w:rPr>
                      <w:rFonts w:ascii="Times New Roman" w:hAnsi="Times New Roman" w:eastAsia="宋体" w:cs="Times New Roman"/>
                      <w:kern w:val="2"/>
                      <w:sz w:val="21"/>
                      <w:szCs w:val="21"/>
                      <w:vertAlign w:val="subscript"/>
                      <w:lang w:val="en-US" w:eastAsia="zh-CN" w:bidi="ar-SA"/>
                    </w:rPr>
                  </w:pPr>
                  <w:r>
                    <w:rPr>
                      <w:rFonts w:hint="eastAsia" w:ascii="Times New Roman" w:hAnsi="Times New Roman" w:eastAsia="宋体" w:cs="Times New Roman"/>
                      <w:kern w:val="2"/>
                      <w:sz w:val="21"/>
                      <w:szCs w:val="21"/>
                      <w:lang w:val="en-US" w:eastAsia="zh-CN" w:bidi="ar-SA"/>
                    </w:rPr>
                    <w:t>NO</w:t>
                  </w:r>
                  <w:r>
                    <w:rPr>
                      <w:rFonts w:hint="eastAsia" w:ascii="Times New Roman" w:hAnsi="Times New Roman" w:eastAsia="宋体" w:cs="Times New Roman"/>
                      <w:kern w:val="2"/>
                      <w:sz w:val="21"/>
                      <w:szCs w:val="21"/>
                      <w:vertAlign w:val="subscript"/>
                      <w:lang w:val="en-US" w:eastAsia="zh-CN" w:bidi="ar-SA"/>
                    </w:rPr>
                    <w:t>x</w:t>
                  </w:r>
                </w:p>
              </w:tc>
              <w:tc>
                <w:tcPr>
                  <w:tcW w:w="921" w:type="pct"/>
                  <w:vAlign w:val="center"/>
                </w:tcPr>
                <w:p w14:paraId="781D9330">
                  <w:pPr>
                    <w:widowControl w:val="0"/>
                    <w:spacing w:line="240" w:lineRule="atLeast"/>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300</w:t>
                  </w:r>
                </w:p>
              </w:tc>
              <w:tc>
                <w:tcPr>
                  <w:tcW w:w="782" w:type="pct"/>
                  <w:vAlign w:val="center"/>
                </w:tcPr>
                <w:p w14:paraId="5FCDD47A">
                  <w:pPr>
                    <w:widowControl w:val="0"/>
                    <w:spacing w:line="240" w:lineRule="atLeast"/>
                    <w:jc w:val="center"/>
                    <w:rPr>
                      <w:rFonts w:hint="eastAsia"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color w:val="auto"/>
                      <w:kern w:val="0"/>
                      <w:sz w:val="24"/>
                      <w:szCs w:val="24"/>
                      <w:lang w:val="en-US" w:eastAsia="zh-CN" w:bidi="ar-SA"/>
                    </w:rPr>
                    <w:t>mg/m</w:t>
                  </w:r>
                  <w:r>
                    <w:rPr>
                      <w:rFonts w:ascii="Times New Roman" w:hAnsi="Times New Roman" w:eastAsia="宋体" w:cs="Times New Roman"/>
                      <w:b w:val="0"/>
                      <w:bCs w:val="0"/>
                      <w:color w:val="auto"/>
                      <w:kern w:val="0"/>
                      <w:sz w:val="24"/>
                      <w:szCs w:val="24"/>
                      <w:vertAlign w:val="superscript"/>
                      <w:lang w:val="en-US" w:eastAsia="zh-CN" w:bidi="ar-SA"/>
                    </w:rPr>
                    <w:t>3</w:t>
                  </w:r>
                </w:p>
              </w:tc>
              <w:tc>
                <w:tcPr>
                  <w:tcW w:w="2208" w:type="pct"/>
                  <w:vMerge w:val="continue"/>
                  <w:vAlign w:val="center"/>
                </w:tcPr>
                <w:p w14:paraId="77523E98">
                  <w:pPr>
                    <w:widowControl w:val="0"/>
                    <w:spacing w:line="240" w:lineRule="atLeast"/>
                    <w:jc w:val="center"/>
                    <w:rPr>
                      <w:rFonts w:ascii="Times New Roman" w:hAnsi="Times New Roman" w:eastAsia="宋体" w:cs="Times New Roman"/>
                      <w:kern w:val="2"/>
                      <w:sz w:val="21"/>
                      <w:szCs w:val="21"/>
                      <w:lang w:val="en-US" w:eastAsia="zh-CN" w:bidi="ar-SA"/>
                    </w:rPr>
                  </w:pPr>
                </w:p>
              </w:tc>
            </w:tr>
            <w:tr w14:paraId="33A3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1086" w:type="pct"/>
                  <w:vAlign w:val="center"/>
                </w:tcPr>
                <w:p w14:paraId="7A878392">
                  <w:pPr>
                    <w:widowControl w:val="0"/>
                    <w:spacing w:line="240" w:lineRule="atLeas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烟气黑度</w:t>
                  </w:r>
                </w:p>
              </w:tc>
              <w:tc>
                <w:tcPr>
                  <w:tcW w:w="921" w:type="pct"/>
                  <w:vAlign w:val="center"/>
                </w:tcPr>
                <w:p w14:paraId="5936DA9F">
                  <w:pPr>
                    <w:widowControl w:val="0"/>
                    <w:spacing w:line="240" w:lineRule="atLeas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p>
              </w:tc>
              <w:tc>
                <w:tcPr>
                  <w:tcW w:w="782" w:type="pct"/>
                  <w:vAlign w:val="center"/>
                </w:tcPr>
                <w:p w14:paraId="28A02C2E">
                  <w:pPr>
                    <w:widowControl w:val="0"/>
                    <w:spacing w:line="240" w:lineRule="atLeast"/>
                    <w:jc w:val="center"/>
                    <w:rPr>
                      <w:rFonts w:hint="eastAsia" w:cs="Times New Roman"/>
                      <w:kern w:val="2"/>
                      <w:sz w:val="21"/>
                      <w:szCs w:val="21"/>
                      <w:lang w:val="en-US" w:eastAsia="zh-CN" w:bidi="ar-SA"/>
                    </w:rPr>
                  </w:pPr>
                  <w:r>
                    <w:rPr>
                      <w:rFonts w:hint="eastAsia"/>
                      <w:b w:val="0"/>
                      <w:bCs/>
                      <w:color w:val="auto"/>
                      <w:sz w:val="21"/>
                      <w:szCs w:val="21"/>
                      <w:lang w:val="en-US" w:eastAsia="zh-CN"/>
                    </w:rPr>
                    <w:t>林格曼级</w:t>
                  </w:r>
                </w:p>
              </w:tc>
              <w:tc>
                <w:tcPr>
                  <w:tcW w:w="2208" w:type="pct"/>
                  <w:vAlign w:val="center"/>
                </w:tcPr>
                <w:p w14:paraId="5684CA50">
                  <w:pPr>
                    <w:widowControl w:val="0"/>
                    <w:spacing w:line="240" w:lineRule="atLeast"/>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《工业炉窑大气污染物排放标准》（GB 9078-1996）</w:t>
                  </w:r>
                </w:p>
              </w:tc>
            </w:tr>
          </w:tbl>
          <w:p w14:paraId="1686489D">
            <w:pPr>
              <w:pStyle w:val="94"/>
              <w:numPr>
                <w:ilvl w:val="0"/>
                <w:numId w:val="0"/>
              </w:numPr>
              <w:adjustRightInd w:val="0"/>
              <w:snapToGrid w:val="0"/>
              <w:spacing w:before="156" w:beforeLines="5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表3</w:t>
            </w:r>
            <w:r>
              <w:rPr>
                <w:rFonts w:hint="eastAsia" w:ascii="Times New Roman" w:hAnsi="Times New Roman" w:cs="Times New Roman"/>
                <w:color w:val="000000" w:themeColor="text1"/>
                <w:sz w:val="24"/>
                <w:szCs w:val="24"/>
                <w:lang w:val="en-US" w:eastAsia="zh-CN"/>
                <w14:textFill>
                  <w14:solidFill>
                    <w14:schemeClr w14:val="tx1"/>
                  </w14:solidFill>
                </w14:textFill>
              </w:rPr>
              <w:t>-9</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厂区内</w:t>
            </w:r>
            <w:r>
              <w:rPr>
                <w:rFonts w:hint="eastAsia" w:ascii="Times New Roman" w:hAnsi="Times New Roman" w:cs="Times New Roman"/>
                <w:color w:val="000000" w:themeColor="text1"/>
                <w:sz w:val="24"/>
                <w:szCs w:val="24"/>
                <w14:textFill>
                  <w14:solidFill>
                    <w14:schemeClr w14:val="tx1"/>
                  </w14:solidFill>
                </w14:textFill>
              </w:rPr>
              <w:t>非甲烷总烃</w:t>
            </w:r>
            <w:r>
              <w:rPr>
                <w:rFonts w:ascii="Times New Roman" w:hAnsi="Times New Roman" w:cs="Times New Roman"/>
                <w:color w:val="000000" w:themeColor="text1"/>
                <w:sz w:val="24"/>
                <w:szCs w:val="24"/>
                <w14:textFill>
                  <w14:solidFill>
                    <w14:schemeClr w14:val="tx1"/>
                  </w14:solidFill>
                </w14:textFill>
              </w:rPr>
              <w:t>无组织排放限值 单位：mg/m</w:t>
            </w:r>
            <w:r>
              <w:rPr>
                <w:rFonts w:ascii="Times New Roman" w:hAnsi="Times New Roman" w:cs="Times New Roman"/>
                <w:color w:val="000000" w:themeColor="text1"/>
                <w:sz w:val="24"/>
                <w:szCs w:val="24"/>
                <w:vertAlign w:val="superscript"/>
                <w14:textFill>
                  <w14:solidFill>
                    <w14:schemeClr w14:val="tx1"/>
                  </w14:solidFill>
                </w14:textFill>
              </w:rPr>
              <w:t>3</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38"/>
              <w:gridCol w:w="1102"/>
              <w:gridCol w:w="1920"/>
              <w:gridCol w:w="1599"/>
              <w:gridCol w:w="2455"/>
            </w:tblGrid>
            <w:tr w14:paraId="409C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5" w:type="pct"/>
                  <w:vAlign w:val="center"/>
                </w:tcPr>
                <w:p w14:paraId="35C36FC5">
                  <w:pPr>
                    <w:pStyle w:val="3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污染物项目</w:t>
                  </w:r>
                </w:p>
              </w:tc>
              <w:tc>
                <w:tcPr>
                  <w:tcW w:w="687" w:type="pct"/>
                  <w:vAlign w:val="center"/>
                </w:tcPr>
                <w:p w14:paraId="70EB188D">
                  <w:pPr>
                    <w:pStyle w:val="3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特别排放限值</w:t>
                  </w:r>
                </w:p>
              </w:tc>
              <w:tc>
                <w:tcPr>
                  <w:tcW w:w="1197" w:type="pct"/>
                  <w:vAlign w:val="center"/>
                </w:tcPr>
                <w:p w14:paraId="31958213">
                  <w:pPr>
                    <w:pStyle w:val="3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限值含义</w:t>
                  </w:r>
                </w:p>
              </w:tc>
              <w:tc>
                <w:tcPr>
                  <w:tcW w:w="997" w:type="pct"/>
                  <w:vAlign w:val="center"/>
                </w:tcPr>
                <w:p w14:paraId="62F5051B">
                  <w:pPr>
                    <w:pStyle w:val="39"/>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无组织排放监控位置</w:t>
                  </w:r>
                </w:p>
              </w:tc>
              <w:tc>
                <w:tcPr>
                  <w:tcW w:w="1531" w:type="pct"/>
                  <w:vAlign w:val="center"/>
                </w:tcPr>
                <w:p w14:paraId="2CEAC2F2">
                  <w:pPr>
                    <w:pStyle w:val="39"/>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执行标准</w:t>
                  </w:r>
                </w:p>
              </w:tc>
            </w:tr>
            <w:tr w14:paraId="7D84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5" w:type="pct"/>
                  <w:vMerge w:val="restart"/>
                  <w:vAlign w:val="center"/>
                </w:tcPr>
                <w:p w14:paraId="02411820">
                  <w:pPr>
                    <w:pStyle w:val="3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非甲烷总烃</w:t>
                  </w:r>
                </w:p>
              </w:tc>
              <w:tc>
                <w:tcPr>
                  <w:tcW w:w="687" w:type="pct"/>
                  <w:vAlign w:val="center"/>
                </w:tcPr>
                <w:p w14:paraId="1E38E6BC">
                  <w:pPr>
                    <w:pStyle w:val="3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6</w:t>
                  </w:r>
                </w:p>
              </w:tc>
              <w:tc>
                <w:tcPr>
                  <w:tcW w:w="1197" w:type="pct"/>
                  <w:vAlign w:val="center"/>
                </w:tcPr>
                <w:p w14:paraId="464D2154">
                  <w:pPr>
                    <w:pStyle w:val="3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监控点处1h平均浓度值</w:t>
                  </w:r>
                </w:p>
              </w:tc>
              <w:tc>
                <w:tcPr>
                  <w:tcW w:w="997" w:type="pct"/>
                  <w:vMerge w:val="restart"/>
                  <w:vAlign w:val="center"/>
                </w:tcPr>
                <w:p w14:paraId="535322FF">
                  <w:pPr>
                    <w:pStyle w:val="39"/>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在厂房外设置监控点</w:t>
                  </w:r>
                </w:p>
              </w:tc>
              <w:tc>
                <w:tcPr>
                  <w:tcW w:w="1531" w:type="pct"/>
                  <w:vMerge w:val="restart"/>
                  <w:vAlign w:val="center"/>
                </w:tcPr>
                <w:p w14:paraId="65149D10">
                  <w:pPr>
                    <w:pStyle w:val="39"/>
                    <w:rPr>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安徽省《</w:t>
                  </w:r>
                  <w:r>
                    <w:rPr>
                      <w:b w:val="0"/>
                      <w:bCs w:val="0"/>
                      <w:color w:val="000000" w:themeColor="text1"/>
                      <w:sz w:val="21"/>
                      <w:szCs w:val="21"/>
                      <w14:textFill>
                        <w14:solidFill>
                          <w14:schemeClr w14:val="tx1"/>
                        </w14:solidFill>
                      </w14:textFill>
                    </w:rPr>
                    <w:t>固定源挥发性有机物综合排放标准</w:t>
                  </w:r>
                  <w:r>
                    <w:rPr>
                      <w:rFonts w:hint="eastAsia"/>
                      <w:b w:val="0"/>
                      <w:bCs w:val="0"/>
                      <w:color w:val="000000" w:themeColor="text1"/>
                      <w:sz w:val="21"/>
                      <w:szCs w:val="21"/>
                      <w:lang w:val="en-US" w:eastAsia="zh-CN"/>
                      <w14:textFill>
                        <w14:solidFill>
                          <w14:schemeClr w14:val="tx1"/>
                        </w14:solidFill>
                      </w14:textFill>
                    </w:rPr>
                    <w:t xml:space="preserve"> </w:t>
                  </w:r>
                  <w:r>
                    <w:rPr>
                      <w:b w:val="0"/>
                      <w:bCs w:val="0"/>
                      <w:color w:val="000000" w:themeColor="text1"/>
                      <w:sz w:val="21"/>
                      <w:szCs w:val="21"/>
                      <w14:textFill>
                        <w14:solidFill>
                          <w14:schemeClr w14:val="tx1"/>
                        </w14:solidFill>
                      </w14:textFill>
                    </w:rPr>
                    <w:t>第6部分其他行业</w:t>
                  </w:r>
                  <w:r>
                    <w:rPr>
                      <w:rFonts w:hint="eastAsia"/>
                      <w:b w:val="0"/>
                      <w:bCs w:val="0"/>
                      <w:color w:val="000000" w:themeColor="text1"/>
                      <w:sz w:val="21"/>
                      <w:szCs w:val="21"/>
                      <w:lang w:val="en-US" w:eastAsia="zh-CN"/>
                      <w14:textFill>
                        <w14:solidFill>
                          <w14:schemeClr w14:val="tx1"/>
                        </w14:solidFill>
                      </w14:textFill>
                    </w:rPr>
                    <w:t>》（DB 34/ 4812.6-2024）表1中排放限值要求</w:t>
                  </w:r>
                </w:p>
              </w:tc>
            </w:tr>
            <w:tr w14:paraId="460C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5" w:type="pct"/>
                  <w:vMerge w:val="continue"/>
                  <w:vAlign w:val="center"/>
                </w:tcPr>
                <w:p w14:paraId="33C3C9FC">
                  <w:pPr>
                    <w:pStyle w:val="39"/>
                    <w:rPr>
                      <w:b w:val="0"/>
                      <w:bCs w:val="0"/>
                      <w:color w:val="000000" w:themeColor="text1"/>
                      <w:sz w:val="21"/>
                      <w:szCs w:val="21"/>
                      <w14:textFill>
                        <w14:solidFill>
                          <w14:schemeClr w14:val="tx1"/>
                        </w14:solidFill>
                      </w14:textFill>
                    </w:rPr>
                  </w:pPr>
                </w:p>
              </w:tc>
              <w:tc>
                <w:tcPr>
                  <w:tcW w:w="687" w:type="pct"/>
                  <w:vAlign w:val="center"/>
                </w:tcPr>
                <w:p w14:paraId="31C9538D">
                  <w:pPr>
                    <w:pStyle w:val="3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20</w:t>
                  </w:r>
                </w:p>
              </w:tc>
              <w:tc>
                <w:tcPr>
                  <w:tcW w:w="1197" w:type="pct"/>
                  <w:vAlign w:val="center"/>
                </w:tcPr>
                <w:p w14:paraId="67D671A7">
                  <w:pPr>
                    <w:pStyle w:val="39"/>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监控点处任意一次浓度值</w:t>
                  </w:r>
                </w:p>
              </w:tc>
              <w:tc>
                <w:tcPr>
                  <w:tcW w:w="997" w:type="pct"/>
                  <w:vMerge w:val="continue"/>
                  <w:vAlign w:val="center"/>
                </w:tcPr>
                <w:p w14:paraId="53CA290B">
                  <w:pPr>
                    <w:pStyle w:val="39"/>
                    <w:rPr>
                      <w:color w:val="000000" w:themeColor="text1"/>
                      <w:sz w:val="21"/>
                      <w:szCs w:val="21"/>
                      <w14:textFill>
                        <w14:solidFill>
                          <w14:schemeClr w14:val="tx1"/>
                        </w14:solidFill>
                      </w14:textFill>
                    </w:rPr>
                  </w:pPr>
                </w:p>
              </w:tc>
              <w:tc>
                <w:tcPr>
                  <w:tcW w:w="1531" w:type="pct"/>
                  <w:vMerge w:val="continue"/>
                  <w:vAlign w:val="center"/>
                </w:tcPr>
                <w:p w14:paraId="102C2404">
                  <w:pPr>
                    <w:pStyle w:val="39"/>
                    <w:rPr>
                      <w:color w:val="000000" w:themeColor="text1"/>
                      <w:sz w:val="21"/>
                      <w:szCs w:val="21"/>
                      <w14:textFill>
                        <w14:solidFill>
                          <w14:schemeClr w14:val="tx1"/>
                        </w14:solidFill>
                      </w14:textFill>
                    </w:rPr>
                  </w:pPr>
                </w:p>
              </w:tc>
            </w:tr>
          </w:tbl>
          <w:p w14:paraId="38D4816F">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000000" w:themeColor="text1"/>
                <w14:textFill>
                  <w14:solidFill>
                    <w14:schemeClr w14:val="tx1"/>
                  </w14:solidFill>
                </w14:textFill>
              </w:rPr>
            </w:pPr>
            <w:r>
              <w:rPr>
                <w:b/>
                <w:color w:val="000000" w:themeColor="text1"/>
                <w14:textFill>
                  <w14:solidFill>
                    <w14:schemeClr w14:val="tx1"/>
                  </w14:solidFill>
                </w14:textFill>
              </w:rPr>
              <w:t>2、废水排放标准</w:t>
            </w:r>
          </w:p>
          <w:p w14:paraId="4850C3EF">
            <w:pPr>
              <w:spacing w:line="360" w:lineRule="auto"/>
              <w:ind w:firstLine="480"/>
              <w:rPr>
                <w:b/>
                <w:bCs/>
              </w:rPr>
            </w:pPr>
            <w:r>
              <w:rPr>
                <w:rFonts w:hint="eastAsia"/>
                <w:lang w:val="en-US" w:eastAsia="zh-CN"/>
              </w:rPr>
              <w:t>生活污水</w:t>
            </w:r>
            <w:r>
              <w:t>执行《污水综合排放标准》（GB8978-1996）中的三级标准，并满足泗县工业污水处理厂的接管要求，详见</w:t>
            </w:r>
            <w:r>
              <w:rPr>
                <w:rFonts w:hint="eastAsia"/>
                <w:lang w:val="en-US" w:eastAsia="zh-CN"/>
              </w:rPr>
              <w:t>下</w:t>
            </w:r>
            <w:r>
              <w:t>表。</w:t>
            </w:r>
          </w:p>
          <w:p w14:paraId="2F5705A0">
            <w:pPr>
              <w:jc w:val="center"/>
              <w:rPr>
                <w:b/>
                <w:bCs/>
              </w:rPr>
            </w:pPr>
            <w:r>
              <w:rPr>
                <w:b/>
                <w:bCs/>
              </w:rPr>
              <w:t>表3-</w:t>
            </w:r>
            <w:r>
              <w:rPr>
                <w:rFonts w:hint="eastAsia"/>
                <w:b/>
                <w:bCs/>
                <w:lang w:val="en-US" w:eastAsia="zh-CN"/>
              </w:rPr>
              <w:t xml:space="preserve">10 </w:t>
            </w:r>
            <w:r>
              <w:rPr>
                <w:b/>
                <w:bCs/>
              </w:rPr>
              <w:t xml:space="preserve"> 污水排放限值一览表  单位：mg/L（pH  无量纲）</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967"/>
              <w:gridCol w:w="1190"/>
              <w:gridCol w:w="994"/>
              <w:gridCol w:w="885"/>
              <w:gridCol w:w="1154"/>
            </w:tblGrid>
            <w:tr w14:paraId="5869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pct"/>
                  <w:tcBorders>
                    <w:top w:val="single" w:color="auto" w:sz="4" w:space="0"/>
                    <w:left w:val="single" w:color="auto" w:sz="4" w:space="0"/>
                    <w:bottom w:val="single" w:color="auto" w:sz="4" w:space="0"/>
                    <w:right w:val="single" w:color="auto" w:sz="4" w:space="0"/>
                  </w:tcBorders>
                  <w:vAlign w:val="center"/>
                </w:tcPr>
                <w:p w14:paraId="1A6744AC">
                  <w:pPr>
                    <w:jc w:val="center"/>
                    <w:rPr>
                      <w:b/>
                      <w:bCs/>
                      <w:sz w:val="21"/>
                      <w:szCs w:val="21"/>
                    </w:rPr>
                  </w:pPr>
                  <w:r>
                    <w:rPr>
                      <w:b/>
                      <w:bCs/>
                      <w:sz w:val="21"/>
                      <w:szCs w:val="21"/>
                    </w:rPr>
                    <w:t>项目名称</w:t>
                  </w:r>
                </w:p>
              </w:tc>
              <w:tc>
                <w:tcPr>
                  <w:tcW w:w="603" w:type="pct"/>
                  <w:tcBorders>
                    <w:top w:val="single" w:color="auto" w:sz="4" w:space="0"/>
                    <w:left w:val="nil"/>
                    <w:bottom w:val="single" w:color="auto" w:sz="4" w:space="0"/>
                    <w:right w:val="single" w:color="auto" w:sz="4" w:space="0"/>
                  </w:tcBorders>
                  <w:vAlign w:val="center"/>
                </w:tcPr>
                <w:p w14:paraId="679A3984">
                  <w:pPr>
                    <w:jc w:val="center"/>
                    <w:rPr>
                      <w:b/>
                      <w:bCs/>
                      <w:sz w:val="21"/>
                      <w:szCs w:val="21"/>
                    </w:rPr>
                  </w:pPr>
                  <w:r>
                    <w:rPr>
                      <w:b/>
                      <w:bCs/>
                      <w:sz w:val="21"/>
                      <w:szCs w:val="21"/>
                    </w:rPr>
                    <w:t>pH</w:t>
                  </w:r>
                </w:p>
              </w:tc>
              <w:tc>
                <w:tcPr>
                  <w:tcW w:w="742" w:type="pct"/>
                  <w:tcBorders>
                    <w:top w:val="single" w:color="auto" w:sz="4" w:space="0"/>
                    <w:left w:val="nil"/>
                    <w:bottom w:val="single" w:color="auto" w:sz="4" w:space="0"/>
                    <w:right w:val="single" w:color="auto" w:sz="4" w:space="0"/>
                  </w:tcBorders>
                  <w:vAlign w:val="center"/>
                </w:tcPr>
                <w:p w14:paraId="2066B105">
                  <w:pPr>
                    <w:jc w:val="center"/>
                    <w:rPr>
                      <w:b/>
                      <w:bCs/>
                      <w:sz w:val="21"/>
                      <w:szCs w:val="21"/>
                    </w:rPr>
                  </w:pPr>
                  <w:r>
                    <w:rPr>
                      <w:b/>
                      <w:bCs/>
                      <w:sz w:val="21"/>
                      <w:szCs w:val="21"/>
                    </w:rPr>
                    <w:t>COD</w:t>
                  </w:r>
                </w:p>
              </w:tc>
              <w:tc>
                <w:tcPr>
                  <w:tcW w:w="620" w:type="pct"/>
                  <w:tcBorders>
                    <w:top w:val="single" w:color="auto" w:sz="4" w:space="0"/>
                    <w:left w:val="nil"/>
                    <w:bottom w:val="single" w:color="auto" w:sz="4" w:space="0"/>
                    <w:right w:val="single" w:color="auto" w:sz="4" w:space="0"/>
                  </w:tcBorders>
                  <w:vAlign w:val="center"/>
                </w:tcPr>
                <w:p w14:paraId="0350A5BA">
                  <w:pPr>
                    <w:jc w:val="center"/>
                    <w:rPr>
                      <w:b/>
                      <w:bCs/>
                      <w:sz w:val="21"/>
                      <w:szCs w:val="21"/>
                    </w:rPr>
                  </w:pPr>
                  <w:r>
                    <w:rPr>
                      <w:b/>
                      <w:bCs/>
                      <w:sz w:val="21"/>
                      <w:szCs w:val="21"/>
                    </w:rPr>
                    <w:t>BOD</w:t>
                  </w:r>
                  <w:r>
                    <w:rPr>
                      <w:b/>
                      <w:bCs/>
                      <w:sz w:val="21"/>
                      <w:szCs w:val="21"/>
                      <w:vertAlign w:val="subscript"/>
                    </w:rPr>
                    <w:t>5</w:t>
                  </w:r>
                </w:p>
              </w:tc>
              <w:tc>
                <w:tcPr>
                  <w:tcW w:w="552" w:type="pct"/>
                  <w:tcBorders>
                    <w:top w:val="single" w:color="auto" w:sz="4" w:space="0"/>
                    <w:left w:val="nil"/>
                    <w:bottom w:val="single" w:color="auto" w:sz="4" w:space="0"/>
                    <w:right w:val="single" w:color="auto" w:sz="4" w:space="0"/>
                  </w:tcBorders>
                  <w:vAlign w:val="center"/>
                </w:tcPr>
                <w:p w14:paraId="282EDD3D">
                  <w:pPr>
                    <w:pStyle w:val="23"/>
                    <w:rPr>
                      <w:b/>
                      <w:bCs/>
                      <w:szCs w:val="21"/>
                    </w:rPr>
                  </w:pPr>
                  <w:r>
                    <w:rPr>
                      <w:b/>
                      <w:bCs/>
                      <w:szCs w:val="21"/>
                    </w:rPr>
                    <w:t>SS</w:t>
                  </w:r>
                </w:p>
              </w:tc>
              <w:tc>
                <w:tcPr>
                  <w:tcW w:w="719" w:type="pct"/>
                  <w:tcBorders>
                    <w:top w:val="single" w:color="auto" w:sz="4" w:space="0"/>
                    <w:left w:val="nil"/>
                    <w:bottom w:val="single" w:color="auto" w:sz="4" w:space="0"/>
                    <w:right w:val="single" w:color="auto" w:sz="4" w:space="0"/>
                  </w:tcBorders>
                  <w:vAlign w:val="center"/>
                </w:tcPr>
                <w:p w14:paraId="4F05CED1">
                  <w:pPr>
                    <w:jc w:val="center"/>
                    <w:rPr>
                      <w:b/>
                      <w:bCs/>
                      <w:sz w:val="21"/>
                      <w:szCs w:val="21"/>
                    </w:rPr>
                  </w:pPr>
                  <w:r>
                    <w:rPr>
                      <w:b/>
                      <w:bCs/>
                      <w:sz w:val="21"/>
                      <w:szCs w:val="21"/>
                    </w:rPr>
                    <w:t>NH</w:t>
                  </w:r>
                  <w:r>
                    <w:rPr>
                      <w:b/>
                      <w:bCs/>
                      <w:sz w:val="21"/>
                      <w:szCs w:val="21"/>
                      <w:vertAlign w:val="subscript"/>
                    </w:rPr>
                    <w:t>3</w:t>
                  </w:r>
                  <w:r>
                    <w:rPr>
                      <w:b/>
                      <w:bCs/>
                      <w:sz w:val="21"/>
                      <w:szCs w:val="21"/>
                    </w:rPr>
                    <w:t>-N</w:t>
                  </w:r>
                </w:p>
              </w:tc>
            </w:tr>
            <w:tr w14:paraId="6D31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pct"/>
                  <w:tcBorders>
                    <w:top w:val="single" w:color="auto" w:sz="4" w:space="0"/>
                    <w:left w:val="single" w:color="auto" w:sz="4" w:space="0"/>
                    <w:bottom w:val="single" w:color="auto" w:sz="4" w:space="0"/>
                    <w:right w:val="single" w:color="auto" w:sz="4" w:space="0"/>
                  </w:tcBorders>
                  <w:vAlign w:val="center"/>
                </w:tcPr>
                <w:p w14:paraId="2F8DE4FD">
                  <w:pPr>
                    <w:jc w:val="center"/>
                    <w:rPr>
                      <w:sz w:val="21"/>
                      <w:szCs w:val="21"/>
                    </w:rPr>
                  </w:pPr>
                  <w:r>
                    <w:rPr>
                      <w:sz w:val="21"/>
                      <w:szCs w:val="21"/>
                    </w:rPr>
                    <w:t>《污水综合排放标准》（GB8978-1996）三级标准</w:t>
                  </w:r>
                </w:p>
              </w:tc>
              <w:tc>
                <w:tcPr>
                  <w:tcW w:w="603" w:type="pct"/>
                  <w:tcBorders>
                    <w:top w:val="single" w:color="auto" w:sz="4" w:space="0"/>
                    <w:left w:val="nil"/>
                    <w:bottom w:val="single" w:color="auto" w:sz="4" w:space="0"/>
                    <w:right w:val="single" w:color="auto" w:sz="4" w:space="0"/>
                  </w:tcBorders>
                  <w:vAlign w:val="center"/>
                </w:tcPr>
                <w:p w14:paraId="5E1C1BDD">
                  <w:pPr>
                    <w:jc w:val="center"/>
                    <w:rPr>
                      <w:sz w:val="21"/>
                      <w:szCs w:val="21"/>
                    </w:rPr>
                  </w:pPr>
                  <w:r>
                    <w:rPr>
                      <w:sz w:val="21"/>
                      <w:szCs w:val="21"/>
                    </w:rPr>
                    <w:t>6~9</w:t>
                  </w:r>
                </w:p>
              </w:tc>
              <w:tc>
                <w:tcPr>
                  <w:tcW w:w="742" w:type="pct"/>
                  <w:tcBorders>
                    <w:top w:val="single" w:color="auto" w:sz="4" w:space="0"/>
                    <w:left w:val="nil"/>
                    <w:bottom w:val="single" w:color="auto" w:sz="4" w:space="0"/>
                    <w:right w:val="single" w:color="auto" w:sz="4" w:space="0"/>
                  </w:tcBorders>
                  <w:vAlign w:val="center"/>
                </w:tcPr>
                <w:p w14:paraId="0FFBD3D5">
                  <w:pPr>
                    <w:jc w:val="center"/>
                    <w:rPr>
                      <w:sz w:val="21"/>
                      <w:szCs w:val="21"/>
                    </w:rPr>
                  </w:pPr>
                  <w:r>
                    <w:rPr>
                      <w:sz w:val="21"/>
                      <w:szCs w:val="21"/>
                    </w:rPr>
                    <w:t>500</w:t>
                  </w:r>
                </w:p>
              </w:tc>
              <w:tc>
                <w:tcPr>
                  <w:tcW w:w="620" w:type="pct"/>
                  <w:tcBorders>
                    <w:top w:val="single" w:color="auto" w:sz="4" w:space="0"/>
                    <w:left w:val="nil"/>
                    <w:bottom w:val="single" w:color="auto" w:sz="4" w:space="0"/>
                    <w:right w:val="single" w:color="auto" w:sz="4" w:space="0"/>
                  </w:tcBorders>
                  <w:vAlign w:val="center"/>
                </w:tcPr>
                <w:p w14:paraId="4022314A">
                  <w:pPr>
                    <w:jc w:val="center"/>
                    <w:rPr>
                      <w:sz w:val="21"/>
                      <w:szCs w:val="21"/>
                    </w:rPr>
                  </w:pPr>
                  <w:r>
                    <w:rPr>
                      <w:sz w:val="21"/>
                      <w:szCs w:val="21"/>
                    </w:rPr>
                    <w:t>300</w:t>
                  </w:r>
                </w:p>
              </w:tc>
              <w:tc>
                <w:tcPr>
                  <w:tcW w:w="552" w:type="pct"/>
                  <w:tcBorders>
                    <w:top w:val="single" w:color="auto" w:sz="4" w:space="0"/>
                    <w:left w:val="nil"/>
                    <w:bottom w:val="single" w:color="auto" w:sz="4" w:space="0"/>
                    <w:right w:val="single" w:color="auto" w:sz="4" w:space="0"/>
                  </w:tcBorders>
                  <w:vAlign w:val="center"/>
                </w:tcPr>
                <w:p w14:paraId="57BB1965">
                  <w:pPr>
                    <w:jc w:val="center"/>
                    <w:rPr>
                      <w:sz w:val="21"/>
                      <w:szCs w:val="21"/>
                    </w:rPr>
                  </w:pPr>
                  <w:r>
                    <w:rPr>
                      <w:sz w:val="21"/>
                      <w:szCs w:val="21"/>
                    </w:rPr>
                    <w:t>400</w:t>
                  </w:r>
                </w:p>
              </w:tc>
              <w:tc>
                <w:tcPr>
                  <w:tcW w:w="719" w:type="pct"/>
                  <w:tcBorders>
                    <w:top w:val="single" w:color="auto" w:sz="4" w:space="0"/>
                    <w:left w:val="nil"/>
                    <w:bottom w:val="single" w:color="auto" w:sz="4" w:space="0"/>
                    <w:right w:val="single" w:color="auto" w:sz="4" w:space="0"/>
                  </w:tcBorders>
                  <w:vAlign w:val="center"/>
                </w:tcPr>
                <w:p w14:paraId="3BF53F06">
                  <w:pPr>
                    <w:jc w:val="center"/>
                    <w:rPr>
                      <w:sz w:val="21"/>
                      <w:szCs w:val="21"/>
                    </w:rPr>
                  </w:pPr>
                  <w:bookmarkStart w:id="39" w:name="OLE_LINK13"/>
                  <w:r>
                    <w:rPr>
                      <w:sz w:val="21"/>
                      <w:szCs w:val="21"/>
                    </w:rPr>
                    <w:t>/</w:t>
                  </w:r>
                  <w:bookmarkEnd w:id="39"/>
                </w:p>
              </w:tc>
            </w:tr>
            <w:tr w14:paraId="421C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pct"/>
                  <w:tcBorders>
                    <w:top w:val="single" w:color="auto" w:sz="4" w:space="0"/>
                    <w:left w:val="single" w:color="auto" w:sz="4" w:space="0"/>
                    <w:bottom w:val="single" w:color="auto" w:sz="4" w:space="0"/>
                    <w:right w:val="single" w:color="auto" w:sz="4" w:space="0"/>
                  </w:tcBorders>
                  <w:vAlign w:val="center"/>
                </w:tcPr>
                <w:p w14:paraId="04BA1222">
                  <w:pPr>
                    <w:jc w:val="center"/>
                    <w:rPr>
                      <w:sz w:val="21"/>
                      <w:szCs w:val="21"/>
                    </w:rPr>
                  </w:pPr>
                  <w:r>
                    <w:rPr>
                      <w:sz w:val="21"/>
                      <w:szCs w:val="21"/>
                    </w:rPr>
                    <w:t>污水处理厂接管要求</w:t>
                  </w:r>
                </w:p>
              </w:tc>
              <w:tc>
                <w:tcPr>
                  <w:tcW w:w="603" w:type="pct"/>
                  <w:tcBorders>
                    <w:top w:val="single" w:color="auto" w:sz="4" w:space="0"/>
                    <w:left w:val="nil"/>
                    <w:bottom w:val="single" w:color="auto" w:sz="4" w:space="0"/>
                    <w:right w:val="single" w:color="auto" w:sz="4" w:space="0"/>
                  </w:tcBorders>
                  <w:vAlign w:val="center"/>
                </w:tcPr>
                <w:p w14:paraId="256FA665">
                  <w:pPr>
                    <w:jc w:val="center"/>
                    <w:rPr>
                      <w:sz w:val="21"/>
                      <w:szCs w:val="21"/>
                    </w:rPr>
                  </w:pPr>
                  <w:r>
                    <w:rPr>
                      <w:sz w:val="21"/>
                      <w:szCs w:val="21"/>
                    </w:rPr>
                    <w:t>6~9</w:t>
                  </w:r>
                </w:p>
              </w:tc>
              <w:tc>
                <w:tcPr>
                  <w:tcW w:w="742" w:type="pct"/>
                  <w:tcBorders>
                    <w:top w:val="single" w:color="auto" w:sz="4" w:space="0"/>
                    <w:left w:val="nil"/>
                    <w:bottom w:val="single" w:color="auto" w:sz="4" w:space="0"/>
                    <w:right w:val="single" w:color="auto" w:sz="4" w:space="0"/>
                  </w:tcBorders>
                  <w:vAlign w:val="center"/>
                </w:tcPr>
                <w:p w14:paraId="34C20575">
                  <w:pPr>
                    <w:jc w:val="center"/>
                    <w:rPr>
                      <w:sz w:val="21"/>
                      <w:szCs w:val="21"/>
                    </w:rPr>
                  </w:pPr>
                  <w:r>
                    <w:rPr>
                      <w:sz w:val="21"/>
                      <w:szCs w:val="21"/>
                    </w:rPr>
                    <w:t>400</w:t>
                  </w:r>
                </w:p>
              </w:tc>
              <w:tc>
                <w:tcPr>
                  <w:tcW w:w="620" w:type="pct"/>
                  <w:tcBorders>
                    <w:top w:val="single" w:color="auto" w:sz="4" w:space="0"/>
                    <w:left w:val="nil"/>
                    <w:bottom w:val="single" w:color="auto" w:sz="4" w:space="0"/>
                    <w:right w:val="single" w:color="auto" w:sz="4" w:space="0"/>
                  </w:tcBorders>
                  <w:vAlign w:val="center"/>
                </w:tcPr>
                <w:p w14:paraId="31790117">
                  <w:pPr>
                    <w:jc w:val="center"/>
                    <w:rPr>
                      <w:sz w:val="21"/>
                      <w:szCs w:val="21"/>
                    </w:rPr>
                  </w:pPr>
                  <w:r>
                    <w:rPr>
                      <w:sz w:val="21"/>
                      <w:szCs w:val="21"/>
                    </w:rPr>
                    <w:t>180</w:t>
                  </w:r>
                </w:p>
              </w:tc>
              <w:tc>
                <w:tcPr>
                  <w:tcW w:w="552" w:type="pct"/>
                  <w:tcBorders>
                    <w:top w:val="single" w:color="auto" w:sz="4" w:space="0"/>
                    <w:left w:val="nil"/>
                    <w:bottom w:val="single" w:color="auto" w:sz="4" w:space="0"/>
                    <w:right w:val="single" w:color="auto" w:sz="4" w:space="0"/>
                  </w:tcBorders>
                  <w:vAlign w:val="center"/>
                </w:tcPr>
                <w:p w14:paraId="3FA97FBC">
                  <w:pPr>
                    <w:jc w:val="center"/>
                    <w:rPr>
                      <w:sz w:val="21"/>
                      <w:szCs w:val="21"/>
                    </w:rPr>
                  </w:pPr>
                  <w:r>
                    <w:rPr>
                      <w:sz w:val="21"/>
                      <w:szCs w:val="21"/>
                    </w:rPr>
                    <w:t>200</w:t>
                  </w:r>
                </w:p>
              </w:tc>
              <w:tc>
                <w:tcPr>
                  <w:tcW w:w="719" w:type="pct"/>
                  <w:tcBorders>
                    <w:top w:val="single" w:color="auto" w:sz="4" w:space="0"/>
                    <w:left w:val="nil"/>
                    <w:bottom w:val="single" w:color="auto" w:sz="4" w:space="0"/>
                    <w:right w:val="single" w:color="auto" w:sz="4" w:space="0"/>
                  </w:tcBorders>
                  <w:vAlign w:val="center"/>
                </w:tcPr>
                <w:p w14:paraId="16B0AABC">
                  <w:pPr>
                    <w:jc w:val="center"/>
                    <w:rPr>
                      <w:sz w:val="21"/>
                      <w:szCs w:val="21"/>
                    </w:rPr>
                  </w:pPr>
                  <w:r>
                    <w:rPr>
                      <w:sz w:val="21"/>
                      <w:szCs w:val="21"/>
                    </w:rPr>
                    <w:t>25</w:t>
                  </w:r>
                </w:p>
              </w:tc>
            </w:tr>
            <w:tr w14:paraId="3218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1" w:type="pct"/>
                  <w:tcBorders>
                    <w:top w:val="single" w:color="auto" w:sz="4" w:space="0"/>
                    <w:left w:val="single" w:color="auto" w:sz="4" w:space="0"/>
                    <w:bottom w:val="single" w:color="auto" w:sz="4" w:space="0"/>
                    <w:right w:val="single" w:color="auto" w:sz="4" w:space="0"/>
                  </w:tcBorders>
                  <w:vAlign w:val="center"/>
                </w:tcPr>
                <w:p w14:paraId="716DEBE8">
                  <w:pPr>
                    <w:jc w:val="center"/>
                    <w:rPr>
                      <w:sz w:val="21"/>
                      <w:szCs w:val="21"/>
                    </w:rPr>
                  </w:pPr>
                  <w:r>
                    <w:rPr>
                      <w:sz w:val="21"/>
                      <w:szCs w:val="21"/>
                    </w:rPr>
                    <w:t>本项目执行标准</w:t>
                  </w:r>
                </w:p>
              </w:tc>
              <w:tc>
                <w:tcPr>
                  <w:tcW w:w="603" w:type="pct"/>
                  <w:tcBorders>
                    <w:top w:val="single" w:color="auto" w:sz="4" w:space="0"/>
                    <w:left w:val="nil"/>
                    <w:bottom w:val="single" w:color="auto" w:sz="4" w:space="0"/>
                    <w:right w:val="single" w:color="auto" w:sz="4" w:space="0"/>
                  </w:tcBorders>
                  <w:vAlign w:val="center"/>
                </w:tcPr>
                <w:p w14:paraId="31F3BCFA">
                  <w:pPr>
                    <w:jc w:val="center"/>
                    <w:rPr>
                      <w:sz w:val="21"/>
                      <w:szCs w:val="21"/>
                    </w:rPr>
                  </w:pPr>
                  <w:r>
                    <w:rPr>
                      <w:sz w:val="21"/>
                      <w:szCs w:val="21"/>
                    </w:rPr>
                    <w:t>6~9</w:t>
                  </w:r>
                </w:p>
              </w:tc>
              <w:tc>
                <w:tcPr>
                  <w:tcW w:w="742" w:type="pct"/>
                  <w:tcBorders>
                    <w:top w:val="single" w:color="auto" w:sz="4" w:space="0"/>
                    <w:left w:val="nil"/>
                    <w:bottom w:val="single" w:color="auto" w:sz="4" w:space="0"/>
                    <w:right w:val="single" w:color="auto" w:sz="4" w:space="0"/>
                  </w:tcBorders>
                  <w:vAlign w:val="center"/>
                </w:tcPr>
                <w:p w14:paraId="6E22B372">
                  <w:pPr>
                    <w:jc w:val="center"/>
                    <w:rPr>
                      <w:sz w:val="21"/>
                      <w:szCs w:val="21"/>
                    </w:rPr>
                  </w:pPr>
                  <w:r>
                    <w:rPr>
                      <w:sz w:val="21"/>
                      <w:szCs w:val="21"/>
                    </w:rPr>
                    <w:t>400</w:t>
                  </w:r>
                </w:p>
              </w:tc>
              <w:tc>
                <w:tcPr>
                  <w:tcW w:w="620" w:type="pct"/>
                  <w:tcBorders>
                    <w:top w:val="single" w:color="auto" w:sz="4" w:space="0"/>
                    <w:left w:val="nil"/>
                    <w:bottom w:val="single" w:color="auto" w:sz="4" w:space="0"/>
                    <w:right w:val="single" w:color="auto" w:sz="4" w:space="0"/>
                  </w:tcBorders>
                  <w:vAlign w:val="center"/>
                </w:tcPr>
                <w:p w14:paraId="64081459">
                  <w:pPr>
                    <w:jc w:val="center"/>
                    <w:rPr>
                      <w:sz w:val="21"/>
                      <w:szCs w:val="21"/>
                    </w:rPr>
                  </w:pPr>
                  <w:r>
                    <w:rPr>
                      <w:sz w:val="21"/>
                      <w:szCs w:val="21"/>
                    </w:rPr>
                    <w:t>180</w:t>
                  </w:r>
                </w:p>
              </w:tc>
              <w:tc>
                <w:tcPr>
                  <w:tcW w:w="552" w:type="pct"/>
                  <w:tcBorders>
                    <w:top w:val="single" w:color="auto" w:sz="4" w:space="0"/>
                    <w:left w:val="nil"/>
                    <w:bottom w:val="single" w:color="auto" w:sz="4" w:space="0"/>
                    <w:right w:val="single" w:color="auto" w:sz="4" w:space="0"/>
                  </w:tcBorders>
                  <w:vAlign w:val="center"/>
                </w:tcPr>
                <w:p w14:paraId="1822F84C">
                  <w:pPr>
                    <w:jc w:val="center"/>
                    <w:rPr>
                      <w:sz w:val="21"/>
                      <w:szCs w:val="21"/>
                    </w:rPr>
                  </w:pPr>
                  <w:r>
                    <w:rPr>
                      <w:sz w:val="21"/>
                      <w:szCs w:val="21"/>
                    </w:rPr>
                    <w:t>200</w:t>
                  </w:r>
                </w:p>
              </w:tc>
              <w:tc>
                <w:tcPr>
                  <w:tcW w:w="719" w:type="pct"/>
                  <w:tcBorders>
                    <w:top w:val="single" w:color="auto" w:sz="4" w:space="0"/>
                    <w:left w:val="nil"/>
                    <w:bottom w:val="single" w:color="auto" w:sz="4" w:space="0"/>
                    <w:right w:val="single" w:color="auto" w:sz="4" w:space="0"/>
                  </w:tcBorders>
                  <w:vAlign w:val="center"/>
                </w:tcPr>
                <w:p w14:paraId="19576F30">
                  <w:pPr>
                    <w:jc w:val="center"/>
                    <w:rPr>
                      <w:sz w:val="21"/>
                      <w:szCs w:val="21"/>
                    </w:rPr>
                  </w:pPr>
                  <w:r>
                    <w:rPr>
                      <w:sz w:val="21"/>
                      <w:szCs w:val="21"/>
                    </w:rPr>
                    <w:t>25</w:t>
                  </w:r>
                </w:p>
              </w:tc>
            </w:tr>
          </w:tbl>
          <w:p w14:paraId="61C91AE7">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000000" w:themeColor="text1"/>
                <w14:textFill>
                  <w14:solidFill>
                    <w14:schemeClr w14:val="tx1"/>
                  </w14:solidFill>
                </w14:textFill>
              </w:rPr>
            </w:pPr>
            <w:r>
              <w:rPr>
                <w:b/>
                <w:color w:val="000000" w:themeColor="text1"/>
                <w14:textFill>
                  <w14:solidFill>
                    <w14:schemeClr w14:val="tx1"/>
                  </w14:solidFill>
                </w14:textFill>
              </w:rPr>
              <w:t>3、噪声排放标准</w:t>
            </w:r>
          </w:p>
          <w:p w14:paraId="1D465E5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运营期厂界噪声执行《工业企业厂界环境噪声排放标准》（GB12348-2008）中</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类标准要求，具体标准值如下表：</w:t>
            </w:r>
          </w:p>
          <w:p w14:paraId="541A64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14:textFill>
                  <w14:solidFill>
                    <w14:schemeClr w14:val="tx1"/>
                  </w14:solidFill>
                </w14:textFill>
              </w:rPr>
            </w:pPr>
            <w:r>
              <w:rPr>
                <w:b/>
                <w:bCs/>
                <w:color w:val="000000" w:themeColor="text1"/>
                <w14:textFill>
                  <w14:solidFill>
                    <w14:schemeClr w14:val="tx1"/>
                  </w14:solidFill>
                </w14:textFill>
              </w:rPr>
              <w:t>表3</w:t>
            </w:r>
            <w:r>
              <w:rPr>
                <w:rFonts w:hint="eastAsia"/>
                <w:b/>
                <w:bCs/>
                <w:color w:val="000000" w:themeColor="text1"/>
                <w:lang w:val="en-US" w:eastAsia="zh-CN"/>
                <w14:textFill>
                  <w14:solidFill>
                    <w14:schemeClr w14:val="tx1"/>
                  </w14:solidFill>
                </w14:textFill>
              </w:rPr>
              <w:t>-11</w:t>
            </w:r>
            <w:r>
              <w:rPr>
                <w:b/>
                <w:bCs/>
                <w:color w:val="000000" w:themeColor="text1"/>
                <w14:textFill>
                  <w14:solidFill>
                    <w14:schemeClr w14:val="tx1"/>
                  </w14:solidFill>
                </w14:textFill>
              </w:rPr>
              <w:t xml:space="preserve">  工业企业厂界环境噪声排放标准</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单位：dB（A）</w:t>
            </w:r>
          </w:p>
          <w:tbl>
            <w:tblPr>
              <w:tblStyle w:val="1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0"/>
              <w:gridCol w:w="2316"/>
              <w:gridCol w:w="2318"/>
            </w:tblGrid>
            <w:tr w14:paraId="053E9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59" w:type="dxa"/>
                  <w:vAlign w:val="center"/>
                </w:tcPr>
                <w:p w14:paraId="58404ACD">
                  <w:pPr>
                    <w:pStyle w:val="116"/>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声环境功能区类别</w:t>
                  </w:r>
                </w:p>
              </w:tc>
              <w:tc>
                <w:tcPr>
                  <w:tcW w:w="2302" w:type="dxa"/>
                  <w:vAlign w:val="center"/>
                </w:tcPr>
                <w:p w14:paraId="6C5BAC2C">
                  <w:pPr>
                    <w:pStyle w:val="116"/>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昼间</w:t>
                  </w:r>
                </w:p>
              </w:tc>
              <w:tc>
                <w:tcPr>
                  <w:tcW w:w="2303" w:type="dxa"/>
                  <w:vAlign w:val="center"/>
                </w:tcPr>
                <w:p w14:paraId="002C34BA">
                  <w:pPr>
                    <w:pStyle w:val="116"/>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ascii="Times New Roman" w:hAnsi="Times New Roman" w:eastAsia="宋体" w:cs="Times New Roman"/>
                      <w:b/>
                      <w:bCs/>
                      <w:color w:val="000000" w:themeColor="text1"/>
                      <w:sz w:val="21"/>
                      <w:szCs w:val="21"/>
                      <w:lang w:eastAsia="zh-CN"/>
                      <w14:textFill>
                        <w14:solidFill>
                          <w14:schemeClr w14:val="tx1"/>
                        </w14:solidFill>
                      </w14:textFill>
                    </w:rPr>
                    <w:t>夜间</w:t>
                  </w:r>
                </w:p>
              </w:tc>
            </w:tr>
            <w:tr w14:paraId="57819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359" w:type="dxa"/>
                  <w:vAlign w:val="center"/>
                </w:tcPr>
                <w:p w14:paraId="1DA71CD1">
                  <w:pPr>
                    <w:pStyle w:val="116"/>
                    <w:jc w:val="center"/>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ascii="Times New Roman" w:hAnsi="Times New Roman" w:eastAsia="宋体" w:cs="Times New Roman"/>
                      <w:color w:val="000000" w:themeColor="text1"/>
                      <w:sz w:val="21"/>
                      <w:szCs w:val="21"/>
                      <w:lang w:eastAsia="zh-CN"/>
                      <w14:textFill>
                        <w14:solidFill>
                          <w14:schemeClr w14:val="tx1"/>
                        </w14:solidFill>
                      </w14:textFill>
                    </w:rPr>
                    <w:t>类</w:t>
                  </w:r>
                </w:p>
              </w:tc>
              <w:tc>
                <w:tcPr>
                  <w:tcW w:w="2302" w:type="dxa"/>
                  <w:vAlign w:val="center"/>
                </w:tcPr>
                <w:p w14:paraId="2147855F">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position w:val="-3"/>
                      <w:sz w:val="21"/>
                      <w:szCs w:val="21"/>
                      <w:lang w:eastAsia="zh-CN"/>
                      <w14:textFill>
                        <w14:solidFill>
                          <w14:schemeClr w14:val="tx1"/>
                        </w14:solidFill>
                      </w14:textFill>
                    </w:rPr>
                    <w:t>6</w:t>
                  </w:r>
                  <w:r>
                    <w:rPr>
                      <w:rFonts w:hint="eastAsia" w:ascii="Times New Roman" w:hAnsi="Times New Roman" w:cs="Times New Roman"/>
                      <w:color w:val="000000" w:themeColor="text1"/>
                      <w:position w:val="-3"/>
                      <w:sz w:val="21"/>
                      <w:szCs w:val="21"/>
                      <w:lang w:val="en-US" w:eastAsia="zh-CN"/>
                      <w14:textFill>
                        <w14:solidFill>
                          <w14:schemeClr w14:val="tx1"/>
                        </w14:solidFill>
                      </w14:textFill>
                    </w:rPr>
                    <w:t>5</w:t>
                  </w:r>
                </w:p>
              </w:tc>
              <w:tc>
                <w:tcPr>
                  <w:tcW w:w="2303" w:type="dxa"/>
                  <w:vAlign w:val="center"/>
                </w:tcPr>
                <w:p w14:paraId="2629766B">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color w:val="000000" w:themeColor="text1"/>
                      <w:position w:val="-3"/>
                      <w:sz w:val="21"/>
                      <w:szCs w:val="21"/>
                      <w:lang w:eastAsia="zh-CN"/>
                      <w14:textFill>
                        <w14:solidFill>
                          <w14:schemeClr w14:val="tx1"/>
                        </w14:solidFill>
                      </w14:textFill>
                    </w:rPr>
                    <w:t>5</w:t>
                  </w:r>
                  <w:r>
                    <w:rPr>
                      <w:rFonts w:hint="eastAsia" w:ascii="Times New Roman" w:hAnsi="Times New Roman" w:cs="Times New Roman"/>
                      <w:color w:val="000000" w:themeColor="text1"/>
                      <w:position w:val="-3"/>
                      <w:sz w:val="21"/>
                      <w:szCs w:val="21"/>
                      <w:lang w:val="en-US" w:eastAsia="zh-CN"/>
                      <w14:textFill>
                        <w14:solidFill>
                          <w14:schemeClr w14:val="tx1"/>
                        </w14:solidFill>
                      </w14:textFill>
                    </w:rPr>
                    <w:t>5</w:t>
                  </w:r>
                </w:p>
              </w:tc>
            </w:tr>
          </w:tbl>
          <w:p w14:paraId="48ADBB52">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000000" w:themeColor="text1"/>
                <w:szCs w:val="32"/>
                <w14:textFill>
                  <w14:solidFill>
                    <w14:schemeClr w14:val="tx1"/>
                  </w14:solidFill>
                </w14:textFill>
              </w:rPr>
            </w:pPr>
            <w:r>
              <w:rPr>
                <w:b/>
                <w:bCs/>
                <w:color w:val="000000" w:themeColor="text1"/>
                <w:szCs w:val="32"/>
                <w14:textFill>
                  <w14:solidFill>
                    <w14:schemeClr w14:val="tx1"/>
                  </w14:solidFill>
                </w14:textFill>
              </w:rPr>
              <w:t>4、固废排放标准</w:t>
            </w:r>
          </w:p>
          <w:p w14:paraId="57115F75">
            <w:pPr>
              <w:pStyle w:val="26"/>
              <w:adjustRightInd w:val="0"/>
              <w:snapToGrid w:val="0"/>
              <w:spacing w:before="0" w:beforeAutospacing="0" w:after="0" w:afterAutospacing="0" w:line="360" w:lineRule="auto"/>
              <w:ind w:firstLine="480" w:firstLineChars="200"/>
              <w:jc w:val="both"/>
              <w:outlineLvl w:val="0"/>
              <w:rPr>
                <w:rFonts w:hint="eastAsia" w:ascii="Times New Roman" w:hAnsi="Times New Roman"/>
                <w:color w:val="000000" w:themeColor="text1"/>
                <w:szCs w:val="24"/>
                <w:lang w:val="en-US" w:eastAsia="zh-CN"/>
                <w14:textFill>
                  <w14:solidFill>
                    <w14:schemeClr w14:val="tx1"/>
                  </w14:solidFill>
                </w14:textFill>
              </w:rPr>
            </w:pPr>
            <w:r>
              <w:rPr>
                <w:rFonts w:ascii="Times New Roman" w:hAnsi="Times New Roman"/>
                <w:color w:val="000000" w:themeColor="text1"/>
                <w:szCs w:val="24"/>
                <w14:textFill>
                  <w14:solidFill>
                    <w14:schemeClr w14:val="tx1"/>
                  </w14:solidFill>
                </w14:textFill>
              </w:rPr>
              <w:t>一般</w:t>
            </w:r>
            <w:r>
              <w:rPr>
                <w:rFonts w:hint="eastAsia" w:ascii="Times New Roman" w:hAnsi="Times New Roman"/>
                <w:color w:val="000000" w:themeColor="text1"/>
                <w:szCs w:val="24"/>
                <w:lang w:val="en-US" w:eastAsia="zh-CN"/>
                <w14:textFill>
                  <w14:solidFill>
                    <w14:schemeClr w14:val="tx1"/>
                  </w14:solidFill>
                </w14:textFill>
              </w:rPr>
              <w:t>工业固体废物参照</w:t>
            </w:r>
            <w:r>
              <w:rPr>
                <w:rFonts w:ascii="Times New Roman" w:hAnsi="Times New Roman"/>
                <w:color w:val="000000" w:themeColor="text1"/>
                <w:szCs w:val="24"/>
                <w14:textFill>
                  <w14:solidFill>
                    <w14:schemeClr w14:val="tx1"/>
                  </w14:solidFill>
                </w14:textFill>
              </w:rPr>
              <w:t>执行《一般工业固体废物贮存和填埋污染控制标准》（GB18599-2020）。危险废物执行《危险废物贮存污染控制标准》（GB 18597-2023）。</w:t>
            </w:r>
            <w:bookmarkEnd w:id="38"/>
          </w:p>
          <w:p w14:paraId="1324D661">
            <w:pPr>
              <w:pStyle w:val="26"/>
              <w:adjustRightInd w:val="0"/>
              <w:snapToGrid w:val="0"/>
              <w:spacing w:before="0" w:beforeAutospacing="0" w:after="0" w:afterAutospacing="0" w:line="360" w:lineRule="auto"/>
              <w:ind w:firstLine="480" w:firstLineChars="200"/>
              <w:jc w:val="both"/>
              <w:outlineLvl w:val="0"/>
              <w:rPr>
                <w:rFonts w:hint="eastAsia" w:ascii="Times New Roman" w:hAnsi="Times New Roman"/>
                <w:color w:val="000000" w:themeColor="text1"/>
                <w:szCs w:val="24"/>
                <w:lang w:val="en-US" w:eastAsia="zh-CN"/>
                <w14:textFill>
                  <w14:solidFill>
                    <w14:schemeClr w14:val="tx1"/>
                  </w14:solidFill>
                </w14:textFill>
              </w:rPr>
            </w:pPr>
          </w:p>
          <w:p w14:paraId="1DE2B134">
            <w:pPr>
              <w:pStyle w:val="26"/>
              <w:adjustRightInd w:val="0"/>
              <w:snapToGrid w:val="0"/>
              <w:spacing w:before="0" w:beforeAutospacing="0" w:after="0" w:afterAutospacing="0" w:line="360" w:lineRule="auto"/>
              <w:ind w:firstLine="480" w:firstLineChars="200"/>
              <w:jc w:val="both"/>
              <w:outlineLvl w:val="0"/>
              <w:rPr>
                <w:rFonts w:hint="eastAsia" w:ascii="Times New Roman" w:hAnsi="Times New Roman"/>
                <w:color w:val="000000" w:themeColor="text1"/>
                <w:szCs w:val="24"/>
                <w:lang w:val="en-US" w:eastAsia="zh-CN"/>
                <w14:textFill>
                  <w14:solidFill>
                    <w14:schemeClr w14:val="tx1"/>
                  </w14:solidFill>
                </w14:textFill>
              </w:rPr>
            </w:pPr>
          </w:p>
          <w:p w14:paraId="30056473">
            <w:pPr>
              <w:pStyle w:val="26"/>
              <w:adjustRightInd w:val="0"/>
              <w:snapToGrid w:val="0"/>
              <w:spacing w:before="0" w:beforeAutospacing="0" w:after="0" w:afterAutospacing="0" w:line="360" w:lineRule="auto"/>
              <w:ind w:firstLine="480" w:firstLineChars="200"/>
              <w:jc w:val="both"/>
              <w:outlineLvl w:val="0"/>
              <w:rPr>
                <w:rFonts w:hint="eastAsia" w:ascii="Times New Roman" w:hAnsi="Times New Roman"/>
                <w:color w:val="000000" w:themeColor="text1"/>
                <w:szCs w:val="24"/>
                <w:lang w:val="en-US" w:eastAsia="zh-CN"/>
                <w14:textFill>
                  <w14:solidFill>
                    <w14:schemeClr w14:val="tx1"/>
                  </w14:solidFill>
                </w14:textFill>
              </w:rPr>
            </w:pPr>
          </w:p>
          <w:p w14:paraId="3CD774E3">
            <w:pPr>
              <w:pStyle w:val="26"/>
              <w:adjustRightInd w:val="0"/>
              <w:snapToGrid w:val="0"/>
              <w:spacing w:before="0" w:beforeAutospacing="0" w:after="0" w:afterAutospacing="0" w:line="360" w:lineRule="auto"/>
              <w:ind w:firstLine="480" w:firstLineChars="200"/>
              <w:jc w:val="both"/>
              <w:outlineLvl w:val="0"/>
              <w:rPr>
                <w:rFonts w:hint="eastAsia" w:ascii="Times New Roman" w:hAnsi="Times New Roman"/>
                <w:color w:val="000000" w:themeColor="text1"/>
                <w:szCs w:val="24"/>
                <w:lang w:val="en-US" w:eastAsia="zh-CN"/>
                <w14:textFill>
                  <w14:solidFill>
                    <w14:schemeClr w14:val="tx1"/>
                  </w14:solidFill>
                </w14:textFill>
              </w:rPr>
            </w:pPr>
          </w:p>
          <w:p w14:paraId="6679AB31">
            <w:pPr>
              <w:pStyle w:val="26"/>
              <w:adjustRightInd w:val="0"/>
              <w:snapToGrid w:val="0"/>
              <w:spacing w:before="0" w:beforeAutospacing="0" w:after="0" w:afterAutospacing="0" w:line="360" w:lineRule="auto"/>
              <w:ind w:firstLine="480" w:firstLineChars="200"/>
              <w:jc w:val="both"/>
              <w:outlineLvl w:val="0"/>
              <w:rPr>
                <w:rFonts w:hint="eastAsia" w:ascii="Times New Roman" w:hAnsi="Times New Roman"/>
                <w:color w:val="000000" w:themeColor="text1"/>
                <w:szCs w:val="24"/>
                <w:lang w:val="en-US" w:eastAsia="zh-CN"/>
                <w14:textFill>
                  <w14:solidFill>
                    <w14:schemeClr w14:val="tx1"/>
                  </w14:solidFill>
                </w14:textFill>
              </w:rPr>
            </w:pPr>
          </w:p>
          <w:p w14:paraId="5695BA57">
            <w:pPr>
              <w:pStyle w:val="26"/>
              <w:adjustRightInd w:val="0"/>
              <w:snapToGrid w:val="0"/>
              <w:spacing w:before="0" w:beforeAutospacing="0" w:after="0" w:afterAutospacing="0" w:line="360" w:lineRule="auto"/>
              <w:ind w:firstLine="480" w:firstLineChars="200"/>
              <w:jc w:val="both"/>
              <w:outlineLvl w:val="0"/>
              <w:rPr>
                <w:rFonts w:hint="eastAsia" w:ascii="Times New Roman" w:hAnsi="Times New Roman"/>
                <w:color w:val="000000" w:themeColor="text1"/>
                <w:szCs w:val="24"/>
                <w:lang w:val="en-US" w:eastAsia="zh-CN"/>
                <w14:textFill>
                  <w14:solidFill>
                    <w14:schemeClr w14:val="tx1"/>
                  </w14:solidFill>
                </w14:textFill>
              </w:rPr>
            </w:pPr>
          </w:p>
          <w:p w14:paraId="6C311274">
            <w:pPr>
              <w:pStyle w:val="26"/>
              <w:adjustRightInd w:val="0"/>
              <w:snapToGrid w:val="0"/>
              <w:spacing w:before="0" w:beforeAutospacing="0" w:after="0" w:afterAutospacing="0" w:line="360" w:lineRule="auto"/>
              <w:ind w:firstLine="480" w:firstLineChars="200"/>
              <w:jc w:val="both"/>
              <w:outlineLvl w:val="0"/>
              <w:rPr>
                <w:rFonts w:hint="default" w:ascii="Times New Roman" w:hAnsi="Times New Roman" w:eastAsia="宋体"/>
                <w:color w:val="000000" w:themeColor="text1"/>
                <w:szCs w:val="24"/>
                <w:lang w:val="en-US" w:eastAsia="zh-CN"/>
                <w14:textFill>
                  <w14:solidFill>
                    <w14:schemeClr w14:val="tx1"/>
                  </w14:solidFill>
                </w14:textFill>
              </w:rPr>
            </w:pPr>
          </w:p>
        </w:tc>
      </w:tr>
      <w:tr w14:paraId="72EAC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821" w:type="dxa"/>
            <w:vAlign w:val="center"/>
          </w:tcPr>
          <w:p w14:paraId="4DEDA147">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总量</w:t>
            </w:r>
          </w:p>
          <w:p w14:paraId="4FF0E5D8">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控制</w:t>
            </w:r>
          </w:p>
          <w:p w14:paraId="486FD40E">
            <w:pPr>
              <w:pStyle w:val="26"/>
              <w:adjustRightInd w:val="0"/>
              <w:snapToGrid w:val="0"/>
              <w:spacing w:before="0" w:beforeAutospacing="0" w:after="0" w:afterAutospacing="0" w:line="360" w:lineRule="auto"/>
              <w:jc w:val="center"/>
              <w:outlineLvl w:val="0"/>
              <w:rPr>
                <w:rFonts w:ascii="Times New Roman" w:hAnsi="Times New Roman"/>
                <w:snapToGrid w:val="0"/>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指标</w:t>
            </w:r>
          </w:p>
        </w:tc>
        <w:tc>
          <w:tcPr>
            <w:tcW w:w="8240" w:type="dxa"/>
          </w:tcPr>
          <w:p w14:paraId="1BEACAC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color w:val="000000"/>
                <w:sz w:val="24"/>
                <w:highlight w:val="none"/>
              </w:rPr>
            </w:pPr>
          </w:p>
          <w:p w14:paraId="603E9453">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color w:val="000000"/>
                <w:sz w:val="24"/>
                <w:highlight w:val="none"/>
              </w:rPr>
            </w:pPr>
            <w:r>
              <w:rPr>
                <w:rFonts w:hint="eastAsia"/>
                <w:color w:val="000000"/>
                <w:sz w:val="24"/>
                <w:highlight w:val="none"/>
              </w:rPr>
              <w:t>根据安徽省主要污染物排放总量控制计划，总量控制因子为二氧化硫、氮氧化物、烟（粉）尘、挥发性有机物、COD和氨氮。本项目涉及的废</w:t>
            </w:r>
            <w:r>
              <w:rPr>
                <w:rFonts w:hint="eastAsia"/>
                <w:color w:val="000000"/>
                <w:sz w:val="24"/>
                <w:highlight w:val="none"/>
                <w:lang w:val="en-US" w:eastAsia="zh-CN"/>
              </w:rPr>
              <w:t>水</w:t>
            </w:r>
            <w:r>
              <w:rPr>
                <w:rFonts w:hint="eastAsia"/>
                <w:color w:val="000000"/>
                <w:sz w:val="24"/>
                <w:highlight w:val="none"/>
              </w:rPr>
              <w:t>总量控制因子为COD和氨氮。涉及的</w:t>
            </w:r>
            <w:r>
              <w:rPr>
                <w:rFonts w:hint="eastAsia"/>
                <w:color w:val="000000"/>
                <w:sz w:val="24"/>
                <w:highlight w:val="none"/>
                <w:lang w:val="en-US" w:eastAsia="zh-CN"/>
              </w:rPr>
              <w:t>废气总量控制因子为</w:t>
            </w:r>
            <w:r>
              <w:rPr>
                <w:rFonts w:hint="eastAsia"/>
                <w:color w:val="000000"/>
                <w:sz w:val="24"/>
                <w:highlight w:val="none"/>
              </w:rPr>
              <w:t>烟（粉）尘、挥发性有机物</w:t>
            </w:r>
            <w:r>
              <w:rPr>
                <w:rFonts w:hint="eastAsia"/>
                <w:color w:val="000000"/>
                <w:sz w:val="24"/>
                <w:highlight w:val="none"/>
                <w:lang w:eastAsia="zh-CN"/>
              </w:rPr>
              <w:t>、</w:t>
            </w:r>
            <w:r>
              <w:rPr>
                <w:rFonts w:hint="eastAsia"/>
                <w:color w:val="000000"/>
                <w:sz w:val="24"/>
                <w:highlight w:val="none"/>
              </w:rPr>
              <w:t>二氧化硫</w:t>
            </w:r>
            <w:r>
              <w:rPr>
                <w:rFonts w:hint="eastAsia"/>
                <w:color w:val="000000"/>
                <w:sz w:val="24"/>
                <w:highlight w:val="none"/>
                <w:lang w:val="en-US" w:eastAsia="zh-CN"/>
              </w:rPr>
              <w:t>和</w:t>
            </w:r>
            <w:r>
              <w:rPr>
                <w:rFonts w:hint="eastAsia"/>
                <w:color w:val="000000"/>
                <w:sz w:val="24"/>
                <w:highlight w:val="none"/>
              </w:rPr>
              <w:t>氮氧化物</w:t>
            </w:r>
            <w:r>
              <w:rPr>
                <w:rFonts w:hint="eastAsia"/>
                <w:color w:val="000000"/>
                <w:sz w:val="24"/>
                <w:highlight w:val="none"/>
                <w:lang w:eastAsia="zh-CN"/>
              </w:rPr>
              <w:t>，</w:t>
            </w:r>
            <w:r>
              <w:rPr>
                <w:rFonts w:hint="eastAsia"/>
                <w:color w:val="000000"/>
                <w:sz w:val="24"/>
                <w:highlight w:val="none"/>
              </w:rPr>
              <w:t>核算本项目污染总量控制指标，具体如下：</w:t>
            </w:r>
          </w:p>
          <w:p w14:paraId="611F6A9B">
            <w:pPr>
              <w:adjustRightInd w:val="0"/>
              <w:snapToGrid w:val="0"/>
              <w:spacing w:before="0" w:beforeLines="0" w:line="360" w:lineRule="auto"/>
              <w:ind w:firstLine="480" w:firstLineChars="200"/>
              <w:jc w:val="left"/>
              <w:rPr>
                <w:rFonts w:hint="eastAsia"/>
                <w:color w:val="000000"/>
                <w:sz w:val="24"/>
                <w:highlight w:val="none"/>
              </w:rPr>
            </w:pPr>
            <w:r>
              <w:rPr>
                <w:rFonts w:hint="eastAsia"/>
                <w:color w:val="000000"/>
                <w:sz w:val="24"/>
                <w:highlight w:val="none"/>
              </w:rPr>
              <w:t>（1）废水</w:t>
            </w:r>
          </w:p>
          <w:p w14:paraId="6F251896">
            <w:pPr>
              <w:pStyle w:val="10"/>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szCs w:val="24"/>
                <w:highlight w:val="none"/>
              </w:rPr>
              <w:t>根据计算本</w:t>
            </w:r>
            <w:r>
              <w:rPr>
                <w:rFonts w:hint="default" w:ascii="Times New Roman" w:hAnsi="Times New Roman" w:cs="Times New Roman"/>
                <w:color w:val="auto"/>
                <w:sz w:val="24"/>
                <w:szCs w:val="24"/>
                <w:highlight w:val="none"/>
                <w:lang w:val="en-US" w:eastAsia="zh-CN"/>
              </w:rPr>
              <w:t>次</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废水</w:t>
            </w:r>
            <w:r>
              <w:rPr>
                <w:rFonts w:hint="default" w:ascii="Times New Roman" w:hAnsi="Times New Roman" w:cs="Times New Roman"/>
                <w:color w:val="auto"/>
                <w:sz w:val="24"/>
                <w:szCs w:val="24"/>
                <w:highlight w:val="none"/>
              </w:rPr>
              <w:t>污染物排放总量为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化学需氧量（COD）</w:t>
            </w:r>
            <w:r>
              <w:rPr>
                <w:rFonts w:hint="eastAsia" w:cs="Times New Roman"/>
                <w:color w:val="auto"/>
                <w:sz w:val="24"/>
                <w:szCs w:val="24"/>
                <w:highlight w:val="none"/>
                <w:lang w:val="en-US" w:eastAsia="zh-CN"/>
              </w:rPr>
              <w:t>0.257</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氨氮0.0</w:t>
            </w:r>
            <w:r>
              <w:rPr>
                <w:rFonts w:hint="eastAsia" w:cs="Times New Roman"/>
                <w:color w:val="auto"/>
                <w:sz w:val="24"/>
                <w:szCs w:val="24"/>
                <w:highlight w:val="none"/>
                <w:lang w:val="en-US" w:eastAsia="zh-CN"/>
              </w:rPr>
              <w:t>24</w:t>
            </w:r>
            <w:r>
              <w:rPr>
                <w:rFonts w:hint="default" w:ascii="Times New Roman" w:hAnsi="Times New Roman" w:cs="Times New Roman"/>
                <w:color w:val="auto"/>
                <w:sz w:val="24"/>
                <w:szCs w:val="24"/>
                <w:highlight w:val="none"/>
              </w:rPr>
              <w:t>t/a</w:t>
            </w:r>
            <w:r>
              <w:rPr>
                <w:rFonts w:hint="eastAsia" w:ascii="Times New Roman" w:hAnsi="Times New Roman" w:cs="Times New Roman"/>
                <w:color w:val="auto"/>
                <w:sz w:val="24"/>
                <w:szCs w:val="24"/>
                <w:highlight w:val="none"/>
                <w:lang w:eastAsia="zh-CN"/>
              </w:rPr>
              <w:t>，COD和氨氮总量指标纳入</w:t>
            </w:r>
            <w:r>
              <w:rPr>
                <w:rFonts w:hint="eastAsia" w:ascii="Times New Roman" w:hAnsi="Times New Roman" w:cs="Times New Roman"/>
                <w:color w:val="auto"/>
                <w:sz w:val="24"/>
                <w:szCs w:val="24"/>
                <w:highlight w:val="none"/>
                <w:lang w:val="en-US" w:eastAsia="zh-CN"/>
              </w:rPr>
              <w:t>泗县工业污水处理厂</w:t>
            </w:r>
            <w:r>
              <w:rPr>
                <w:rFonts w:hint="eastAsia" w:ascii="Times New Roman" w:hAnsi="Times New Roman" w:cs="Times New Roman"/>
                <w:color w:val="auto"/>
                <w:sz w:val="24"/>
                <w:szCs w:val="24"/>
                <w:highlight w:val="none"/>
                <w:lang w:eastAsia="zh-CN"/>
              </w:rPr>
              <w:t>总量内，无需另行申请总量</w:t>
            </w:r>
            <w:r>
              <w:rPr>
                <w:rFonts w:hint="default" w:ascii="Times New Roman" w:hAnsi="Times New Roman" w:cs="Times New Roman"/>
                <w:sz w:val="24"/>
                <w:szCs w:val="24"/>
                <w:lang w:val="en-US" w:eastAsia="zh-CN"/>
              </w:rPr>
              <w:t>。</w:t>
            </w:r>
          </w:p>
          <w:p w14:paraId="3E4F3523">
            <w:pPr>
              <w:adjustRightInd w:val="0"/>
              <w:snapToGrid w:val="0"/>
              <w:spacing w:before="0" w:beforeLines="0" w:line="360" w:lineRule="auto"/>
              <w:ind w:firstLine="480" w:firstLineChars="200"/>
              <w:jc w:val="left"/>
              <w:rPr>
                <w:rFonts w:hint="default" w:eastAsia="宋体"/>
                <w:color w:val="000000"/>
                <w:sz w:val="24"/>
                <w:highlight w:val="none"/>
                <w:lang w:val="en-US" w:eastAsia="zh-CN"/>
              </w:rPr>
            </w:pPr>
            <w:r>
              <w:rPr>
                <w:rFonts w:hint="eastAsia"/>
                <w:color w:val="000000"/>
                <w:sz w:val="24"/>
                <w:highlight w:val="none"/>
                <w:lang w:eastAsia="zh-CN"/>
              </w:rPr>
              <w:t>（</w:t>
            </w:r>
            <w:r>
              <w:rPr>
                <w:rFonts w:hint="eastAsia"/>
                <w:color w:val="000000"/>
                <w:sz w:val="24"/>
                <w:highlight w:val="none"/>
                <w:lang w:val="en-US" w:eastAsia="zh-CN"/>
              </w:rPr>
              <w:t>2</w:t>
            </w:r>
            <w:r>
              <w:rPr>
                <w:rFonts w:hint="eastAsia"/>
                <w:color w:val="000000"/>
                <w:sz w:val="24"/>
                <w:highlight w:val="none"/>
                <w:lang w:eastAsia="zh-CN"/>
              </w:rPr>
              <w:t>）</w:t>
            </w:r>
            <w:r>
              <w:rPr>
                <w:rFonts w:hint="eastAsia"/>
                <w:color w:val="000000"/>
                <w:sz w:val="24"/>
                <w:highlight w:val="none"/>
                <w:lang w:val="en-US" w:eastAsia="zh-CN"/>
              </w:rPr>
              <w:t>废气</w:t>
            </w:r>
          </w:p>
          <w:p w14:paraId="2D4529EC">
            <w:pPr>
              <w:bidi w:val="0"/>
              <w:spacing w:line="360" w:lineRule="auto"/>
              <w:ind w:firstLine="480" w:firstLineChars="200"/>
            </w:pPr>
            <w:r>
              <w:t>根据《建设项目主要污染物排放总量指标核定表（试行）》项目主要污染物排放总量控制目标，本项目许可排放总量为：烟（粉）尘：</w:t>
            </w:r>
            <w:r>
              <w:rPr>
                <w:rFonts w:hint="eastAsia"/>
                <w:lang w:val="en-US" w:eastAsia="zh-CN"/>
              </w:rPr>
              <w:t>0.594</w:t>
            </w:r>
            <w:r>
              <w:t>t/a，挥发性有机物：0.</w:t>
            </w:r>
            <w:r>
              <w:rPr>
                <w:rFonts w:hint="eastAsia"/>
                <w:lang w:val="en-US" w:eastAsia="zh-CN"/>
              </w:rPr>
              <w:t>116</w:t>
            </w:r>
            <w:r>
              <w:t>t/a。该项目所需烟（粉）尘</w:t>
            </w:r>
            <w:r>
              <w:rPr>
                <w:rFonts w:hint="eastAsia"/>
                <w:lang w:val="en-US" w:eastAsia="zh-CN"/>
              </w:rPr>
              <w:t>总量从泗县天成新型建材有限公司2021年关闭中调剂解决，</w:t>
            </w:r>
            <w:r>
              <w:t>挥发性有机物从</w:t>
            </w:r>
            <w:r>
              <w:rPr>
                <w:rFonts w:hint="eastAsia"/>
                <w:lang w:val="en-US" w:eastAsia="zh-CN"/>
              </w:rPr>
              <w:t>泗县林星板业有限责任公司2021年关闭中调剂解决</w:t>
            </w:r>
            <w:r>
              <w:t>。</w:t>
            </w:r>
            <w:r>
              <w:rPr>
                <w:rFonts w:hint="eastAsia"/>
              </w:rPr>
              <w:t>二氧化硫和氮氧化物按照排污权交易相关要求执行。</w:t>
            </w:r>
          </w:p>
          <w:p w14:paraId="31B9EAB2">
            <w:pPr>
              <w:bidi w:val="0"/>
              <w:spacing w:line="360" w:lineRule="auto"/>
              <w:ind w:firstLine="480" w:firstLineChars="200"/>
              <w:rPr>
                <w:rFonts w:hint="default" w:eastAsia="宋体"/>
                <w:lang w:val="en-US" w:eastAsia="zh-CN"/>
              </w:rPr>
            </w:pPr>
            <w:r>
              <w:t>根据计算本项目排放总量为：烟（粉）尘：</w:t>
            </w:r>
            <w:r>
              <w:rPr>
                <w:rFonts w:hint="eastAsia"/>
                <w:lang w:val="en-US" w:eastAsia="zh-CN"/>
              </w:rPr>
              <w:t>0.588</w:t>
            </w:r>
            <w:r>
              <w:t>t/a，挥发性有机物0.</w:t>
            </w:r>
            <w:r>
              <w:rPr>
                <w:rFonts w:hint="eastAsia"/>
                <w:lang w:val="en-US" w:eastAsia="zh-CN"/>
              </w:rPr>
              <w:t>116</w:t>
            </w:r>
            <w:r>
              <w:t>t/a</w:t>
            </w:r>
            <w:r>
              <w:rPr>
                <w:rFonts w:hint="eastAsia"/>
                <w:lang w:eastAsia="zh-CN"/>
              </w:rPr>
              <w:t>，</w:t>
            </w:r>
            <w:r>
              <w:rPr>
                <w:rFonts w:hint="eastAsia"/>
                <w:lang w:val="en-US" w:eastAsia="zh-CN"/>
              </w:rPr>
              <w:t>二氧化硫：0.04</w:t>
            </w:r>
            <w:r>
              <w:t>t/a</w:t>
            </w:r>
            <w:r>
              <w:rPr>
                <w:rFonts w:hint="eastAsia"/>
                <w:lang w:eastAsia="zh-CN"/>
              </w:rPr>
              <w:t>，</w:t>
            </w:r>
            <w:r>
              <w:rPr>
                <w:rFonts w:hint="eastAsia"/>
                <w:lang w:val="en-US" w:eastAsia="zh-CN"/>
              </w:rPr>
              <w:t>氮氧化物：0.187</w:t>
            </w:r>
            <w:r>
              <w:t>t/a</w:t>
            </w:r>
            <w:r>
              <w:rPr>
                <w:rFonts w:hint="eastAsia"/>
                <w:lang w:eastAsia="zh-CN"/>
              </w:rPr>
              <w:t>，</w:t>
            </w:r>
            <w:r>
              <w:rPr>
                <w:rFonts w:hint="eastAsia"/>
                <w:lang w:val="en-US" w:eastAsia="zh-CN"/>
              </w:rPr>
              <w:t>满足总量需求。</w:t>
            </w:r>
          </w:p>
          <w:p w14:paraId="7D71EDDB">
            <w:pPr>
              <w:pStyle w:val="26"/>
              <w:adjustRightInd w:val="0"/>
              <w:snapToGrid w:val="0"/>
              <w:spacing w:before="0" w:beforeAutospacing="0" w:after="0" w:afterAutospacing="0" w:line="360" w:lineRule="auto"/>
              <w:ind w:firstLine="480" w:firstLineChars="200"/>
              <w:jc w:val="both"/>
              <w:outlineLvl w:val="0"/>
              <w:rPr>
                <w:rFonts w:ascii="Times New Roman" w:hAnsi="Times New Roman"/>
                <w:color w:val="000000" w:themeColor="text1"/>
                <w:szCs w:val="24"/>
                <w14:textFill>
                  <w14:solidFill>
                    <w14:schemeClr w14:val="tx1"/>
                  </w14:solidFill>
                </w14:textFill>
              </w:rPr>
            </w:pPr>
          </w:p>
        </w:tc>
      </w:tr>
    </w:tbl>
    <w:p w14:paraId="0C41EAED">
      <w:pPr>
        <w:pStyle w:val="26"/>
        <w:jc w:val="both"/>
        <w:outlineLvl w:val="0"/>
        <w:rPr>
          <w:rFonts w:ascii="Times New Roman" w:hAnsi="Times New Roman"/>
          <w:snapToGrid w:val="0"/>
          <w:color w:val="000000" w:themeColor="text1"/>
          <w:sz w:val="36"/>
          <w:szCs w:val="36"/>
          <w14:textFill>
            <w14:solidFill>
              <w14:schemeClr w14:val="tx1"/>
            </w14:solidFill>
          </w14:textFill>
        </w:rPr>
        <w:sectPr>
          <w:pgSz w:w="11907" w:h="16840"/>
          <w:pgMar w:top="1701" w:right="1531" w:bottom="2127" w:left="1531" w:header="851" w:footer="851" w:gutter="0"/>
          <w:cols w:space="720" w:num="1"/>
          <w:docGrid w:linePitch="312" w:charSpace="0"/>
        </w:sectPr>
      </w:pPr>
    </w:p>
    <w:p w14:paraId="51DE18EC">
      <w:pPr>
        <w:pStyle w:val="26"/>
        <w:jc w:val="center"/>
        <w:outlineLvl w:val="0"/>
        <w:rPr>
          <w:rFonts w:hint="eastAsia" w:ascii="宋体" w:hAnsi="宋体" w:eastAsia="宋体" w:cs="宋体"/>
          <w:b/>
          <w:bCs/>
          <w:snapToGrid w:val="0"/>
          <w:color w:val="000000" w:themeColor="text1"/>
          <w:sz w:val="30"/>
          <w:szCs w:val="30"/>
          <w14:textFill>
            <w14:solidFill>
              <w14:schemeClr w14:val="tx1"/>
            </w14:solidFill>
          </w14:textFill>
        </w:rPr>
      </w:pPr>
      <w:r>
        <w:rPr>
          <w:rFonts w:hint="eastAsia" w:ascii="宋体" w:hAnsi="宋体" w:eastAsia="宋体" w:cs="宋体"/>
          <w:b/>
          <w:bCs/>
          <w:snapToGrid w:val="0"/>
          <w:color w:val="000000" w:themeColor="text1"/>
          <w:sz w:val="30"/>
          <w:szCs w:val="30"/>
          <w14:textFill>
            <w14:solidFill>
              <w14:schemeClr w14:val="tx1"/>
            </w14:solidFill>
          </w14:textFill>
        </w:rPr>
        <w:t>四、主要环境影响和保护措施</w:t>
      </w:r>
    </w:p>
    <w:tbl>
      <w:tblPr>
        <w:tblStyle w:val="30"/>
        <w:tblW w:w="90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8277"/>
      </w:tblGrid>
      <w:tr w14:paraId="49BAA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67" w:type="dxa"/>
            <w:tcMar>
              <w:left w:w="28" w:type="dxa"/>
              <w:right w:w="28" w:type="dxa"/>
            </w:tcMar>
            <w:vAlign w:val="center"/>
          </w:tcPr>
          <w:p w14:paraId="02DC7181">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施工</w:t>
            </w:r>
          </w:p>
          <w:p w14:paraId="0E8704DB">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期环</w:t>
            </w:r>
          </w:p>
          <w:p w14:paraId="12557988">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境保</w:t>
            </w:r>
          </w:p>
          <w:p w14:paraId="6699DB5A">
            <w:pPr>
              <w:pStyle w:val="26"/>
              <w:adjustRightInd w:val="0"/>
              <w:snapToGrid w:val="0"/>
              <w:spacing w:before="0" w:beforeAutospacing="0" w:after="0" w:afterAutospacing="0"/>
              <w:jc w:val="center"/>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护措</w:t>
            </w:r>
          </w:p>
          <w:p w14:paraId="52B05406">
            <w:pPr>
              <w:pStyle w:val="26"/>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Cs w:val="24"/>
                <w14:textFill>
                  <w14:solidFill>
                    <w14:schemeClr w14:val="tx1"/>
                  </w14:solidFill>
                </w14:textFill>
              </w:rPr>
              <w:t>施</w:t>
            </w:r>
          </w:p>
        </w:tc>
        <w:tc>
          <w:tcPr>
            <w:tcW w:w="8277" w:type="dxa"/>
            <w:vAlign w:val="center"/>
          </w:tcPr>
          <w:p w14:paraId="220807CD">
            <w:pPr>
              <w:spacing w:before="156" w:beforeLines="50" w:line="360" w:lineRule="auto"/>
              <w:ind w:firstLine="482" w:firstLineChars="20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lang w:bidi="ar"/>
                <w14:textFill>
                  <w14:solidFill>
                    <w14:schemeClr w14:val="tx1"/>
                  </w14:solidFill>
                </w14:textFill>
              </w:rPr>
              <w:t>一、大气环境保护措施</w:t>
            </w:r>
          </w:p>
          <w:p w14:paraId="38102B77">
            <w:pPr>
              <w:pStyle w:val="12"/>
              <w:spacing w:before="0" w:after="0" w:line="360" w:lineRule="auto"/>
              <w:ind w:right="0" w:firstLine="480" w:firstLineChars="200"/>
              <w:rPr>
                <w:rFonts w:hint="default" w:ascii="Times New Roman" w:hAnsi="Times New Roman" w:cs="Times New Roman"/>
                <w:color w:val="000000" w:themeColor="text1"/>
                <w:kern w:val="2"/>
                <w:sz w:val="24"/>
                <w:szCs w:val="24"/>
                <w:lang w:bidi="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本项目租赁</w:t>
            </w:r>
            <w:r>
              <w:rPr>
                <w:rFonts w:hint="eastAsia" w:cs="Times New Roman"/>
                <w:color w:val="000000" w:themeColor="text1"/>
                <w:sz w:val="24"/>
                <w:szCs w:val="24"/>
                <w:lang w:eastAsia="zh-CN"/>
                <w14:textFill>
                  <w14:solidFill>
                    <w14:schemeClr w14:val="tx1"/>
                  </w14:solidFill>
                </w14:textFill>
              </w:rPr>
              <w:t>安徽省宿州市泗县经济开发区泗县强宇体育设施公司2#厂房</w:t>
            </w:r>
            <w:r>
              <w:rPr>
                <w:rFonts w:hint="default" w:ascii="Times New Roman" w:hAnsi="Times New Roman" w:cs="Times New Roman"/>
                <w:color w:val="000000" w:themeColor="text1"/>
                <w:sz w:val="24"/>
                <w:szCs w:val="24"/>
                <w14:textFill>
                  <w14:solidFill>
                    <w14:schemeClr w14:val="tx1"/>
                  </w14:solidFill>
                </w14:textFill>
              </w:rPr>
              <w:t>，仅进行机械设备的安装，</w:t>
            </w:r>
            <w:r>
              <w:rPr>
                <w:rFonts w:hint="eastAsia" w:cs="Times New Roman"/>
                <w:color w:val="000000" w:themeColor="text1"/>
                <w:sz w:val="24"/>
                <w:szCs w:val="24"/>
                <w:lang w:val="en-US" w:eastAsia="zh-CN"/>
                <w14:textFill>
                  <w14:solidFill>
                    <w14:schemeClr w14:val="tx1"/>
                  </w14:solidFill>
                </w14:textFill>
              </w:rPr>
              <w:t>不</w:t>
            </w:r>
            <w:r>
              <w:rPr>
                <w:rFonts w:hint="default" w:ascii="Times New Roman" w:hAnsi="Times New Roman" w:cs="Times New Roman"/>
                <w:color w:val="000000" w:themeColor="text1"/>
                <w:sz w:val="24"/>
                <w:szCs w:val="24"/>
                <w14:textFill>
                  <w14:solidFill>
                    <w14:schemeClr w14:val="tx1"/>
                  </w14:solidFill>
                </w14:textFill>
              </w:rPr>
              <w:t>涉及厂房改造，不需大型施工机器施工，人员走动和设备安装产生的少量扬尘采取定期洒水</w:t>
            </w:r>
            <w:r>
              <w:rPr>
                <w:rFonts w:hint="default" w:ascii="Times New Roman" w:hAnsi="Times New Roman" w:cs="Times New Roman"/>
                <w:bCs/>
                <w:color w:val="000000" w:themeColor="text1"/>
                <w:sz w:val="24"/>
                <w:lang w:bidi="ar"/>
                <w14:textFill>
                  <w14:solidFill>
                    <w14:schemeClr w14:val="tx1"/>
                  </w14:solidFill>
                </w14:textFill>
              </w:rPr>
              <w:t>措施</w:t>
            </w:r>
            <w:r>
              <w:rPr>
                <w:rFonts w:hint="default" w:ascii="Times New Roman" w:hAnsi="Times New Roman" w:cs="Times New Roman"/>
                <w:color w:val="000000" w:themeColor="text1"/>
                <w:sz w:val="24"/>
                <w:szCs w:val="24"/>
                <w14:textFill>
                  <w14:solidFill>
                    <w14:schemeClr w14:val="tx1"/>
                  </w14:solidFill>
                </w14:textFill>
              </w:rPr>
              <w:t>，减少施工扬尘对周边环境影响。</w:t>
            </w:r>
          </w:p>
          <w:p w14:paraId="3A257DD1">
            <w:pPr>
              <w:spacing w:line="360" w:lineRule="auto"/>
              <w:ind w:firstLine="482" w:firstLineChars="200"/>
              <w:rPr>
                <w:rFonts w:hint="default" w:ascii="Times New Roman" w:hAnsi="Times New Roman" w:cs="Times New Roman"/>
                <w:b/>
                <w:bCs/>
                <w:color w:val="000000" w:themeColor="text1"/>
                <w:lang w:bidi="ar"/>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二、水环境保护措施</w:t>
            </w:r>
          </w:p>
          <w:p w14:paraId="115799E2">
            <w:pPr>
              <w:pStyle w:val="12"/>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本项目施工期间产生的废水主要为施工废水及施工人员生活污水。对施工期废污水进行收集简单处理后达标排放，本项目施工人员产生的生活</w:t>
            </w:r>
            <w:r>
              <w:rPr>
                <w:rFonts w:hint="eastAsia" w:cs="Times New Roman"/>
                <w:color w:val="000000" w:themeColor="text1"/>
                <w:sz w:val="24"/>
                <w:szCs w:val="24"/>
                <w:lang w:val="en-US" w:eastAsia="zh-CN"/>
                <w14:textFill>
                  <w14:solidFill>
                    <w14:schemeClr w14:val="tx1"/>
                  </w14:solidFill>
                </w14:textFill>
              </w:rPr>
              <w:t>污水</w:t>
            </w:r>
            <w:r>
              <w:rPr>
                <w:rFonts w:hint="default" w:ascii="Times New Roman" w:hAnsi="Times New Roman" w:cs="Times New Roman"/>
                <w:color w:val="000000" w:themeColor="text1"/>
                <w:sz w:val="24"/>
                <w:szCs w:val="24"/>
                <w14:textFill>
                  <w14:solidFill>
                    <w14:schemeClr w14:val="tx1"/>
                  </w14:solidFill>
                </w14:textFill>
              </w:rPr>
              <w:t>经化粪池预处理后，经污水管网排入</w:t>
            </w:r>
            <w:r>
              <w:rPr>
                <w:rFonts w:hint="eastAsia" w:cs="Times New Roman"/>
                <w:color w:val="000000" w:themeColor="text1"/>
                <w:sz w:val="24"/>
                <w:szCs w:val="24"/>
                <w:lang w:val="en-US" w:eastAsia="zh-CN"/>
                <w14:textFill>
                  <w14:solidFill>
                    <w14:schemeClr w14:val="tx1"/>
                  </w14:solidFill>
                </w14:textFill>
              </w:rPr>
              <w:t>泗县工业</w:t>
            </w:r>
            <w:r>
              <w:rPr>
                <w:rFonts w:hint="default" w:ascii="Times New Roman" w:hAnsi="Times New Roman" w:cs="Times New Roman"/>
                <w:color w:val="000000" w:themeColor="text1"/>
                <w:sz w:val="24"/>
                <w:szCs w:val="24"/>
                <w14:textFill>
                  <w14:solidFill>
                    <w14:schemeClr w14:val="tx1"/>
                  </w14:solidFill>
                </w14:textFill>
              </w:rPr>
              <w:t>污水处理厂进一步处理。通过采取上述废水治理措施后，项目施工期产生的废水可以得到妥善处理，不会对项目所在区域地表水环境产生影响。</w:t>
            </w:r>
          </w:p>
          <w:p w14:paraId="42982B23">
            <w:pPr>
              <w:pStyle w:val="12"/>
              <w:spacing w:before="0" w:after="0" w:line="360" w:lineRule="auto"/>
              <w:ind w:right="0"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三、声环境保护措施</w:t>
            </w:r>
          </w:p>
          <w:p w14:paraId="0928B5A8">
            <w:pPr>
              <w:pStyle w:val="12"/>
              <w:spacing w:before="0" w:after="0" w:line="360" w:lineRule="auto"/>
              <w:ind w:right="0" w:firstLine="480" w:firstLineChars="200"/>
              <w:rPr>
                <w:rFonts w:hint="default" w:ascii="Times New Roman" w:hAnsi="Times New Roman" w:cs="Times New Roman"/>
                <w:b/>
                <w:bCs/>
                <w:color w:val="000000" w:themeColor="text1"/>
                <w:sz w:val="24"/>
                <w:lang w:bidi="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本项目施工方应在施工期采取有效的噪声控制措施：</w:t>
            </w:r>
          </w:p>
          <w:p w14:paraId="72250228">
            <w:pPr>
              <w:pStyle w:val="12"/>
              <w:spacing w:before="0" w:after="0" w:line="360" w:lineRule="auto"/>
              <w:ind w:right="0" w:firstLine="480" w:firstLineChars="200"/>
              <w:rPr>
                <w:rFonts w:hint="default" w:ascii="Times New Roman" w:hAnsi="Times New Roman" w:cs="Times New Roman"/>
                <w:color w:val="000000" w:themeColor="text1"/>
                <w:sz w:val="24"/>
                <w:lang w:bidi="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①合理安排施工时间，高噪声设备禁止在夜间</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22:00-6:00</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进行施工，尤其是要严格控制施工机械噪声值在大于85dB</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A</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的作业。</w:t>
            </w:r>
          </w:p>
          <w:p w14:paraId="4D411B99">
            <w:pPr>
              <w:spacing w:line="360" w:lineRule="auto"/>
              <w:ind w:firstLine="480" w:firstLineChars="200"/>
              <w:rPr>
                <w:rFonts w:hint="default" w:ascii="Times New Roman" w:hAnsi="Times New Roman" w:cs="Times New Roman"/>
                <w:color w:val="000000" w:themeColor="text1"/>
                <w:lang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加强管理，尽量减少人为噪声（如设备、原材料的装卸、搬运等）。由于本项目施工工期较短，负面影响只是暂时性的，在采取隔声降噪措施和严格管理下，场界噪声能达到国家《建筑施工场界环境噪声排放标准》（GB12523－2011）的规定，因此在采取以上措施后，施工噪声对周围环境产生的影响较小。</w:t>
            </w:r>
          </w:p>
          <w:p w14:paraId="595443BF">
            <w:pPr>
              <w:pStyle w:val="12"/>
              <w:spacing w:before="0" w:after="0" w:line="360" w:lineRule="auto"/>
              <w:ind w:right="0" w:firstLine="482" w:firstLineChars="200"/>
              <w:rPr>
                <w:rFonts w:hint="default" w:ascii="Times New Roman" w:hAnsi="Times New Roman" w:cs="Times New Roman"/>
                <w:b/>
                <w:bCs/>
                <w:color w:val="000000" w:themeColor="text1"/>
                <w:sz w:val="24"/>
                <w:lang w:bidi="ar"/>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四、固体废弃物保护措施</w:t>
            </w:r>
          </w:p>
          <w:p w14:paraId="5C1780A4">
            <w:pPr>
              <w:spacing w:line="360" w:lineRule="auto"/>
              <w:ind w:firstLine="480" w:firstLineChars="20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项目施工人员产生的生活垃圾及装修废物应全部及时交由环卫部门进行处置。施工期产生的环境影响相对营运期而言属于短期和暂时影响，环境影响随着施工期的结束而消失。</w:t>
            </w:r>
          </w:p>
        </w:tc>
      </w:tr>
      <w:tr w14:paraId="59E65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7" w:hRule="atLeast"/>
          <w:jc w:val="center"/>
        </w:trPr>
        <w:tc>
          <w:tcPr>
            <w:tcW w:w="767" w:type="dxa"/>
            <w:tcMar>
              <w:left w:w="28" w:type="dxa"/>
              <w:right w:w="28" w:type="dxa"/>
            </w:tcMar>
            <w:vAlign w:val="center"/>
          </w:tcPr>
          <w:p w14:paraId="07B18818">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运营期环境影响和保护措施</w:t>
            </w:r>
          </w:p>
        </w:tc>
        <w:tc>
          <w:tcPr>
            <w:tcW w:w="8277" w:type="dxa"/>
          </w:tcPr>
          <w:p w14:paraId="0AFCD102">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一、废气</w:t>
            </w:r>
          </w:p>
          <w:p w14:paraId="6B7EE4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lang w:eastAsia="zh-CN"/>
                <w14:textFill>
                  <w14:solidFill>
                    <w14:schemeClr w14:val="tx1"/>
                  </w14:solidFill>
                </w14:textFill>
              </w:rPr>
            </w:pPr>
            <w:r>
              <w:t>项目运营期废气主要是</w:t>
            </w:r>
            <w:r>
              <w:rPr>
                <w:rFonts w:hint="eastAsia" w:cs="Times New Roman"/>
                <w:color w:val="auto"/>
                <w:sz w:val="24"/>
                <w:szCs w:val="24"/>
                <w:lang w:val="en-US" w:eastAsia="zh-CN"/>
              </w:rPr>
              <w:t>下料工序产生的废气、焊接工序产生的废气、打磨</w:t>
            </w:r>
            <w:r>
              <w:rPr>
                <w:rFonts w:hint="eastAsia" w:ascii="Times New Roman" w:hAnsi="Times New Roman" w:eastAsia="宋体" w:cs="Times New Roman"/>
                <w:color w:val="auto"/>
                <w:sz w:val="24"/>
                <w:szCs w:val="24"/>
                <w:lang w:val="en-US" w:eastAsia="zh-CN"/>
              </w:rPr>
              <w:t>工序</w:t>
            </w:r>
            <w:r>
              <w:rPr>
                <w:rFonts w:hint="eastAsia" w:cs="Times New Roman"/>
                <w:color w:val="auto"/>
                <w:sz w:val="24"/>
                <w:szCs w:val="24"/>
                <w:lang w:val="en-US" w:eastAsia="zh-CN"/>
              </w:rPr>
              <w:t>产生的废气</w:t>
            </w:r>
            <w:r>
              <w:rPr>
                <w:rFonts w:hint="eastAsia" w:ascii="Times New Roman" w:hAnsi="Times New Roman" w:eastAsia="宋体" w:cs="Times New Roman"/>
                <w:color w:val="auto"/>
                <w:sz w:val="24"/>
                <w:szCs w:val="24"/>
                <w:lang w:val="en-US" w:eastAsia="zh-CN"/>
              </w:rPr>
              <w:t>、</w:t>
            </w:r>
            <w:r>
              <w:rPr>
                <w:rFonts w:hint="eastAsia" w:ascii="Times New Roman" w:hAnsi="Times New Roman" w:cs="Times New Roman"/>
                <w:color w:val="auto"/>
                <w:sz w:val="24"/>
                <w:szCs w:val="24"/>
                <w:lang w:val="en-US" w:eastAsia="zh-CN"/>
              </w:rPr>
              <w:t>喷塑</w:t>
            </w:r>
            <w:r>
              <w:rPr>
                <w:rFonts w:hint="eastAsia" w:cs="Times New Roman"/>
                <w:color w:val="auto"/>
                <w:sz w:val="24"/>
                <w:szCs w:val="24"/>
                <w:lang w:val="en-US" w:eastAsia="zh-CN"/>
              </w:rPr>
              <w:t>及固化</w:t>
            </w:r>
            <w:r>
              <w:rPr>
                <w:rFonts w:hint="eastAsia" w:ascii="Times New Roman" w:hAnsi="Times New Roman" w:eastAsia="宋体" w:cs="Times New Roman"/>
                <w:color w:val="auto"/>
                <w:sz w:val="24"/>
                <w:szCs w:val="24"/>
                <w:lang w:val="en-US" w:eastAsia="zh-CN"/>
              </w:rPr>
              <w:t>工序产生的废气</w:t>
            </w:r>
            <w:r>
              <w:rPr>
                <w:rFonts w:hint="eastAsia" w:cs="Times New Roman"/>
                <w:color w:val="auto"/>
                <w:sz w:val="24"/>
                <w:szCs w:val="24"/>
                <w:lang w:val="en-US" w:eastAsia="zh-CN"/>
              </w:rPr>
              <w:t>、注塑工序产生的废气、组装工序密封产生的废气、供热及固化工序产生的天然气燃烧废气和机加工工序产生的废气</w:t>
            </w:r>
            <w:r>
              <w:rPr>
                <w:rFonts w:hint="eastAsia"/>
              </w:rPr>
              <w:t>，</w:t>
            </w:r>
            <w:r>
              <w:rPr>
                <w:rFonts w:hint="eastAsia" w:ascii="宋体" w:hAnsi="宋体" w:cs="宋体"/>
              </w:rPr>
              <w:t>废气污染源强分析如下</w:t>
            </w:r>
            <w:r>
              <w:rPr>
                <w:rFonts w:hint="eastAsia" w:ascii="宋体" w:hAnsi="宋体" w:cs="宋体"/>
                <w:lang w:eastAsia="zh-CN"/>
              </w:rPr>
              <w:t>。</w:t>
            </w:r>
          </w:p>
          <w:p w14:paraId="28F953A9">
            <w:pPr>
              <w:numPr>
                <w:ilvl w:val="0"/>
                <w:numId w:val="0"/>
              </w:numPr>
              <w:snapToGrid w:val="0"/>
              <w:spacing w:line="360" w:lineRule="auto"/>
              <w:ind w:firstLine="480" w:firstLineChars="200"/>
              <w:rPr>
                <w:rFonts w:hint="eastAsia"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1、有组织废气</w:t>
            </w:r>
          </w:p>
          <w:p w14:paraId="7EA79C55">
            <w:pPr>
              <w:numPr>
                <w:ilvl w:val="0"/>
                <w:numId w:val="0"/>
              </w:numPr>
              <w:snapToGrid w:val="0"/>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1</w:t>
            </w:r>
            <w:r>
              <w:rPr>
                <w:rFonts w:hint="eastAsia" w:cs="Times New Roman"/>
                <w:b w:val="0"/>
                <w:bCs w:val="0"/>
                <w:color w:val="000000" w:themeColor="text1"/>
                <w:lang w:val="en-US" w:eastAsia="zh-CN"/>
                <w14:textFill>
                  <w14:solidFill>
                    <w14:schemeClr w14:val="tx1"/>
                  </w14:solidFill>
                </w14:textFill>
              </w:rPr>
              <w:t>）下料废气（颗粒物）</w:t>
            </w:r>
          </w:p>
          <w:p w14:paraId="41242BE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Times New Roman" w:eastAsia="宋体" w:cs="Times New Roman"/>
                <w:color w:val="000000" w:themeColor="text1"/>
                <w:sz w:val="24"/>
                <w:szCs w:val="24"/>
                <w:lang w:bidi="ar"/>
                <w14:textFill>
                  <w14:solidFill>
                    <w14:schemeClr w14:val="tx1"/>
                  </w14:solidFill>
                </w14:textFill>
              </w:rPr>
            </w:pPr>
            <w:r>
              <w:rPr>
                <w:rFonts w:ascii="Times New Roman" w:hAnsi="Times New Roman" w:eastAsia="宋体" w:cs="Times New Roman"/>
                <w:color w:val="000000" w:themeColor="text1"/>
                <w:sz w:val="24"/>
                <w:szCs w:val="24"/>
                <w:lang w:bidi="ar"/>
                <w14:textFill>
                  <w14:solidFill>
                    <w14:schemeClr w14:val="tx1"/>
                  </w14:solidFill>
                </w14:textFill>
              </w:rPr>
              <w:t>项目原料</w:t>
            </w:r>
            <w:r>
              <w:rPr>
                <w:rFonts w:hint="eastAsia" w:cs="Times New Roman"/>
                <w:color w:val="000000" w:themeColor="text1"/>
                <w:sz w:val="24"/>
                <w:szCs w:val="24"/>
                <w:lang w:val="en-US" w:eastAsia="zh-CN" w:bidi="ar"/>
                <w14:textFill>
                  <w14:solidFill>
                    <w14:schemeClr w14:val="tx1"/>
                  </w14:solidFill>
                </w14:textFill>
              </w:rPr>
              <w:t>铁管材、铁板、镀锌板</w:t>
            </w:r>
            <w:r>
              <w:rPr>
                <w:rFonts w:ascii="Times New Roman" w:hAnsi="Times New Roman" w:eastAsia="宋体" w:cs="Times New Roman"/>
                <w:color w:val="000000" w:themeColor="text1"/>
                <w:sz w:val="24"/>
                <w:szCs w:val="24"/>
                <w:lang w:bidi="ar"/>
                <w14:textFill>
                  <w14:solidFill>
                    <w14:schemeClr w14:val="tx1"/>
                  </w14:solidFill>
                </w14:textFill>
              </w:rPr>
              <w:t>下料切割</w:t>
            </w:r>
            <w:r>
              <w:rPr>
                <w:rFonts w:hint="eastAsia" w:ascii="Times New Roman" w:hAnsi="Times New Roman" w:eastAsia="宋体" w:cs="Times New Roman"/>
                <w:color w:val="000000" w:themeColor="text1"/>
                <w:sz w:val="24"/>
                <w:szCs w:val="24"/>
                <w:lang w:bidi="ar"/>
                <w14:textFill>
                  <w14:solidFill>
                    <w14:schemeClr w14:val="tx1"/>
                  </w14:solidFill>
                </w14:textFill>
              </w:rPr>
              <w:t>工序</w:t>
            </w:r>
            <w:r>
              <w:rPr>
                <w:rFonts w:hint="eastAsia" w:cs="Times New Roman"/>
                <w:color w:val="000000" w:themeColor="text1"/>
                <w:sz w:val="24"/>
                <w:szCs w:val="24"/>
                <w:lang w:val="en-US" w:eastAsia="zh-CN" w:bidi="ar"/>
                <w14:textFill>
                  <w14:solidFill>
                    <w14:schemeClr w14:val="tx1"/>
                  </w14:solidFill>
                </w14:textFill>
              </w:rPr>
              <w:t>使用</w:t>
            </w:r>
            <w:r>
              <w:rPr>
                <w:rFonts w:hint="eastAsia" w:ascii="Times New Roman" w:hAnsi="Times New Roman" w:cs="Times New Roman"/>
                <w:color w:val="000000" w:themeColor="text1"/>
                <w:sz w:val="24"/>
                <w:szCs w:val="24"/>
                <w:lang w:val="en-US" w:eastAsia="zh-CN" w:bidi="ar"/>
                <w14:textFill>
                  <w14:solidFill>
                    <w14:schemeClr w14:val="tx1"/>
                  </w14:solidFill>
                </w14:textFill>
              </w:rPr>
              <w:t>激光</w:t>
            </w:r>
            <w:r>
              <w:rPr>
                <w:rFonts w:hint="eastAsia" w:cs="Times New Roman"/>
                <w:color w:val="000000" w:themeColor="text1"/>
                <w:sz w:val="24"/>
                <w:szCs w:val="24"/>
                <w:lang w:val="en-US" w:eastAsia="zh-CN" w:bidi="ar"/>
                <w14:textFill>
                  <w14:solidFill>
                    <w14:schemeClr w14:val="tx1"/>
                  </w14:solidFill>
                </w14:textFill>
              </w:rPr>
              <w:t>切管机</w:t>
            </w:r>
            <w:r>
              <w:rPr>
                <w:rFonts w:ascii="Times New Roman" w:hAnsi="Times New Roman" w:eastAsia="宋体" w:cs="Times New Roman"/>
                <w:color w:val="000000" w:themeColor="text1"/>
                <w:sz w:val="24"/>
                <w:szCs w:val="24"/>
                <w:lang w:bidi="ar"/>
                <w14:textFill>
                  <w14:solidFill>
                    <w14:schemeClr w14:val="tx1"/>
                  </w14:solidFill>
                </w14:textFill>
              </w:rPr>
              <w:t>会产生粉尘，</w:t>
            </w:r>
            <w:r>
              <w:rPr>
                <w:rFonts w:hint="eastAsia" w:ascii="Times New Roman" w:hAnsi="Times New Roman" w:eastAsia="宋体" w:cs="Times New Roman"/>
                <w:color w:val="000000" w:themeColor="text1"/>
                <w:sz w:val="24"/>
                <w:szCs w:val="24"/>
                <w:lang w:bidi="ar"/>
                <w14:textFill>
                  <w14:solidFill>
                    <w14:schemeClr w14:val="tx1"/>
                  </w14:solidFill>
                </w14:textFill>
              </w:rPr>
              <w:t>切割过程产生的粉尘经集气罩收集</w:t>
            </w:r>
            <w:r>
              <w:rPr>
                <w:rFonts w:hint="eastAsia" w:cs="Times New Roman"/>
                <w:color w:val="000000" w:themeColor="text1"/>
                <w:sz w:val="24"/>
                <w:szCs w:val="24"/>
                <w:lang w:val="en-US" w:eastAsia="zh-CN" w:bidi="ar"/>
                <w14:textFill>
                  <w14:solidFill>
                    <w14:schemeClr w14:val="tx1"/>
                  </w14:solidFill>
                </w14:textFill>
              </w:rPr>
              <w:t>后</w:t>
            </w:r>
            <w:r>
              <w:rPr>
                <w:rFonts w:hint="eastAsia" w:ascii="Times New Roman" w:hAnsi="Times New Roman" w:eastAsia="宋体" w:cs="Times New Roman"/>
                <w:color w:val="000000" w:themeColor="text1"/>
                <w:sz w:val="24"/>
                <w:szCs w:val="24"/>
                <w:lang w:bidi="ar"/>
                <w14:textFill>
                  <w14:solidFill>
                    <w14:schemeClr w14:val="tx1"/>
                  </w14:solidFill>
                </w14:textFill>
              </w:rPr>
              <w:t>通过</w:t>
            </w:r>
            <w:r>
              <w:rPr>
                <w:rFonts w:hint="eastAsia" w:cs="Times New Roman"/>
                <w:color w:val="000000" w:themeColor="text1"/>
                <w:sz w:val="24"/>
                <w:szCs w:val="24"/>
                <w:lang w:eastAsia="zh-CN" w:bidi="ar"/>
                <w14:textFill>
                  <w14:solidFill>
                    <w14:schemeClr w14:val="tx1"/>
                  </w14:solidFill>
                </w14:textFill>
              </w:rPr>
              <w:t>袋式除尘器</w:t>
            </w:r>
            <w:r>
              <w:rPr>
                <w:rFonts w:hint="eastAsia" w:ascii="Times New Roman" w:hAnsi="Times New Roman" w:eastAsia="宋体" w:cs="Times New Roman"/>
                <w:color w:val="000000" w:themeColor="text1"/>
                <w:sz w:val="24"/>
                <w:szCs w:val="24"/>
                <w:lang w:bidi="ar"/>
                <w14:textFill>
                  <w14:solidFill>
                    <w14:schemeClr w14:val="tx1"/>
                  </w14:solidFill>
                </w14:textFill>
              </w:rPr>
              <w:t>处理后经排气筒（DA001）排放，</w:t>
            </w:r>
            <w:r>
              <w:rPr>
                <w:rFonts w:hint="eastAsia" w:ascii="Times New Roman" w:hAnsi="Times New Roman" w:cs="Times New Roman"/>
                <w:color w:val="000000" w:themeColor="text1"/>
                <w:sz w:val="24"/>
                <w:szCs w:val="24"/>
                <w:lang w:val="en-US" w:eastAsia="zh-CN" w:bidi="ar"/>
                <w14:textFill>
                  <w14:solidFill>
                    <w14:schemeClr w14:val="tx1"/>
                  </w14:solidFill>
                </w14:textFill>
              </w:rPr>
              <w:t>激光</w:t>
            </w:r>
            <w:r>
              <w:rPr>
                <w:rFonts w:hint="eastAsia" w:ascii="Times New Roman" w:hAnsi="Times New Roman" w:eastAsia="宋体" w:cs="Times New Roman"/>
                <w:color w:val="000000" w:themeColor="text1"/>
                <w:sz w:val="24"/>
                <w:szCs w:val="24"/>
                <w:lang w:bidi="ar"/>
                <w14:textFill>
                  <w14:solidFill>
                    <w14:schemeClr w14:val="tx1"/>
                  </w14:solidFill>
                </w14:textFill>
              </w:rPr>
              <w:t>切割</w:t>
            </w:r>
            <w:r>
              <w:rPr>
                <w:rFonts w:hint="eastAsia" w:ascii="Times New Roman" w:hAnsi="Times New Roman" w:cs="Times New Roman"/>
                <w:color w:val="000000" w:themeColor="text1"/>
                <w:sz w:val="24"/>
                <w:szCs w:val="24"/>
                <w:lang w:val="en-US" w:eastAsia="zh-CN" w:bidi="ar"/>
                <w14:textFill>
                  <w14:solidFill>
                    <w14:schemeClr w14:val="tx1"/>
                  </w14:solidFill>
                </w14:textFill>
              </w:rPr>
              <w:t>产污系数参照</w:t>
            </w:r>
            <w:r>
              <w:rPr>
                <w:rFonts w:ascii="Times New Roman" w:hAnsi="Times New Roman" w:eastAsia="宋体" w:cs="Times New Roman"/>
                <w:color w:val="000000" w:themeColor="text1"/>
                <w:sz w:val="24"/>
                <w:szCs w:val="24"/>
                <w:lang w:val="zh-CN"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排放源统计调查产排污核算方法和系数手册</w:t>
            </w:r>
            <w:r>
              <w:rPr>
                <w:rFonts w:ascii="Times New Roman" w:hAnsi="Times New Roman" w:eastAsia="宋体" w:cs="Times New Roman"/>
                <w:color w:val="000000" w:themeColor="text1"/>
                <w:sz w:val="24"/>
                <w:szCs w:val="24"/>
                <w:lang w:val="zh-CN"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中</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33-37、43机械行业系数手册</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中</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04下料核算环节</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钢板、铝板、铝合金板、其它金属材料</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等离子切割</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工艺产污系数为1.1</w:t>
            </w:r>
            <w:r>
              <w:rPr>
                <w:rFonts w:hint="eastAsia" w:ascii="Times New Roman" w:hAnsi="Times New Roman" w:eastAsia="宋体" w:cs="Times New Roman"/>
                <w:color w:val="000000" w:themeColor="text1"/>
                <w:sz w:val="24"/>
                <w:szCs w:val="24"/>
                <w:lang w:bidi="ar"/>
                <w14:textFill>
                  <w14:solidFill>
                    <w14:schemeClr w14:val="tx1"/>
                  </w14:solidFill>
                </w14:textFill>
              </w:rPr>
              <w:t>0</w:t>
            </w:r>
            <w:r>
              <w:rPr>
                <w:rFonts w:ascii="Times New Roman" w:hAnsi="Times New Roman" w:eastAsia="宋体" w:cs="Times New Roman"/>
                <w:color w:val="000000" w:themeColor="text1"/>
                <w:sz w:val="24"/>
                <w:szCs w:val="24"/>
                <w:lang w:bidi="ar"/>
                <w14:textFill>
                  <w14:solidFill>
                    <w14:schemeClr w14:val="tx1"/>
                  </w14:solidFill>
                </w14:textFill>
              </w:rPr>
              <w:t>kg/t-原料</w:t>
            </w:r>
            <w:r>
              <w:rPr>
                <w:rFonts w:hint="eastAsia" w:ascii="Times New Roman" w:hAnsi="Times New Roman" w:eastAsia="宋体" w:cs="Times New Roman"/>
                <w:color w:val="000000" w:themeColor="text1"/>
                <w:sz w:val="24"/>
                <w:szCs w:val="24"/>
                <w:lang w:bidi="ar"/>
                <w14:textFill>
                  <w14:solidFill>
                    <w14:schemeClr w14:val="tx1"/>
                  </w14:solidFill>
                </w14:textFill>
              </w:rPr>
              <w:t>。</w:t>
            </w:r>
          </w:p>
          <w:p w14:paraId="731857ED">
            <w:pPr>
              <w:spacing w:line="360" w:lineRule="auto"/>
              <w:ind w:firstLine="480" w:firstLineChars="200"/>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bidi="ar"/>
                <w14:textFill>
                  <w14:solidFill>
                    <w14:schemeClr w14:val="tx1"/>
                  </w14:solidFill>
                </w14:textFill>
              </w:rPr>
              <w:t>根据企业提供资料，项目通过</w:t>
            </w:r>
            <w:r>
              <w:rPr>
                <w:rFonts w:hint="eastAsia" w:cs="Times New Roman"/>
                <w:color w:val="000000" w:themeColor="text1"/>
                <w:sz w:val="24"/>
                <w:szCs w:val="24"/>
                <w:lang w:val="en-US" w:eastAsia="zh-CN" w:bidi="ar"/>
                <w14:textFill>
                  <w14:solidFill>
                    <w14:schemeClr w14:val="tx1"/>
                  </w14:solidFill>
                </w14:textFill>
              </w:rPr>
              <w:t>激光</w:t>
            </w:r>
            <w:r>
              <w:rPr>
                <w:rFonts w:hint="eastAsia" w:ascii="Times New Roman" w:hAnsi="Times New Roman" w:eastAsia="宋体" w:cs="Times New Roman"/>
                <w:color w:val="000000" w:themeColor="text1"/>
                <w:sz w:val="24"/>
                <w:szCs w:val="24"/>
                <w:lang w:bidi="ar"/>
                <w14:textFill>
                  <w14:solidFill>
                    <w14:schemeClr w14:val="tx1"/>
                  </w14:solidFill>
                </w14:textFill>
              </w:rPr>
              <w:t>切割年使用工件量约为</w:t>
            </w:r>
            <w:r>
              <w:rPr>
                <w:rFonts w:hint="eastAsia" w:cs="Times New Roman"/>
                <w:color w:val="000000" w:themeColor="text1"/>
                <w:sz w:val="24"/>
                <w:szCs w:val="24"/>
                <w:lang w:val="en-US" w:eastAsia="zh-CN" w:bidi="ar"/>
                <w14:textFill>
                  <w14:solidFill>
                    <w14:schemeClr w14:val="tx1"/>
                  </w14:solidFill>
                </w14:textFill>
              </w:rPr>
              <w:t>1440</w:t>
            </w:r>
            <w:r>
              <w:rPr>
                <w:rFonts w:ascii="Times New Roman" w:hAnsi="Times New Roman" w:eastAsia="宋体" w:cs="Times New Roman"/>
                <w:color w:val="000000" w:themeColor="text1"/>
                <w:sz w:val="24"/>
                <w:szCs w:val="24"/>
                <w:lang w:bidi="ar"/>
                <w14:textFill>
                  <w14:solidFill>
                    <w14:schemeClr w14:val="tx1"/>
                  </w14:solidFill>
                </w14:textFill>
              </w:rPr>
              <w:t>t/a</w:t>
            </w:r>
            <w:r>
              <w:rPr>
                <w:rFonts w:hint="eastAsia" w:ascii="Times New Roman" w:hAnsi="Times New Roman" w:cs="Times New Roman"/>
                <w:color w:val="000000" w:themeColor="text1"/>
                <w:sz w:val="24"/>
                <w:szCs w:val="24"/>
                <w:lang w:eastAsia="zh-CN" w:bidi="ar"/>
                <w14:textFill>
                  <w14:solidFill>
                    <w14:schemeClr w14:val="tx1"/>
                  </w14:solidFill>
                </w14:textFill>
              </w:rPr>
              <w:t>，</w:t>
            </w:r>
            <w:r>
              <w:rPr>
                <w:rFonts w:ascii="Times New Roman" w:hAnsi="Times New Roman" w:eastAsia="宋体" w:cs="Times New Roman"/>
                <w:color w:val="000000" w:themeColor="text1"/>
                <w:sz w:val="24"/>
                <w:szCs w:val="24"/>
                <w:lang w:bidi="ar"/>
                <w14:textFill>
                  <w14:solidFill>
                    <w14:schemeClr w14:val="tx1"/>
                  </w14:solidFill>
                </w14:textFill>
              </w:rPr>
              <w:t>据此计算，则粉尘产生</w:t>
            </w:r>
            <w:r>
              <w:rPr>
                <w:rFonts w:hint="eastAsia" w:ascii="Times New Roman" w:hAnsi="Times New Roman" w:eastAsia="宋体" w:cs="Times New Roman"/>
                <w:color w:val="000000" w:themeColor="text1"/>
                <w:sz w:val="24"/>
                <w:szCs w:val="24"/>
                <w:lang w:bidi="ar"/>
                <w14:textFill>
                  <w14:solidFill>
                    <w14:schemeClr w14:val="tx1"/>
                  </w14:solidFill>
                </w14:textFill>
              </w:rPr>
              <w:t>总</w:t>
            </w:r>
            <w:r>
              <w:rPr>
                <w:rFonts w:ascii="Times New Roman" w:hAnsi="Times New Roman" w:eastAsia="宋体" w:cs="Times New Roman"/>
                <w:color w:val="000000" w:themeColor="text1"/>
                <w:sz w:val="24"/>
                <w:szCs w:val="24"/>
                <w:lang w:bidi="ar"/>
                <w14:textFill>
                  <w14:solidFill>
                    <w14:schemeClr w14:val="tx1"/>
                  </w14:solidFill>
                </w14:textFill>
              </w:rPr>
              <w:t>量为</w:t>
            </w:r>
            <w:r>
              <w:rPr>
                <w:rFonts w:hint="eastAsia" w:cs="Times New Roman"/>
                <w:color w:val="000000" w:themeColor="text1"/>
                <w:sz w:val="24"/>
                <w:szCs w:val="24"/>
                <w:lang w:val="en-US" w:eastAsia="zh-CN" w:bidi="ar"/>
                <w14:textFill>
                  <w14:solidFill>
                    <w14:schemeClr w14:val="tx1"/>
                  </w14:solidFill>
                </w14:textFill>
              </w:rPr>
              <w:t>1.584</w:t>
            </w:r>
            <w:r>
              <w:rPr>
                <w:rFonts w:ascii="Times New Roman" w:hAnsi="Times New Roman" w:eastAsia="宋体" w:cs="Times New Roman"/>
                <w:color w:val="000000" w:themeColor="text1"/>
                <w:sz w:val="24"/>
                <w:szCs w:val="24"/>
                <w:lang w:bidi="ar"/>
                <w14:textFill>
                  <w14:solidFill>
                    <w14:schemeClr w14:val="tx1"/>
                  </w14:solidFill>
                </w14:textFill>
              </w:rPr>
              <w:t>t/a。</w:t>
            </w:r>
            <w:r>
              <w:rPr>
                <w:rFonts w:hint="eastAsia" w:ascii="Times New Roman" w:hAnsi="Times New Roman" w:eastAsia="宋体" w:cs="Times New Roman"/>
                <w:color w:val="000000" w:themeColor="text1"/>
                <w:sz w:val="24"/>
                <w:szCs w:val="24"/>
                <w:lang w:bidi="ar"/>
                <w14:textFill>
                  <w14:solidFill>
                    <w14:schemeClr w14:val="tx1"/>
                  </w14:solidFill>
                </w14:textFill>
              </w:rPr>
              <w:t>项目集气罩收集效率为9</w:t>
            </w:r>
            <w:r>
              <w:rPr>
                <w:rFonts w:hint="eastAsia" w:eastAsia="宋体" w:cs="Times New Roman"/>
                <w:color w:val="000000" w:themeColor="text1"/>
                <w:sz w:val="24"/>
                <w:szCs w:val="24"/>
                <w:lang w:val="en-US" w:eastAsia="zh-CN" w:bidi="ar"/>
                <w14:textFill>
                  <w14:solidFill>
                    <w14:schemeClr w14:val="tx1"/>
                  </w14:solidFill>
                </w14:textFill>
              </w:rPr>
              <w:t>5</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hint="eastAsia" w:cs="Times New Roman"/>
                <w:color w:val="000000" w:themeColor="text1"/>
                <w:sz w:val="24"/>
                <w:szCs w:val="24"/>
                <w:lang w:eastAsia="zh-CN" w:bidi="ar"/>
                <w14:textFill>
                  <w14:solidFill>
                    <w14:schemeClr w14:val="tx1"/>
                  </w14:solidFill>
                </w14:textFill>
              </w:rPr>
              <w:t>袋式除尘器</w:t>
            </w:r>
            <w:r>
              <w:rPr>
                <w:rFonts w:hint="eastAsia" w:ascii="Times New Roman" w:hAnsi="Times New Roman" w:eastAsia="宋体" w:cs="Times New Roman"/>
                <w:color w:val="000000" w:themeColor="text1"/>
                <w:sz w:val="24"/>
                <w:szCs w:val="24"/>
                <w:lang w:bidi="ar"/>
                <w14:textFill>
                  <w14:solidFill>
                    <w14:schemeClr w14:val="tx1"/>
                  </w14:solidFill>
                </w14:textFill>
              </w:rPr>
              <w:t>处理效率约为</w:t>
            </w:r>
            <w:r>
              <w:rPr>
                <w:rFonts w:ascii="Times New Roman" w:hAnsi="Times New Roman" w:eastAsia="宋体" w:cs="Times New Roman"/>
                <w:color w:val="000000" w:themeColor="text1"/>
                <w:sz w:val="24"/>
                <w:szCs w:val="24"/>
                <w:lang w:bidi="ar"/>
                <w14:textFill>
                  <w14:solidFill>
                    <w14:schemeClr w14:val="tx1"/>
                  </w14:solidFill>
                </w14:textFill>
              </w:rPr>
              <w:t>9</w:t>
            </w:r>
            <w:r>
              <w:rPr>
                <w:rFonts w:hint="eastAsia" w:eastAsia="宋体" w:cs="Times New Roman"/>
                <w:color w:val="000000" w:themeColor="text1"/>
                <w:sz w:val="24"/>
                <w:szCs w:val="24"/>
                <w:lang w:val="en-US" w:eastAsia="zh-CN" w:bidi="ar"/>
                <w14:textFill>
                  <w14:solidFill>
                    <w14:schemeClr w14:val="tx1"/>
                  </w14:solidFill>
                </w14:textFill>
              </w:rPr>
              <w:t>5</w:t>
            </w:r>
            <w:r>
              <w:rPr>
                <w:rFonts w:hint="eastAsia" w:ascii="Times New Roman" w:hAnsi="Times New Roman" w:eastAsia="宋体" w:cs="Times New Roman"/>
                <w:color w:val="000000" w:themeColor="text1"/>
                <w:sz w:val="24"/>
                <w:szCs w:val="24"/>
                <w:lang w:bidi="ar"/>
                <w14:textFill>
                  <w14:solidFill>
                    <w14:schemeClr w14:val="tx1"/>
                  </w14:solidFill>
                </w14:textFill>
              </w:rPr>
              <w:t>%，</w:t>
            </w:r>
            <w:r>
              <w:rPr>
                <w:rFonts w:hint="eastAsia" w:cs="Times New Roman"/>
                <w:color w:val="000000" w:themeColor="text1"/>
                <w:sz w:val="24"/>
                <w:szCs w:val="24"/>
                <w:lang w:val="en-US" w:eastAsia="zh-CN" w:bidi="ar"/>
                <w14:textFill>
                  <w14:solidFill>
                    <w14:schemeClr w14:val="tx1"/>
                  </w14:solidFill>
                </w14:textFill>
              </w:rPr>
              <w:t>下料工序</w:t>
            </w:r>
            <w:r>
              <w:rPr>
                <w:rFonts w:hint="eastAsia" w:ascii="Times New Roman" w:hAnsi="Times New Roman" w:eastAsia="宋体" w:cs="Times New Roman"/>
                <w:color w:val="000000" w:themeColor="text1"/>
                <w:sz w:val="24"/>
                <w:szCs w:val="24"/>
                <w:lang w:bidi="ar"/>
                <w14:textFill>
                  <w14:solidFill>
                    <w14:schemeClr w14:val="tx1"/>
                  </w14:solidFill>
                </w14:textFill>
              </w:rPr>
              <w:t>年工作时间</w:t>
            </w:r>
            <w:r>
              <w:rPr>
                <w:rFonts w:hint="eastAsia" w:cs="Times New Roman"/>
                <w:color w:val="000000" w:themeColor="text1"/>
                <w:sz w:val="24"/>
                <w:szCs w:val="24"/>
                <w:lang w:val="en-US" w:eastAsia="zh-CN" w:bidi="ar"/>
                <w14:textFill>
                  <w14:solidFill>
                    <w14:schemeClr w14:val="tx1"/>
                  </w14:solidFill>
                </w14:textFill>
              </w:rPr>
              <w:t>2400</w:t>
            </w:r>
            <w:r>
              <w:rPr>
                <w:rFonts w:hint="eastAsia" w:ascii="Times New Roman" w:hAnsi="Times New Roman" w:eastAsia="宋体" w:cs="Times New Roman"/>
                <w:color w:val="000000" w:themeColor="text1"/>
                <w:sz w:val="24"/>
                <w:szCs w:val="24"/>
                <w:lang w:bidi="ar"/>
                <w14:textFill>
                  <w14:solidFill>
                    <w14:schemeClr w14:val="tx1"/>
                  </w14:solidFill>
                </w14:textFill>
              </w:rPr>
              <w:t>h，则</w:t>
            </w: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DA001排气筒</w:t>
            </w:r>
            <w:r>
              <w:rPr>
                <w:rFonts w:hint="eastAsia" w:ascii="Times New Roman" w:hAnsi="Times New Roman" w:eastAsia="宋体" w:cs="Times New Roman"/>
                <w:b/>
                <w:bCs/>
                <w:color w:val="000000" w:themeColor="text1"/>
                <w:sz w:val="24"/>
                <w:szCs w:val="24"/>
                <w:lang w:bidi="ar"/>
                <w14:textFill>
                  <w14:solidFill>
                    <w14:schemeClr w14:val="tx1"/>
                  </w14:solidFill>
                </w14:textFill>
              </w:rPr>
              <w:t>有组织</w:t>
            </w:r>
            <w:r>
              <w:rPr>
                <w:rFonts w:hint="eastAsia" w:eastAsia="宋体" w:cs="Times New Roman"/>
                <w:b/>
                <w:bCs/>
                <w:color w:val="000000" w:themeColor="text1"/>
                <w:sz w:val="24"/>
                <w:szCs w:val="24"/>
                <w:lang w:val="en-US" w:eastAsia="zh-CN" w:bidi="ar"/>
                <w14:textFill>
                  <w14:solidFill>
                    <w14:schemeClr w14:val="tx1"/>
                  </w14:solidFill>
                </w14:textFill>
              </w:rPr>
              <w:t>颗粒物</w:t>
            </w:r>
            <w:r>
              <w:rPr>
                <w:rFonts w:hint="eastAsia" w:ascii="Times New Roman" w:hAnsi="Times New Roman" w:eastAsia="宋体" w:cs="Times New Roman"/>
                <w:b/>
                <w:bCs/>
                <w:color w:val="000000" w:themeColor="text1"/>
                <w:sz w:val="24"/>
                <w:szCs w:val="24"/>
                <w:lang w:bidi="ar"/>
                <w14:textFill>
                  <w14:solidFill>
                    <w14:schemeClr w14:val="tx1"/>
                  </w14:solidFill>
                </w14:textFill>
              </w:rPr>
              <w:t>排放量为0.</w:t>
            </w:r>
            <w:r>
              <w:rPr>
                <w:rFonts w:hint="eastAsia" w:ascii="Times New Roman" w:hAnsi="Times New Roman" w:eastAsia="宋体" w:cs="Times New Roman"/>
                <w:b/>
                <w:bCs/>
                <w:color w:val="000000" w:themeColor="text1"/>
                <w:sz w:val="24"/>
                <w:szCs w:val="24"/>
                <w:lang w:val="en-US" w:eastAsia="zh-CN" w:bidi="ar"/>
                <w14:textFill>
                  <w14:solidFill>
                    <w14:schemeClr w14:val="tx1"/>
                  </w14:solidFill>
                </w14:textFill>
              </w:rPr>
              <w:t>075</w:t>
            </w:r>
            <w:r>
              <w:rPr>
                <w:rFonts w:hint="eastAsia" w:ascii="Times New Roman" w:hAnsi="Times New Roman" w:eastAsia="宋体" w:cs="Times New Roman"/>
                <w:b/>
                <w:bCs/>
                <w:color w:val="000000" w:themeColor="text1"/>
                <w:sz w:val="24"/>
                <w:szCs w:val="24"/>
                <w:lang w:bidi="ar"/>
                <w14:textFill>
                  <w14:solidFill>
                    <w14:schemeClr w14:val="tx1"/>
                  </w14:solidFill>
                </w14:textFill>
              </w:rPr>
              <w:t>t/a</w:t>
            </w:r>
            <w:r>
              <w:rPr>
                <w:rFonts w:hint="eastAsia" w:ascii="Times New Roman" w:hAnsi="Times New Roman" w:eastAsia="宋体" w:cs="Times New Roman"/>
                <w:color w:val="000000" w:themeColor="text1"/>
                <w:sz w:val="24"/>
                <w:szCs w:val="24"/>
                <w:lang w:bidi="ar"/>
                <w14:textFill>
                  <w14:solidFill>
                    <w14:schemeClr w14:val="tx1"/>
                  </w14:solidFill>
                </w14:textFill>
              </w:rPr>
              <w:t>，排放速率为</w:t>
            </w:r>
            <w:r>
              <w:rPr>
                <w:rFonts w:ascii="Times New Roman" w:hAnsi="Times New Roman" w:eastAsia="宋体" w:cs="Times New Roman"/>
                <w:color w:val="000000" w:themeColor="text1"/>
                <w:sz w:val="24"/>
                <w:szCs w:val="24"/>
                <w:lang w:bidi="ar"/>
                <w14:textFill>
                  <w14:solidFill>
                    <w14:schemeClr w14:val="tx1"/>
                  </w14:solidFill>
                </w14:textFill>
              </w:rPr>
              <w:t>0.</w:t>
            </w:r>
            <w:r>
              <w:rPr>
                <w:rFonts w:hint="eastAsia" w:ascii="Times New Roman" w:hAnsi="Times New Roman" w:eastAsia="宋体" w:cs="Times New Roman"/>
                <w:color w:val="000000" w:themeColor="text1"/>
                <w:sz w:val="24"/>
                <w:szCs w:val="24"/>
                <w:lang w:bidi="ar"/>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bidi="ar"/>
                <w14:textFill>
                  <w14:solidFill>
                    <w14:schemeClr w14:val="tx1"/>
                  </w14:solidFill>
                </w14:textFill>
              </w:rPr>
              <w:t>31</w:t>
            </w:r>
            <w:r>
              <w:rPr>
                <w:rFonts w:hint="eastAsia" w:ascii="Times New Roman" w:hAnsi="Times New Roman" w:eastAsia="宋体" w:cs="Times New Roman"/>
                <w:color w:val="000000" w:themeColor="text1"/>
                <w:sz w:val="24"/>
                <w:szCs w:val="24"/>
                <w:lang w:bidi="ar"/>
                <w14:textFill>
                  <w14:solidFill>
                    <w14:schemeClr w14:val="tx1"/>
                  </w14:solidFill>
                </w14:textFill>
              </w:rPr>
              <w:t>kg/h。</w:t>
            </w:r>
            <w:r>
              <w:rPr>
                <w:rFonts w:hint="eastAsia" w:cs="Times New Roman"/>
                <w:b w:val="0"/>
                <w:bCs w:val="0"/>
                <w:sz w:val="24"/>
                <w:lang w:val="en-US" w:eastAsia="zh-CN"/>
              </w:rPr>
              <w:t>无组织颗粒物排放量为0.079t/a，排放速率为0.033kg/h</w:t>
            </w:r>
            <w:r>
              <w:rPr>
                <w:rFonts w:hint="eastAsia" w:ascii="Times New Roman" w:hAnsi="Times New Roman" w:eastAsia="宋体" w:cs="Times New Roman"/>
                <w:color w:val="auto"/>
                <w:sz w:val="24"/>
                <w:szCs w:val="24"/>
                <w:highlight w:val="none"/>
                <w:lang w:eastAsia="zh-CN"/>
              </w:rPr>
              <w:t>。</w:t>
            </w:r>
          </w:p>
          <w:p w14:paraId="659F2595">
            <w:pPr>
              <w:pStyle w:val="1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kern w:val="2"/>
                <w:sz w:val="24"/>
                <w:szCs w:val="24"/>
                <w:lang w:val="en-US" w:eastAsia="zh-CN" w:bidi="ar-SA"/>
                <w14:textFill>
                  <w14:solidFill>
                    <w14:schemeClr w14:val="tx1"/>
                  </w14:solidFill>
                </w14:textFill>
              </w:rPr>
              <w:t>2）喷塑废气（颗粒物）</w:t>
            </w:r>
          </w:p>
          <w:p w14:paraId="5F6992F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bCs/>
                <w:color w:val="000000"/>
                <w:sz w:val="24"/>
                <w:szCs w:val="24"/>
              </w:rPr>
            </w:pPr>
            <w:r>
              <w:rPr>
                <w:bCs/>
                <w:color w:val="000000"/>
                <w:sz w:val="24"/>
                <w:szCs w:val="24"/>
              </w:rPr>
              <w:t>项目喷塑</w:t>
            </w:r>
            <w:r>
              <w:rPr>
                <w:rFonts w:hint="eastAsia"/>
                <w:bCs/>
                <w:color w:val="000000"/>
                <w:sz w:val="24"/>
                <w:szCs w:val="24"/>
              </w:rPr>
              <w:t>工序</w:t>
            </w:r>
            <w:r>
              <w:rPr>
                <w:bCs/>
                <w:color w:val="000000"/>
                <w:sz w:val="24"/>
                <w:szCs w:val="24"/>
              </w:rPr>
              <w:t>会产生粉尘，经收集后通过</w:t>
            </w:r>
            <w:r>
              <w:rPr>
                <w:rFonts w:hint="eastAsia"/>
                <w:bCs/>
                <w:color w:val="000000"/>
                <w:sz w:val="24"/>
                <w:szCs w:val="24"/>
              </w:rPr>
              <w:t>设备</w:t>
            </w:r>
            <w:r>
              <w:rPr>
                <w:rFonts w:hint="eastAsia"/>
                <w:bCs/>
                <w:color w:val="000000"/>
                <w:sz w:val="24"/>
                <w:szCs w:val="24"/>
                <w:lang w:val="en-US" w:eastAsia="zh-CN"/>
              </w:rPr>
              <w:t>二级</w:t>
            </w:r>
            <w:r>
              <w:rPr>
                <w:rFonts w:hint="eastAsia"/>
                <w:bCs/>
                <w:color w:val="000000"/>
                <w:sz w:val="24"/>
                <w:szCs w:val="24"/>
              </w:rPr>
              <w:t>滤芯</w:t>
            </w:r>
            <w:r>
              <w:rPr>
                <w:rFonts w:hint="eastAsia"/>
                <w:bCs/>
                <w:color w:val="000000"/>
                <w:sz w:val="24"/>
                <w:szCs w:val="24"/>
                <w:lang w:val="en-US" w:eastAsia="zh-CN"/>
              </w:rPr>
              <w:t>+</w:t>
            </w:r>
            <w:r>
              <w:rPr>
                <w:rFonts w:hint="eastAsia"/>
                <w:bCs/>
                <w:color w:val="000000"/>
                <w:sz w:val="24"/>
                <w:szCs w:val="24"/>
              </w:rPr>
              <w:t>自带旋风</w:t>
            </w:r>
            <w:r>
              <w:rPr>
                <w:bCs/>
                <w:color w:val="000000"/>
                <w:sz w:val="24"/>
                <w:szCs w:val="24"/>
              </w:rPr>
              <w:t>处理后</w:t>
            </w:r>
            <w:r>
              <w:rPr>
                <w:rFonts w:hint="eastAsia" w:ascii="Times New Roman" w:hAnsi="Times New Roman" w:eastAsia="宋体" w:cs="Times New Roman"/>
                <w:caps w:val="0"/>
                <w:color w:val="auto"/>
                <w:kern w:val="0"/>
                <w:sz w:val="24"/>
                <w:szCs w:val="24"/>
                <w:lang w:val="en-US" w:eastAsia="zh-CN"/>
              </w:rPr>
              <w:t>通过</w:t>
            </w:r>
            <w:r>
              <w:rPr>
                <w:rFonts w:hint="eastAsia" w:ascii="Times New Roman" w:hAnsi="Times New Roman" w:eastAsia="宋体" w:cs="Times New Roman"/>
                <w:caps w:val="0"/>
                <w:color w:val="auto"/>
                <w:kern w:val="0"/>
                <w:sz w:val="24"/>
                <w:szCs w:val="24"/>
                <w:lang w:eastAsia="zh-CN"/>
              </w:rPr>
              <w:t>排气筒（</w:t>
            </w:r>
            <w:r>
              <w:rPr>
                <w:rFonts w:hint="eastAsia" w:ascii="Times New Roman" w:hAnsi="Times New Roman" w:eastAsia="宋体" w:cs="Times New Roman"/>
                <w:caps w:val="0"/>
                <w:color w:val="auto"/>
                <w:kern w:val="0"/>
                <w:sz w:val="24"/>
                <w:szCs w:val="24"/>
                <w:lang w:val="en-US" w:eastAsia="zh-CN"/>
              </w:rPr>
              <w:t>DA00</w:t>
            </w:r>
            <w:r>
              <w:rPr>
                <w:rFonts w:hint="eastAsia" w:ascii="Times New Roman" w:hAnsi="Times New Roman" w:cs="Times New Roman"/>
                <w:caps w:val="0"/>
                <w:color w:val="auto"/>
                <w:kern w:val="0"/>
                <w:sz w:val="24"/>
                <w:szCs w:val="24"/>
                <w:lang w:val="en-US" w:eastAsia="zh-CN"/>
              </w:rPr>
              <w:t>2</w:t>
            </w:r>
            <w:r>
              <w:rPr>
                <w:rFonts w:hint="eastAsia" w:ascii="Times New Roman" w:hAnsi="Times New Roman" w:eastAsia="宋体" w:cs="Times New Roman"/>
                <w:caps w:val="0"/>
                <w:color w:val="auto"/>
                <w:kern w:val="0"/>
                <w:sz w:val="24"/>
                <w:szCs w:val="24"/>
                <w:lang w:eastAsia="zh-CN"/>
              </w:rPr>
              <w:t>）排放</w:t>
            </w:r>
            <w:r>
              <w:rPr>
                <w:bCs/>
                <w:color w:val="000000"/>
                <w:sz w:val="24"/>
                <w:szCs w:val="24"/>
              </w:rPr>
              <w:t>。粉尘产生系数</w:t>
            </w:r>
            <w:r>
              <w:rPr>
                <w:rFonts w:hint="eastAsia"/>
                <w:bCs/>
                <w:color w:val="000000"/>
                <w:sz w:val="24"/>
                <w:szCs w:val="24"/>
                <w:lang w:val="en-US" w:eastAsia="zh-CN"/>
              </w:rPr>
              <w:t>根据</w:t>
            </w:r>
            <w:r>
              <w:rPr>
                <w:color w:val="000000"/>
                <w:sz w:val="24"/>
                <w:szCs w:val="24"/>
                <w:lang w:val="zh-CN"/>
              </w:rPr>
              <w:t>《</w:t>
            </w:r>
            <w:r>
              <w:rPr>
                <w:rFonts w:hint="eastAsia"/>
                <w:color w:val="000000"/>
                <w:sz w:val="24"/>
                <w:szCs w:val="24"/>
                <w:lang w:val="zh-CN"/>
              </w:rPr>
              <w:t>排放源统计调查产排污核算方法和系数手册</w:t>
            </w:r>
            <w:r>
              <w:rPr>
                <w:color w:val="000000"/>
                <w:sz w:val="24"/>
                <w:szCs w:val="24"/>
                <w:lang w:val="zh-CN"/>
              </w:rPr>
              <w:t>》</w:t>
            </w:r>
            <w:r>
              <w:rPr>
                <w:color w:val="000000"/>
                <w:sz w:val="24"/>
                <w:szCs w:val="24"/>
              </w:rPr>
              <w:t>中</w:t>
            </w:r>
            <w:r>
              <w:rPr>
                <w:rFonts w:hint="eastAsia"/>
                <w:color w:val="000000"/>
                <w:sz w:val="24"/>
                <w:szCs w:val="24"/>
              </w:rPr>
              <w:t>“</w:t>
            </w:r>
            <w:r>
              <w:rPr>
                <w:rFonts w:hint="eastAsia"/>
                <w:sz w:val="24"/>
                <w:szCs w:val="24"/>
              </w:rPr>
              <w:t>3</w:t>
            </w:r>
            <w:r>
              <w:rPr>
                <w:sz w:val="24"/>
                <w:szCs w:val="24"/>
              </w:rPr>
              <w:t>3</w:t>
            </w:r>
            <w:r>
              <w:rPr>
                <w:rFonts w:hint="eastAsia"/>
                <w:sz w:val="24"/>
                <w:szCs w:val="24"/>
              </w:rPr>
              <w:t>-</w:t>
            </w:r>
            <w:r>
              <w:rPr>
                <w:sz w:val="24"/>
                <w:szCs w:val="24"/>
              </w:rPr>
              <w:t>37</w:t>
            </w:r>
            <w:r>
              <w:rPr>
                <w:rFonts w:hint="eastAsia"/>
                <w:sz w:val="24"/>
                <w:szCs w:val="24"/>
              </w:rPr>
              <w:t>机械行业系数手册</w:t>
            </w:r>
            <w:r>
              <w:rPr>
                <w:rFonts w:hint="eastAsia"/>
                <w:color w:val="000000"/>
                <w:sz w:val="24"/>
                <w:szCs w:val="24"/>
              </w:rPr>
              <w:t>”</w:t>
            </w:r>
            <w:r>
              <w:rPr>
                <w:color w:val="000000"/>
                <w:sz w:val="24"/>
                <w:szCs w:val="24"/>
              </w:rPr>
              <w:t>表中</w:t>
            </w:r>
            <w:r>
              <w:rPr>
                <w:rFonts w:hint="eastAsia"/>
                <w:color w:val="000000"/>
                <w:sz w:val="24"/>
                <w:szCs w:val="24"/>
              </w:rPr>
              <w:t>“</w:t>
            </w:r>
            <w:r>
              <w:rPr>
                <w:color w:val="000000"/>
                <w:sz w:val="24"/>
                <w:szCs w:val="24"/>
              </w:rPr>
              <w:t>14涂装核算环节</w:t>
            </w:r>
            <w:r>
              <w:rPr>
                <w:rFonts w:hint="eastAsia"/>
                <w:color w:val="000000"/>
                <w:sz w:val="24"/>
                <w:szCs w:val="24"/>
              </w:rPr>
              <w:t>”“</w:t>
            </w:r>
            <w:r>
              <w:rPr>
                <w:color w:val="000000"/>
                <w:sz w:val="24"/>
                <w:szCs w:val="24"/>
              </w:rPr>
              <w:t>粉末涂料 喷塑</w:t>
            </w:r>
            <w:r>
              <w:rPr>
                <w:rFonts w:hint="eastAsia"/>
                <w:color w:val="000000"/>
                <w:sz w:val="24"/>
                <w:szCs w:val="24"/>
              </w:rPr>
              <w:t>”</w:t>
            </w:r>
            <w:r>
              <w:rPr>
                <w:color w:val="000000"/>
                <w:sz w:val="24"/>
                <w:szCs w:val="24"/>
              </w:rPr>
              <w:t>工艺产污系数为</w:t>
            </w:r>
            <w:r>
              <w:rPr>
                <w:bCs/>
                <w:color w:val="000000"/>
                <w:sz w:val="24"/>
                <w:szCs w:val="24"/>
              </w:rPr>
              <w:t>300kg/t-原料。</w:t>
            </w:r>
          </w:p>
          <w:p w14:paraId="2531742D">
            <w:pPr>
              <w:keepNext w:val="0"/>
              <w:keepLines w:val="0"/>
              <w:pageBreakBefore w:val="0"/>
              <w:widowControl w:val="0"/>
              <w:kinsoku/>
              <w:wordWrap/>
              <w:overflowPunct/>
              <w:topLinePunct w:val="0"/>
              <w:autoSpaceDE/>
              <w:autoSpaceDN/>
              <w:bidi w:val="0"/>
              <w:adjustRightInd/>
              <w:snapToGrid/>
              <w:spacing w:line="360" w:lineRule="auto"/>
              <w:ind w:left="0" w:firstLine="482"/>
              <w:textAlignment w:val="baseline"/>
              <w:rPr>
                <w:rFonts w:hint="default" w:ascii="Times New Roman" w:hAnsi="Times New Roman" w:cs="Times New Roman"/>
                <w:color w:val="000000" w:themeColor="text1"/>
                <w:kern w:val="24"/>
                <w:sz w:val="24"/>
                <w:lang w:val="en-US" w:eastAsia="zh-CN"/>
                <w14:textFill>
                  <w14:solidFill>
                    <w14:schemeClr w14:val="tx1"/>
                  </w14:solidFill>
                </w14:textFill>
              </w:rPr>
            </w:pPr>
            <w:r>
              <w:rPr>
                <w:bCs/>
                <w:color w:val="000000"/>
                <w:sz w:val="24"/>
                <w:szCs w:val="24"/>
              </w:rPr>
              <w:t>项目年使用塑粉量为</w:t>
            </w:r>
            <w:r>
              <w:rPr>
                <w:rFonts w:hint="eastAsia"/>
                <w:bCs/>
                <w:color w:val="000000"/>
                <w:sz w:val="24"/>
                <w:szCs w:val="24"/>
                <w:lang w:val="en-US" w:eastAsia="zh-CN"/>
              </w:rPr>
              <w:t>80</w:t>
            </w:r>
            <w:r>
              <w:rPr>
                <w:bCs/>
                <w:color w:val="000000"/>
                <w:sz w:val="24"/>
                <w:szCs w:val="24"/>
              </w:rPr>
              <w:t>t，则粉尘产生量为</w:t>
            </w:r>
            <w:r>
              <w:rPr>
                <w:rFonts w:hint="eastAsia"/>
                <w:bCs/>
                <w:color w:val="000000"/>
                <w:sz w:val="24"/>
                <w:szCs w:val="24"/>
                <w:lang w:val="en-US" w:eastAsia="zh-CN"/>
              </w:rPr>
              <w:t>24</w:t>
            </w:r>
            <w:r>
              <w:rPr>
                <w:bCs/>
                <w:color w:val="000000"/>
                <w:sz w:val="24"/>
                <w:szCs w:val="24"/>
              </w:rPr>
              <w:t>t/a。</w:t>
            </w:r>
            <w:r>
              <w:rPr>
                <w:rFonts w:ascii="宋体" w:hAnsi="宋体" w:cs="宋体"/>
                <w:color w:val="000000"/>
                <w:sz w:val="24"/>
                <w:szCs w:val="24"/>
              </w:rPr>
              <w:t>粉末喷涂过程是在喷粉房（又称防尘室）内进行的，通过风机产生负压，将喷粉室内未吸附在工件表面的粉体吸入自动回收系统，经过滤芯过滤后送回供粉系统循环使用。</w:t>
            </w:r>
            <w:r>
              <w:rPr>
                <w:rFonts w:hint="default" w:ascii="Times New Roman" w:hAnsi="Times New Roman" w:eastAsia="宋体" w:cs="Times New Roman"/>
                <w:bCs/>
                <w:color w:val="000000"/>
                <w:sz w:val="24"/>
                <w:szCs w:val="24"/>
              </w:rPr>
              <w:t>粉尘</w:t>
            </w:r>
            <w:r>
              <w:rPr>
                <w:rFonts w:hint="default" w:ascii="Times New Roman" w:hAnsi="Times New Roman" w:eastAsia="宋体" w:cs="Times New Roman"/>
                <w:bCs/>
                <w:color w:val="000000"/>
                <w:sz w:val="24"/>
                <w:szCs w:val="24"/>
                <w:lang w:val="en-US" w:eastAsia="zh-CN"/>
              </w:rPr>
              <w:t>采取密闭喷仓</w:t>
            </w:r>
            <w:r>
              <w:rPr>
                <w:rFonts w:hint="default" w:ascii="Times New Roman" w:hAnsi="Times New Roman" w:eastAsia="宋体" w:cs="Times New Roman"/>
                <w:bCs/>
                <w:color w:val="000000"/>
                <w:sz w:val="24"/>
                <w:szCs w:val="24"/>
              </w:rPr>
              <w:t>收集</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收集</w:t>
            </w:r>
            <w:r>
              <w:rPr>
                <w:rFonts w:hint="default" w:ascii="Times New Roman" w:hAnsi="Times New Roman" w:eastAsia="宋体" w:cs="Times New Roman"/>
                <w:bCs/>
                <w:color w:val="000000"/>
                <w:sz w:val="24"/>
                <w:szCs w:val="24"/>
              </w:rPr>
              <w:t>效率为</w:t>
            </w:r>
            <w:r>
              <w:rPr>
                <w:rFonts w:hint="eastAsia" w:ascii="Times New Roman" w:hAnsi="Times New Roman" w:eastAsia="宋体" w:cs="Times New Roman"/>
                <w:bCs/>
                <w:color w:val="000000"/>
                <w:sz w:val="24"/>
                <w:szCs w:val="24"/>
                <w:lang w:val="en-US" w:eastAsia="zh-CN"/>
              </w:rPr>
              <w:t>9</w:t>
            </w:r>
            <w:r>
              <w:rPr>
                <w:rFonts w:hint="eastAsia" w:cs="Times New Roman"/>
                <w:bCs/>
                <w:color w:val="000000"/>
                <w:sz w:val="24"/>
                <w:szCs w:val="24"/>
                <w:lang w:val="en-US" w:eastAsia="zh-CN"/>
              </w:rPr>
              <w:t>5</w:t>
            </w:r>
            <w:r>
              <w:rPr>
                <w:rFonts w:hint="default" w:ascii="Times New Roman" w:hAnsi="Times New Roman" w:eastAsia="宋体" w:cs="Times New Roman"/>
                <w:bCs/>
                <w:color w:val="000000"/>
                <w:sz w:val="24"/>
                <w:szCs w:val="24"/>
              </w:rPr>
              <w:t>%</w:t>
            </w:r>
            <w:r>
              <w:rPr>
                <w:bCs/>
                <w:color w:val="000000"/>
                <w:sz w:val="24"/>
                <w:szCs w:val="24"/>
              </w:rPr>
              <w:t>，</w:t>
            </w:r>
            <w:r>
              <w:rPr>
                <w:rFonts w:hint="eastAsia"/>
                <w:bCs/>
                <w:color w:val="000000"/>
                <w:sz w:val="24"/>
                <w:szCs w:val="24"/>
              </w:rPr>
              <w:t>经喷粉设备</w:t>
            </w:r>
            <w:r>
              <w:rPr>
                <w:rFonts w:hint="eastAsia"/>
                <w:bCs/>
                <w:color w:val="000000"/>
                <w:sz w:val="24"/>
                <w:szCs w:val="24"/>
                <w:lang w:val="en-US" w:eastAsia="zh-CN"/>
              </w:rPr>
              <w:t>二级</w:t>
            </w:r>
            <w:r>
              <w:rPr>
                <w:rFonts w:hint="eastAsia"/>
                <w:bCs/>
                <w:color w:val="000000"/>
                <w:sz w:val="24"/>
                <w:szCs w:val="24"/>
              </w:rPr>
              <w:t>滤芯</w:t>
            </w:r>
            <w:r>
              <w:rPr>
                <w:rFonts w:hint="eastAsia"/>
                <w:bCs/>
                <w:color w:val="000000"/>
                <w:sz w:val="24"/>
                <w:szCs w:val="24"/>
                <w:lang w:val="en-US" w:eastAsia="zh-CN"/>
              </w:rPr>
              <w:t>+</w:t>
            </w:r>
            <w:r>
              <w:rPr>
                <w:rFonts w:hint="eastAsia"/>
                <w:bCs/>
                <w:color w:val="000000"/>
                <w:sz w:val="24"/>
                <w:szCs w:val="24"/>
              </w:rPr>
              <w:t>自带旋风处理，处理效率约为9</w:t>
            </w:r>
            <w:r>
              <w:rPr>
                <w:rFonts w:hint="eastAsia"/>
                <w:bCs/>
                <w:color w:val="000000"/>
                <w:sz w:val="24"/>
                <w:szCs w:val="24"/>
                <w:lang w:val="en-US" w:eastAsia="zh-CN"/>
              </w:rPr>
              <w:t>8</w:t>
            </w:r>
            <w:r>
              <w:rPr>
                <w:rFonts w:hint="eastAsia"/>
                <w:bCs/>
                <w:color w:val="000000"/>
                <w:sz w:val="24"/>
                <w:szCs w:val="24"/>
              </w:rPr>
              <w:t>%</w:t>
            </w:r>
            <w:r>
              <w:rPr>
                <w:rFonts w:hint="eastAsia"/>
                <w:bCs/>
                <w:color w:val="000000"/>
                <w:sz w:val="24"/>
                <w:szCs w:val="24"/>
                <w:lang w:eastAsia="zh-CN"/>
              </w:rPr>
              <w:t>，</w:t>
            </w:r>
            <w:r>
              <w:rPr>
                <w:rFonts w:hint="eastAsia"/>
                <w:bCs/>
                <w:color w:val="000000"/>
                <w:sz w:val="24"/>
                <w:szCs w:val="24"/>
                <w:lang w:val="en-US" w:eastAsia="zh-CN"/>
              </w:rPr>
              <w:t>喷塑</w:t>
            </w:r>
            <w:r>
              <w:rPr>
                <w:rFonts w:hint="default" w:ascii="Times New Roman" w:hAnsi="Times New Roman" w:eastAsia="宋体" w:cs="Times New Roman"/>
                <w:bCs/>
                <w:sz w:val="24"/>
                <w:szCs w:val="24"/>
                <w:lang w:val="en-US" w:eastAsia="zh-CN"/>
              </w:rPr>
              <w:t>工序年</w:t>
            </w:r>
            <w:r>
              <w:rPr>
                <w:rFonts w:hint="default" w:ascii="Times New Roman" w:hAnsi="Times New Roman" w:eastAsia="宋体" w:cs="Times New Roman"/>
                <w:bCs/>
                <w:sz w:val="24"/>
                <w:szCs w:val="24"/>
              </w:rPr>
              <w:t>工作时间</w:t>
            </w:r>
            <w:r>
              <w:rPr>
                <w:rFonts w:hint="eastAsia" w:ascii="Times New Roman" w:hAnsi="Times New Roman" w:eastAsia="宋体" w:cs="Times New Roman"/>
                <w:bCs/>
                <w:sz w:val="24"/>
                <w:szCs w:val="24"/>
                <w:lang w:val="en-US" w:eastAsia="zh-CN"/>
              </w:rPr>
              <w:t>240</w:t>
            </w:r>
            <w:r>
              <w:rPr>
                <w:rFonts w:hint="default" w:ascii="Times New Roman" w:hAnsi="Times New Roman" w:eastAsia="宋体" w:cs="Times New Roman"/>
                <w:bCs/>
                <w:sz w:val="24"/>
                <w:szCs w:val="24"/>
                <w:lang w:val="en-US" w:eastAsia="zh-CN"/>
              </w:rPr>
              <w:t>0h</w:t>
            </w:r>
            <w:r>
              <w:rPr>
                <w:rFonts w:hint="eastAsia"/>
                <w:sz w:val="24"/>
                <w:szCs w:val="24"/>
                <w:lang w:eastAsia="zh-CN"/>
              </w:rPr>
              <w:t>，</w:t>
            </w:r>
            <w:r>
              <w:rPr>
                <w:bCs/>
                <w:color w:val="000000"/>
                <w:sz w:val="24"/>
                <w:szCs w:val="24"/>
              </w:rPr>
              <w:t>则经处理后</w:t>
            </w:r>
            <w:r>
              <w:rPr>
                <w:rFonts w:hint="eastAsia" w:ascii="Times New Roman" w:hAnsi="Times New Roman" w:cs="Times New Roman"/>
                <w:b/>
                <w:bCs w:val="0"/>
                <w:color w:val="auto"/>
                <w:sz w:val="24"/>
                <w:szCs w:val="24"/>
              </w:rPr>
              <w:t>有组织</w:t>
            </w:r>
            <w:r>
              <w:rPr>
                <w:rFonts w:hint="eastAsia" w:cs="Times New Roman"/>
                <w:b/>
                <w:bCs w:val="0"/>
                <w:color w:val="auto"/>
                <w:sz w:val="24"/>
                <w:szCs w:val="24"/>
                <w:lang w:val="en-US" w:eastAsia="zh-CN"/>
              </w:rPr>
              <w:t>颗粒物</w:t>
            </w:r>
            <w:r>
              <w:rPr>
                <w:b/>
                <w:color w:val="000000"/>
                <w:sz w:val="24"/>
                <w:szCs w:val="24"/>
              </w:rPr>
              <w:t>排放量为</w:t>
            </w:r>
            <w:r>
              <w:rPr>
                <w:rFonts w:hint="eastAsia"/>
                <w:b/>
                <w:color w:val="000000"/>
                <w:sz w:val="24"/>
                <w:szCs w:val="24"/>
                <w:lang w:val="en-US" w:eastAsia="zh-CN"/>
              </w:rPr>
              <w:t>0.456</w:t>
            </w:r>
            <w:r>
              <w:rPr>
                <w:b/>
                <w:color w:val="000000"/>
                <w:sz w:val="24"/>
                <w:szCs w:val="24"/>
              </w:rPr>
              <w:t>t/a</w:t>
            </w:r>
            <w:r>
              <w:rPr>
                <w:rFonts w:hint="eastAsia"/>
                <w:bCs/>
                <w:color w:val="000000"/>
                <w:sz w:val="24"/>
                <w:szCs w:val="24"/>
              </w:rPr>
              <w:t>，排放速率为</w:t>
            </w:r>
            <w:r>
              <w:rPr>
                <w:bCs/>
                <w:color w:val="000000"/>
                <w:sz w:val="24"/>
                <w:szCs w:val="24"/>
              </w:rPr>
              <w:t>0.</w:t>
            </w:r>
            <w:r>
              <w:rPr>
                <w:rFonts w:hint="eastAsia"/>
                <w:bCs/>
                <w:color w:val="000000"/>
                <w:sz w:val="24"/>
                <w:szCs w:val="24"/>
                <w:lang w:val="en-US" w:eastAsia="zh-CN"/>
              </w:rPr>
              <w:t>190</w:t>
            </w:r>
            <w:r>
              <w:rPr>
                <w:rFonts w:hint="eastAsia"/>
                <w:bCs/>
                <w:color w:val="000000"/>
                <w:sz w:val="24"/>
                <w:szCs w:val="24"/>
              </w:rPr>
              <w:t>kg/h</w:t>
            </w:r>
            <w:r>
              <w:rPr>
                <w:rFonts w:hint="eastAsia" w:cs="Times New Roman"/>
                <w:b w:val="0"/>
                <w:bCs w:val="0"/>
                <w:sz w:val="24"/>
                <w:szCs w:val="24"/>
                <w:lang w:val="en-US" w:eastAsia="zh-CN"/>
              </w:rPr>
              <w:t>。</w:t>
            </w:r>
            <w:r>
              <w:rPr>
                <w:rFonts w:hint="eastAsia" w:cs="Times New Roman"/>
                <w:b w:val="0"/>
                <w:bCs w:val="0"/>
                <w:sz w:val="24"/>
                <w:lang w:val="en-US" w:eastAsia="zh-CN"/>
              </w:rPr>
              <w:t>无组织颗粒物排放量为1.2t/a，排放速率为0.5kg/h</w:t>
            </w:r>
            <w:r>
              <w:rPr>
                <w:rFonts w:hint="eastAsia" w:ascii="Times New Roman" w:hAnsi="Times New Roman" w:eastAsia="宋体" w:cs="Times New Roman"/>
                <w:color w:val="auto"/>
                <w:sz w:val="24"/>
                <w:szCs w:val="24"/>
                <w:highlight w:val="none"/>
                <w:lang w:eastAsia="zh-CN"/>
              </w:rPr>
              <w:t>。</w:t>
            </w:r>
          </w:p>
          <w:p w14:paraId="6A688328">
            <w:pPr>
              <w:pStyle w:val="75"/>
              <w:spacing w:line="360" w:lineRule="auto"/>
              <w:ind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3）固化废气（非甲烷总烃）</w:t>
            </w:r>
          </w:p>
          <w:p w14:paraId="0504F8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sz w:val="24"/>
                <w:szCs w:val="24"/>
              </w:rPr>
            </w:pPr>
            <w:r>
              <w:rPr>
                <w:color w:val="000000"/>
                <w:sz w:val="24"/>
                <w:szCs w:val="24"/>
              </w:rPr>
              <w:t>喷</w:t>
            </w:r>
            <w:r>
              <w:rPr>
                <w:rFonts w:hint="eastAsia"/>
                <w:color w:val="000000"/>
                <w:sz w:val="24"/>
                <w:szCs w:val="24"/>
              </w:rPr>
              <w:t>塑</w:t>
            </w:r>
            <w:r>
              <w:rPr>
                <w:color w:val="000000"/>
                <w:sz w:val="24"/>
                <w:szCs w:val="24"/>
              </w:rPr>
              <w:t>后需对工件表面塑粉进行固化，</w:t>
            </w:r>
            <w:r>
              <w:rPr>
                <w:rFonts w:hint="eastAsia"/>
                <w:color w:val="auto"/>
                <w:sz w:val="24"/>
                <w:szCs w:val="24"/>
                <w:lang w:val="en-US" w:eastAsia="zh-CN"/>
              </w:rPr>
              <w:t>项目使用</w:t>
            </w:r>
            <w:r>
              <w:rPr>
                <w:rFonts w:hint="eastAsia"/>
                <w:color w:val="auto"/>
                <w:sz w:val="24"/>
                <w:szCs w:val="24"/>
              </w:rPr>
              <w:t>燃气热风炉提供热源</w:t>
            </w:r>
            <w:r>
              <w:rPr>
                <w:rFonts w:hint="eastAsia"/>
                <w:color w:val="auto"/>
                <w:sz w:val="24"/>
                <w:szCs w:val="24"/>
                <w:lang w:eastAsia="zh-CN"/>
              </w:rPr>
              <w:t>，</w:t>
            </w:r>
            <w:r>
              <w:rPr>
                <w:color w:val="000000"/>
                <w:sz w:val="24"/>
                <w:szCs w:val="24"/>
              </w:rPr>
              <w:t>加热固化温度为180~200℃，年固化时间为</w:t>
            </w:r>
            <w:r>
              <w:rPr>
                <w:rFonts w:hint="eastAsia"/>
                <w:color w:val="000000"/>
                <w:sz w:val="24"/>
                <w:szCs w:val="24"/>
                <w:lang w:val="en-US" w:eastAsia="zh-CN"/>
              </w:rPr>
              <w:t>2400</w:t>
            </w:r>
            <w:r>
              <w:rPr>
                <w:color w:val="000000"/>
                <w:sz w:val="24"/>
                <w:szCs w:val="24"/>
              </w:rPr>
              <w:t>h。树脂粉末中有少量未聚合单体在解热过程中散逸，将会有固化废气产生，以非甲烷总烃计，废气经集气罩后</w:t>
            </w:r>
            <w:r>
              <w:rPr>
                <w:rFonts w:hint="eastAsia"/>
                <w:color w:val="000000"/>
                <w:sz w:val="24"/>
                <w:szCs w:val="24"/>
                <w:lang w:val="en-US" w:eastAsia="zh-CN"/>
              </w:rPr>
              <w:t>通过二级活性炭吸附装置处理后</w:t>
            </w:r>
            <w:r>
              <w:rPr>
                <w:rFonts w:hint="eastAsia" w:ascii="Times New Roman" w:hAnsi="Times New Roman" w:eastAsia="宋体" w:cs="Times New Roman"/>
                <w:caps w:val="0"/>
                <w:color w:val="auto"/>
                <w:kern w:val="0"/>
                <w:sz w:val="24"/>
                <w:szCs w:val="24"/>
                <w:lang w:val="en-US" w:eastAsia="zh-CN"/>
              </w:rPr>
              <w:t>通过</w:t>
            </w:r>
            <w:r>
              <w:rPr>
                <w:rFonts w:hint="eastAsia" w:ascii="Times New Roman" w:hAnsi="Times New Roman" w:eastAsia="宋体" w:cs="Times New Roman"/>
                <w:caps w:val="0"/>
                <w:color w:val="auto"/>
                <w:kern w:val="0"/>
                <w:sz w:val="24"/>
                <w:szCs w:val="24"/>
                <w:lang w:eastAsia="zh-CN"/>
              </w:rPr>
              <w:t>排气筒（</w:t>
            </w:r>
            <w:r>
              <w:rPr>
                <w:rFonts w:hint="eastAsia" w:ascii="Times New Roman" w:hAnsi="Times New Roman" w:eastAsia="宋体" w:cs="Times New Roman"/>
                <w:caps w:val="0"/>
                <w:color w:val="auto"/>
                <w:kern w:val="0"/>
                <w:sz w:val="24"/>
                <w:szCs w:val="24"/>
                <w:lang w:val="en-US" w:eastAsia="zh-CN"/>
              </w:rPr>
              <w:t>DA00</w:t>
            </w:r>
            <w:r>
              <w:rPr>
                <w:rFonts w:hint="eastAsia" w:ascii="Times New Roman" w:hAnsi="Times New Roman" w:cs="Times New Roman"/>
                <w:caps w:val="0"/>
                <w:color w:val="auto"/>
                <w:kern w:val="0"/>
                <w:sz w:val="24"/>
                <w:szCs w:val="24"/>
                <w:lang w:val="en-US" w:eastAsia="zh-CN"/>
              </w:rPr>
              <w:t>3</w:t>
            </w:r>
            <w:r>
              <w:rPr>
                <w:rFonts w:hint="eastAsia" w:ascii="Times New Roman" w:hAnsi="Times New Roman" w:eastAsia="宋体" w:cs="Times New Roman"/>
                <w:caps w:val="0"/>
                <w:color w:val="auto"/>
                <w:kern w:val="0"/>
                <w:sz w:val="24"/>
                <w:szCs w:val="24"/>
                <w:lang w:eastAsia="zh-CN"/>
              </w:rPr>
              <w:t>）排放</w:t>
            </w:r>
            <w:r>
              <w:rPr>
                <w:color w:val="000000"/>
                <w:sz w:val="24"/>
                <w:szCs w:val="24"/>
              </w:rPr>
              <w:t>。</w:t>
            </w:r>
          </w:p>
          <w:p w14:paraId="171F790E">
            <w:pPr>
              <w:keepNext w:val="0"/>
              <w:keepLines w:val="0"/>
              <w:pageBreakBefore w:val="0"/>
              <w:widowControl w:val="0"/>
              <w:kinsoku/>
              <w:wordWrap/>
              <w:overflowPunct/>
              <w:topLinePunct w:val="0"/>
              <w:autoSpaceDE/>
              <w:autoSpaceDN/>
              <w:bidi w:val="0"/>
              <w:adjustRightInd/>
              <w:snapToGrid/>
              <w:spacing w:line="360" w:lineRule="auto"/>
              <w:ind w:left="0" w:firstLine="482"/>
              <w:textAlignment w:val="baseline"/>
              <w:rPr>
                <w:rFonts w:hint="default" w:ascii="Times New Roman" w:hAnsi="Times New Roman" w:cs="Times New Roman"/>
                <w:color w:val="000000" w:themeColor="text1"/>
                <w:kern w:val="24"/>
                <w:sz w:val="24"/>
                <w:lang w:val="en-US" w:eastAsia="zh-CN"/>
                <w14:textFill>
                  <w14:solidFill>
                    <w14:schemeClr w14:val="tx1"/>
                  </w14:solidFill>
                </w14:textFill>
              </w:rPr>
            </w:pPr>
            <w:r>
              <w:rPr>
                <w:color w:val="000000"/>
                <w:sz w:val="24"/>
                <w:szCs w:val="24"/>
              </w:rPr>
              <w:t>根据《喷塑行业污染物源强估算及治理方法探讨》（中国环境管理干部学院学报，第26卷第6期），固化工序产生的非甲烷总烃约占塑粉量的3‰~6‰，本次项目取6‰，本项目塑粉使用量为</w:t>
            </w:r>
            <w:r>
              <w:rPr>
                <w:rFonts w:hint="eastAsia"/>
                <w:color w:val="000000"/>
                <w:sz w:val="24"/>
                <w:szCs w:val="24"/>
                <w:lang w:val="en-US" w:eastAsia="zh-CN"/>
              </w:rPr>
              <w:t>80</w:t>
            </w:r>
            <w:r>
              <w:rPr>
                <w:color w:val="000000"/>
                <w:sz w:val="24"/>
                <w:szCs w:val="24"/>
              </w:rPr>
              <w:t>t，则项目固化过程中非甲烷总烃产生量约</w:t>
            </w:r>
            <w:r>
              <w:rPr>
                <w:rFonts w:hint="eastAsia"/>
                <w:color w:val="000000"/>
                <w:sz w:val="24"/>
                <w:szCs w:val="24"/>
              </w:rPr>
              <w:t>0.</w:t>
            </w:r>
            <w:r>
              <w:rPr>
                <w:rFonts w:hint="eastAsia"/>
                <w:color w:val="000000"/>
                <w:sz w:val="24"/>
                <w:szCs w:val="24"/>
                <w:lang w:val="en-US" w:eastAsia="zh-CN"/>
              </w:rPr>
              <w:t>48</w:t>
            </w:r>
            <w:r>
              <w:rPr>
                <w:color w:val="000000"/>
                <w:sz w:val="24"/>
                <w:szCs w:val="24"/>
              </w:rPr>
              <w:t>t/a。</w:t>
            </w:r>
            <w:r>
              <w:rPr>
                <w:bCs/>
                <w:color w:val="000000"/>
                <w:sz w:val="24"/>
                <w:szCs w:val="24"/>
              </w:rPr>
              <w:t>集气罩收集效率约为90%，</w:t>
            </w:r>
            <w:r>
              <w:rPr>
                <w:color w:val="000000"/>
                <w:sz w:val="24"/>
                <w:szCs w:val="24"/>
              </w:rPr>
              <w:t>二级活性炭</w:t>
            </w:r>
            <w:r>
              <w:rPr>
                <w:bCs/>
                <w:color w:val="000000"/>
                <w:sz w:val="24"/>
                <w:szCs w:val="24"/>
              </w:rPr>
              <w:t>吸附效率约为90%</w:t>
            </w:r>
            <w:r>
              <w:rPr>
                <w:rFonts w:hint="eastAsia"/>
                <w:sz w:val="24"/>
                <w:szCs w:val="24"/>
                <w:lang w:eastAsia="zh-CN"/>
              </w:rPr>
              <w:t>，</w:t>
            </w:r>
            <w:r>
              <w:rPr>
                <w:rFonts w:hint="eastAsia"/>
                <w:sz w:val="24"/>
                <w:szCs w:val="24"/>
                <w:lang w:val="en-US" w:eastAsia="zh-CN"/>
              </w:rPr>
              <w:t>年工作2400h，则</w:t>
            </w:r>
            <w:r>
              <w:rPr>
                <w:b/>
                <w:bCs w:val="0"/>
                <w:color w:val="000000"/>
                <w:sz w:val="24"/>
                <w:szCs w:val="24"/>
              </w:rPr>
              <w:t>有组织</w:t>
            </w:r>
            <w:r>
              <w:rPr>
                <w:rFonts w:hint="eastAsia"/>
                <w:b/>
                <w:bCs w:val="0"/>
                <w:color w:val="000000"/>
                <w:sz w:val="24"/>
                <w:szCs w:val="24"/>
              </w:rPr>
              <w:t>非甲烷总烃</w:t>
            </w:r>
            <w:r>
              <w:rPr>
                <w:b/>
                <w:bCs w:val="0"/>
                <w:color w:val="000000"/>
                <w:sz w:val="24"/>
                <w:szCs w:val="24"/>
              </w:rPr>
              <w:t>排放量为0.0</w:t>
            </w:r>
            <w:r>
              <w:rPr>
                <w:rFonts w:hint="eastAsia"/>
                <w:b/>
                <w:bCs w:val="0"/>
                <w:color w:val="000000"/>
                <w:sz w:val="24"/>
                <w:szCs w:val="24"/>
                <w:lang w:val="en-US" w:eastAsia="zh-CN"/>
              </w:rPr>
              <w:t>43</w:t>
            </w:r>
            <w:r>
              <w:rPr>
                <w:b/>
                <w:bCs w:val="0"/>
                <w:color w:val="000000"/>
                <w:sz w:val="24"/>
                <w:szCs w:val="24"/>
              </w:rPr>
              <w:t>t/a</w:t>
            </w:r>
            <w:r>
              <w:rPr>
                <w:rFonts w:hint="eastAsia"/>
                <w:bCs/>
                <w:color w:val="000000"/>
                <w:sz w:val="24"/>
                <w:szCs w:val="24"/>
                <w:lang w:eastAsia="zh-CN"/>
              </w:rPr>
              <w:t>，</w:t>
            </w:r>
            <w:r>
              <w:rPr>
                <w:rFonts w:hint="eastAsia"/>
                <w:bCs/>
                <w:color w:val="000000"/>
                <w:sz w:val="24"/>
                <w:szCs w:val="24"/>
              </w:rPr>
              <w:t>排放速率为</w:t>
            </w:r>
            <w:r>
              <w:rPr>
                <w:bCs/>
                <w:color w:val="000000"/>
                <w:sz w:val="24"/>
                <w:szCs w:val="24"/>
              </w:rPr>
              <w:t>0.</w:t>
            </w:r>
            <w:r>
              <w:rPr>
                <w:rFonts w:hint="eastAsia"/>
                <w:bCs/>
                <w:color w:val="000000"/>
                <w:sz w:val="24"/>
                <w:szCs w:val="24"/>
              </w:rPr>
              <w:t>0</w:t>
            </w:r>
            <w:r>
              <w:rPr>
                <w:rFonts w:hint="eastAsia"/>
                <w:bCs/>
                <w:color w:val="000000"/>
                <w:sz w:val="24"/>
                <w:szCs w:val="24"/>
                <w:lang w:val="en-US" w:eastAsia="zh-CN"/>
              </w:rPr>
              <w:t>18</w:t>
            </w:r>
            <w:r>
              <w:rPr>
                <w:rFonts w:hint="eastAsia"/>
                <w:bCs/>
                <w:color w:val="000000"/>
                <w:sz w:val="24"/>
                <w:szCs w:val="24"/>
              </w:rPr>
              <w:t>kg/h</w:t>
            </w:r>
            <w:r>
              <w:rPr>
                <w:rFonts w:hint="eastAsia" w:cs="Times New Roman"/>
                <w:b w:val="0"/>
                <w:bCs w:val="0"/>
                <w:sz w:val="24"/>
                <w:szCs w:val="24"/>
                <w:lang w:val="en-US" w:eastAsia="zh-CN"/>
              </w:rPr>
              <w:t>。</w:t>
            </w:r>
            <w:r>
              <w:rPr>
                <w:rFonts w:hint="eastAsia" w:cs="Times New Roman"/>
                <w:b w:val="0"/>
                <w:bCs w:val="0"/>
                <w:sz w:val="24"/>
                <w:lang w:val="en-US" w:eastAsia="zh-CN"/>
              </w:rPr>
              <w:t>无组织非甲烷总烃排放量为0.048t/a，排放速率为0.020kg/h</w:t>
            </w:r>
            <w:r>
              <w:rPr>
                <w:rFonts w:hint="eastAsia" w:ascii="Times New Roman" w:hAnsi="Times New Roman" w:eastAsia="宋体" w:cs="Times New Roman"/>
                <w:color w:val="auto"/>
                <w:sz w:val="24"/>
                <w:szCs w:val="24"/>
                <w:highlight w:val="none"/>
                <w:lang w:eastAsia="zh-CN"/>
              </w:rPr>
              <w:t>。</w:t>
            </w:r>
          </w:p>
          <w:p w14:paraId="07BBC0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b/>
                <w:bCs/>
                <w:sz w:val="24"/>
                <w:szCs w:val="24"/>
                <w:lang w:eastAsia="zh-CN" w:bidi="ar"/>
              </w:rPr>
            </w:pPr>
            <w:r>
              <w:rPr>
                <w:rFonts w:hint="eastAsia" w:cs="Times New Roman"/>
                <w:snapToGrid/>
                <w:color w:val="000000" w:themeColor="text1"/>
                <w:kern w:val="2"/>
                <w:sz w:val="24"/>
                <w:szCs w:val="24"/>
                <w:lang w:val="en-US" w:eastAsia="zh-CN" w:bidi="ar-SA"/>
                <w14:textFill>
                  <w14:solidFill>
                    <w14:schemeClr w14:val="tx1"/>
                  </w14:solidFill>
                </w14:textFill>
              </w:rPr>
              <w:t>4）</w:t>
            </w:r>
            <w:r>
              <w:rPr>
                <w:rFonts w:hint="eastAsia"/>
                <w:b w:val="0"/>
                <w:bCs w:val="0"/>
                <w:sz w:val="24"/>
                <w:szCs w:val="24"/>
                <w:lang w:bidi="ar"/>
              </w:rPr>
              <w:t>天然气燃烧废气</w:t>
            </w:r>
            <w:r>
              <w:rPr>
                <w:rFonts w:hint="eastAsia"/>
                <w:b w:val="0"/>
                <w:bCs w:val="0"/>
                <w:sz w:val="24"/>
                <w:szCs w:val="24"/>
                <w:lang w:eastAsia="zh-CN" w:bidi="ar"/>
              </w:rPr>
              <w:t>（</w:t>
            </w:r>
            <w:r>
              <w:rPr>
                <w:rFonts w:hint="eastAsia"/>
                <w:b w:val="0"/>
                <w:bCs w:val="0"/>
                <w:sz w:val="24"/>
                <w:szCs w:val="24"/>
                <w:lang w:val="en-US" w:eastAsia="zh-CN" w:bidi="ar"/>
              </w:rPr>
              <w:t>颗粒物、二氧化硫、氮氧化物</w:t>
            </w:r>
            <w:r>
              <w:rPr>
                <w:rFonts w:hint="eastAsia"/>
                <w:b w:val="0"/>
                <w:bCs w:val="0"/>
                <w:sz w:val="24"/>
                <w:szCs w:val="24"/>
                <w:lang w:eastAsia="zh-CN" w:bidi="ar"/>
              </w:rPr>
              <w:t>）</w:t>
            </w:r>
          </w:p>
          <w:p w14:paraId="0889B08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项目</w:t>
            </w:r>
            <w:r>
              <w:rPr>
                <w:rFonts w:hint="eastAsia" w:cs="Times New Roman" w:eastAsiaTheme="minorEastAsia"/>
                <w:color w:val="000000" w:themeColor="text1"/>
                <w:sz w:val="24"/>
                <w:szCs w:val="24"/>
                <w:lang w:val="en-US" w:eastAsia="zh-CN"/>
                <w14:textFill>
                  <w14:solidFill>
                    <w14:schemeClr w14:val="tx1"/>
                  </w14:solidFill>
                </w14:textFill>
              </w:rPr>
              <w:t>喷淋后烘干、</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喷塑后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固化工序燃烧</w:t>
            </w:r>
            <w:r>
              <w:rPr>
                <w:rFonts w:hint="default" w:ascii="Times New Roman" w:hAnsi="Times New Roman" w:cs="Times New Roman" w:eastAsiaTheme="minorEastAsia"/>
                <w:color w:val="000000" w:themeColor="text1"/>
                <w:sz w:val="24"/>
                <w:szCs w:val="24"/>
                <w14:textFill>
                  <w14:solidFill>
                    <w14:schemeClr w14:val="tx1"/>
                  </w14:solidFill>
                </w14:textFill>
              </w:rPr>
              <w:t>天然气提供热源，</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直接加热，</w:t>
            </w:r>
            <w:r>
              <w:rPr>
                <w:rFonts w:hint="default" w:ascii="Times New Roman" w:hAnsi="Times New Roman" w:cs="Times New Roman" w:eastAsiaTheme="minorEastAsia"/>
                <w:color w:val="000000" w:themeColor="text1"/>
                <w:sz w:val="24"/>
                <w:szCs w:val="24"/>
                <w14:textFill>
                  <w14:solidFill>
                    <w14:schemeClr w14:val="tx1"/>
                  </w14:solidFill>
                </w14:textFill>
              </w:rPr>
              <w:t>天然气燃烧废气经排气筒（</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DA00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）排放。污染物</w:t>
            </w:r>
            <w:r>
              <w:rPr>
                <w:rFonts w:hint="default" w:ascii="Times New Roman" w:hAnsi="Times New Roman" w:cs="Times New Roman"/>
                <w:bCs/>
                <w:color w:val="000000" w:themeColor="text1"/>
                <w:sz w:val="24"/>
                <w:szCs w:val="24"/>
                <w14:textFill>
                  <w14:solidFill>
                    <w14:schemeClr w14:val="tx1"/>
                  </w14:solidFill>
                </w14:textFill>
              </w:rPr>
              <w:t>产生系数参考</w:t>
            </w:r>
            <w:r>
              <w:rPr>
                <w:rFonts w:hint="default" w:ascii="Times New Roman" w:hAnsi="Times New Roman" w:cs="Times New Roman"/>
                <w:color w:val="000000"/>
                <w:sz w:val="24"/>
                <w:szCs w:val="24"/>
                <w:lang w:val="zh-CN"/>
              </w:rPr>
              <w:t>《排放源统计调查产排污核算方法和系数手册》</w:t>
            </w:r>
            <w:r>
              <w:rPr>
                <w:rFonts w:hint="default"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颗粒物产污系数为</w:t>
            </w:r>
            <w:r>
              <w:rPr>
                <w:rFonts w:hint="default" w:ascii="Times New Roman" w:hAnsi="Times New Roman" w:cs="Times New Roman"/>
                <w:bCs/>
                <w:color w:val="000000" w:themeColor="text1"/>
                <w:sz w:val="24"/>
                <w:szCs w:val="24"/>
                <w14:textFill>
                  <w14:solidFill>
                    <w14:schemeClr w14:val="tx1"/>
                  </w14:solidFill>
                </w14:textFill>
              </w:rPr>
              <w:t>0.000286kg/m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-原料，二氧化硫产污系数为0.000002Skg/m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-原料（0≤S≤100，本次取100），氮氧化物产污系数为0.00187kg/m</w:t>
            </w:r>
            <w:r>
              <w:rPr>
                <w:rFonts w:hint="default" w:ascii="Times New Roman" w:hAnsi="Times New Roman" w:cs="Times New Roman"/>
                <w:bCs/>
                <w:color w:val="000000" w:themeColor="text1"/>
                <w:sz w:val="24"/>
                <w:szCs w:val="24"/>
                <w:vertAlign w:val="superscript"/>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-原料</w:t>
            </w:r>
            <w:r>
              <w:rPr>
                <w:rFonts w:hint="default" w:ascii="Times New Roman" w:hAnsi="Times New Roman" w:cs="Times New Roman" w:eastAsiaTheme="minorEastAsia"/>
                <w:bCs/>
                <w:color w:val="000000" w:themeColor="text1"/>
                <w:sz w:val="24"/>
                <w:szCs w:val="24"/>
                <w14:textFill>
                  <w14:solidFill>
                    <w14:schemeClr w14:val="tx1"/>
                  </w14:solidFill>
                </w14:textFill>
              </w:rPr>
              <w:t>。项目安装低氮燃烧器，对</w:t>
            </w:r>
            <w:r>
              <w:rPr>
                <w:rFonts w:hint="default" w:ascii="Times New Roman" w:hAnsi="Times New Roman" w:cs="Times New Roman" w:eastAsiaTheme="minorEastAsia"/>
                <w:bCs/>
                <w:sz w:val="24"/>
                <w:szCs w:val="24"/>
              </w:rPr>
              <w:t>氮氧化物的</w:t>
            </w:r>
            <w:r>
              <w:rPr>
                <w:rFonts w:hint="default" w:ascii="Times New Roman" w:hAnsi="Times New Roman" w:cs="Times New Roman"/>
                <w:color w:val="000000" w:themeColor="text1"/>
                <w:sz w:val="24"/>
                <w:szCs w:val="24"/>
                <w:lang w:bidi="ar"/>
                <w14:textFill>
                  <w14:solidFill>
                    <w14:schemeClr w14:val="tx1"/>
                  </w14:solidFill>
                </w14:textFill>
              </w:rPr>
              <w:t>去除效率按50%计算。</w:t>
            </w:r>
          </w:p>
          <w:p w14:paraId="7B7AC57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b/>
                <w:bCs/>
                <w:color w:val="auto"/>
                <w:sz w:val="24"/>
                <w:szCs w:val="24"/>
                <w:lang w:val="en-US" w:eastAsia="zh-CN"/>
              </w:rPr>
            </w:pPr>
            <w:r>
              <w:rPr>
                <w:rFonts w:hint="eastAsia" w:eastAsiaTheme="minorEastAsia"/>
                <w:bCs/>
                <w:sz w:val="24"/>
                <w:szCs w:val="24"/>
              </w:rPr>
              <w:t>根据企业提供的资料，</w:t>
            </w:r>
            <w:r>
              <w:rPr>
                <w:rFonts w:hint="eastAsia" w:eastAsiaTheme="minorEastAsia"/>
                <w:bCs/>
                <w:sz w:val="24"/>
                <w:szCs w:val="24"/>
                <w:lang w:val="en-US" w:eastAsia="zh-CN"/>
              </w:rPr>
              <w:t>项目</w:t>
            </w:r>
            <w:r>
              <w:rPr>
                <w:rFonts w:hint="eastAsia" w:eastAsiaTheme="minorEastAsia"/>
                <w:color w:val="000000" w:themeColor="text1"/>
                <w:sz w:val="24"/>
                <w:szCs w:val="24"/>
                <w:lang w:val="en-US" w:eastAsia="zh-CN"/>
                <w14:textFill>
                  <w14:solidFill>
                    <w14:schemeClr w14:val="tx1"/>
                  </w14:solidFill>
                </w14:textFill>
              </w:rPr>
              <w:t>使用天然气总量</w:t>
            </w:r>
            <w:r>
              <w:rPr>
                <w:rFonts w:hint="eastAsia" w:eastAsiaTheme="minorEastAsia"/>
                <w:bCs/>
                <w:sz w:val="24"/>
                <w:szCs w:val="24"/>
              </w:rPr>
              <w:t>为</w:t>
            </w:r>
            <w:r>
              <w:rPr>
                <w:rFonts w:hint="eastAsia" w:eastAsiaTheme="minorEastAsia"/>
                <w:bCs/>
                <w:sz w:val="24"/>
                <w:szCs w:val="24"/>
                <w:lang w:val="en-US" w:eastAsia="zh-CN"/>
              </w:rPr>
              <w:t>20</w:t>
            </w:r>
            <w:r>
              <w:rPr>
                <w:rFonts w:hint="eastAsia" w:eastAsiaTheme="minorEastAsia"/>
                <w:bCs/>
                <w:sz w:val="24"/>
                <w:szCs w:val="24"/>
              </w:rPr>
              <w:t>万立方米</w:t>
            </w:r>
            <w:r>
              <w:rPr>
                <w:rFonts w:hint="eastAsia" w:eastAsiaTheme="minorEastAsia"/>
                <w:bCs/>
                <w:sz w:val="24"/>
                <w:szCs w:val="24"/>
                <w:lang w:eastAsia="zh-CN"/>
              </w:rPr>
              <w:t>，</w:t>
            </w:r>
            <w:r>
              <w:rPr>
                <w:rFonts w:hint="eastAsia" w:eastAsiaTheme="minorEastAsia"/>
                <w:bCs/>
                <w:sz w:val="24"/>
                <w:szCs w:val="24"/>
              </w:rPr>
              <w:t>则</w:t>
            </w:r>
            <w:r>
              <w:rPr>
                <w:rFonts w:hint="eastAsia" w:eastAsiaTheme="minorEastAsia"/>
                <w:bCs/>
                <w:sz w:val="24"/>
                <w:szCs w:val="24"/>
                <w:lang w:val="en-US" w:eastAsia="zh-CN"/>
              </w:rPr>
              <w:t>DA003排气筒天然气燃烧</w:t>
            </w:r>
            <w:r>
              <w:rPr>
                <w:rFonts w:hint="eastAsia" w:eastAsiaTheme="minorEastAsia"/>
                <w:b/>
                <w:bCs w:val="0"/>
                <w:sz w:val="24"/>
                <w:szCs w:val="24"/>
              </w:rPr>
              <w:t>颗粒物排放量为0.</w:t>
            </w:r>
            <w:r>
              <w:rPr>
                <w:rFonts w:hint="eastAsia" w:eastAsiaTheme="minorEastAsia"/>
                <w:b/>
                <w:bCs w:val="0"/>
                <w:sz w:val="24"/>
                <w:szCs w:val="24"/>
                <w:lang w:val="en-US" w:eastAsia="zh-CN"/>
              </w:rPr>
              <w:t>057</w:t>
            </w:r>
            <w:r>
              <w:rPr>
                <w:rFonts w:hint="eastAsia" w:eastAsiaTheme="minorEastAsia"/>
                <w:b/>
                <w:bCs w:val="0"/>
                <w:sz w:val="24"/>
                <w:szCs w:val="24"/>
              </w:rPr>
              <w:t>t/a，二氧化硫排放量为0.</w:t>
            </w:r>
            <w:r>
              <w:rPr>
                <w:rFonts w:hint="eastAsia" w:eastAsiaTheme="minorEastAsia"/>
                <w:b/>
                <w:bCs w:val="0"/>
                <w:sz w:val="24"/>
                <w:szCs w:val="24"/>
                <w:lang w:val="en-US" w:eastAsia="zh-CN"/>
              </w:rPr>
              <w:t>04</w:t>
            </w:r>
            <w:r>
              <w:rPr>
                <w:rFonts w:hint="eastAsia" w:eastAsiaTheme="minorEastAsia"/>
                <w:b/>
                <w:bCs w:val="0"/>
                <w:sz w:val="24"/>
                <w:szCs w:val="24"/>
              </w:rPr>
              <w:t>t/a，氮氧化物排放量为0.</w:t>
            </w:r>
            <w:r>
              <w:rPr>
                <w:rFonts w:hint="eastAsia" w:eastAsiaTheme="minorEastAsia"/>
                <w:b/>
                <w:bCs w:val="0"/>
                <w:sz w:val="24"/>
                <w:szCs w:val="24"/>
                <w:lang w:val="en-US" w:eastAsia="zh-CN"/>
              </w:rPr>
              <w:t>187</w:t>
            </w:r>
            <w:r>
              <w:rPr>
                <w:rFonts w:hint="eastAsia" w:eastAsiaTheme="minorEastAsia"/>
                <w:b/>
                <w:bCs w:val="0"/>
                <w:sz w:val="24"/>
                <w:szCs w:val="24"/>
              </w:rPr>
              <w:t>t/a。</w:t>
            </w:r>
          </w:p>
          <w:p w14:paraId="582889ED">
            <w:pPr>
              <w:numPr>
                <w:ilvl w:val="0"/>
                <w:numId w:val="0"/>
              </w:numPr>
              <w:adjustRightInd w:val="0"/>
              <w:snapToGrid w:val="0"/>
              <w:spacing w:line="360" w:lineRule="auto"/>
              <w:ind w:firstLine="480" w:firstLineChars="200"/>
              <w:rPr>
                <w:rFonts w:hint="eastAsia" w:cs="Times New Roman"/>
                <w:snapToGrid/>
                <w:color w:val="000000" w:themeColor="text1"/>
                <w:kern w:val="2"/>
                <w:sz w:val="24"/>
                <w:szCs w:val="24"/>
                <w:lang w:val="en-US" w:eastAsia="zh-CN" w:bidi="ar-SA"/>
                <w14:textFill>
                  <w14:solidFill>
                    <w14:schemeClr w14:val="tx1"/>
                  </w14:solidFill>
                </w14:textFill>
              </w:rPr>
            </w:pPr>
            <w:r>
              <w:rPr>
                <w:rFonts w:hint="eastAsia" w:cs="Times New Roman"/>
                <w:snapToGrid/>
                <w:color w:val="000000" w:themeColor="text1"/>
                <w:kern w:val="2"/>
                <w:sz w:val="24"/>
                <w:szCs w:val="24"/>
                <w:lang w:val="en-US" w:eastAsia="zh-CN" w:bidi="ar-SA"/>
                <w14:textFill>
                  <w14:solidFill>
                    <w14:schemeClr w14:val="tx1"/>
                  </w14:solidFill>
                </w14:textFill>
              </w:rPr>
              <w:t>5）注塑废气（</w:t>
            </w:r>
            <w:r>
              <w:rPr>
                <w:rFonts w:hint="eastAsia" w:cs="Times New Roman"/>
                <w:color w:val="000000" w:themeColor="text1"/>
                <w:sz w:val="24"/>
                <w:szCs w:val="24"/>
                <w:lang w:val="en-US" w:eastAsia="zh-CN"/>
                <w14:textFill>
                  <w14:solidFill>
                    <w14:schemeClr w14:val="tx1"/>
                  </w14:solidFill>
                </w14:textFill>
              </w:rPr>
              <w:t>非甲烷总烃</w:t>
            </w:r>
            <w:r>
              <w:rPr>
                <w:rFonts w:hint="eastAsia" w:cs="Times New Roman"/>
                <w:snapToGrid/>
                <w:color w:val="000000" w:themeColor="text1"/>
                <w:kern w:val="2"/>
                <w:sz w:val="24"/>
                <w:szCs w:val="24"/>
                <w:lang w:val="en-US" w:eastAsia="zh-CN" w:bidi="ar-SA"/>
                <w14:textFill>
                  <w14:solidFill>
                    <w14:schemeClr w14:val="tx1"/>
                  </w14:solidFill>
                </w14:textFill>
              </w:rPr>
              <w:t>）</w:t>
            </w:r>
          </w:p>
          <w:p w14:paraId="0833F825">
            <w:pPr>
              <w:numPr>
                <w:ilvl w:val="0"/>
                <w:numId w:val="0"/>
              </w:numPr>
              <w:adjustRightInd w:val="0"/>
              <w:snapToGrid w:val="0"/>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项目注塑工序中</w:t>
            </w:r>
            <w:r>
              <w:rPr>
                <w:rFonts w:ascii="Times New Roman" w:hAnsi="Times New Roman" w:eastAsia="宋体" w:cs="Times New Roman"/>
                <w:color w:val="000000"/>
                <w:sz w:val="24"/>
              </w:rPr>
              <w:t>将会有废气产生，以非甲烷总烃计</w:t>
            </w:r>
            <w:r>
              <w:rPr>
                <w:rFonts w:hint="eastAsia" w:ascii="Times New Roman" w:hAnsi="Times New Roman" w:eastAsia="宋体" w:cs="Times New Roman"/>
                <w:color w:val="000000"/>
                <w:sz w:val="24"/>
              </w:rPr>
              <w:t>。</w:t>
            </w:r>
            <w:r>
              <w:rPr>
                <w:color w:val="000000"/>
                <w:sz w:val="24"/>
                <w:szCs w:val="24"/>
              </w:rPr>
              <w:t>废气经集气罩后</w:t>
            </w:r>
            <w:r>
              <w:rPr>
                <w:rFonts w:hint="eastAsia"/>
                <w:color w:val="000000"/>
                <w:sz w:val="24"/>
                <w:szCs w:val="24"/>
                <w:lang w:val="en-US" w:eastAsia="zh-CN"/>
              </w:rPr>
              <w:t>通过二级活性炭吸附装置处理后</w:t>
            </w:r>
            <w:r>
              <w:rPr>
                <w:rFonts w:hint="eastAsia" w:ascii="Times New Roman" w:hAnsi="Times New Roman" w:eastAsia="宋体" w:cs="Times New Roman"/>
                <w:caps w:val="0"/>
                <w:color w:val="auto"/>
                <w:kern w:val="0"/>
                <w:sz w:val="24"/>
                <w:szCs w:val="24"/>
                <w:lang w:val="en-US" w:eastAsia="zh-CN"/>
              </w:rPr>
              <w:t>通过</w:t>
            </w:r>
            <w:r>
              <w:rPr>
                <w:rFonts w:hint="eastAsia" w:ascii="Times New Roman" w:hAnsi="Times New Roman" w:eastAsia="宋体" w:cs="Times New Roman"/>
                <w:caps w:val="0"/>
                <w:color w:val="auto"/>
                <w:kern w:val="0"/>
                <w:sz w:val="24"/>
                <w:szCs w:val="24"/>
                <w:lang w:eastAsia="zh-CN"/>
              </w:rPr>
              <w:t>排气筒（</w:t>
            </w:r>
            <w:r>
              <w:rPr>
                <w:rFonts w:hint="eastAsia" w:ascii="Times New Roman" w:hAnsi="Times New Roman" w:eastAsia="宋体" w:cs="Times New Roman"/>
                <w:caps w:val="0"/>
                <w:color w:val="auto"/>
                <w:kern w:val="0"/>
                <w:sz w:val="24"/>
                <w:szCs w:val="24"/>
                <w:lang w:val="en-US" w:eastAsia="zh-CN"/>
              </w:rPr>
              <w:t>DA004</w:t>
            </w:r>
            <w:r>
              <w:rPr>
                <w:rFonts w:hint="eastAsia" w:ascii="Times New Roman" w:hAnsi="Times New Roman" w:eastAsia="宋体" w:cs="Times New Roman"/>
                <w:caps w:val="0"/>
                <w:color w:val="auto"/>
                <w:kern w:val="0"/>
                <w:sz w:val="24"/>
                <w:szCs w:val="24"/>
                <w:lang w:eastAsia="zh-CN"/>
              </w:rPr>
              <w:t>）排放</w:t>
            </w:r>
            <w:r>
              <w:rPr>
                <w:color w:val="000000"/>
                <w:sz w:val="24"/>
                <w:szCs w:val="24"/>
              </w:rPr>
              <w:t>。</w:t>
            </w:r>
            <w:r>
              <w:rPr>
                <w:rFonts w:hint="eastAsia" w:ascii="Times New Roman" w:hAnsi="Times New Roman" w:eastAsia="宋体" w:cs="Times New Roman"/>
                <w:color w:val="000000"/>
                <w:sz w:val="24"/>
              </w:rPr>
              <w:t>根据《排放源统计调查产排污核算方法和系数手册》 中“292 塑料制品行业系数手册”</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注塑过程产污系数为2.70kg/t-产品。</w:t>
            </w:r>
          </w:p>
          <w:p w14:paraId="4966ADFB">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480" w:firstLineChars="200"/>
              <w:textAlignment w:val="auto"/>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Cs/>
                <w:sz w:val="24"/>
              </w:rPr>
              <w:t>根据企业提供资料，</w:t>
            </w:r>
            <w:r>
              <w:rPr>
                <w:rFonts w:hint="eastAsia" w:ascii="Times New Roman" w:hAnsi="Times New Roman" w:eastAsia="宋体" w:cs="Times New Roman"/>
                <w:color w:val="000000"/>
                <w:sz w:val="24"/>
              </w:rPr>
              <w:t>本项目塑料件配件产品总量约为</w:t>
            </w:r>
            <w:r>
              <w:rPr>
                <w:rFonts w:hint="eastAsia" w:ascii="Times New Roman" w:hAnsi="Times New Roman" w:eastAsia="宋体" w:cs="Times New Roman"/>
                <w:color w:val="000000"/>
                <w:sz w:val="24"/>
                <w:lang w:val="en-US" w:eastAsia="zh-CN"/>
              </w:rPr>
              <w:t>300</w:t>
            </w:r>
            <w:r>
              <w:rPr>
                <w:rFonts w:hint="eastAsia" w:ascii="Times New Roman" w:hAnsi="Times New Roman" w:eastAsia="宋体" w:cs="Times New Roman"/>
                <w:sz w:val="24"/>
              </w:rPr>
              <w:t>t/a，经计算得</w:t>
            </w:r>
            <w:r>
              <w:rPr>
                <w:rFonts w:ascii="Times New Roman" w:hAnsi="Times New Roman" w:eastAsia="宋体" w:cs="Times New Roman"/>
                <w:color w:val="000000"/>
                <w:sz w:val="24"/>
              </w:rPr>
              <w:t>非甲烷总烃产生量</w:t>
            </w:r>
            <w:r>
              <w:rPr>
                <w:rFonts w:hint="eastAsia" w:ascii="Times New Roman" w:hAnsi="Times New Roman" w:eastAsia="宋体" w:cs="Times New Roman"/>
                <w:color w:val="000000"/>
                <w:sz w:val="24"/>
              </w:rPr>
              <w:t>为0.</w:t>
            </w:r>
            <w:r>
              <w:rPr>
                <w:rFonts w:hint="eastAsia" w:ascii="Times New Roman" w:hAnsi="Times New Roman" w:eastAsia="宋体" w:cs="Times New Roman"/>
                <w:color w:val="000000"/>
                <w:sz w:val="24"/>
                <w:lang w:val="en-US" w:eastAsia="zh-CN"/>
              </w:rPr>
              <w:t>810</w:t>
            </w:r>
            <w:r>
              <w:rPr>
                <w:rFonts w:ascii="Times New Roman" w:hAnsi="Times New Roman" w:eastAsia="宋体" w:cs="Times New Roman"/>
                <w:color w:val="000000"/>
                <w:sz w:val="24"/>
              </w:rPr>
              <w:t>t/a。</w:t>
            </w:r>
            <w:r>
              <w:rPr>
                <w:rFonts w:hint="eastAsia" w:ascii="Times New Roman" w:hAnsi="Times New Roman" w:eastAsia="宋体" w:cs="Times New Roman"/>
                <w:color w:val="000000"/>
                <w:sz w:val="24"/>
                <w:lang w:val="en-US" w:eastAsia="zh-CN"/>
              </w:rPr>
              <w:t>项目</w:t>
            </w:r>
            <w:r>
              <w:rPr>
                <w:bCs/>
                <w:color w:val="000000"/>
                <w:sz w:val="24"/>
                <w:szCs w:val="24"/>
              </w:rPr>
              <w:t>集气罩收集效率约为90%，</w:t>
            </w:r>
            <w:r>
              <w:rPr>
                <w:color w:val="000000"/>
                <w:sz w:val="24"/>
                <w:szCs w:val="24"/>
              </w:rPr>
              <w:t>二级活性炭</w:t>
            </w:r>
            <w:r>
              <w:rPr>
                <w:bCs/>
                <w:color w:val="000000"/>
                <w:sz w:val="24"/>
                <w:szCs w:val="24"/>
              </w:rPr>
              <w:t>吸附效率约为90%</w:t>
            </w:r>
            <w:r>
              <w:rPr>
                <w:rFonts w:hint="eastAsia"/>
                <w:sz w:val="24"/>
                <w:szCs w:val="24"/>
                <w:lang w:eastAsia="zh-CN"/>
              </w:rPr>
              <w:t>，</w:t>
            </w:r>
            <w:r>
              <w:rPr>
                <w:rFonts w:hint="eastAsia"/>
                <w:sz w:val="24"/>
                <w:szCs w:val="24"/>
                <w:lang w:val="en-US" w:eastAsia="zh-CN"/>
              </w:rPr>
              <w:t>年工作2400h，则</w:t>
            </w:r>
            <w:r>
              <w:rPr>
                <w:b/>
                <w:bCs w:val="0"/>
                <w:color w:val="000000"/>
                <w:sz w:val="24"/>
                <w:szCs w:val="24"/>
              </w:rPr>
              <w:t>有组织</w:t>
            </w:r>
            <w:r>
              <w:rPr>
                <w:rFonts w:hint="eastAsia"/>
                <w:b/>
                <w:bCs w:val="0"/>
                <w:color w:val="000000"/>
                <w:sz w:val="24"/>
                <w:szCs w:val="24"/>
              </w:rPr>
              <w:t>非甲烷总烃</w:t>
            </w:r>
            <w:r>
              <w:rPr>
                <w:b/>
                <w:bCs w:val="0"/>
                <w:color w:val="000000"/>
                <w:sz w:val="24"/>
                <w:szCs w:val="24"/>
              </w:rPr>
              <w:t>排放量为0.0</w:t>
            </w:r>
            <w:r>
              <w:rPr>
                <w:rFonts w:hint="eastAsia"/>
                <w:b/>
                <w:bCs w:val="0"/>
                <w:color w:val="000000"/>
                <w:sz w:val="24"/>
                <w:szCs w:val="24"/>
                <w:lang w:val="en-US" w:eastAsia="zh-CN"/>
              </w:rPr>
              <w:t>73</w:t>
            </w:r>
            <w:r>
              <w:rPr>
                <w:b/>
                <w:bCs w:val="0"/>
                <w:color w:val="000000"/>
                <w:sz w:val="24"/>
                <w:szCs w:val="24"/>
              </w:rPr>
              <w:t>t/a</w:t>
            </w:r>
            <w:r>
              <w:rPr>
                <w:rFonts w:hint="eastAsia"/>
                <w:bCs/>
                <w:color w:val="000000"/>
                <w:sz w:val="24"/>
                <w:szCs w:val="24"/>
                <w:lang w:eastAsia="zh-CN"/>
              </w:rPr>
              <w:t>，</w:t>
            </w:r>
            <w:r>
              <w:rPr>
                <w:rFonts w:hint="eastAsia"/>
                <w:bCs/>
                <w:color w:val="000000"/>
                <w:sz w:val="24"/>
                <w:szCs w:val="24"/>
              </w:rPr>
              <w:t>排放速率为</w:t>
            </w:r>
            <w:r>
              <w:rPr>
                <w:bCs/>
                <w:color w:val="000000"/>
                <w:sz w:val="24"/>
                <w:szCs w:val="24"/>
              </w:rPr>
              <w:t>0.</w:t>
            </w:r>
            <w:r>
              <w:rPr>
                <w:rFonts w:hint="eastAsia"/>
                <w:bCs/>
                <w:color w:val="000000"/>
                <w:sz w:val="24"/>
                <w:szCs w:val="24"/>
              </w:rPr>
              <w:t>0</w:t>
            </w:r>
            <w:r>
              <w:rPr>
                <w:rFonts w:hint="eastAsia"/>
                <w:bCs/>
                <w:color w:val="000000"/>
                <w:sz w:val="24"/>
                <w:szCs w:val="24"/>
                <w:lang w:val="en-US" w:eastAsia="zh-CN"/>
              </w:rPr>
              <w:t>30</w:t>
            </w:r>
            <w:r>
              <w:rPr>
                <w:rFonts w:hint="eastAsia"/>
                <w:bCs/>
                <w:color w:val="000000"/>
                <w:sz w:val="24"/>
                <w:szCs w:val="24"/>
              </w:rPr>
              <w:t>kg/h</w:t>
            </w:r>
            <w:r>
              <w:rPr>
                <w:rFonts w:hint="eastAsia" w:cs="Times New Roman"/>
                <w:b w:val="0"/>
                <w:bCs w:val="0"/>
                <w:sz w:val="24"/>
                <w:szCs w:val="24"/>
                <w:lang w:val="en-US" w:eastAsia="zh-CN"/>
              </w:rPr>
              <w:t>。</w:t>
            </w:r>
            <w:r>
              <w:rPr>
                <w:rFonts w:hint="eastAsia" w:cs="Times New Roman"/>
                <w:b w:val="0"/>
                <w:bCs w:val="0"/>
                <w:sz w:val="24"/>
                <w:lang w:val="en-US" w:eastAsia="zh-CN"/>
              </w:rPr>
              <w:t>无组织非甲烷总烃排放量为0.081t/a，排放速率为0.034kg/h</w:t>
            </w:r>
            <w:r>
              <w:rPr>
                <w:rFonts w:hint="eastAsia" w:ascii="Times New Roman" w:hAnsi="Times New Roman" w:eastAsia="宋体" w:cs="Times New Roman"/>
                <w:color w:val="auto"/>
                <w:sz w:val="24"/>
                <w:szCs w:val="24"/>
                <w:highlight w:val="none"/>
                <w:lang w:eastAsia="zh-CN"/>
              </w:rPr>
              <w:t>。</w:t>
            </w:r>
          </w:p>
          <w:p w14:paraId="617EF1FF">
            <w:pPr>
              <w:pStyle w:val="1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t>无组织废气</w:t>
            </w:r>
          </w:p>
          <w:p w14:paraId="5648D35D">
            <w:pPr>
              <w:pStyle w:val="1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snapToGrid/>
                <w:color w:val="000000" w:themeColor="text1"/>
                <w:kern w:val="2"/>
                <w:sz w:val="24"/>
                <w:szCs w:val="24"/>
                <w:lang w:val="en-US" w:eastAsia="zh-CN" w:bidi="ar-SA"/>
                <w14:textFill>
                  <w14:solidFill>
                    <w14:schemeClr w14:val="tx1"/>
                  </w14:solidFill>
                </w14:textFill>
              </w:rPr>
              <w:t>1）焊接废气（颗粒物）</w:t>
            </w:r>
          </w:p>
          <w:p w14:paraId="32420079">
            <w:pPr>
              <w:spacing w:line="360" w:lineRule="auto"/>
              <w:ind w:firstLine="480" w:firstLineChars="200"/>
              <w:rPr>
                <w:color w:val="000000"/>
              </w:rPr>
            </w:pPr>
            <w:r>
              <w:rPr>
                <w:rFonts w:hint="eastAsia"/>
                <w:color w:val="000000"/>
              </w:rPr>
              <w:t>项目焊接工序使用</w:t>
            </w:r>
            <w:r>
              <w:rPr>
                <w:rFonts w:hint="eastAsia"/>
                <w:color w:val="000000"/>
                <w:lang w:val="en-US" w:eastAsia="zh-CN"/>
              </w:rPr>
              <w:t>气保焊机</w:t>
            </w:r>
            <w:r>
              <w:rPr>
                <w:rFonts w:hint="eastAsia"/>
                <w:color w:val="000000"/>
              </w:rPr>
              <w:t>，焊接过程会产生少量烟尘，经移动式烟尘净化器收集处理后以无组织形式排放。</w:t>
            </w:r>
            <w:r>
              <w:rPr>
                <w:color w:val="000000"/>
              </w:rPr>
              <w:t>粉尘产生系数</w:t>
            </w:r>
            <w:r>
              <w:rPr>
                <w:rFonts w:hint="eastAsia"/>
                <w:color w:val="000000"/>
                <w:lang w:val="en-US" w:eastAsia="zh-CN"/>
              </w:rPr>
              <w:t>根据</w:t>
            </w:r>
            <w:r>
              <w:rPr>
                <w:color w:val="000000"/>
                <w:lang w:val="zh-CN"/>
              </w:rPr>
              <w:t>《</w:t>
            </w:r>
            <w:r>
              <w:rPr>
                <w:rFonts w:hint="default" w:ascii="Times New Roman" w:hAnsi="Times New Roman" w:cs="Times New Roman"/>
                <w:color w:val="000000"/>
                <w:lang w:val="zh-CN"/>
              </w:rPr>
              <w:t>排放源统计调查产排污核算方法和系数手册</w:t>
            </w:r>
            <w:r>
              <w:rPr>
                <w:color w:val="000000"/>
                <w:lang w:val="zh-CN"/>
              </w:rPr>
              <w:t>》</w:t>
            </w:r>
            <w:r>
              <w:rPr>
                <w:color w:val="000000"/>
              </w:rPr>
              <w:t>中</w:t>
            </w:r>
            <w:r>
              <w:rPr>
                <w:rFonts w:hint="eastAsia"/>
                <w:color w:val="000000"/>
              </w:rPr>
              <w:t>“</w:t>
            </w:r>
            <w:r>
              <w:rPr>
                <w:rFonts w:hint="eastAsia"/>
              </w:rPr>
              <w:t>3</w:t>
            </w:r>
            <w:r>
              <w:t>3</w:t>
            </w:r>
            <w:r>
              <w:rPr>
                <w:rFonts w:hint="eastAsia"/>
              </w:rPr>
              <w:t>-</w:t>
            </w:r>
            <w:r>
              <w:t>37</w:t>
            </w:r>
            <w:r>
              <w:rPr>
                <w:rFonts w:hint="eastAsia"/>
              </w:rPr>
              <w:t>机械行业系数手册</w:t>
            </w:r>
            <w:r>
              <w:rPr>
                <w:rFonts w:hint="eastAsia"/>
                <w:color w:val="000000"/>
              </w:rPr>
              <w:t>”表</w:t>
            </w:r>
            <w:r>
              <w:rPr>
                <w:color w:val="000000"/>
              </w:rPr>
              <w:t>中的</w:t>
            </w:r>
            <w:r>
              <w:rPr>
                <w:rFonts w:hint="eastAsia"/>
                <w:color w:val="000000"/>
              </w:rPr>
              <w:t>“09焊接核算环节”“实心焊丝-</w:t>
            </w:r>
            <w:r>
              <w:rPr>
                <w:color w:val="000000"/>
              </w:rPr>
              <w:t>二氧化碳保护焊、埋弧焊、氩弧焊</w:t>
            </w:r>
            <w:r>
              <w:rPr>
                <w:rFonts w:hint="eastAsia"/>
                <w:color w:val="000000"/>
              </w:rPr>
              <w:t>”</w:t>
            </w:r>
            <w:r>
              <w:rPr>
                <w:color w:val="000000"/>
              </w:rPr>
              <w:t>工艺排污系数为</w:t>
            </w:r>
            <w:r>
              <w:rPr>
                <w:rFonts w:hint="eastAsia"/>
                <w:color w:val="000000"/>
              </w:rPr>
              <w:t>9.19</w:t>
            </w:r>
            <w:r>
              <w:rPr>
                <w:color w:val="000000"/>
              </w:rPr>
              <w:t>千克/吨-</w:t>
            </w:r>
            <w:r>
              <w:rPr>
                <w:rFonts w:hint="eastAsia"/>
                <w:color w:val="000000"/>
              </w:rPr>
              <w:t>原料。</w:t>
            </w:r>
          </w:p>
          <w:p w14:paraId="10EA18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color w:val="auto"/>
                <w:kern w:val="2"/>
                <w:lang w:val="en-US" w:eastAsia="zh-CN"/>
              </w:rPr>
            </w:pPr>
            <w:r>
              <w:rPr>
                <w:rFonts w:hint="eastAsia"/>
                <w:color w:val="000000" w:themeColor="text1"/>
                <w14:textFill>
                  <w14:solidFill>
                    <w14:schemeClr w14:val="tx1"/>
                  </w14:solidFill>
                </w14:textFill>
              </w:rPr>
              <w:t>项目</w:t>
            </w:r>
            <w:r>
              <w:rPr>
                <w:rFonts w:hint="eastAsia"/>
                <w:color w:val="000000"/>
                <w:lang w:val="en-US" w:eastAsia="zh-CN"/>
              </w:rPr>
              <w:t>焊接</w:t>
            </w:r>
            <w:r>
              <w:rPr>
                <w:rFonts w:hint="eastAsia"/>
                <w:color w:val="000000" w:themeColor="text1"/>
                <w14:textFill>
                  <w14:solidFill>
                    <w14:schemeClr w14:val="tx1"/>
                  </w14:solidFill>
                </w14:textFill>
              </w:rPr>
              <w:t>使用实</w:t>
            </w:r>
            <w:r>
              <w:rPr>
                <w:rFonts w:hint="eastAsia"/>
                <w:color w:val="000000"/>
              </w:rPr>
              <w:t>芯焊丝量为5吨，则</w:t>
            </w:r>
            <w:r>
              <w:rPr>
                <w:color w:val="000000"/>
              </w:rPr>
              <w:t>产生</w:t>
            </w:r>
            <w:r>
              <w:rPr>
                <w:rFonts w:hint="eastAsia"/>
                <w:color w:val="000000"/>
              </w:rPr>
              <w:t>烟</w:t>
            </w:r>
            <w:r>
              <w:rPr>
                <w:color w:val="000000"/>
              </w:rPr>
              <w:t>尘量为</w:t>
            </w:r>
            <w:r>
              <w:rPr>
                <w:rFonts w:hint="eastAsia"/>
                <w:color w:val="000000"/>
              </w:rPr>
              <w:t>0.</w:t>
            </w:r>
            <w:r>
              <w:rPr>
                <w:rFonts w:hint="eastAsia"/>
                <w:color w:val="000000"/>
                <w:lang w:val="en-US" w:eastAsia="zh-CN"/>
              </w:rPr>
              <w:t>0</w:t>
            </w:r>
            <w:r>
              <w:rPr>
                <w:rFonts w:hint="eastAsia"/>
                <w:color w:val="000000"/>
              </w:rPr>
              <w:t>46</w:t>
            </w:r>
            <w:r>
              <w:rPr>
                <w:color w:val="000000"/>
              </w:rPr>
              <w:t>t/a，</w:t>
            </w:r>
            <w:r>
              <w:rPr>
                <w:rFonts w:hint="eastAsia"/>
                <w:color w:val="000000"/>
              </w:rPr>
              <w:t>移动式烟尘净化器收集效率约为80%，处理效率约为95%，未收集到的烟尘以无组织形式排放即0.0</w:t>
            </w:r>
            <w:r>
              <w:rPr>
                <w:rFonts w:hint="eastAsia"/>
                <w:color w:val="000000"/>
                <w:lang w:val="en-US" w:eastAsia="zh-CN"/>
              </w:rPr>
              <w:t>0</w:t>
            </w:r>
            <w:r>
              <w:rPr>
                <w:rFonts w:hint="eastAsia"/>
                <w:color w:val="000000"/>
              </w:rPr>
              <w:t>9</w:t>
            </w:r>
            <w:r>
              <w:rPr>
                <w:color w:val="000000"/>
              </w:rPr>
              <w:t>t/a</w:t>
            </w:r>
            <w:r>
              <w:rPr>
                <w:rFonts w:hint="eastAsia"/>
                <w:color w:val="000000"/>
              </w:rPr>
              <w:t>。处理后的烟尘以无组织形式排放即0.0</w:t>
            </w:r>
            <w:r>
              <w:rPr>
                <w:rFonts w:hint="eastAsia"/>
                <w:color w:val="000000"/>
                <w:lang w:val="en-US" w:eastAsia="zh-CN"/>
              </w:rPr>
              <w:t>02</w:t>
            </w:r>
            <w:r>
              <w:rPr>
                <w:color w:val="000000"/>
              </w:rPr>
              <w:t>t/a</w:t>
            </w:r>
            <w:r>
              <w:rPr>
                <w:rFonts w:hint="eastAsia"/>
                <w:color w:val="000000"/>
              </w:rPr>
              <w:t>。综上所述，项目</w:t>
            </w:r>
            <w:r>
              <w:rPr>
                <w:rFonts w:hint="eastAsia"/>
                <w:color w:val="000000"/>
                <w:lang w:val="en-US" w:eastAsia="zh-CN"/>
              </w:rPr>
              <w:t>埋弧</w:t>
            </w:r>
            <w:r>
              <w:rPr>
                <w:rFonts w:hint="eastAsia"/>
                <w:color w:val="000000"/>
              </w:rPr>
              <w:t>焊接烟尘无组织排放总量为0.</w:t>
            </w:r>
            <w:r>
              <w:rPr>
                <w:rFonts w:hint="eastAsia"/>
                <w:color w:val="000000"/>
                <w:lang w:val="en-US" w:eastAsia="zh-CN"/>
              </w:rPr>
              <w:t>0</w:t>
            </w:r>
            <w:r>
              <w:rPr>
                <w:rFonts w:hint="eastAsia"/>
                <w:color w:val="000000"/>
              </w:rPr>
              <w:t>11t/a</w:t>
            </w:r>
            <w:r>
              <w:rPr>
                <w:color w:val="000000"/>
              </w:rPr>
              <w:t>。</w:t>
            </w:r>
          </w:p>
          <w:p w14:paraId="66E7CB97">
            <w:pPr>
              <w:numPr>
                <w:ilvl w:val="0"/>
                <w:numId w:val="0"/>
              </w:numPr>
              <w:autoSpaceDE w:val="0"/>
              <w:autoSpaceDN w:val="0"/>
              <w:adjustRightInd w:val="0"/>
              <w:snapToGrid w:val="0"/>
              <w:spacing w:line="360" w:lineRule="auto"/>
              <w:ind w:firstLine="480" w:firstLineChars="200"/>
              <w:rPr>
                <w:rFonts w:hint="eastAsia" w:ascii="Times New Roman" w:hAnsi="Times New Roman" w:cs="Times New Roman"/>
                <w:snapToGrid/>
                <w:color w:val="000000" w:themeColor="text1"/>
                <w:kern w:val="2"/>
                <w:sz w:val="24"/>
                <w:szCs w:val="24"/>
                <w:lang w:val="en-US" w:eastAsia="zh-CN" w:bidi="ar-SA"/>
                <w14:textFill>
                  <w14:solidFill>
                    <w14:schemeClr w14:val="tx1"/>
                  </w14:solidFill>
                </w14:textFill>
              </w:rPr>
            </w:pPr>
            <w:r>
              <w:rPr>
                <w:rFonts w:hint="eastAsia" w:cs="Times New Roman"/>
                <w:color w:val="000000"/>
                <w:sz w:val="24"/>
                <w:lang w:val="en-US" w:eastAsia="zh-CN"/>
              </w:rPr>
              <w:t>2）打磨废气</w:t>
            </w:r>
            <w:r>
              <w:rPr>
                <w:rFonts w:hint="eastAsia" w:ascii="Times New Roman" w:hAnsi="Times New Roman" w:cs="Times New Roman"/>
                <w:snapToGrid/>
                <w:color w:val="000000" w:themeColor="text1"/>
                <w:kern w:val="2"/>
                <w:sz w:val="24"/>
                <w:szCs w:val="24"/>
                <w:lang w:val="en-US" w:eastAsia="zh-CN" w:bidi="ar-SA"/>
                <w14:textFill>
                  <w14:solidFill>
                    <w14:schemeClr w14:val="tx1"/>
                  </w14:solidFill>
                </w14:textFill>
              </w:rPr>
              <w:t>（颗粒物）</w:t>
            </w:r>
          </w:p>
          <w:p w14:paraId="7D607C8B">
            <w:pPr>
              <w:numPr>
                <w:ilvl w:val="0"/>
                <w:numId w:val="0"/>
              </w:numPr>
              <w:autoSpaceDE w:val="0"/>
              <w:autoSpaceDN w:val="0"/>
              <w:adjustRightInd w:val="0"/>
              <w:snapToGrid w:val="0"/>
              <w:spacing w:line="360" w:lineRule="auto"/>
              <w:ind w:firstLine="480" w:firstLineChars="200"/>
            </w:pPr>
            <w:r>
              <w:rPr>
                <w:rFonts w:hint="eastAsia"/>
                <w:lang w:val="en-US" w:eastAsia="zh-CN"/>
              </w:rPr>
              <w:t>项目打磨工序主要是去除大颗粒的焊渣和毛刺，采用人工磨光机，</w:t>
            </w:r>
            <w:r>
              <w:t>项目</w:t>
            </w:r>
            <w:r>
              <w:rPr>
                <w:rFonts w:hint="eastAsia"/>
              </w:rPr>
              <w:t>需打磨</w:t>
            </w:r>
            <w:r>
              <w:rPr>
                <w:rFonts w:hint="eastAsia"/>
                <w:lang w:val="en-US" w:eastAsia="zh-CN"/>
              </w:rPr>
              <w:t>去除毛刺和焊点</w:t>
            </w:r>
            <w:r>
              <w:rPr>
                <w:rFonts w:hint="eastAsia"/>
              </w:rPr>
              <w:t>的工件</w:t>
            </w:r>
            <w:r>
              <w:t>年用量</w:t>
            </w:r>
            <w:r>
              <w:rPr>
                <w:rFonts w:hint="eastAsia"/>
              </w:rPr>
              <w:t>约</w:t>
            </w:r>
            <w:r>
              <w:t>为</w:t>
            </w:r>
            <w:r>
              <w:rPr>
                <w:rFonts w:hint="eastAsia"/>
                <w:lang w:val="en-US" w:eastAsia="zh-CN"/>
              </w:rPr>
              <w:t>1000</w:t>
            </w:r>
            <w:r>
              <w:t>t</w:t>
            </w:r>
            <w:r>
              <w:rPr>
                <w:rFonts w:hint="eastAsia"/>
              </w:rPr>
              <w:t>，</w:t>
            </w:r>
            <w:r>
              <w:rPr>
                <w:szCs w:val="22"/>
              </w:rPr>
              <w:t>根据</w:t>
            </w:r>
            <w:r>
              <w:rPr>
                <w:rFonts w:hint="eastAsia"/>
                <w:bCs/>
                <w:lang w:val="zh-CN"/>
              </w:rPr>
              <w:t>污染物产排系数参考《排放源统计调查产排污核算方法和系数手册》中</w:t>
            </w:r>
            <w:r>
              <w:rPr>
                <w:rFonts w:hint="eastAsia"/>
              </w:rPr>
              <w:t>“</w:t>
            </w:r>
            <w:r>
              <w:t>33-37、43机械行业系数手册</w:t>
            </w:r>
            <w:r>
              <w:rPr>
                <w:rFonts w:hint="eastAsia"/>
              </w:rPr>
              <w:t>”</w:t>
            </w:r>
            <w:r>
              <w:t>中</w:t>
            </w:r>
            <w:r>
              <w:rPr>
                <w:rFonts w:hint="eastAsia"/>
              </w:rPr>
              <w:t>“</w:t>
            </w:r>
            <w:r>
              <w:t>0</w:t>
            </w:r>
            <w:r>
              <w:rPr>
                <w:rFonts w:hint="eastAsia"/>
              </w:rPr>
              <w:t>6预处理</w:t>
            </w:r>
            <w:r>
              <w:t>核算环节</w:t>
            </w:r>
            <w:r>
              <w:rPr>
                <w:rFonts w:hint="eastAsia"/>
              </w:rPr>
              <w:t>”“钢材（含板材、构件等）、铝材（含板材、构件等）、铝合金（含板材、构件等）、铁材、其它金属材料”“抛丸、喷砂、打磨、滚筒”工艺产污系数为2.19</w:t>
            </w:r>
            <w:r>
              <w:rPr>
                <w:bCs/>
              </w:rPr>
              <w:t>kg/t</w:t>
            </w:r>
            <w:r>
              <w:rPr>
                <w:rFonts w:hint="eastAsia"/>
                <w:bCs/>
              </w:rPr>
              <w:t>-原料。</w:t>
            </w:r>
            <w:r>
              <w:rPr>
                <w:rFonts w:hint="eastAsia"/>
              </w:rPr>
              <w:t>则</w:t>
            </w:r>
            <w:r>
              <w:rPr>
                <w:rFonts w:hAnsi="宋体"/>
              </w:rPr>
              <w:t>打磨粉尘产生量</w:t>
            </w:r>
            <w:r>
              <w:rPr>
                <w:rFonts w:hint="eastAsia"/>
              </w:rPr>
              <w:t>约</w:t>
            </w:r>
            <w:r>
              <w:rPr>
                <w:rFonts w:hAnsi="宋体"/>
              </w:rPr>
              <w:t>为</w:t>
            </w:r>
            <w:r>
              <w:rPr>
                <w:rFonts w:hint="eastAsia" w:hAnsi="宋体"/>
                <w:lang w:val="en-US" w:eastAsia="zh-CN"/>
              </w:rPr>
              <w:t>2.19</w:t>
            </w:r>
            <w:r>
              <w:t>t/a</w:t>
            </w:r>
            <w:r>
              <w:rPr>
                <w:rFonts w:hAnsi="宋体"/>
              </w:rPr>
              <w:t>。</w:t>
            </w:r>
            <w:r>
              <w:rPr>
                <w:rFonts w:hint="eastAsia"/>
                <w:bCs/>
              </w:rPr>
              <w:t>粉尘为金属粉尘，</w:t>
            </w:r>
            <w:r>
              <w:rPr>
                <w:rFonts w:hint="eastAsia"/>
                <w:bCs/>
                <w:lang w:val="en-US" w:eastAsia="zh-CN"/>
              </w:rPr>
              <w:t>大部分为大颗粒的</w:t>
            </w:r>
            <w:r>
              <w:rPr>
                <w:rFonts w:hint="eastAsia"/>
                <w:lang w:val="en-US" w:eastAsia="zh-CN"/>
              </w:rPr>
              <w:t>焊渣和毛刺，</w:t>
            </w:r>
            <w:r>
              <w:rPr>
                <w:rFonts w:hint="eastAsia"/>
                <w:bCs/>
              </w:rPr>
              <w:t>颗粒较大、较重，根据同类行业生产情况，粉尘大部分直接沉降，沉降率约为90%，则废气粉尘量约为0.</w:t>
            </w:r>
            <w:r>
              <w:rPr>
                <w:rFonts w:hint="eastAsia"/>
                <w:bCs/>
                <w:lang w:val="en-US" w:eastAsia="zh-CN"/>
              </w:rPr>
              <w:t>219</w:t>
            </w:r>
            <w:r>
              <w:rPr>
                <w:rFonts w:hint="eastAsia"/>
                <w:bCs/>
              </w:rPr>
              <w:t>t/a。打磨通过移动式</w:t>
            </w:r>
            <w:r>
              <w:rPr>
                <w:rFonts w:hint="eastAsia"/>
                <w:bCs/>
                <w:lang w:val="en-US" w:eastAsia="zh-CN"/>
              </w:rPr>
              <w:t>烟尘</w:t>
            </w:r>
            <w:r>
              <w:rPr>
                <w:rFonts w:hint="eastAsia"/>
                <w:bCs/>
              </w:rPr>
              <w:t>净化器处理后无组织</w:t>
            </w:r>
            <w:r>
              <w:rPr>
                <w:bCs/>
              </w:rPr>
              <w:t>排放</w:t>
            </w:r>
            <w:r>
              <w:rPr>
                <w:rFonts w:hint="eastAsia"/>
              </w:rPr>
              <w:t>，移动式净化器收集效率约为80%，处理效率约为9</w:t>
            </w:r>
            <w:r>
              <w:rPr>
                <w:rFonts w:hint="eastAsia"/>
                <w:lang w:val="en-US" w:eastAsia="zh-CN"/>
              </w:rPr>
              <w:t>5</w:t>
            </w:r>
            <w:r>
              <w:rPr>
                <w:rFonts w:hint="eastAsia"/>
              </w:rPr>
              <w:t>%。</w:t>
            </w:r>
            <w:r>
              <w:rPr>
                <w:rFonts w:hint="eastAsia"/>
                <w:color w:val="000000"/>
              </w:rPr>
              <w:t>未收集到的</w:t>
            </w:r>
            <w:r>
              <w:rPr>
                <w:rFonts w:hint="eastAsia"/>
                <w:bCs/>
                <w:lang w:val="en-US" w:eastAsia="zh-CN"/>
              </w:rPr>
              <w:t>粉尘</w:t>
            </w:r>
            <w:r>
              <w:rPr>
                <w:rFonts w:hint="eastAsia"/>
                <w:color w:val="000000"/>
              </w:rPr>
              <w:t>以无组织形式排放即0.0</w:t>
            </w:r>
            <w:r>
              <w:rPr>
                <w:rFonts w:hint="eastAsia"/>
                <w:color w:val="000000"/>
                <w:lang w:val="en-US" w:eastAsia="zh-CN"/>
              </w:rPr>
              <w:t>44</w:t>
            </w:r>
            <w:r>
              <w:rPr>
                <w:color w:val="000000"/>
              </w:rPr>
              <w:t>t/a</w:t>
            </w:r>
            <w:r>
              <w:rPr>
                <w:rFonts w:hint="eastAsia"/>
                <w:color w:val="000000"/>
              </w:rPr>
              <w:t>。处理后的</w:t>
            </w:r>
            <w:r>
              <w:rPr>
                <w:rFonts w:hint="eastAsia"/>
                <w:bCs/>
                <w:lang w:val="en-US" w:eastAsia="zh-CN"/>
              </w:rPr>
              <w:t>粉尘</w:t>
            </w:r>
            <w:r>
              <w:rPr>
                <w:rFonts w:hint="eastAsia"/>
                <w:color w:val="000000"/>
              </w:rPr>
              <w:t>以无组织形式排放即0.00</w:t>
            </w:r>
            <w:r>
              <w:rPr>
                <w:rFonts w:hint="eastAsia"/>
                <w:color w:val="000000"/>
                <w:lang w:val="en-US" w:eastAsia="zh-CN"/>
              </w:rPr>
              <w:t>9</w:t>
            </w:r>
            <w:r>
              <w:rPr>
                <w:color w:val="000000"/>
              </w:rPr>
              <w:t>t/a</w:t>
            </w:r>
            <w:r>
              <w:rPr>
                <w:rFonts w:hint="eastAsia"/>
                <w:color w:val="000000"/>
              </w:rPr>
              <w:t>。综上所述，项目打磨粉尘无组织排放总量为0.0</w:t>
            </w:r>
            <w:r>
              <w:rPr>
                <w:rFonts w:hint="eastAsia"/>
                <w:color w:val="000000"/>
                <w:lang w:val="en-US" w:eastAsia="zh-CN"/>
              </w:rPr>
              <w:t>53</w:t>
            </w:r>
            <w:r>
              <w:rPr>
                <w:rFonts w:hint="eastAsia"/>
                <w:color w:val="000000"/>
              </w:rPr>
              <w:t>t/a</w:t>
            </w:r>
            <w:r>
              <w:rPr>
                <w:color w:val="000000"/>
              </w:rPr>
              <w:t>。</w:t>
            </w:r>
          </w:p>
          <w:p w14:paraId="7C522E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snapToGrid/>
                <w:color w:val="000000" w:themeColor="text1"/>
                <w:kern w:val="2"/>
                <w:sz w:val="24"/>
                <w:szCs w:val="24"/>
                <w:lang w:val="en-US" w:eastAsia="zh-CN" w:bidi="ar-SA"/>
                <w14:textFill>
                  <w14:solidFill>
                    <w14:schemeClr w14:val="tx1"/>
                  </w14:solidFill>
                </w14:textFill>
              </w:rPr>
            </w:pPr>
            <w:r>
              <w:rPr>
                <w:rFonts w:hint="eastAsia" w:cs="Times New Roman"/>
                <w:snapToGrid/>
                <w:color w:val="000000" w:themeColor="text1"/>
                <w:kern w:val="2"/>
                <w:sz w:val="24"/>
                <w:szCs w:val="24"/>
                <w:lang w:val="en-US" w:eastAsia="zh-CN" w:bidi="ar-SA"/>
                <w14:textFill>
                  <w14:solidFill>
                    <w14:schemeClr w14:val="tx1"/>
                  </w14:solidFill>
                </w14:textFill>
              </w:rPr>
              <w:t>3）机加工废气（非甲烷总烃）</w:t>
            </w:r>
          </w:p>
          <w:p w14:paraId="08AFCD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b/>
                <w:bCs/>
                <w:color w:val="auto"/>
                <w:sz w:val="24"/>
                <w:lang w:val="en-US" w:eastAsia="zh-CN"/>
              </w:rPr>
            </w:pPr>
            <w:r>
              <w:rPr>
                <w:rFonts w:hint="default" w:ascii="Times New Roman" w:hAnsi="Times New Roman" w:eastAsia="宋体" w:cs="Times New Roman"/>
                <w:snapToGrid/>
                <w:color w:val="auto"/>
                <w:kern w:val="2"/>
                <w:sz w:val="24"/>
                <w:szCs w:val="24"/>
                <w:lang w:val="en-US" w:eastAsia="zh-CN" w:bidi="ar-SA"/>
              </w:rPr>
              <w:t>项目在</w:t>
            </w:r>
            <w:r>
              <w:rPr>
                <w:rFonts w:hint="eastAsia" w:cs="Times New Roman"/>
                <w:snapToGrid/>
                <w:color w:val="auto"/>
                <w:kern w:val="2"/>
                <w:sz w:val="24"/>
                <w:szCs w:val="24"/>
                <w:lang w:val="en-US" w:eastAsia="zh-CN" w:bidi="ar-SA"/>
              </w:rPr>
              <w:t>手动切管</w:t>
            </w:r>
            <w:r>
              <w:rPr>
                <w:rFonts w:hint="default" w:ascii="Times New Roman" w:hAnsi="Times New Roman" w:eastAsia="宋体" w:cs="Times New Roman"/>
                <w:snapToGrid/>
                <w:color w:val="auto"/>
                <w:kern w:val="2"/>
                <w:sz w:val="24"/>
                <w:szCs w:val="24"/>
                <w:lang w:val="en-US" w:eastAsia="zh-CN" w:bidi="ar-SA"/>
              </w:rPr>
              <w:t>机加工工序中使用</w:t>
            </w:r>
            <w:r>
              <w:rPr>
                <w:rFonts w:hint="eastAsia" w:cs="Times New Roman"/>
                <w:snapToGrid/>
                <w:color w:val="auto"/>
                <w:kern w:val="2"/>
                <w:sz w:val="24"/>
                <w:szCs w:val="24"/>
                <w:lang w:val="en-US" w:eastAsia="zh-CN" w:bidi="ar-SA"/>
              </w:rPr>
              <w:t>切削液</w:t>
            </w:r>
            <w:r>
              <w:rPr>
                <w:rFonts w:hint="default" w:ascii="Times New Roman" w:hAnsi="Times New Roman" w:eastAsia="宋体" w:cs="Times New Roman"/>
                <w:snapToGrid/>
                <w:color w:val="auto"/>
                <w:kern w:val="2"/>
                <w:sz w:val="24"/>
                <w:szCs w:val="24"/>
                <w:lang w:val="en-US" w:eastAsia="zh-CN" w:bidi="ar-SA"/>
              </w:rPr>
              <w:t>会产生少量非甲烷总烃，根据《排放源统计调查产排污核算方法和系数手册》中</w:t>
            </w:r>
            <w:r>
              <w:rPr>
                <w:rFonts w:hint="eastAsia" w:ascii="Times New Roman" w:hAnsi="Times New Roman" w:cs="Times New Roman"/>
                <w:snapToGrid/>
                <w:color w:val="auto"/>
                <w:kern w:val="2"/>
                <w:sz w:val="24"/>
                <w:szCs w:val="24"/>
                <w:lang w:val="en-US" w:eastAsia="zh-CN" w:bidi="ar-SA"/>
              </w:rPr>
              <w:t>“</w:t>
            </w:r>
            <w:r>
              <w:rPr>
                <w:rFonts w:hint="default" w:ascii="Times New Roman" w:hAnsi="Times New Roman" w:eastAsia="宋体" w:cs="Times New Roman"/>
                <w:snapToGrid/>
                <w:color w:val="auto"/>
                <w:kern w:val="2"/>
                <w:sz w:val="24"/>
                <w:szCs w:val="24"/>
                <w:lang w:val="en-US" w:eastAsia="zh-CN" w:bidi="ar-SA"/>
              </w:rPr>
              <w:t>33-37、43机械行业系数手册</w:t>
            </w:r>
            <w:r>
              <w:rPr>
                <w:rFonts w:hint="eastAsia" w:ascii="Times New Roman" w:hAnsi="Times New Roman" w:cs="Times New Roman"/>
                <w:snapToGrid/>
                <w:color w:val="auto"/>
                <w:kern w:val="2"/>
                <w:sz w:val="24"/>
                <w:szCs w:val="24"/>
                <w:lang w:val="en-US" w:eastAsia="zh-CN" w:bidi="ar-SA"/>
              </w:rPr>
              <w:t>”</w:t>
            </w:r>
            <w:r>
              <w:rPr>
                <w:rFonts w:hint="default" w:ascii="Times New Roman" w:hAnsi="Times New Roman" w:eastAsia="宋体" w:cs="Times New Roman"/>
                <w:snapToGrid/>
                <w:color w:val="auto"/>
                <w:kern w:val="2"/>
                <w:sz w:val="24"/>
                <w:szCs w:val="24"/>
                <w:lang w:val="en-US" w:eastAsia="zh-CN" w:bidi="ar-SA"/>
              </w:rPr>
              <w:t>中</w:t>
            </w:r>
            <w:r>
              <w:rPr>
                <w:rFonts w:hint="eastAsia" w:ascii="Times New Roman" w:hAnsi="Times New Roman" w:cs="Times New Roman"/>
                <w:snapToGrid/>
                <w:color w:val="auto"/>
                <w:kern w:val="2"/>
                <w:sz w:val="24"/>
                <w:szCs w:val="24"/>
                <w:lang w:val="en-US" w:eastAsia="zh-CN" w:bidi="ar-SA"/>
              </w:rPr>
              <w:t>“</w:t>
            </w:r>
            <w:r>
              <w:rPr>
                <w:rFonts w:hint="default" w:ascii="Times New Roman" w:hAnsi="Times New Roman" w:eastAsia="宋体" w:cs="Times New Roman"/>
                <w:snapToGrid/>
                <w:color w:val="auto"/>
                <w:kern w:val="2"/>
                <w:sz w:val="24"/>
                <w:szCs w:val="24"/>
                <w:lang w:val="en-US" w:eastAsia="zh-CN" w:bidi="ar-SA"/>
              </w:rPr>
              <w:t>07机械加工</w:t>
            </w:r>
            <w:r>
              <w:rPr>
                <w:rFonts w:hint="eastAsia" w:ascii="Times New Roman" w:hAnsi="Times New Roman" w:cs="Times New Roman"/>
                <w:snapToGrid/>
                <w:color w:val="auto"/>
                <w:kern w:val="2"/>
                <w:sz w:val="24"/>
                <w:szCs w:val="24"/>
                <w:lang w:val="en-US" w:eastAsia="zh-CN" w:bidi="ar-SA"/>
              </w:rPr>
              <w:t>”“</w:t>
            </w:r>
            <w:r>
              <w:rPr>
                <w:rFonts w:hint="default" w:ascii="Times New Roman" w:hAnsi="Times New Roman" w:eastAsia="宋体" w:cs="Times New Roman"/>
                <w:snapToGrid/>
                <w:color w:val="auto"/>
                <w:kern w:val="2"/>
                <w:sz w:val="24"/>
                <w:szCs w:val="24"/>
                <w:lang w:val="en-US" w:eastAsia="zh-CN" w:bidi="ar-SA"/>
              </w:rPr>
              <w:t>湿式机加工件</w:t>
            </w:r>
            <w:r>
              <w:rPr>
                <w:rFonts w:hint="eastAsia" w:ascii="Times New Roman" w:hAnsi="Times New Roman" w:cs="Times New Roman"/>
                <w:snapToGrid/>
                <w:color w:val="auto"/>
                <w:kern w:val="2"/>
                <w:sz w:val="24"/>
                <w:szCs w:val="24"/>
                <w:lang w:val="en-US" w:eastAsia="zh-CN" w:bidi="ar-SA"/>
              </w:rPr>
              <w:t>”</w:t>
            </w:r>
            <w:r>
              <w:rPr>
                <w:rFonts w:hint="default" w:ascii="Times New Roman" w:hAnsi="Times New Roman" w:eastAsia="宋体" w:cs="Times New Roman"/>
                <w:snapToGrid/>
                <w:color w:val="auto"/>
                <w:kern w:val="2"/>
                <w:sz w:val="24"/>
                <w:szCs w:val="24"/>
                <w:lang w:val="en-US" w:eastAsia="zh-CN" w:bidi="ar-SA"/>
              </w:rPr>
              <w:t>中工艺产污系数为5.64kg/t-原料，本项目使用</w:t>
            </w:r>
            <w:r>
              <w:rPr>
                <w:rFonts w:hint="eastAsia" w:cs="Times New Roman"/>
                <w:snapToGrid/>
                <w:color w:val="auto"/>
                <w:kern w:val="2"/>
                <w:sz w:val="24"/>
                <w:szCs w:val="24"/>
                <w:lang w:val="en-US" w:eastAsia="zh-CN" w:bidi="ar-SA"/>
              </w:rPr>
              <w:t>切削液1</w:t>
            </w:r>
            <w:r>
              <w:rPr>
                <w:rFonts w:hint="default" w:ascii="Times New Roman" w:hAnsi="Times New Roman" w:eastAsia="宋体" w:cs="Times New Roman"/>
                <w:snapToGrid/>
                <w:color w:val="auto"/>
                <w:kern w:val="2"/>
                <w:sz w:val="24"/>
                <w:szCs w:val="24"/>
                <w:lang w:val="en-US" w:eastAsia="zh-CN" w:bidi="ar-SA"/>
              </w:rPr>
              <w:t>t/a</w:t>
            </w:r>
            <w:r>
              <w:rPr>
                <w:rFonts w:hint="eastAsia" w:ascii="Times New Roman" w:hAnsi="Times New Roman" w:cs="Times New Roman"/>
                <w:snapToGrid/>
                <w:color w:val="auto"/>
                <w:kern w:val="2"/>
                <w:sz w:val="24"/>
                <w:szCs w:val="24"/>
                <w:lang w:val="en-US" w:eastAsia="zh-CN" w:bidi="ar-SA"/>
              </w:rPr>
              <w:t>，年工作2400h，则</w:t>
            </w:r>
            <w:r>
              <w:rPr>
                <w:rFonts w:hint="default" w:ascii="Times New Roman" w:hAnsi="Times New Roman" w:eastAsia="宋体" w:cs="Times New Roman"/>
                <w:snapToGrid/>
                <w:color w:val="auto"/>
                <w:kern w:val="2"/>
                <w:sz w:val="24"/>
                <w:szCs w:val="24"/>
                <w:lang w:val="en-US" w:eastAsia="zh-CN" w:bidi="ar-SA"/>
              </w:rPr>
              <w:t>产生的非甲烷总烃约为0.0</w:t>
            </w:r>
            <w:r>
              <w:rPr>
                <w:rFonts w:hint="eastAsia" w:cs="Times New Roman"/>
                <w:snapToGrid/>
                <w:color w:val="auto"/>
                <w:kern w:val="2"/>
                <w:sz w:val="24"/>
                <w:szCs w:val="24"/>
                <w:lang w:val="en-US" w:eastAsia="zh-CN" w:bidi="ar-SA"/>
              </w:rPr>
              <w:t>06</w:t>
            </w:r>
            <w:r>
              <w:rPr>
                <w:rFonts w:hint="default" w:ascii="Times New Roman" w:hAnsi="Times New Roman" w:eastAsia="宋体" w:cs="Times New Roman"/>
                <w:snapToGrid/>
                <w:color w:val="auto"/>
                <w:kern w:val="2"/>
                <w:sz w:val="24"/>
                <w:szCs w:val="24"/>
                <w:lang w:val="en-US" w:eastAsia="zh-CN" w:bidi="ar-SA"/>
              </w:rPr>
              <w:t>t/a，车间设置通风扇，产生的废气以无组织形式排放。</w:t>
            </w:r>
          </w:p>
          <w:p w14:paraId="2A2973C6">
            <w:pPr>
              <w:spacing w:line="360" w:lineRule="auto"/>
              <w:ind w:firstLine="480" w:firstLineChars="200"/>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r>
              <w:rPr>
                <w:rFonts w:hint="eastAsia" w:cs="Times New Roman"/>
                <w:snapToGrid/>
                <w:color w:val="000000" w:themeColor="text1"/>
                <w:kern w:val="2"/>
                <w:sz w:val="24"/>
                <w:szCs w:val="24"/>
                <w:lang w:val="en-US" w:eastAsia="zh-CN" w:bidi="ar-SA"/>
                <w14:textFill>
                  <w14:solidFill>
                    <w14:schemeClr w14:val="tx1"/>
                  </w14:solidFill>
                </w14:textFill>
              </w:rPr>
              <w:t>4）组装工序使用亚克力密封胶产生的废气（非甲烷总烃）</w:t>
            </w:r>
          </w:p>
          <w:p w14:paraId="5DE8862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b/>
                <w:bCs/>
                <w:color w:val="auto"/>
                <w:sz w:val="24"/>
                <w:lang w:val="en-US" w:eastAsia="zh-CN"/>
              </w:rPr>
            </w:pPr>
            <w:r>
              <w:rPr>
                <w:rFonts w:hint="eastAsia" w:cs="Times New Roman"/>
                <w:snapToGrid/>
                <w:color w:val="000000" w:themeColor="text1"/>
                <w:kern w:val="2"/>
                <w:sz w:val="24"/>
                <w:szCs w:val="24"/>
                <w:lang w:val="en-US" w:eastAsia="zh-CN" w:bidi="ar-SA"/>
                <w14:textFill>
                  <w14:solidFill>
                    <w14:schemeClr w14:val="tx1"/>
                  </w14:solidFill>
                </w14:textFill>
              </w:rPr>
              <w:t>项目麻将机玻璃茶几在组装工序时使用亚克力密封胶将塑料件和玻璃等进行密封胶粘。此工序密封会产生废气，以</w:t>
            </w:r>
            <w:r>
              <w:rPr>
                <w:rFonts w:hint="default" w:ascii="Times New Roman" w:hAnsi="Times New Roman" w:eastAsia="宋体" w:cs="Times New Roman"/>
                <w:snapToGrid/>
                <w:color w:val="auto"/>
                <w:kern w:val="2"/>
                <w:sz w:val="24"/>
                <w:szCs w:val="24"/>
                <w:lang w:val="en-US" w:eastAsia="zh-CN" w:bidi="ar-SA"/>
              </w:rPr>
              <w:t>非甲烷总烃</w:t>
            </w:r>
            <w:r>
              <w:rPr>
                <w:rFonts w:hint="eastAsia" w:ascii="Times New Roman" w:hAnsi="Times New Roman" w:eastAsia="宋体" w:cs="Times New Roman"/>
                <w:snapToGrid/>
                <w:color w:val="auto"/>
                <w:kern w:val="2"/>
                <w:sz w:val="24"/>
                <w:szCs w:val="24"/>
                <w:lang w:val="en-US" w:eastAsia="zh-CN" w:bidi="ar-SA"/>
              </w:rPr>
              <w:t>计，根据前文表2-6亚克力密封胶组成成分，密封胶中挥发性最大为3.5%，项目年用</w:t>
            </w:r>
            <w:r>
              <w:rPr>
                <w:rFonts w:hint="eastAsia" w:cs="Times New Roman"/>
                <w:snapToGrid/>
                <w:color w:val="000000" w:themeColor="text1"/>
                <w:kern w:val="2"/>
                <w:sz w:val="24"/>
                <w:szCs w:val="24"/>
                <w:lang w:val="en-US" w:eastAsia="zh-CN" w:bidi="ar-SA"/>
                <w14:textFill>
                  <w14:solidFill>
                    <w14:schemeClr w14:val="tx1"/>
                  </w14:solidFill>
                </w14:textFill>
              </w:rPr>
              <w:t>亚克力密封胶0.25t/a，则</w:t>
            </w:r>
            <w:r>
              <w:rPr>
                <w:rFonts w:hint="default" w:ascii="Times New Roman" w:hAnsi="Times New Roman" w:eastAsia="宋体" w:cs="Times New Roman"/>
                <w:snapToGrid/>
                <w:color w:val="auto"/>
                <w:kern w:val="2"/>
                <w:sz w:val="24"/>
                <w:szCs w:val="24"/>
                <w:lang w:val="en-US" w:eastAsia="zh-CN" w:bidi="ar-SA"/>
              </w:rPr>
              <w:t>产生的非甲烷总烃约为0.0</w:t>
            </w:r>
            <w:r>
              <w:rPr>
                <w:rFonts w:hint="eastAsia" w:cs="Times New Roman"/>
                <w:snapToGrid/>
                <w:color w:val="auto"/>
                <w:kern w:val="2"/>
                <w:sz w:val="24"/>
                <w:szCs w:val="24"/>
                <w:lang w:val="en-US" w:eastAsia="zh-CN" w:bidi="ar-SA"/>
              </w:rPr>
              <w:t>09</w:t>
            </w:r>
            <w:r>
              <w:rPr>
                <w:rFonts w:hint="default" w:ascii="Times New Roman" w:hAnsi="Times New Roman" w:eastAsia="宋体" w:cs="Times New Roman"/>
                <w:snapToGrid/>
                <w:color w:val="auto"/>
                <w:kern w:val="2"/>
                <w:sz w:val="24"/>
                <w:szCs w:val="24"/>
                <w:lang w:val="en-US" w:eastAsia="zh-CN" w:bidi="ar-SA"/>
              </w:rPr>
              <w:t>t/a，车间设置通风扇，产生的废气以无组织形式排放。</w:t>
            </w:r>
          </w:p>
          <w:p w14:paraId="4D36DFC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kern w:val="2"/>
                <w:lang w:eastAsia="zh-CN"/>
              </w:rPr>
            </w:pPr>
            <w:r>
              <w:rPr>
                <w:rFonts w:hint="eastAsia"/>
                <w:b/>
                <w:bCs/>
                <w:color w:val="auto"/>
                <w:kern w:val="2"/>
                <w:lang w:val="en-US" w:eastAsia="zh-CN"/>
              </w:rPr>
              <w:t>废气</w:t>
            </w:r>
            <w:r>
              <w:rPr>
                <w:rFonts w:hint="eastAsia" w:eastAsia="宋体"/>
                <w:b/>
                <w:bCs/>
                <w:color w:val="auto"/>
                <w:kern w:val="2"/>
              </w:rPr>
              <w:t>收集、处理效率依据</w:t>
            </w:r>
            <w:r>
              <w:rPr>
                <w:rFonts w:hint="eastAsia"/>
                <w:b/>
                <w:bCs/>
                <w:color w:val="auto"/>
                <w:kern w:val="2"/>
                <w:lang w:eastAsia="zh-CN"/>
              </w:rPr>
              <w:t>：</w:t>
            </w:r>
          </w:p>
          <w:p w14:paraId="46C94CFF">
            <w:pPr>
              <w:adjustRightInd w:val="0"/>
              <w:snapToGrid w:val="0"/>
              <w:spacing w:line="360" w:lineRule="auto"/>
              <w:ind w:firstLine="480" w:firstLineChars="200"/>
              <w:jc w:val="left"/>
              <w:rPr>
                <w:rFonts w:hint="default"/>
                <w:b w:val="0"/>
                <w:bCs w:val="0"/>
                <w:color w:val="auto"/>
                <w:kern w:val="2"/>
                <w:lang w:val="en-US" w:eastAsia="zh-CN"/>
              </w:rPr>
            </w:pPr>
            <w:r>
              <w:rPr>
                <w:rFonts w:hint="eastAsia"/>
                <w:b w:val="0"/>
                <w:bCs w:val="0"/>
                <w:color w:val="auto"/>
                <w:kern w:val="2"/>
                <w:lang w:eastAsia="zh-CN"/>
              </w:rPr>
              <w:t>根据《袋式除尘工程通用技术规范》（HJ2020-2012）中6.2.8，吹吸罩捕集率不低于90%；半密闭集气罩捕集率不低于95%；密闭集气罩捕集率不低于100%。</w:t>
            </w:r>
            <w:r>
              <w:rPr>
                <w:rFonts w:hint="eastAsia"/>
                <w:b w:val="0"/>
                <w:bCs w:val="0"/>
                <w:color w:val="auto"/>
                <w:kern w:val="2"/>
                <w:lang w:val="en-US" w:eastAsia="zh-CN"/>
              </w:rPr>
              <w:t>项目下料工序使用</w:t>
            </w:r>
            <w:r>
              <w:rPr>
                <w:rFonts w:hint="eastAsia"/>
                <w:b w:val="0"/>
                <w:bCs w:val="0"/>
                <w:color w:val="auto"/>
                <w:kern w:val="2"/>
                <w:lang w:eastAsia="zh-CN"/>
              </w:rPr>
              <w:t>半密闭</w:t>
            </w:r>
            <w:r>
              <w:rPr>
                <w:rFonts w:hint="eastAsia" w:ascii="Times New Roman" w:hAnsi="Times New Roman" w:eastAsia="宋体" w:cs="Times New Roman"/>
                <w:color w:val="auto"/>
                <w:sz w:val="24"/>
                <w:szCs w:val="24"/>
                <w:lang w:val="en-US" w:eastAsia="zh-CN"/>
              </w:rPr>
              <w:t>集气罩集中收集</w:t>
            </w:r>
            <w:r>
              <w:rPr>
                <w:rFonts w:hint="eastAsia"/>
                <w:b w:val="0"/>
                <w:bCs w:val="0"/>
                <w:color w:val="auto"/>
                <w:kern w:val="2"/>
                <w:lang w:eastAsia="zh-CN"/>
              </w:rPr>
              <w:t>，</w:t>
            </w:r>
            <w:r>
              <w:rPr>
                <w:rFonts w:hint="eastAsia"/>
                <w:b w:val="0"/>
                <w:bCs w:val="0"/>
                <w:color w:val="auto"/>
                <w:kern w:val="2"/>
                <w:lang w:val="en-US" w:eastAsia="zh-CN"/>
              </w:rPr>
              <w:t>收集效率取95%。喷塑工序在半密闭防尘室中进行，收集效率取95%。固化工序使用</w:t>
            </w:r>
            <w:r>
              <w:rPr>
                <w:rFonts w:hint="eastAsia"/>
                <w:b w:val="0"/>
                <w:bCs w:val="0"/>
                <w:color w:val="auto"/>
                <w:kern w:val="2"/>
                <w:lang w:eastAsia="zh-CN"/>
              </w:rPr>
              <w:t>吹吸</w:t>
            </w:r>
            <w:r>
              <w:rPr>
                <w:rFonts w:hint="eastAsia" w:ascii="Times New Roman" w:hAnsi="Times New Roman" w:eastAsia="宋体" w:cs="Times New Roman"/>
                <w:color w:val="auto"/>
                <w:sz w:val="24"/>
                <w:szCs w:val="24"/>
                <w:lang w:val="en-US" w:eastAsia="zh-CN"/>
              </w:rPr>
              <w:t>集气罩</w:t>
            </w:r>
            <w:r>
              <w:rPr>
                <w:rFonts w:hint="eastAsia"/>
                <w:b w:val="0"/>
                <w:bCs w:val="0"/>
                <w:color w:val="auto"/>
                <w:kern w:val="2"/>
                <w:lang w:eastAsia="zh-CN"/>
              </w:rPr>
              <w:t>，</w:t>
            </w:r>
            <w:r>
              <w:rPr>
                <w:rFonts w:hint="eastAsia"/>
                <w:b w:val="0"/>
                <w:bCs w:val="0"/>
                <w:color w:val="auto"/>
                <w:kern w:val="2"/>
                <w:lang w:val="en-US" w:eastAsia="zh-CN"/>
              </w:rPr>
              <w:t>收集效率取90%。注塑工序使用</w:t>
            </w:r>
            <w:r>
              <w:rPr>
                <w:rFonts w:hint="eastAsia"/>
                <w:b w:val="0"/>
                <w:bCs w:val="0"/>
                <w:color w:val="auto"/>
                <w:kern w:val="2"/>
                <w:lang w:eastAsia="zh-CN"/>
              </w:rPr>
              <w:t>吹吸</w:t>
            </w:r>
            <w:r>
              <w:rPr>
                <w:rFonts w:hint="eastAsia" w:ascii="Times New Roman" w:hAnsi="Times New Roman" w:eastAsia="宋体" w:cs="Times New Roman"/>
                <w:color w:val="auto"/>
                <w:sz w:val="24"/>
                <w:szCs w:val="24"/>
                <w:lang w:val="en-US" w:eastAsia="zh-CN"/>
              </w:rPr>
              <w:t>集气罩</w:t>
            </w:r>
            <w:r>
              <w:rPr>
                <w:rFonts w:hint="eastAsia"/>
                <w:b w:val="0"/>
                <w:bCs w:val="0"/>
                <w:color w:val="auto"/>
                <w:kern w:val="2"/>
                <w:lang w:eastAsia="zh-CN"/>
              </w:rPr>
              <w:t>，</w:t>
            </w:r>
            <w:r>
              <w:rPr>
                <w:rFonts w:hint="eastAsia"/>
                <w:b w:val="0"/>
                <w:bCs w:val="0"/>
                <w:color w:val="auto"/>
                <w:kern w:val="2"/>
                <w:lang w:val="en-US" w:eastAsia="zh-CN"/>
              </w:rPr>
              <w:t>收集效率取90%。</w:t>
            </w:r>
          </w:p>
          <w:p w14:paraId="31FA07D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b w:val="0"/>
                <w:bCs/>
                <w:color w:val="auto"/>
                <w:lang w:val="en-US" w:eastAsia="zh-CN"/>
              </w:rPr>
              <w:t>项目下料废气通过袋式除尘器进行处理，</w:t>
            </w:r>
            <w:r>
              <w:rPr>
                <w:rFonts w:hint="eastAsia" w:ascii="Times New Roman" w:hAnsi="Times New Roman" w:cs="Times New Roman"/>
                <w:b w:val="0"/>
                <w:bCs w:val="0"/>
                <w:kern w:val="2"/>
                <w:sz w:val="24"/>
                <w:szCs w:val="24"/>
                <w:highlight w:val="none"/>
                <w:vertAlign w:val="baseline"/>
                <w:lang w:val="en-US" w:eastAsia="zh-CN" w:bidi="ar-SA"/>
              </w:rPr>
              <w:t>参照</w:t>
            </w:r>
            <w:r>
              <w:rPr>
                <w:rFonts w:hint="default" w:ascii="Times New Roman" w:hAnsi="Times New Roman" w:eastAsia="宋体" w:cs="Times New Roman"/>
                <w:b w:val="0"/>
                <w:bCs w:val="0"/>
                <w:kern w:val="2"/>
                <w:sz w:val="24"/>
                <w:szCs w:val="24"/>
                <w:highlight w:val="none"/>
                <w:vertAlign w:val="baseline"/>
                <w:lang w:val="en-US" w:eastAsia="zh-CN" w:bidi="ar-SA"/>
              </w:rPr>
              <w:t>《</w:t>
            </w:r>
            <w:r>
              <w:rPr>
                <w:rFonts w:hint="eastAsia"/>
                <w:bCs/>
                <w:lang w:val="zh-CN"/>
              </w:rPr>
              <w:t>排放源统计调查产排污核算方法和系数手册</w:t>
            </w:r>
            <w:r>
              <w:rPr>
                <w:rFonts w:hint="eastAsia" w:ascii="Times New Roman" w:hAnsi="Times New Roman" w:eastAsia="宋体" w:cs="Times New Roman"/>
                <w:b w:val="0"/>
                <w:bCs w:val="0"/>
                <w:kern w:val="2"/>
                <w:sz w:val="24"/>
                <w:szCs w:val="24"/>
                <w:highlight w:val="none"/>
                <w:vertAlign w:val="baseline"/>
                <w:lang w:val="en-US" w:eastAsia="zh-CN" w:bidi="ar-SA"/>
              </w:rPr>
              <w:t>33~37、431~434机械行业系数手册</w:t>
            </w:r>
            <w:r>
              <w:rPr>
                <w:rFonts w:hint="default" w:ascii="Times New Roman" w:hAnsi="Times New Roman" w:eastAsia="宋体" w:cs="Times New Roman"/>
                <w:b w:val="0"/>
                <w:bCs w:val="0"/>
                <w:kern w:val="2"/>
                <w:sz w:val="24"/>
                <w:szCs w:val="24"/>
                <w:highlight w:val="none"/>
                <w:vertAlign w:val="baseline"/>
                <w:lang w:val="en-US" w:eastAsia="zh-CN" w:bidi="ar-SA"/>
              </w:rPr>
              <w:t>》中</w:t>
            </w:r>
            <w:r>
              <w:rPr>
                <w:rFonts w:hint="eastAsia" w:ascii="Times New Roman" w:hAnsi="Times New Roman" w:eastAsia="宋体" w:cs="Times New Roman"/>
                <w:b w:val="0"/>
                <w:bCs w:val="0"/>
                <w:kern w:val="2"/>
                <w:sz w:val="24"/>
                <w:szCs w:val="24"/>
                <w:highlight w:val="none"/>
                <w:vertAlign w:val="baseline"/>
                <w:lang w:val="en-US" w:eastAsia="zh-CN" w:bidi="ar-SA"/>
              </w:rPr>
              <w:t>“</w:t>
            </w:r>
            <w:r>
              <w:rPr>
                <w:rFonts w:hint="eastAsia" w:ascii="Times New Roman" w:hAnsi="Times New Roman" w:cs="Times New Roman"/>
                <w:b w:val="0"/>
                <w:bCs w:val="0"/>
                <w:kern w:val="2"/>
                <w:sz w:val="24"/>
                <w:szCs w:val="24"/>
                <w:highlight w:val="none"/>
                <w:vertAlign w:val="baseline"/>
                <w:lang w:val="en-US" w:eastAsia="zh-CN" w:bidi="ar-SA"/>
              </w:rPr>
              <w:t>04下料</w:t>
            </w:r>
            <w:r>
              <w:rPr>
                <w:rFonts w:hint="eastAsia" w:ascii="Times New Roman" w:hAnsi="Times New Roman" w:eastAsia="宋体" w:cs="Times New Roman"/>
                <w:b w:val="0"/>
                <w:bCs w:val="0"/>
                <w:kern w:val="2"/>
                <w:sz w:val="24"/>
                <w:szCs w:val="24"/>
                <w:highlight w:val="none"/>
                <w:vertAlign w:val="baseline"/>
                <w:lang w:val="en-US" w:eastAsia="zh-CN" w:bidi="ar-SA"/>
              </w:rPr>
              <w:t>，袋式除尘，末端处理效率为95%”</w:t>
            </w:r>
            <w:r>
              <w:rPr>
                <w:rFonts w:hint="default" w:ascii="Times New Roman" w:hAnsi="Times New Roman" w:eastAsia="宋体" w:cs="Times New Roman"/>
                <w:b w:val="0"/>
                <w:bCs w:val="0"/>
                <w:kern w:val="2"/>
                <w:sz w:val="24"/>
                <w:szCs w:val="24"/>
                <w:highlight w:val="none"/>
                <w:vertAlign w:val="baseline"/>
                <w:lang w:val="en-US" w:eastAsia="zh-CN" w:bidi="ar-SA"/>
              </w:rPr>
              <w:t>。</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本项目下料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废气处理装置处理效率取95%。</w:t>
            </w:r>
          </w:p>
          <w:p w14:paraId="626AB903">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eastAsia="宋体"/>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项目</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喷塑</w:t>
            </w:r>
            <w:r>
              <w:rPr>
                <w:rFonts w:hint="eastAsia" w:ascii="Times New Roman" w:hAnsi="Times New Roman" w:cs="Times New Roman"/>
                <w:b w:val="0"/>
                <w:bCs w:val="0"/>
                <w:color w:val="000000" w:themeColor="text1"/>
                <w:kern w:val="2"/>
                <w:sz w:val="24"/>
                <w:szCs w:val="24"/>
                <w:highlight w:val="none"/>
                <w:vertAlign w:val="baseline"/>
                <w:lang w:val="en-US" w:eastAsia="zh-CN" w:bidi="ar-SA"/>
                <w14:textFill>
                  <w14:solidFill>
                    <w14:schemeClr w14:val="tx1"/>
                  </w14:solidFill>
                </w14:textFill>
              </w:rPr>
              <w:t>废气</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采用设备自带旋风+二级滤芯</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处理。参照</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r>
              <w:rPr>
                <w:rFonts w:hint="eastAsia"/>
                <w:bCs/>
                <w:color w:val="000000" w:themeColor="text1"/>
                <w:lang w:val="zh-CN"/>
                <w14:textFill>
                  <w14:solidFill>
                    <w14:schemeClr w14:val="tx1"/>
                  </w14:solidFill>
                </w14:textFill>
              </w:rPr>
              <w:t>排放源统计调查产排污核算方法和系数手册</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213金属家具制造行业系数手册》中2130金属家具制造行业系数表</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其他</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滤芯</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，末端处理效率为90%</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r>
              <w:rPr>
                <w:rFonts w:hint="eastAsia" w:cs="Times New Roman"/>
                <w:b w:val="0"/>
                <w:bCs w:val="0"/>
                <w:color w:val="000000" w:themeColor="text1"/>
                <w:kern w:val="2"/>
                <w:sz w:val="24"/>
                <w:szCs w:val="24"/>
                <w:highlight w:val="none"/>
                <w:vertAlign w:val="baseline"/>
                <w:lang w:val="en-US" w:eastAsia="zh-CN" w:bidi="ar-SA"/>
                <w14:textFill>
                  <w14:solidFill>
                    <w14:schemeClr w14:val="tx1"/>
                  </w14:solidFill>
                </w14:textFill>
              </w:rPr>
              <w:t>一</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级</w:t>
            </w:r>
            <w:r>
              <w:rPr>
                <w:rFonts w:hint="eastAsia" w:cs="Times New Roman"/>
                <w:b w:val="0"/>
                <w:bCs w:val="0"/>
                <w:color w:val="000000" w:themeColor="text1"/>
                <w:kern w:val="2"/>
                <w:sz w:val="24"/>
                <w:szCs w:val="24"/>
                <w:highlight w:val="none"/>
                <w:vertAlign w:val="baseline"/>
                <w:lang w:val="en-US" w:eastAsia="zh-CN" w:bidi="ar-SA"/>
                <w14:textFill>
                  <w14:solidFill>
                    <w14:schemeClr w14:val="tx1"/>
                  </w14:solidFill>
                </w14:textFill>
              </w:rPr>
              <w:t>滤芯</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处理效率为90%</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，二级</w:t>
            </w:r>
            <w:r>
              <w:rPr>
                <w:rFonts w:hint="eastAsia" w:cs="Times New Roman"/>
                <w:b w:val="0"/>
                <w:bCs w:val="0"/>
                <w:color w:val="000000" w:themeColor="text1"/>
                <w:kern w:val="2"/>
                <w:sz w:val="24"/>
                <w:szCs w:val="24"/>
                <w:highlight w:val="none"/>
                <w:vertAlign w:val="baseline"/>
                <w:lang w:val="en-US" w:eastAsia="zh-CN" w:bidi="ar-SA"/>
                <w14:textFill>
                  <w14:solidFill>
                    <w14:schemeClr w14:val="tx1"/>
                  </w14:solidFill>
                </w14:textFill>
              </w:rPr>
              <w:t>滤芯</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处理效率</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则为99%，</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项目采自带旋风+二级滤芯</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处理，考虑滤芯</w:t>
            </w:r>
            <w:r>
              <w:rPr>
                <w:rFonts w:hint="default" w:ascii="Times New Roman" w:hAnsi="Times New Roman" w:eastAsia="宋体" w:cs="Times New Roman"/>
                <w:color w:val="000000" w:themeColor="text1"/>
                <w:sz w:val="24"/>
                <w:szCs w:val="24"/>
                <w14:textFill>
                  <w14:solidFill>
                    <w14:schemeClr w14:val="tx1"/>
                  </w14:solidFill>
                </w14:textFill>
              </w:rPr>
              <w:t>损耗等因素</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综合处理</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效率取9</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p>
          <w:p w14:paraId="58AFA83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eastAsia="宋体"/>
                <w:b w:val="0"/>
                <w:bCs w:val="0"/>
                <w:color w:val="auto"/>
                <w:lang w:val="en-US" w:eastAsia="zh-CN"/>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喷塑后</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固化废气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、注塑废气</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采用二级活性炭吸附装置进行处理，根据《吸附法工业有机废气治理工程技术规范》中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6.1.3 吸附装置的净化效率不得低于90%</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”，本项目喷塑后</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固化废气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废气处理装置</w:t>
            </w:r>
            <w:r>
              <w:rPr>
                <w:rFonts w:hint="eastAsia" w:ascii="Times New Roman" w:hAnsi="Times New Roman" w:eastAsia="宋体" w:cs="Times New Roman"/>
                <w:b w:val="0"/>
                <w:bCs w:val="0"/>
                <w:color w:val="auto"/>
                <w:sz w:val="24"/>
                <w:szCs w:val="24"/>
                <w:lang w:val="en-US" w:eastAsia="zh-CN"/>
              </w:rPr>
              <w:t>处理效率取90%</w:t>
            </w:r>
            <w:r>
              <w:rPr>
                <w:rFonts w:hint="eastAsia" w:eastAsia="宋体"/>
                <w:b w:val="0"/>
                <w:bCs w:val="0"/>
                <w:color w:val="auto"/>
                <w:lang w:val="en-US" w:eastAsia="zh-CN"/>
              </w:rPr>
              <w:t>。</w:t>
            </w:r>
          </w:p>
          <w:p w14:paraId="210981B9">
            <w:pPr>
              <w:spacing w:line="360" w:lineRule="auto"/>
              <w:ind w:firstLine="480" w:firstLineChars="200"/>
              <w:jc w:val="both"/>
              <w:rPr>
                <w:rFonts w:hint="default"/>
                <w:b w:val="0"/>
                <w:bCs/>
                <w:color w:val="auto"/>
                <w:lang w:val="en-US" w:eastAsia="zh-CN"/>
              </w:rPr>
            </w:pPr>
            <w:r>
              <w:rPr>
                <w:rFonts w:hint="eastAsia" w:cs="Times New Roman"/>
                <w:b w:val="0"/>
                <w:bCs w:val="0"/>
                <w:kern w:val="2"/>
                <w:sz w:val="24"/>
                <w:szCs w:val="24"/>
                <w:highlight w:val="none"/>
                <w:vertAlign w:val="baseline"/>
                <w:lang w:val="en-US" w:eastAsia="zh-CN" w:bidi="ar-SA"/>
              </w:rPr>
              <w:t>项目焊接废气、打磨废气采用移动式烟尘净化器处理</w:t>
            </w:r>
            <w:r>
              <w:rPr>
                <w:rFonts w:hint="eastAsia"/>
                <w:b w:val="0"/>
                <w:bCs/>
                <w:color w:val="auto"/>
                <w:lang w:val="en-US" w:eastAsia="zh-CN"/>
              </w:rPr>
              <w:t>。</w:t>
            </w:r>
            <w:r>
              <w:rPr>
                <w:rFonts w:hint="eastAsia" w:ascii="Times New Roman" w:hAnsi="Times New Roman" w:cs="Times New Roman"/>
                <w:b w:val="0"/>
                <w:bCs w:val="0"/>
                <w:kern w:val="2"/>
                <w:sz w:val="24"/>
                <w:szCs w:val="24"/>
                <w:highlight w:val="none"/>
                <w:vertAlign w:val="baseline"/>
                <w:lang w:val="en-US" w:eastAsia="zh-CN" w:bidi="ar-SA"/>
              </w:rPr>
              <w:t>参照</w:t>
            </w:r>
            <w:r>
              <w:rPr>
                <w:rFonts w:hint="default" w:ascii="Times New Roman" w:hAnsi="Times New Roman" w:eastAsia="宋体" w:cs="Times New Roman"/>
                <w:b w:val="0"/>
                <w:bCs w:val="0"/>
                <w:kern w:val="2"/>
                <w:sz w:val="24"/>
                <w:szCs w:val="24"/>
                <w:highlight w:val="none"/>
                <w:vertAlign w:val="baseline"/>
                <w:lang w:val="en-US" w:eastAsia="zh-CN" w:bidi="ar-SA"/>
              </w:rPr>
              <w:t>《</w:t>
            </w:r>
            <w:r>
              <w:rPr>
                <w:rFonts w:hint="eastAsia"/>
                <w:bCs/>
                <w:lang w:val="zh-CN"/>
              </w:rPr>
              <w:t>排放源统计调查产排污核算方法和系数手册</w:t>
            </w:r>
            <w:r>
              <w:rPr>
                <w:rFonts w:hint="eastAsia" w:ascii="Times New Roman" w:hAnsi="Times New Roman" w:eastAsia="宋体" w:cs="Times New Roman"/>
                <w:b w:val="0"/>
                <w:bCs w:val="0"/>
                <w:kern w:val="2"/>
                <w:sz w:val="24"/>
                <w:szCs w:val="24"/>
                <w:highlight w:val="none"/>
                <w:vertAlign w:val="baseline"/>
                <w:lang w:val="en-US" w:eastAsia="zh-CN" w:bidi="ar-SA"/>
              </w:rPr>
              <w:t>33~37、431~434机械行业系数手册</w:t>
            </w:r>
            <w:r>
              <w:rPr>
                <w:rFonts w:hint="default" w:ascii="Times New Roman" w:hAnsi="Times New Roman" w:eastAsia="宋体" w:cs="Times New Roman"/>
                <w:b w:val="0"/>
                <w:bCs w:val="0"/>
                <w:kern w:val="2"/>
                <w:sz w:val="24"/>
                <w:szCs w:val="24"/>
                <w:highlight w:val="none"/>
                <w:vertAlign w:val="baseline"/>
                <w:lang w:val="en-US" w:eastAsia="zh-CN" w:bidi="ar-SA"/>
              </w:rPr>
              <w:t>》中</w:t>
            </w:r>
            <w:r>
              <w:rPr>
                <w:rFonts w:hint="eastAsia" w:ascii="Times New Roman" w:hAnsi="Times New Roman" w:eastAsia="宋体" w:cs="Times New Roman"/>
                <w:b w:val="0"/>
                <w:bCs w:val="0"/>
                <w:kern w:val="2"/>
                <w:sz w:val="24"/>
                <w:szCs w:val="24"/>
                <w:highlight w:val="none"/>
                <w:vertAlign w:val="baseline"/>
                <w:lang w:val="en-US" w:eastAsia="zh-CN" w:bidi="ar-SA"/>
              </w:rPr>
              <w:t>“</w:t>
            </w:r>
            <w:r>
              <w:rPr>
                <w:rFonts w:hint="eastAsia" w:ascii="Times New Roman" w:hAnsi="Times New Roman" w:cs="Times New Roman"/>
                <w:b w:val="0"/>
                <w:bCs w:val="0"/>
                <w:kern w:val="2"/>
                <w:sz w:val="24"/>
                <w:szCs w:val="24"/>
                <w:highlight w:val="none"/>
                <w:vertAlign w:val="baseline"/>
                <w:lang w:val="en-US" w:eastAsia="zh-CN" w:bidi="ar-SA"/>
              </w:rPr>
              <w:t>09焊接</w:t>
            </w:r>
            <w:r>
              <w:rPr>
                <w:rFonts w:hint="eastAsia" w:ascii="Times New Roman" w:hAnsi="Times New Roman" w:eastAsia="宋体" w:cs="Times New Roman"/>
                <w:b w:val="0"/>
                <w:bCs w:val="0"/>
                <w:kern w:val="2"/>
                <w:sz w:val="24"/>
                <w:szCs w:val="24"/>
                <w:highlight w:val="none"/>
                <w:vertAlign w:val="baseline"/>
                <w:lang w:val="en-US" w:eastAsia="zh-CN" w:bidi="ar-SA"/>
              </w:rPr>
              <w:t>，其他（</w:t>
            </w:r>
            <w:r>
              <w:rPr>
                <w:rFonts w:hint="eastAsia"/>
                <w:b w:val="0"/>
                <w:bCs/>
                <w:color w:val="auto"/>
                <w:lang w:val="en-US" w:eastAsia="zh-CN"/>
              </w:rPr>
              <w:t>移动式烟尘净化器</w:t>
            </w:r>
            <w:r>
              <w:rPr>
                <w:rFonts w:hint="eastAsia" w:ascii="Times New Roman" w:hAnsi="Times New Roman" w:eastAsia="宋体" w:cs="Times New Roman"/>
                <w:b w:val="0"/>
                <w:bCs w:val="0"/>
                <w:kern w:val="2"/>
                <w:sz w:val="24"/>
                <w:szCs w:val="24"/>
                <w:highlight w:val="none"/>
                <w:vertAlign w:val="baseline"/>
                <w:lang w:val="en-US" w:eastAsia="zh-CN" w:bidi="ar-SA"/>
              </w:rPr>
              <w:t>），末端处理效率为95%”</w:t>
            </w:r>
            <w:r>
              <w:rPr>
                <w:rFonts w:hint="default" w:ascii="Times New Roman" w:hAnsi="Times New Roman" w:eastAsia="宋体" w:cs="Times New Roman"/>
                <w:b w:val="0"/>
                <w:bCs w:val="0"/>
                <w:kern w:val="2"/>
                <w:sz w:val="24"/>
                <w:szCs w:val="24"/>
                <w:highlight w:val="none"/>
                <w:vertAlign w:val="baseline"/>
                <w:lang w:val="en-US" w:eastAsia="zh-CN" w:bidi="ar-SA"/>
              </w:rPr>
              <w:t>。</w:t>
            </w:r>
            <w:r>
              <w:rPr>
                <w:rFonts w:hint="eastAsia" w:ascii="Times New Roman" w:hAnsi="Times New Roman" w:eastAsia="宋体" w:cs="Times New Roman"/>
                <w:b w:val="0"/>
                <w:bCs w:val="0"/>
                <w:sz w:val="24"/>
                <w:szCs w:val="24"/>
                <w:lang w:val="en-US" w:eastAsia="zh-CN"/>
              </w:rPr>
              <w:t>本项目</w:t>
            </w:r>
            <w:r>
              <w:rPr>
                <w:rFonts w:hint="eastAsia"/>
                <w:b w:val="0"/>
                <w:bCs/>
                <w:color w:val="auto"/>
                <w:lang w:val="en-US" w:eastAsia="zh-CN"/>
              </w:rPr>
              <w:t>焊接、打磨废气</w:t>
            </w:r>
            <w:r>
              <w:rPr>
                <w:rFonts w:hint="eastAsia" w:ascii="Times New Roman" w:hAnsi="Times New Roman" w:eastAsia="宋体" w:cs="Times New Roman"/>
                <w:b w:val="0"/>
                <w:bCs w:val="0"/>
                <w:sz w:val="24"/>
                <w:szCs w:val="24"/>
                <w:lang w:val="en-US" w:eastAsia="zh-CN"/>
              </w:rPr>
              <w:t>处理装置处理效率取95%。</w:t>
            </w:r>
          </w:p>
          <w:p w14:paraId="09ADA153">
            <w:pPr>
              <w:spacing w:line="360" w:lineRule="auto"/>
              <w:ind w:firstLine="482" w:firstLineChars="200"/>
              <w:jc w:val="both"/>
              <w:rPr>
                <w:rFonts w:hint="eastAsia"/>
                <w:b/>
                <w:color w:val="auto"/>
                <w:lang w:val="en-US" w:eastAsia="zh-CN"/>
              </w:rPr>
            </w:pPr>
            <w:r>
              <w:rPr>
                <w:rFonts w:hint="eastAsia"/>
                <w:b/>
                <w:color w:val="auto"/>
                <w:lang w:val="en-US" w:eastAsia="zh-CN"/>
              </w:rPr>
              <w:t>风量设计：</w:t>
            </w:r>
          </w:p>
          <w:p w14:paraId="3688AA48">
            <w:pPr>
              <w:keepNext w:val="0"/>
              <w:keepLines w:val="0"/>
              <w:pageBreakBefore w:val="0"/>
              <w:kinsoku/>
              <w:wordWrap/>
              <w:overflowPunct/>
              <w:topLinePunct w:val="0"/>
              <w:autoSpaceDE/>
              <w:autoSpaceDN/>
              <w:bidi w:val="0"/>
              <w:spacing w:line="360" w:lineRule="auto"/>
              <w:ind w:firstLine="480" w:firstLineChars="200"/>
              <w:jc w:val="both"/>
              <w:textAlignment w:val="auto"/>
              <w:rPr>
                <w:rFonts w:cs="Times New Roman"/>
                <w:sz w:val="24"/>
                <w:szCs w:val="24"/>
              </w:rPr>
            </w:pPr>
            <w:r>
              <w:rPr>
                <w:rFonts w:hint="default" w:cs="Times New Roman"/>
                <w:b w:val="0"/>
                <w:bCs w:val="0"/>
                <w:color w:val="auto"/>
                <w:kern w:val="2"/>
                <w:sz w:val="24"/>
                <w:szCs w:val="24"/>
                <w:lang w:val="en-US" w:eastAsia="zh-CN" w:bidi="ar-SA"/>
              </w:rPr>
              <w:t>根据《三废处理工程技术手册》</w:t>
            </w:r>
            <w:r>
              <w:rPr>
                <w:rFonts w:hint="eastAsia" w:cs="Times New Roman"/>
                <w:b w:val="0"/>
                <w:bCs w:val="0"/>
                <w:color w:val="auto"/>
                <w:kern w:val="2"/>
                <w:sz w:val="24"/>
                <w:szCs w:val="24"/>
                <w:lang w:val="en-US" w:eastAsia="zh-CN" w:bidi="ar-SA"/>
              </w:rPr>
              <w:t>（</w:t>
            </w:r>
            <w:r>
              <w:rPr>
                <w:rFonts w:hint="default" w:cs="Times New Roman"/>
                <w:b w:val="0"/>
                <w:bCs w:val="0"/>
                <w:color w:val="auto"/>
                <w:kern w:val="2"/>
                <w:sz w:val="24"/>
                <w:szCs w:val="24"/>
                <w:lang w:val="en-US" w:eastAsia="zh-CN" w:bidi="ar-SA"/>
              </w:rPr>
              <w:t>废气卷</w:t>
            </w:r>
            <w:r>
              <w:rPr>
                <w:rFonts w:hint="eastAsia" w:cs="Times New Roman"/>
                <w:b w:val="0"/>
                <w:bCs w:val="0"/>
                <w:color w:val="auto"/>
                <w:kern w:val="2"/>
                <w:sz w:val="24"/>
                <w:szCs w:val="24"/>
                <w:lang w:val="en-US" w:eastAsia="zh-CN" w:bidi="ar-SA"/>
              </w:rPr>
              <w:t>）</w:t>
            </w:r>
            <w:r>
              <w:rPr>
                <w:rFonts w:hint="default" w:cs="Times New Roman"/>
                <w:b w:val="0"/>
                <w:bCs w:val="0"/>
                <w:color w:val="auto"/>
                <w:kern w:val="2"/>
                <w:sz w:val="24"/>
                <w:szCs w:val="24"/>
                <w:lang w:val="en-US" w:eastAsia="zh-CN" w:bidi="ar-SA"/>
              </w:rPr>
              <w:t>中</w:t>
            </w:r>
            <w:r>
              <w:rPr>
                <w:rFonts w:hint="eastAsia" w:cs="Times New Roman"/>
                <w:b w:val="0"/>
                <w:bCs w:val="0"/>
                <w:color w:val="auto"/>
                <w:kern w:val="2"/>
                <w:sz w:val="24"/>
                <w:szCs w:val="24"/>
                <w:lang w:val="en-US" w:eastAsia="zh-CN" w:bidi="ar-SA"/>
              </w:rPr>
              <w:t>半密闭</w:t>
            </w:r>
            <w:r>
              <w:rPr>
                <w:rFonts w:hint="default" w:cs="Times New Roman"/>
                <w:b w:val="0"/>
                <w:bCs w:val="0"/>
                <w:color w:val="auto"/>
                <w:kern w:val="2"/>
                <w:sz w:val="24"/>
                <w:szCs w:val="24"/>
                <w:lang w:val="en-US" w:eastAsia="zh-CN" w:bidi="ar-SA"/>
              </w:rPr>
              <w:t>集气罩风量确定，风量计算</w:t>
            </w:r>
            <w:r>
              <w:rPr>
                <w:rFonts w:hint="default" w:ascii="Times New Roman" w:hAnsi="Times New Roman" w:eastAsia="宋体" w:cs="Times New Roman"/>
                <w:b w:val="0"/>
                <w:bCs w:val="0"/>
                <w:color w:val="auto"/>
                <w:kern w:val="2"/>
                <w:sz w:val="24"/>
                <w:szCs w:val="24"/>
                <w:lang w:val="en-US" w:eastAsia="zh-CN" w:bidi="ar-SA"/>
              </w:rPr>
              <w:t>公式如下：</w:t>
            </w:r>
          </w:p>
          <w:p w14:paraId="5E82C831">
            <w:pPr>
              <w:pStyle w:val="75"/>
              <w:spacing w:line="360" w:lineRule="auto"/>
              <w:ind w:firstLine="0"/>
              <w:jc w:val="center"/>
              <w:rPr>
                <w:rFonts w:cs="Times New Roman"/>
                <w:sz w:val="24"/>
                <w:szCs w:val="24"/>
              </w:rPr>
            </w:pPr>
            <w:r>
              <w:rPr>
                <w:rFonts w:cs="Times New Roman"/>
                <w:position w:val="-10"/>
                <w:sz w:val="24"/>
                <w:szCs w:val="24"/>
              </w:rPr>
              <w:object>
                <v:shape id="_x0000_i1025" o:spt="75" type="#_x0000_t75" style="height:18pt;width:1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p>
          <w:p w14:paraId="3A876F57">
            <w:pPr>
              <w:pStyle w:val="75"/>
              <w:spacing w:line="360" w:lineRule="auto"/>
              <w:ind w:firstLineChars="200"/>
              <w:rPr>
                <w:rFonts w:cs="Times New Roman"/>
                <w:sz w:val="24"/>
                <w:szCs w:val="24"/>
              </w:rPr>
            </w:pPr>
            <w:r>
              <w:rPr>
                <w:rFonts w:cs="Times New Roman"/>
                <w:sz w:val="24"/>
                <w:szCs w:val="24"/>
              </w:rPr>
              <w:t>式中：Q----集气罩排风量；m</w:t>
            </w:r>
            <w:r>
              <w:rPr>
                <w:rFonts w:cs="Times New Roman"/>
                <w:sz w:val="24"/>
                <w:szCs w:val="24"/>
                <w:vertAlign w:val="superscript"/>
              </w:rPr>
              <w:t>3</w:t>
            </w:r>
            <w:r>
              <w:rPr>
                <w:rFonts w:cs="Times New Roman"/>
                <w:sz w:val="24"/>
                <w:szCs w:val="24"/>
              </w:rPr>
              <w:t>/s；</w:t>
            </w:r>
          </w:p>
          <w:p w14:paraId="37A9CDA3">
            <w:pPr>
              <w:pStyle w:val="75"/>
              <w:spacing w:line="360" w:lineRule="auto"/>
              <w:ind w:firstLine="1200" w:firstLineChars="500"/>
              <w:rPr>
                <w:rFonts w:cs="Times New Roman"/>
                <w:sz w:val="24"/>
                <w:szCs w:val="24"/>
              </w:rPr>
            </w:pPr>
            <w:r>
              <w:rPr>
                <w:rFonts w:cs="Times New Roman"/>
                <w:sz w:val="24"/>
                <w:szCs w:val="24"/>
              </w:rPr>
              <w:t>x-----污染物产生点至罩口的距离；m；本项目取</w:t>
            </w:r>
            <w:r>
              <w:rPr>
                <w:rFonts w:hint="eastAsia" w:cs="Times New Roman"/>
                <w:sz w:val="24"/>
                <w:szCs w:val="24"/>
              </w:rPr>
              <w:t>0.</w:t>
            </w:r>
            <w:r>
              <w:rPr>
                <w:rFonts w:hint="eastAsia" w:cs="Times New Roman"/>
                <w:sz w:val="24"/>
                <w:szCs w:val="24"/>
                <w:lang w:val="en-US" w:eastAsia="zh-CN"/>
              </w:rPr>
              <w:t>4</w:t>
            </w:r>
            <w:r>
              <w:rPr>
                <w:rFonts w:cs="Times New Roman"/>
                <w:sz w:val="24"/>
                <w:szCs w:val="24"/>
              </w:rPr>
              <w:t>m；</w:t>
            </w:r>
          </w:p>
          <w:p w14:paraId="222A0CEA">
            <w:pPr>
              <w:pStyle w:val="75"/>
              <w:spacing w:line="360" w:lineRule="auto"/>
              <w:ind w:firstLine="1200" w:firstLineChars="500"/>
              <w:rPr>
                <w:rFonts w:cs="Times New Roman"/>
                <w:sz w:val="24"/>
                <w:szCs w:val="24"/>
              </w:rPr>
            </w:pPr>
            <w:r>
              <w:rPr>
                <w:rFonts w:cs="Times New Roman"/>
                <w:sz w:val="24"/>
                <w:szCs w:val="24"/>
              </w:rPr>
              <w:t>A----罩口面积，m</w:t>
            </w:r>
            <w:r>
              <w:rPr>
                <w:rFonts w:cs="Times New Roman"/>
                <w:sz w:val="24"/>
                <w:szCs w:val="24"/>
                <w:vertAlign w:val="superscript"/>
              </w:rPr>
              <w:t>2</w:t>
            </w:r>
            <w:r>
              <w:rPr>
                <w:rFonts w:cs="Times New Roman"/>
                <w:sz w:val="24"/>
                <w:szCs w:val="24"/>
              </w:rPr>
              <w:t>；</w:t>
            </w:r>
          </w:p>
          <w:p w14:paraId="5D330E31">
            <w:pPr>
              <w:pStyle w:val="75"/>
              <w:spacing w:line="360" w:lineRule="auto"/>
              <w:ind w:firstLine="1200" w:firstLineChars="500"/>
              <w:rPr>
                <w:rFonts w:hint="default" w:eastAsia="宋体" w:cs="Times New Roman"/>
                <w:sz w:val="24"/>
                <w:szCs w:val="24"/>
                <w:lang w:val="en-US" w:eastAsia="zh-CN"/>
              </w:rPr>
            </w:pPr>
            <w:r>
              <w:rPr>
                <w:rFonts w:cs="Times New Roman"/>
                <w:sz w:val="24"/>
                <w:szCs w:val="24"/>
              </w:rPr>
              <w:t>v</w:t>
            </w:r>
            <w:r>
              <w:rPr>
                <w:rFonts w:cs="Times New Roman"/>
                <w:sz w:val="24"/>
                <w:szCs w:val="24"/>
                <w:vertAlign w:val="subscript"/>
              </w:rPr>
              <w:t>x</w:t>
            </w:r>
            <w:r>
              <w:rPr>
                <w:rFonts w:cs="Times New Roman"/>
                <w:sz w:val="24"/>
                <w:szCs w:val="24"/>
              </w:rPr>
              <w:t>----最小控制风速，m/s，一般取0.25~0.5m/s，</w:t>
            </w:r>
            <w:r>
              <w:rPr>
                <w:rFonts w:hint="eastAsia" w:cs="Times New Roman"/>
                <w:b w:val="0"/>
                <w:bCs w:val="0"/>
                <w:color w:val="000000" w:themeColor="text1"/>
                <w:kern w:val="2"/>
                <w:sz w:val="24"/>
                <w:szCs w:val="24"/>
                <w:highlight w:val="none"/>
                <w:vertAlign w:val="baseline"/>
                <w:lang w:val="en-US" w:eastAsia="zh-CN" w:bidi="ar-SA"/>
                <w14:textFill>
                  <w14:solidFill>
                    <w14:schemeClr w14:val="tx1"/>
                  </w14:solidFill>
                </w14:textFill>
              </w:rPr>
              <w:t>由于金属颗粒物比重大，较难收集，因此本次项目下料工序取最大值</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0.</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m/s</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其他工序取0.4</w:t>
            </w:r>
            <w:r>
              <w:rPr>
                <w:rFonts w:hint="default"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m/s</w:t>
            </w:r>
            <w:r>
              <w:rPr>
                <w:rFonts w:hint="eastAsia" w:ascii="Times New Roman" w:hAnsi="Times New Roman" w:eastAsia="宋体" w:cs="Times New Roman"/>
                <w:b w:val="0"/>
                <w:bCs w:val="0"/>
                <w:color w:val="000000" w:themeColor="text1"/>
                <w:kern w:val="2"/>
                <w:sz w:val="24"/>
                <w:szCs w:val="24"/>
                <w:highlight w:val="none"/>
                <w:vertAlign w:val="baseline"/>
                <w:lang w:val="en-US" w:eastAsia="zh-CN" w:bidi="ar-SA"/>
                <w14:textFill>
                  <w14:solidFill>
                    <w14:schemeClr w14:val="tx1"/>
                  </w14:solidFill>
                </w14:textFill>
              </w:rPr>
              <w:t>。</w:t>
            </w:r>
          </w:p>
          <w:p w14:paraId="339AA015">
            <w:pPr>
              <w:pStyle w:val="7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lang w:val="en-US" w:eastAsia="zh-CN"/>
              </w:rPr>
            </w:pPr>
            <w:r>
              <w:rPr>
                <w:rFonts w:hint="eastAsia" w:cs="Times New Roman"/>
                <w:b/>
                <w:bCs/>
                <w:color w:val="auto"/>
                <w:kern w:val="2"/>
                <w:sz w:val="24"/>
                <w:szCs w:val="24"/>
                <w:lang w:val="en-US" w:eastAsia="zh-CN" w:bidi="ar-SA"/>
              </w:rPr>
              <w:t>下料</w:t>
            </w:r>
            <w:r>
              <w:rPr>
                <w:rFonts w:hint="eastAsia" w:eastAsia="宋体" w:cs="Times New Roman"/>
                <w:b/>
                <w:bCs/>
                <w:color w:val="auto"/>
                <w:kern w:val="2"/>
                <w:sz w:val="24"/>
                <w:szCs w:val="24"/>
                <w:lang w:val="en-US" w:eastAsia="zh-CN" w:bidi="ar-SA"/>
              </w:rPr>
              <w:t>：</w:t>
            </w:r>
            <w:r>
              <w:rPr>
                <w:rFonts w:cs="Times New Roman"/>
                <w:sz w:val="24"/>
                <w:szCs w:val="24"/>
              </w:rPr>
              <w:t>项目</w:t>
            </w:r>
            <w:r>
              <w:rPr>
                <w:rFonts w:hint="eastAsia" w:cs="Times New Roman"/>
                <w:sz w:val="24"/>
                <w:szCs w:val="24"/>
                <w:lang w:val="en-US" w:eastAsia="zh-CN"/>
              </w:rPr>
              <w:t>下料工序</w:t>
            </w:r>
            <w:r>
              <w:rPr>
                <w:rFonts w:cs="Times New Roman"/>
                <w:sz w:val="24"/>
                <w:szCs w:val="24"/>
              </w:rPr>
              <w:t>共设有</w:t>
            </w:r>
            <w:r>
              <w:rPr>
                <w:rFonts w:hint="eastAsia" w:cs="Times New Roman"/>
                <w:sz w:val="24"/>
                <w:szCs w:val="24"/>
                <w:lang w:val="en-US" w:eastAsia="zh-CN"/>
              </w:rPr>
              <w:t>6</w:t>
            </w:r>
            <w:r>
              <w:rPr>
                <w:rFonts w:cs="Times New Roman"/>
                <w:sz w:val="24"/>
                <w:szCs w:val="24"/>
              </w:rPr>
              <w:t>个集气罩，参数为：长×宽</w:t>
            </w:r>
            <w:r>
              <w:rPr>
                <w:rFonts w:hint="eastAsia" w:cs="Times New Roman"/>
                <w:sz w:val="24"/>
                <w:szCs w:val="24"/>
                <w:lang w:val="en-US" w:eastAsia="zh-CN"/>
              </w:rPr>
              <w:t>1</w:t>
            </w:r>
            <w:r>
              <w:rPr>
                <w:rFonts w:cs="Times New Roman"/>
                <w:sz w:val="24"/>
                <w:szCs w:val="24"/>
              </w:rPr>
              <w:t>m×</w:t>
            </w:r>
            <w:r>
              <w:rPr>
                <w:rFonts w:hint="eastAsia" w:cs="Times New Roman"/>
                <w:sz w:val="24"/>
                <w:szCs w:val="24"/>
                <w:lang w:val="en-US" w:eastAsia="zh-CN"/>
              </w:rPr>
              <w:t>1</w:t>
            </w:r>
            <w:r>
              <w:rPr>
                <w:rFonts w:cs="Times New Roman"/>
                <w:sz w:val="24"/>
                <w:szCs w:val="24"/>
              </w:rPr>
              <w:t>m，</w:t>
            </w:r>
            <w:r>
              <w:rPr>
                <w:rFonts w:hint="eastAsia" w:cs="Times New Roman"/>
                <w:sz w:val="24"/>
                <w:szCs w:val="24"/>
                <w:lang w:val="en-US" w:eastAsia="zh-CN"/>
              </w:rPr>
              <w:t>6</w:t>
            </w:r>
            <w:r>
              <w:rPr>
                <w:rFonts w:hint="eastAsia" w:cs="Times New Roman"/>
                <w:sz w:val="24"/>
                <w:szCs w:val="24"/>
              </w:rPr>
              <w:t>个</w:t>
            </w:r>
            <w:r>
              <w:rPr>
                <w:rFonts w:hint="eastAsia" w:cs="Times New Roman"/>
                <w:sz w:val="24"/>
                <w:szCs w:val="24"/>
                <w:lang w:eastAsia="zh-CN"/>
              </w:rPr>
              <w:t>，</w:t>
            </w:r>
            <w:r>
              <w:rPr>
                <w:rFonts w:cs="Times New Roman"/>
                <w:sz w:val="24"/>
                <w:szCs w:val="24"/>
              </w:rPr>
              <w:t>则集气罩口总面积为</w:t>
            </w:r>
            <w:r>
              <w:rPr>
                <w:rFonts w:hint="eastAsia" w:cs="Times New Roman"/>
                <w:sz w:val="24"/>
                <w:szCs w:val="24"/>
                <w:lang w:val="en-US" w:eastAsia="zh-CN"/>
              </w:rPr>
              <w:t>6</w:t>
            </w:r>
            <w:r>
              <w:rPr>
                <w:rFonts w:cs="Times New Roman"/>
                <w:sz w:val="24"/>
                <w:szCs w:val="24"/>
              </w:rPr>
              <w:t>m</w:t>
            </w:r>
            <w:r>
              <w:rPr>
                <w:rFonts w:cs="Times New Roman"/>
                <w:sz w:val="24"/>
                <w:szCs w:val="24"/>
                <w:vertAlign w:val="superscript"/>
              </w:rPr>
              <w:t>2</w:t>
            </w:r>
            <w:r>
              <w:rPr>
                <w:rFonts w:cs="Times New Roman"/>
                <w:sz w:val="24"/>
                <w:szCs w:val="24"/>
              </w:rPr>
              <w:t>。</w:t>
            </w:r>
          </w:p>
          <w:p w14:paraId="6D165569">
            <w:pPr>
              <w:keepNext w:val="0"/>
              <w:keepLines w:val="0"/>
              <w:widowControl/>
              <w:tabs>
                <w:tab w:val="left" w:pos="195"/>
              </w:tabs>
              <w:spacing w:line="360" w:lineRule="auto"/>
              <w:ind w:firstLine="482"/>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2"/>
                <w:sz w:val="24"/>
                <w:szCs w:val="24"/>
                <w:vertAlign w:val="baseline"/>
                <w:lang w:val="en-US" w:eastAsia="zh-CN" w:bidi="ar-SA"/>
              </w:rPr>
              <w:t>Q=0.75×（5×0.</w:t>
            </w:r>
            <w:r>
              <w:rPr>
                <w:rFonts w:hint="eastAsia" w:eastAsia="宋体"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w:t>
            </w:r>
            <w:r>
              <w:rPr>
                <w:rFonts w:hint="eastAsia" w:cs="Times New Roman"/>
                <w:b w:val="0"/>
                <w:bCs w:val="0"/>
                <w:color w:val="auto"/>
                <w:kern w:val="2"/>
                <w:sz w:val="24"/>
                <w:szCs w:val="24"/>
                <w:vertAlign w:val="baseline"/>
                <w:lang w:val="en-US" w:eastAsia="zh-CN" w:bidi="ar-SA"/>
              </w:rPr>
              <w:t>6</w:t>
            </w:r>
            <w:r>
              <w:rPr>
                <w:rFonts w:hint="default" w:ascii="Times New Roman" w:hAnsi="Times New Roman" w:eastAsia="宋体" w:cs="Times New Roman"/>
                <w:b w:val="0"/>
                <w:bCs w:val="0"/>
                <w:color w:val="auto"/>
                <w:kern w:val="2"/>
                <w:sz w:val="24"/>
                <w:szCs w:val="24"/>
                <w:vertAlign w:val="baseline"/>
                <w:lang w:val="en-US" w:eastAsia="zh-CN" w:bidi="ar-SA"/>
              </w:rPr>
              <w:t>）×0.</w:t>
            </w:r>
            <w:r>
              <w:rPr>
                <w:rFonts w:hint="eastAsia" w:ascii="Times New Roman" w:hAnsi="Times New Roman" w:eastAsia="宋体" w:cs="Times New Roman"/>
                <w:b w:val="0"/>
                <w:bCs w:val="0"/>
                <w:color w:val="auto"/>
                <w:kern w:val="2"/>
                <w:sz w:val="24"/>
                <w:szCs w:val="24"/>
                <w:vertAlign w:val="baseline"/>
                <w:lang w:val="en-US" w:eastAsia="zh-CN" w:bidi="ar-SA"/>
              </w:rPr>
              <w:t>5</w:t>
            </w:r>
            <w:r>
              <w:rPr>
                <w:rFonts w:hint="default" w:ascii="Times New Roman" w:hAnsi="Times New Roman" w:eastAsia="宋体" w:cs="Times New Roman"/>
                <w:b w:val="0"/>
                <w:bCs w:val="0"/>
                <w:color w:val="auto"/>
                <w:kern w:val="2"/>
                <w:sz w:val="24"/>
                <w:szCs w:val="24"/>
                <w:vertAlign w:val="baseline"/>
                <w:lang w:val="en-US" w:eastAsia="zh-CN" w:bidi="ar-SA"/>
              </w:rPr>
              <w:t>×3600=</w:t>
            </w:r>
            <w:r>
              <w:rPr>
                <w:rFonts w:hint="eastAsia" w:cs="Times New Roman"/>
                <w:b w:val="0"/>
                <w:bCs w:val="0"/>
                <w:color w:val="auto"/>
                <w:kern w:val="2"/>
                <w:sz w:val="24"/>
                <w:szCs w:val="24"/>
                <w:vertAlign w:val="baseline"/>
                <w:lang w:val="en-US" w:eastAsia="zh-CN" w:bidi="ar-SA"/>
              </w:rPr>
              <w:t>9180</w:t>
            </w:r>
            <w:r>
              <w:rPr>
                <w:rFonts w:hint="default" w:ascii="Times New Roman" w:hAnsi="Times New Roman" w:eastAsia="宋体" w:cs="Times New Roman"/>
                <w:b w:val="0"/>
                <w:bCs w:val="0"/>
                <w:color w:val="auto"/>
                <w:kern w:val="2"/>
                <w:sz w:val="24"/>
                <w:szCs w:val="24"/>
                <w:vertAlign w:val="baseline"/>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vertAlign w:val="baseline"/>
                <w:lang w:val="en-US" w:eastAsia="zh-CN" w:bidi="ar-SA"/>
              </w:rPr>
              <w:t>/h。</w:t>
            </w:r>
          </w:p>
          <w:p w14:paraId="53462B44">
            <w:pPr>
              <w:pStyle w:val="7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考虑风阻损耗等因素，项目</w:t>
            </w:r>
            <w:r>
              <w:rPr>
                <w:rFonts w:hint="eastAsia" w:cs="Times New Roman"/>
                <w:b w:val="0"/>
                <w:bCs w:val="0"/>
                <w:color w:val="auto"/>
                <w:kern w:val="2"/>
                <w:sz w:val="24"/>
                <w:szCs w:val="24"/>
                <w:vertAlign w:val="baseline"/>
                <w:lang w:val="en-US" w:eastAsia="zh-CN" w:bidi="ar-SA"/>
              </w:rPr>
              <w:t>下料工序</w:t>
            </w:r>
            <w:r>
              <w:rPr>
                <w:rFonts w:hint="eastAsia" w:ascii="Times New Roman" w:hAnsi="Times New Roman" w:cs="Times New Roman"/>
                <w:b w:val="0"/>
                <w:bCs w:val="0"/>
                <w:color w:val="auto"/>
                <w:kern w:val="2"/>
                <w:sz w:val="24"/>
                <w:szCs w:val="24"/>
                <w:vertAlign w:val="baseline"/>
                <w:lang w:val="en-US" w:eastAsia="zh-CN" w:bidi="ar-SA"/>
              </w:rPr>
              <w:t>设计风量为</w:t>
            </w:r>
            <w:r>
              <w:rPr>
                <w:rFonts w:hint="eastAsia" w:cs="Times New Roman"/>
                <w:b w:val="0"/>
                <w:bCs w:val="0"/>
                <w:color w:val="auto"/>
                <w:kern w:val="2"/>
                <w:sz w:val="24"/>
                <w:szCs w:val="24"/>
                <w:vertAlign w:val="baseline"/>
                <w:lang w:val="en-US" w:eastAsia="zh-CN" w:bidi="ar-SA"/>
              </w:rPr>
              <w:t>11000</w:t>
            </w:r>
            <w:r>
              <w:rPr>
                <w:rFonts w:hint="eastAsia" w:ascii="Times New Roman" w:hAnsi="Times New Roman" w:cs="Times New Roman"/>
                <w:b w:val="0"/>
                <w:bCs w:val="0"/>
                <w:color w:val="auto"/>
                <w:kern w:val="2"/>
                <w:sz w:val="24"/>
                <w:szCs w:val="24"/>
                <w:vertAlign w:val="baseline"/>
                <w:lang w:val="en-US" w:eastAsia="zh-CN" w:bidi="ar-SA"/>
              </w:rPr>
              <w:t>m</w:t>
            </w:r>
            <w:r>
              <w:rPr>
                <w:rFonts w:hint="eastAsia" w:ascii="Times New Roman" w:hAnsi="Times New Roman" w:cs="Times New Roman"/>
                <w:b w:val="0"/>
                <w:bCs w:val="0"/>
                <w:color w:val="auto"/>
                <w:kern w:val="2"/>
                <w:sz w:val="24"/>
                <w:szCs w:val="24"/>
                <w:vertAlign w:val="superscript"/>
                <w:lang w:val="en-US" w:eastAsia="zh-CN" w:bidi="ar-SA"/>
              </w:rPr>
              <w:t>3</w:t>
            </w:r>
            <w:r>
              <w:rPr>
                <w:rFonts w:hint="eastAsia" w:ascii="Times New Roman" w:hAnsi="Times New Roman" w:cs="Times New Roman"/>
                <w:b w:val="0"/>
                <w:bCs w:val="0"/>
                <w:color w:val="auto"/>
                <w:kern w:val="2"/>
                <w:sz w:val="24"/>
                <w:szCs w:val="24"/>
                <w:vertAlign w:val="baseline"/>
                <w:lang w:val="en-US" w:eastAsia="zh-CN" w:bidi="ar-SA"/>
              </w:rPr>
              <w:t>/h。</w:t>
            </w:r>
          </w:p>
          <w:p w14:paraId="058328EF">
            <w:pPr>
              <w:pStyle w:val="7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kern w:val="2"/>
                <w:sz w:val="24"/>
                <w:szCs w:val="24"/>
                <w:lang w:val="en-US" w:eastAsia="zh-CN" w:bidi="ar-SA"/>
              </w:rPr>
              <w:t>固化：</w:t>
            </w:r>
            <w:r>
              <w:rPr>
                <w:rFonts w:cs="Times New Roman"/>
                <w:sz w:val="24"/>
                <w:szCs w:val="24"/>
              </w:rPr>
              <w:t>项目</w:t>
            </w:r>
            <w:r>
              <w:rPr>
                <w:rFonts w:hint="eastAsia" w:cs="Times New Roman"/>
                <w:sz w:val="24"/>
                <w:szCs w:val="24"/>
                <w:lang w:val="en-US" w:eastAsia="zh-CN"/>
              </w:rPr>
              <w:t>固化工序</w:t>
            </w:r>
            <w:r>
              <w:rPr>
                <w:rFonts w:cs="Times New Roman"/>
                <w:sz w:val="24"/>
                <w:szCs w:val="24"/>
              </w:rPr>
              <w:t>共设有</w:t>
            </w:r>
            <w:r>
              <w:rPr>
                <w:rFonts w:hint="eastAsia" w:cs="Times New Roman"/>
                <w:sz w:val="24"/>
                <w:szCs w:val="24"/>
                <w:lang w:val="en-US" w:eastAsia="zh-CN"/>
              </w:rPr>
              <w:t>2</w:t>
            </w:r>
            <w:r>
              <w:rPr>
                <w:rFonts w:cs="Times New Roman"/>
                <w:sz w:val="24"/>
                <w:szCs w:val="24"/>
              </w:rPr>
              <w:t>个集气罩，参数为：长×宽</w:t>
            </w:r>
            <w:r>
              <w:rPr>
                <w:rFonts w:hint="eastAsia" w:cs="Times New Roman"/>
                <w:sz w:val="24"/>
                <w:szCs w:val="24"/>
                <w:lang w:val="en-US" w:eastAsia="zh-CN"/>
              </w:rPr>
              <w:t>2</w:t>
            </w:r>
            <w:r>
              <w:rPr>
                <w:rFonts w:cs="Times New Roman"/>
                <w:sz w:val="24"/>
                <w:szCs w:val="24"/>
              </w:rPr>
              <w:t>m×</w:t>
            </w:r>
            <w:r>
              <w:rPr>
                <w:rFonts w:hint="eastAsia" w:cs="Times New Roman"/>
                <w:sz w:val="24"/>
                <w:szCs w:val="24"/>
                <w:lang w:val="en-US" w:eastAsia="zh-CN"/>
              </w:rPr>
              <w:t>1.5</w:t>
            </w:r>
            <w:r>
              <w:rPr>
                <w:rFonts w:cs="Times New Roman"/>
                <w:sz w:val="24"/>
                <w:szCs w:val="24"/>
              </w:rPr>
              <w:t>m，</w:t>
            </w:r>
            <w:r>
              <w:rPr>
                <w:rFonts w:hint="eastAsia" w:cs="Times New Roman"/>
                <w:sz w:val="24"/>
                <w:szCs w:val="24"/>
                <w:lang w:val="en-US" w:eastAsia="zh-CN"/>
              </w:rPr>
              <w:t>2</w:t>
            </w:r>
            <w:r>
              <w:rPr>
                <w:rFonts w:hint="eastAsia" w:cs="Times New Roman"/>
                <w:sz w:val="24"/>
                <w:szCs w:val="24"/>
              </w:rPr>
              <w:t>个</w:t>
            </w:r>
            <w:r>
              <w:rPr>
                <w:rFonts w:hint="eastAsia" w:cs="Times New Roman"/>
                <w:sz w:val="24"/>
                <w:szCs w:val="24"/>
                <w:lang w:eastAsia="zh-CN"/>
              </w:rPr>
              <w:t>，</w:t>
            </w:r>
            <w:r>
              <w:rPr>
                <w:rFonts w:cs="Times New Roman"/>
                <w:sz w:val="24"/>
                <w:szCs w:val="24"/>
              </w:rPr>
              <w:t>则集气罩口总面积为</w:t>
            </w:r>
            <w:r>
              <w:rPr>
                <w:rFonts w:hint="eastAsia" w:cs="Times New Roman"/>
                <w:sz w:val="24"/>
                <w:szCs w:val="24"/>
                <w:lang w:val="en-US" w:eastAsia="zh-CN"/>
              </w:rPr>
              <w:t>6</w:t>
            </w:r>
            <w:r>
              <w:rPr>
                <w:rFonts w:cs="Times New Roman"/>
                <w:sz w:val="24"/>
                <w:szCs w:val="24"/>
              </w:rPr>
              <w:t>m</w:t>
            </w:r>
            <w:r>
              <w:rPr>
                <w:rFonts w:cs="Times New Roman"/>
                <w:sz w:val="24"/>
                <w:szCs w:val="24"/>
                <w:vertAlign w:val="superscript"/>
              </w:rPr>
              <w:t>2</w:t>
            </w:r>
            <w:r>
              <w:rPr>
                <w:rFonts w:cs="Times New Roman"/>
                <w:sz w:val="24"/>
                <w:szCs w:val="24"/>
              </w:rPr>
              <w:t>。</w:t>
            </w:r>
          </w:p>
          <w:p w14:paraId="342CEC30">
            <w:pPr>
              <w:keepNext w:val="0"/>
              <w:keepLines w:val="0"/>
              <w:widowControl/>
              <w:tabs>
                <w:tab w:val="left" w:pos="195"/>
              </w:tabs>
              <w:spacing w:line="360" w:lineRule="auto"/>
              <w:ind w:firstLine="482"/>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2"/>
                <w:sz w:val="24"/>
                <w:szCs w:val="24"/>
                <w:vertAlign w:val="baseline"/>
                <w:lang w:val="en-US" w:eastAsia="zh-CN" w:bidi="ar-SA"/>
              </w:rPr>
              <w:t>Q=0.75×（5×0.</w:t>
            </w:r>
            <w:r>
              <w:rPr>
                <w:rFonts w:hint="eastAsia" w:eastAsia="宋体"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w:t>
            </w:r>
            <w:r>
              <w:rPr>
                <w:rFonts w:hint="eastAsia" w:ascii="Times New Roman" w:hAnsi="Times New Roman" w:eastAsia="宋体" w:cs="Times New Roman"/>
                <w:b w:val="0"/>
                <w:bCs w:val="0"/>
                <w:color w:val="auto"/>
                <w:kern w:val="2"/>
                <w:sz w:val="24"/>
                <w:szCs w:val="24"/>
                <w:vertAlign w:val="baseline"/>
                <w:lang w:val="en-US" w:eastAsia="zh-CN" w:bidi="ar-SA"/>
              </w:rPr>
              <w:t>6</w:t>
            </w:r>
            <w:r>
              <w:rPr>
                <w:rFonts w:hint="default" w:ascii="Times New Roman" w:hAnsi="Times New Roman" w:eastAsia="宋体" w:cs="Times New Roman"/>
                <w:b w:val="0"/>
                <w:bCs w:val="0"/>
                <w:color w:val="auto"/>
                <w:kern w:val="2"/>
                <w:sz w:val="24"/>
                <w:szCs w:val="24"/>
                <w:vertAlign w:val="baseline"/>
                <w:lang w:val="en-US" w:eastAsia="zh-CN" w:bidi="ar-SA"/>
              </w:rPr>
              <w:t>）×0.</w:t>
            </w:r>
            <w:r>
              <w:rPr>
                <w:rFonts w:hint="eastAsia" w:ascii="Times New Roman" w:hAnsi="Times New Roman" w:eastAsia="宋体"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baseline"/>
                <w:lang w:val="en-US" w:eastAsia="zh-CN" w:bidi="ar-SA"/>
              </w:rPr>
              <w:t>×3600=</w:t>
            </w:r>
            <w:r>
              <w:rPr>
                <w:rFonts w:hint="eastAsia" w:cs="Times New Roman"/>
                <w:b w:val="0"/>
                <w:bCs w:val="0"/>
                <w:color w:val="auto"/>
                <w:kern w:val="2"/>
                <w:sz w:val="24"/>
                <w:szCs w:val="24"/>
                <w:vertAlign w:val="baseline"/>
                <w:lang w:val="en-US" w:eastAsia="zh-CN" w:bidi="ar-SA"/>
              </w:rPr>
              <w:t>7344</w:t>
            </w:r>
            <w:r>
              <w:rPr>
                <w:rFonts w:hint="default" w:ascii="Times New Roman" w:hAnsi="Times New Roman" w:eastAsia="宋体" w:cs="Times New Roman"/>
                <w:b w:val="0"/>
                <w:bCs w:val="0"/>
                <w:color w:val="auto"/>
                <w:kern w:val="2"/>
                <w:sz w:val="24"/>
                <w:szCs w:val="24"/>
                <w:vertAlign w:val="baseline"/>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vertAlign w:val="baseline"/>
                <w:lang w:val="en-US" w:eastAsia="zh-CN" w:bidi="ar-SA"/>
              </w:rPr>
              <w:t>/h。</w:t>
            </w:r>
          </w:p>
          <w:p w14:paraId="4B6A267E">
            <w:pPr>
              <w:pStyle w:val="7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考虑风阻损耗等因素，项目固化</w:t>
            </w:r>
            <w:r>
              <w:rPr>
                <w:rFonts w:hint="eastAsia" w:cs="Times New Roman"/>
                <w:b w:val="0"/>
                <w:bCs w:val="0"/>
                <w:color w:val="auto"/>
                <w:kern w:val="2"/>
                <w:sz w:val="24"/>
                <w:szCs w:val="24"/>
                <w:vertAlign w:val="baseline"/>
                <w:lang w:val="en-US" w:eastAsia="zh-CN" w:bidi="ar-SA"/>
              </w:rPr>
              <w:t>工序</w:t>
            </w:r>
            <w:r>
              <w:rPr>
                <w:rFonts w:hint="eastAsia" w:ascii="Times New Roman" w:hAnsi="Times New Roman" w:cs="Times New Roman"/>
                <w:b w:val="0"/>
                <w:bCs w:val="0"/>
                <w:color w:val="auto"/>
                <w:kern w:val="2"/>
                <w:sz w:val="24"/>
                <w:szCs w:val="24"/>
                <w:vertAlign w:val="baseline"/>
                <w:lang w:val="en-US" w:eastAsia="zh-CN" w:bidi="ar-SA"/>
              </w:rPr>
              <w:t>设计风量为</w:t>
            </w:r>
            <w:r>
              <w:rPr>
                <w:rFonts w:hint="eastAsia" w:cs="Times New Roman"/>
                <w:b w:val="0"/>
                <w:bCs w:val="0"/>
                <w:color w:val="auto"/>
                <w:kern w:val="2"/>
                <w:sz w:val="24"/>
                <w:szCs w:val="24"/>
                <w:vertAlign w:val="baseline"/>
                <w:lang w:val="en-US" w:eastAsia="zh-CN" w:bidi="ar-SA"/>
              </w:rPr>
              <w:t>9000</w:t>
            </w:r>
            <w:r>
              <w:rPr>
                <w:rFonts w:hint="eastAsia" w:ascii="Times New Roman" w:hAnsi="Times New Roman" w:cs="Times New Roman"/>
                <w:b w:val="0"/>
                <w:bCs w:val="0"/>
                <w:color w:val="auto"/>
                <w:kern w:val="2"/>
                <w:sz w:val="24"/>
                <w:szCs w:val="24"/>
                <w:vertAlign w:val="baseline"/>
                <w:lang w:val="en-US" w:eastAsia="zh-CN" w:bidi="ar-SA"/>
              </w:rPr>
              <w:t>m</w:t>
            </w:r>
            <w:r>
              <w:rPr>
                <w:rFonts w:hint="eastAsia" w:ascii="Times New Roman" w:hAnsi="Times New Roman" w:cs="Times New Roman"/>
                <w:b w:val="0"/>
                <w:bCs w:val="0"/>
                <w:color w:val="auto"/>
                <w:kern w:val="2"/>
                <w:sz w:val="24"/>
                <w:szCs w:val="24"/>
                <w:vertAlign w:val="superscript"/>
                <w:lang w:val="en-US" w:eastAsia="zh-CN" w:bidi="ar-SA"/>
              </w:rPr>
              <w:t>3</w:t>
            </w:r>
            <w:r>
              <w:rPr>
                <w:rFonts w:hint="eastAsia" w:ascii="Times New Roman" w:hAnsi="Times New Roman" w:cs="Times New Roman"/>
                <w:b w:val="0"/>
                <w:bCs w:val="0"/>
                <w:color w:val="auto"/>
                <w:kern w:val="2"/>
                <w:sz w:val="24"/>
                <w:szCs w:val="24"/>
                <w:vertAlign w:val="baseline"/>
                <w:lang w:val="en-US" w:eastAsia="zh-CN" w:bidi="ar-SA"/>
              </w:rPr>
              <w:t>/h。</w:t>
            </w:r>
          </w:p>
          <w:p w14:paraId="15A48E8D">
            <w:pPr>
              <w:pStyle w:val="75"/>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kern w:val="2"/>
                <w:sz w:val="24"/>
                <w:szCs w:val="24"/>
                <w:lang w:val="en-US" w:eastAsia="zh-CN" w:bidi="ar-SA"/>
              </w:rPr>
              <w:t>注塑：</w:t>
            </w:r>
            <w:r>
              <w:rPr>
                <w:rFonts w:cs="Times New Roman"/>
                <w:sz w:val="24"/>
                <w:szCs w:val="24"/>
              </w:rPr>
              <w:t>项目</w:t>
            </w:r>
            <w:r>
              <w:rPr>
                <w:rFonts w:hint="eastAsia" w:cs="Times New Roman"/>
                <w:sz w:val="24"/>
                <w:szCs w:val="24"/>
                <w:lang w:val="en-US" w:eastAsia="zh-CN"/>
              </w:rPr>
              <w:t>注塑工序</w:t>
            </w:r>
            <w:r>
              <w:rPr>
                <w:rFonts w:cs="Times New Roman"/>
                <w:sz w:val="24"/>
                <w:szCs w:val="24"/>
              </w:rPr>
              <w:t>共设有</w:t>
            </w:r>
            <w:r>
              <w:rPr>
                <w:rFonts w:hint="eastAsia" w:cs="Times New Roman"/>
                <w:sz w:val="24"/>
                <w:szCs w:val="24"/>
                <w:lang w:val="en-US" w:eastAsia="zh-CN"/>
              </w:rPr>
              <w:t>3</w:t>
            </w:r>
            <w:r>
              <w:rPr>
                <w:rFonts w:cs="Times New Roman"/>
                <w:sz w:val="24"/>
                <w:szCs w:val="24"/>
              </w:rPr>
              <w:t>个集气罩，参数为：长×宽</w:t>
            </w:r>
            <w:r>
              <w:rPr>
                <w:rFonts w:hint="eastAsia" w:cs="Times New Roman"/>
                <w:sz w:val="24"/>
                <w:szCs w:val="24"/>
                <w:lang w:val="en-US" w:eastAsia="zh-CN"/>
              </w:rPr>
              <w:t>1.5</w:t>
            </w:r>
            <w:r>
              <w:rPr>
                <w:rFonts w:cs="Times New Roman"/>
                <w:sz w:val="24"/>
                <w:szCs w:val="24"/>
              </w:rPr>
              <w:t>m×</w:t>
            </w:r>
            <w:r>
              <w:rPr>
                <w:rFonts w:hint="eastAsia" w:cs="Times New Roman"/>
                <w:sz w:val="24"/>
                <w:szCs w:val="24"/>
                <w:lang w:val="en-US" w:eastAsia="zh-CN"/>
              </w:rPr>
              <w:t>1.5</w:t>
            </w:r>
            <w:r>
              <w:rPr>
                <w:rFonts w:cs="Times New Roman"/>
                <w:sz w:val="24"/>
                <w:szCs w:val="24"/>
              </w:rPr>
              <w:t>m，</w:t>
            </w:r>
            <w:r>
              <w:rPr>
                <w:rFonts w:hint="eastAsia" w:cs="Times New Roman"/>
                <w:sz w:val="24"/>
                <w:szCs w:val="24"/>
                <w:lang w:val="en-US" w:eastAsia="zh-CN"/>
              </w:rPr>
              <w:t>2</w:t>
            </w:r>
            <w:r>
              <w:rPr>
                <w:rFonts w:hint="eastAsia" w:cs="Times New Roman"/>
                <w:sz w:val="24"/>
                <w:szCs w:val="24"/>
              </w:rPr>
              <w:t>个</w:t>
            </w:r>
            <w:r>
              <w:rPr>
                <w:rFonts w:hint="eastAsia" w:cs="Times New Roman"/>
                <w:sz w:val="24"/>
                <w:szCs w:val="24"/>
                <w:lang w:eastAsia="zh-CN"/>
              </w:rPr>
              <w:t>，</w:t>
            </w:r>
            <w:r>
              <w:rPr>
                <w:rFonts w:cs="Times New Roman"/>
                <w:sz w:val="24"/>
                <w:szCs w:val="24"/>
              </w:rPr>
              <w:t>则集气罩口总面积为</w:t>
            </w:r>
            <w:r>
              <w:rPr>
                <w:rFonts w:hint="eastAsia" w:cs="Times New Roman"/>
                <w:sz w:val="24"/>
                <w:szCs w:val="24"/>
                <w:lang w:val="en-US" w:eastAsia="zh-CN"/>
              </w:rPr>
              <w:t>6.75</w:t>
            </w:r>
            <w:r>
              <w:rPr>
                <w:rFonts w:cs="Times New Roman"/>
                <w:sz w:val="24"/>
                <w:szCs w:val="24"/>
              </w:rPr>
              <w:t>m</w:t>
            </w:r>
            <w:r>
              <w:rPr>
                <w:rFonts w:cs="Times New Roman"/>
                <w:sz w:val="24"/>
                <w:szCs w:val="24"/>
                <w:vertAlign w:val="superscript"/>
              </w:rPr>
              <w:t>2</w:t>
            </w:r>
            <w:r>
              <w:rPr>
                <w:rFonts w:cs="Times New Roman"/>
                <w:sz w:val="24"/>
                <w:szCs w:val="24"/>
              </w:rPr>
              <w:t>。</w:t>
            </w:r>
          </w:p>
          <w:p w14:paraId="1E001A28">
            <w:pPr>
              <w:keepNext w:val="0"/>
              <w:keepLines w:val="0"/>
              <w:widowControl/>
              <w:tabs>
                <w:tab w:val="left" w:pos="195"/>
              </w:tabs>
              <w:spacing w:line="360" w:lineRule="auto"/>
              <w:ind w:firstLine="482"/>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kern w:val="2"/>
                <w:sz w:val="24"/>
                <w:szCs w:val="24"/>
                <w:vertAlign w:val="baseline"/>
                <w:lang w:val="en-US" w:eastAsia="zh-CN" w:bidi="ar-SA"/>
              </w:rPr>
              <w:t>Q=0.75×（5×0.</w:t>
            </w:r>
            <w:r>
              <w:rPr>
                <w:rFonts w:hint="eastAsia" w:eastAsia="宋体"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vertAlign w:val="baseline"/>
                <w:lang w:val="en-US" w:eastAsia="zh-CN" w:bidi="ar-SA"/>
              </w:rPr>
              <w:t>+</w:t>
            </w:r>
            <w:r>
              <w:rPr>
                <w:rFonts w:hint="eastAsia" w:ascii="Times New Roman" w:hAnsi="Times New Roman" w:eastAsia="宋体" w:cs="Times New Roman"/>
                <w:b w:val="0"/>
                <w:bCs w:val="0"/>
                <w:color w:val="auto"/>
                <w:kern w:val="2"/>
                <w:sz w:val="24"/>
                <w:szCs w:val="24"/>
                <w:vertAlign w:val="baseline"/>
                <w:lang w:val="en-US" w:eastAsia="zh-CN" w:bidi="ar-SA"/>
              </w:rPr>
              <w:t>6.75</w:t>
            </w:r>
            <w:r>
              <w:rPr>
                <w:rFonts w:hint="default" w:ascii="Times New Roman" w:hAnsi="Times New Roman" w:eastAsia="宋体" w:cs="Times New Roman"/>
                <w:b w:val="0"/>
                <w:bCs w:val="0"/>
                <w:color w:val="auto"/>
                <w:kern w:val="2"/>
                <w:sz w:val="24"/>
                <w:szCs w:val="24"/>
                <w:vertAlign w:val="baseline"/>
                <w:lang w:val="en-US" w:eastAsia="zh-CN" w:bidi="ar-SA"/>
              </w:rPr>
              <w:t>）×0.</w:t>
            </w:r>
            <w:r>
              <w:rPr>
                <w:rFonts w:hint="eastAsia" w:ascii="Times New Roman" w:hAnsi="Times New Roman" w:eastAsia="宋体" w:cs="Times New Roman"/>
                <w:b w:val="0"/>
                <w:bCs w:val="0"/>
                <w:color w:val="auto"/>
                <w:kern w:val="2"/>
                <w:sz w:val="24"/>
                <w:szCs w:val="24"/>
                <w:vertAlign w:val="baseline"/>
                <w:lang w:val="en-US" w:eastAsia="zh-CN" w:bidi="ar-SA"/>
              </w:rPr>
              <w:t>4</w:t>
            </w:r>
            <w:r>
              <w:rPr>
                <w:rFonts w:hint="default" w:ascii="Times New Roman" w:hAnsi="Times New Roman" w:eastAsia="宋体" w:cs="Times New Roman"/>
                <w:b w:val="0"/>
                <w:bCs w:val="0"/>
                <w:color w:val="auto"/>
                <w:kern w:val="2"/>
                <w:sz w:val="24"/>
                <w:szCs w:val="24"/>
                <w:vertAlign w:val="baseline"/>
                <w:lang w:val="en-US" w:eastAsia="zh-CN" w:bidi="ar-SA"/>
              </w:rPr>
              <w:t>×3600=</w:t>
            </w:r>
            <w:r>
              <w:rPr>
                <w:rFonts w:hint="eastAsia" w:cs="Times New Roman"/>
                <w:b w:val="0"/>
                <w:bCs w:val="0"/>
                <w:color w:val="auto"/>
                <w:kern w:val="2"/>
                <w:sz w:val="24"/>
                <w:szCs w:val="24"/>
                <w:vertAlign w:val="baseline"/>
                <w:lang w:val="en-US" w:eastAsia="zh-CN" w:bidi="ar-SA"/>
              </w:rPr>
              <w:t>8154</w:t>
            </w:r>
            <w:r>
              <w:rPr>
                <w:rFonts w:hint="default" w:ascii="Times New Roman" w:hAnsi="Times New Roman" w:eastAsia="宋体" w:cs="Times New Roman"/>
                <w:b w:val="0"/>
                <w:bCs w:val="0"/>
                <w:color w:val="auto"/>
                <w:kern w:val="2"/>
                <w:sz w:val="24"/>
                <w:szCs w:val="24"/>
                <w:vertAlign w:val="baseline"/>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3</w:t>
            </w:r>
            <w:r>
              <w:rPr>
                <w:rFonts w:hint="default" w:ascii="Times New Roman" w:hAnsi="Times New Roman" w:eastAsia="宋体" w:cs="Times New Roman"/>
                <w:b w:val="0"/>
                <w:bCs w:val="0"/>
                <w:color w:val="auto"/>
                <w:kern w:val="2"/>
                <w:sz w:val="24"/>
                <w:szCs w:val="24"/>
                <w:vertAlign w:val="baseline"/>
                <w:lang w:val="en-US" w:eastAsia="zh-CN" w:bidi="ar-SA"/>
              </w:rPr>
              <w:t>/h。</w:t>
            </w:r>
          </w:p>
          <w:p w14:paraId="748491B2">
            <w:pPr>
              <w:pStyle w:val="7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b w:val="0"/>
                <w:bCs w:val="0"/>
                <w:color w:val="auto"/>
                <w:kern w:val="2"/>
                <w:sz w:val="24"/>
                <w:szCs w:val="24"/>
                <w:vertAlign w:val="baseline"/>
                <w:lang w:val="en-US" w:eastAsia="zh-CN" w:bidi="ar-SA"/>
              </w:rPr>
            </w:pPr>
            <w:r>
              <w:rPr>
                <w:rFonts w:hint="eastAsia" w:ascii="Times New Roman" w:hAnsi="Times New Roman" w:cs="Times New Roman"/>
                <w:b w:val="0"/>
                <w:bCs w:val="0"/>
                <w:color w:val="auto"/>
                <w:kern w:val="2"/>
                <w:sz w:val="24"/>
                <w:szCs w:val="24"/>
                <w:vertAlign w:val="baseline"/>
                <w:lang w:val="en-US" w:eastAsia="zh-CN" w:bidi="ar-SA"/>
              </w:rPr>
              <w:t>考虑风阻损耗等因素，项目固化</w:t>
            </w:r>
            <w:r>
              <w:rPr>
                <w:rFonts w:hint="eastAsia" w:cs="Times New Roman"/>
                <w:b w:val="0"/>
                <w:bCs w:val="0"/>
                <w:color w:val="auto"/>
                <w:kern w:val="2"/>
                <w:sz w:val="24"/>
                <w:szCs w:val="24"/>
                <w:vertAlign w:val="baseline"/>
                <w:lang w:val="en-US" w:eastAsia="zh-CN" w:bidi="ar-SA"/>
              </w:rPr>
              <w:t>工序</w:t>
            </w:r>
            <w:r>
              <w:rPr>
                <w:rFonts w:hint="eastAsia" w:ascii="Times New Roman" w:hAnsi="Times New Roman" w:cs="Times New Roman"/>
                <w:b w:val="0"/>
                <w:bCs w:val="0"/>
                <w:color w:val="auto"/>
                <w:kern w:val="2"/>
                <w:sz w:val="24"/>
                <w:szCs w:val="24"/>
                <w:vertAlign w:val="baseline"/>
                <w:lang w:val="en-US" w:eastAsia="zh-CN" w:bidi="ar-SA"/>
              </w:rPr>
              <w:t>设计风量为</w:t>
            </w:r>
            <w:r>
              <w:rPr>
                <w:rFonts w:hint="eastAsia" w:cs="Times New Roman"/>
                <w:b w:val="0"/>
                <w:bCs w:val="0"/>
                <w:color w:val="auto"/>
                <w:kern w:val="2"/>
                <w:sz w:val="24"/>
                <w:szCs w:val="24"/>
                <w:vertAlign w:val="baseline"/>
                <w:lang w:val="en-US" w:eastAsia="zh-CN" w:bidi="ar-SA"/>
              </w:rPr>
              <w:t>10000</w:t>
            </w:r>
            <w:r>
              <w:rPr>
                <w:rFonts w:hint="eastAsia" w:ascii="Times New Roman" w:hAnsi="Times New Roman" w:cs="Times New Roman"/>
                <w:b w:val="0"/>
                <w:bCs w:val="0"/>
                <w:color w:val="auto"/>
                <w:kern w:val="2"/>
                <w:sz w:val="24"/>
                <w:szCs w:val="24"/>
                <w:vertAlign w:val="baseline"/>
                <w:lang w:val="en-US" w:eastAsia="zh-CN" w:bidi="ar-SA"/>
              </w:rPr>
              <w:t>m</w:t>
            </w:r>
            <w:r>
              <w:rPr>
                <w:rFonts w:hint="eastAsia" w:ascii="Times New Roman" w:hAnsi="Times New Roman" w:cs="Times New Roman"/>
                <w:b w:val="0"/>
                <w:bCs w:val="0"/>
                <w:color w:val="auto"/>
                <w:kern w:val="2"/>
                <w:sz w:val="24"/>
                <w:szCs w:val="24"/>
                <w:vertAlign w:val="superscript"/>
                <w:lang w:val="en-US" w:eastAsia="zh-CN" w:bidi="ar-SA"/>
              </w:rPr>
              <w:t>3</w:t>
            </w:r>
            <w:r>
              <w:rPr>
                <w:rFonts w:hint="eastAsia" w:ascii="Times New Roman" w:hAnsi="Times New Roman" w:cs="Times New Roman"/>
                <w:b w:val="0"/>
                <w:bCs w:val="0"/>
                <w:color w:val="auto"/>
                <w:kern w:val="2"/>
                <w:sz w:val="24"/>
                <w:szCs w:val="24"/>
                <w:vertAlign w:val="baseline"/>
                <w:lang w:val="en-US" w:eastAsia="zh-CN" w:bidi="ar-SA"/>
              </w:rPr>
              <w:t>/h。</w:t>
            </w:r>
          </w:p>
          <w:p w14:paraId="5A2471FF">
            <w:pPr>
              <w:spacing w:line="360" w:lineRule="auto"/>
              <w:ind w:firstLine="480" w:firstLineChars="200"/>
              <w:rPr>
                <w:rFonts w:hint="eastAsia" w:cs="Times New Roman"/>
                <w:snapToGrid/>
                <w:color w:val="000000" w:themeColor="text1"/>
                <w:kern w:val="2"/>
                <w:sz w:val="24"/>
                <w:szCs w:val="24"/>
                <w:lang w:val="en-US" w:eastAsia="zh-CN" w:bidi="ar-SA"/>
                <w14:textFill>
                  <w14:solidFill>
                    <w14:schemeClr w14:val="tx1"/>
                  </w14:solidFill>
                </w14:textFill>
              </w:rPr>
            </w:pPr>
          </w:p>
          <w:p w14:paraId="13119C81">
            <w:pPr>
              <w:spacing w:line="360" w:lineRule="auto"/>
              <w:ind w:firstLine="480" w:firstLineChars="200"/>
              <w:rPr>
                <w:rFonts w:hint="eastAsia" w:cs="Times New Roman"/>
                <w:snapToGrid/>
                <w:color w:val="000000" w:themeColor="text1"/>
                <w:kern w:val="2"/>
                <w:sz w:val="24"/>
                <w:szCs w:val="24"/>
                <w:lang w:val="en-US" w:eastAsia="zh-CN" w:bidi="ar-SA"/>
                <w14:textFill>
                  <w14:solidFill>
                    <w14:schemeClr w14:val="tx1"/>
                  </w14:solidFill>
                </w14:textFill>
              </w:rPr>
            </w:pPr>
          </w:p>
          <w:p w14:paraId="473D194C">
            <w:pPr>
              <w:spacing w:line="360" w:lineRule="auto"/>
              <w:ind w:firstLine="480" w:firstLineChars="200"/>
              <w:rPr>
                <w:rFonts w:hint="eastAsia" w:cs="Times New Roman"/>
                <w:snapToGrid/>
                <w:color w:val="000000" w:themeColor="text1"/>
                <w:kern w:val="2"/>
                <w:sz w:val="24"/>
                <w:szCs w:val="24"/>
                <w:lang w:val="en-US" w:eastAsia="zh-CN" w:bidi="ar-SA"/>
                <w14:textFill>
                  <w14:solidFill>
                    <w14:schemeClr w14:val="tx1"/>
                  </w14:solidFill>
                </w14:textFill>
              </w:rPr>
            </w:pPr>
          </w:p>
          <w:p w14:paraId="357E0F0C">
            <w:pPr>
              <w:pStyle w:val="116"/>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color w:val="000000" w:themeColor="text1"/>
                <w:kern w:val="2"/>
                <w:sz w:val="24"/>
                <w:szCs w:val="24"/>
                <w:lang w:val="en-US" w:eastAsia="zh-CN" w:bidi="ar-SA"/>
                <w14:textFill>
                  <w14:solidFill>
                    <w14:schemeClr w14:val="tx1"/>
                  </w14:solidFill>
                </w14:textFill>
              </w:rPr>
            </w:pPr>
          </w:p>
        </w:tc>
      </w:tr>
    </w:tbl>
    <w:p w14:paraId="1F501737">
      <w:pPr>
        <w:pStyle w:val="26"/>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8"/>
      </w:tblGrid>
      <w:tr w14:paraId="38EF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9" w:hRule="atLeast"/>
        </w:trPr>
        <w:tc>
          <w:tcPr>
            <w:tcW w:w="5000" w:type="pct"/>
          </w:tcPr>
          <w:p w14:paraId="2F0BE930">
            <w:pPr>
              <w:keepNext w:val="0"/>
              <w:keepLines w:val="0"/>
              <w:pageBreakBefore w:val="0"/>
              <w:widowControl w:val="0"/>
              <w:kinsoku/>
              <w:wordWrap/>
              <w:overflowPunct/>
              <w:topLinePunct w:val="0"/>
              <w:autoSpaceDE/>
              <w:autoSpaceDN/>
              <w:bidi w:val="0"/>
              <w:adjustRightInd w:val="0"/>
              <w:snapToGrid w:val="0"/>
              <w:spacing w:before="164" w:beforeLines="50" w:line="240" w:lineRule="auto"/>
              <w:jc w:val="center"/>
              <w:textAlignment w:val="auto"/>
              <w:rPr>
                <w:b/>
                <w:bCs/>
                <w:color w:val="auto"/>
                <w:sz w:val="24"/>
              </w:rPr>
            </w:pPr>
            <w:r>
              <w:rPr>
                <w:b/>
                <w:bCs/>
                <w:color w:val="auto"/>
                <w:sz w:val="24"/>
              </w:rPr>
              <w:t>表4-</w:t>
            </w:r>
            <w:r>
              <w:rPr>
                <w:rFonts w:hint="eastAsia"/>
                <w:b/>
                <w:bCs/>
                <w:color w:val="auto"/>
                <w:sz w:val="24"/>
                <w:lang w:val="en-US" w:eastAsia="zh-CN"/>
              </w:rPr>
              <w:t>1</w:t>
            </w:r>
            <w:r>
              <w:rPr>
                <w:b/>
                <w:bCs/>
                <w:color w:val="auto"/>
                <w:sz w:val="24"/>
              </w:rPr>
              <w:t xml:space="preserve"> </w:t>
            </w:r>
            <w:r>
              <w:rPr>
                <w:rFonts w:hint="eastAsia"/>
                <w:b/>
                <w:bCs/>
                <w:color w:val="auto"/>
                <w:sz w:val="24"/>
                <w:lang w:val="en-US" w:eastAsia="zh-CN"/>
              </w:rPr>
              <w:t xml:space="preserve"> 大气</w:t>
            </w:r>
            <w:r>
              <w:rPr>
                <w:b/>
                <w:bCs/>
                <w:color w:val="auto"/>
                <w:sz w:val="24"/>
              </w:rPr>
              <w:t>污染物</w:t>
            </w:r>
            <w:r>
              <w:rPr>
                <w:rFonts w:hint="eastAsia"/>
                <w:b/>
                <w:bCs/>
                <w:color w:val="auto"/>
                <w:sz w:val="24"/>
                <w:lang w:val="en-US" w:eastAsia="zh-CN"/>
              </w:rPr>
              <w:t>有组织</w:t>
            </w:r>
            <w:r>
              <w:rPr>
                <w:b/>
                <w:bCs/>
                <w:color w:val="auto"/>
                <w:sz w:val="24"/>
              </w:rPr>
              <w:t>源强核算表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30"/>
              <w:gridCol w:w="835"/>
              <w:gridCol w:w="920"/>
              <w:gridCol w:w="921"/>
              <w:gridCol w:w="695"/>
              <w:gridCol w:w="820"/>
              <w:gridCol w:w="1040"/>
              <w:gridCol w:w="791"/>
              <w:gridCol w:w="574"/>
              <w:gridCol w:w="619"/>
              <w:gridCol w:w="691"/>
              <w:gridCol w:w="818"/>
              <w:gridCol w:w="701"/>
              <w:gridCol w:w="766"/>
              <w:gridCol w:w="798"/>
              <w:gridCol w:w="613"/>
              <w:gridCol w:w="670"/>
            </w:tblGrid>
            <w:tr w14:paraId="0993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30" w:type="dxa"/>
                  <w:vMerge w:val="restart"/>
                  <w:shd w:val="clear" w:color="auto" w:fill="auto"/>
                  <w:vAlign w:val="center"/>
                </w:tcPr>
                <w:p w14:paraId="4C32206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工序</w:t>
                  </w:r>
                  <w:r>
                    <w:rPr>
                      <w:rStyle w:val="124"/>
                      <w:rFonts w:hint="default" w:ascii="Times New Roman" w:hAnsi="Times New Roman" w:eastAsia="宋体" w:cs="Times New Roman"/>
                      <w:sz w:val="21"/>
                      <w:szCs w:val="21"/>
                      <w:lang w:val="en-US" w:eastAsia="zh-CN" w:bidi="ar"/>
                    </w:rPr>
                    <w:t>/</w:t>
                  </w:r>
                  <w:r>
                    <w:rPr>
                      <w:rFonts w:hint="default" w:ascii="Times New Roman" w:hAnsi="Times New Roman" w:eastAsia="宋体" w:cs="Times New Roman"/>
                      <w:b/>
                      <w:bCs/>
                      <w:i w:val="0"/>
                      <w:iCs w:val="0"/>
                      <w:color w:val="000000"/>
                      <w:kern w:val="0"/>
                      <w:sz w:val="21"/>
                      <w:szCs w:val="21"/>
                      <w:u w:val="none"/>
                      <w:lang w:val="en-US" w:eastAsia="zh-CN" w:bidi="ar"/>
                    </w:rPr>
                    <w:t>生产线</w:t>
                  </w:r>
                </w:p>
              </w:tc>
              <w:tc>
                <w:tcPr>
                  <w:tcW w:w="835" w:type="dxa"/>
                  <w:vMerge w:val="restart"/>
                  <w:shd w:val="clear" w:color="auto" w:fill="auto"/>
                  <w:vAlign w:val="center"/>
                </w:tcPr>
                <w:p w14:paraId="25A6CEC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w:t>
                  </w:r>
                </w:p>
              </w:tc>
              <w:tc>
                <w:tcPr>
                  <w:tcW w:w="920" w:type="dxa"/>
                  <w:vMerge w:val="restart"/>
                  <w:shd w:val="clear" w:color="auto" w:fill="auto"/>
                  <w:vAlign w:val="center"/>
                </w:tcPr>
                <w:p w14:paraId="411BB9E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污染物名称</w:t>
                  </w:r>
                </w:p>
              </w:tc>
              <w:tc>
                <w:tcPr>
                  <w:tcW w:w="2436" w:type="dxa"/>
                  <w:gridSpan w:val="3"/>
                  <w:shd w:val="clear" w:color="auto" w:fill="auto"/>
                  <w:vAlign w:val="center"/>
                </w:tcPr>
                <w:p w14:paraId="2CCD65C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收集污染物产生情况</w:t>
                  </w:r>
                </w:p>
              </w:tc>
              <w:tc>
                <w:tcPr>
                  <w:tcW w:w="1040" w:type="dxa"/>
                  <w:vMerge w:val="restart"/>
                  <w:shd w:val="clear" w:color="auto" w:fill="auto"/>
                  <w:vAlign w:val="center"/>
                </w:tcPr>
                <w:p w14:paraId="26BE9AE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治理措施</w:t>
                  </w:r>
                </w:p>
              </w:tc>
              <w:tc>
                <w:tcPr>
                  <w:tcW w:w="791" w:type="dxa"/>
                  <w:vMerge w:val="restart"/>
                  <w:shd w:val="clear" w:color="auto" w:fill="auto"/>
                  <w:vAlign w:val="center"/>
                </w:tcPr>
                <w:p w14:paraId="03B984C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排气量</w:t>
                  </w:r>
                </w:p>
                <w:p w14:paraId="29B5057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w:t>
                  </w:r>
                  <w:r>
                    <w:rPr>
                      <w:rStyle w:val="104"/>
                      <w:rFonts w:hint="default" w:ascii="Times New Roman" w:hAnsi="Times New Roman" w:eastAsia="宋体" w:cs="Times New Roman"/>
                      <w:b/>
                      <w:bCs/>
                      <w:sz w:val="21"/>
                      <w:szCs w:val="21"/>
                      <w:vertAlign w:val="superscript"/>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/h</w:t>
                  </w:r>
                </w:p>
              </w:tc>
              <w:tc>
                <w:tcPr>
                  <w:tcW w:w="574" w:type="dxa"/>
                  <w:vMerge w:val="restart"/>
                  <w:shd w:val="clear" w:color="auto" w:fill="auto"/>
                  <w:vAlign w:val="center"/>
                </w:tcPr>
                <w:p w14:paraId="5DA88F80">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收集效率</w:t>
                  </w:r>
                </w:p>
                <w:p w14:paraId="33E9901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619" w:type="dxa"/>
                  <w:vMerge w:val="restart"/>
                  <w:shd w:val="clear" w:color="auto" w:fill="auto"/>
                  <w:vAlign w:val="center"/>
                </w:tcPr>
                <w:p w14:paraId="6ACD8B5B">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去除率</w:t>
                  </w:r>
                </w:p>
                <w:p w14:paraId="617CE43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w:t>
                  </w:r>
                </w:p>
              </w:tc>
              <w:tc>
                <w:tcPr>
                  <w:tcW w:w="691" w:type="dxa"/>
                  <w:vMerge w:val="restart"/>
                  <w:shd w:val="clear" w:color="auto" w:fill="auto"/>
                  <w:vAlign w:val="center"/>
                </w:tcPr>
                <w:p w14:paraId="54DE63B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是否为可行技术</w:t>
                  </w:r>
                </w:p>
              </w:tc>
              <w:tc>
                <w:tcPr>
                  <w:tcW w:w="2285" w:type="dxa"/>
                  <w:gridSpan w:val="3"/>
                  <w:shd w:val="clear" w:color="auto" w:fill="auto"/>
                  <w:vAlign w:val="center"/>
                </w:tcPr>
                <w:p w14:paraId="72B5E96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有组织排放状况</w:t>
                  </w:r>
                </w:p>
              </w:tc>
              <w:tc>
                <w:tcPr>
                  <w:tcW w:w="1411" w:type="dxa"/>
                  <w:gridSpan w:val="2"/>
                  <w:shd w:val="clear" w:color="auto" w:fill="auto"/>
                  <w:vAlign w:val="center"/>
                </w:tcPr>
                <w:p w14:paraId="6F6B1AC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执行标准</w:t>
                  </w:r>
                </w:p>
              </w:tc>
              <w:tc>
                <w:tcPr>
                  <w:tcW w:w="670" w:type="dxa"/>
                  <w:vMerge w:val="restart"/>
                  <w:shd w:val="clear" w:color="auto" w:fill="auto"/>
                  <w:vAlign w:val="center"/>
                </w:tcPr>
                <w:p w14:paraId="102D09F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排放时间</w:t>
                  </w:r>
                </w:p>
                <w:p w14:paraId="4D0599E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h</w:t>
                  </w:r>
                </w:p>
              </w:tc>
            </w:tr>
            <w:tr w14:paraId="520A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shd w:val="clear" w:color="auto" w:fill="auto"/>
                  <w:vAlign w:val="center"/>
                </w:tcPr>
                <w:p w14:paraId="593E1708">
                  <w:pPr>
                    <w:jc w:val="center"/>
                    <w:rPr>
                      <w:rFonts w:hint="default" w:ascii="Times New Roman" w:hAnsi="Times New Roman" w:eastAsia="宋体" w:cs="Times New Roman"/>
                      <w:b/>
                      <w:bCs/>
                      <w:i w:val="0"/>
                      <w:iCs w:val="0"/>
                      <w:color w:val="000000"/>
                      <w:sz w:val="21"/>
                      <w:szCs w:val="21"/>
                      <w:u w:val="none"/>
                    </w:rPr>
                  </w:pPr>
                </w:p>
              </w:tc>
              <w:tc>
                <w:tcPr>
                  <w:tcW w:w="835" w:type="dxa"/>
                  <w:vMerge w:val="continue"/>
                  <w:shd w:val="clear" w:color="auto" w:fill="auto"/>
                  <w:vAlign w:val="center"/>
                </w:tcPr>
                <w:p w14:paraId="4DFC2186">
                  <w:pPr>
                    <w:jc w:val="center"/>
                    <w:rPr>
                      <w:rFonts w:hint="default" w:ascii="Times New Roman" w:hAnsi="Times New Roman" w:eastAsia="宋体" w:cs="Times New Roman"/>
                      <w:b/>
                      <w:bCs/>
                      <w:i w:val="0"/>
                      <w:iCs w:val="0"/>
                      <w:color w:val="000000"/>
                      <w:sz w:val="21"/>
                      <w:szCs w:val="21"/>
                      <w:u w:val="none"/>
                    </w:rPr>
                  </w:pPr>
                </w:p>
              </w:tc>
              <w:tc>
                <w:tcPr>
                  <w:tcW w:w="920" w:type="dxa"/>
                  <w:vMerge w:val="continue"/>
                  <w:shd w:val="clear" w:color="auto" w:fill="auto"/>
                  <w:vAlign w:val="center"/>
                </w:tcPr>
                <w:p w14:paraId="0CE6EB64">
                  <w:pPr>
                    <w:jc w:val="center"/>
                    <w:rPr>
                      <w:rFonts w:hint="default" w:ascii="Times New Roman" w:hAnsi="Times New Roman" w:eastAsia="宋体" w:cs="Times New Roman"/>
                      <w:b/>
                      <w:bCs/>
                      <w:i w:val="0"/>
                      <w:iCs w:val="0"/>
                      <w:color w:val="000000"/>
                      <w:sz w:val="21"/>
                      <w:szCs w:val="21"/>
                      <w:u w:val="none"/>
                    </w:rPr>
                  </w:pPr>
                </w:p>
              </w:tc>
              <w:tc>
                <w:tcPr>
                  <w:tcW w:w="921" w:type="dxa"/>
                  <w:shd w:val="clear" w:color="auto" w:fill="auto"/>
                  <w:vAlign w:val="center"/>
                </w:tcPr>
                <w:p w14:paraId="0677949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浓度</w:t>
                  </w:r>
                </w:p>
                <w:p w14:paraId="2A880BF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mg/m</w:t>
                  </w:r>
                  <w:r>
                    <w:rPr>
                      <w:rStyle w:val="104"/>
                      <w:rFonts w:hint="default" w:ascii="Times New Roman" w:hAnsi="Times New Roman" w:eastAsia="宋体" w:cs="Times New Roman"/>
                      <w:b/>
                      <w:bCs/>
                      <w:sz w:val="21"/>
                      <w:szCs w:val="21"/>
                      <w:vertAlign w:val="superscript"/>
                      <w:lang w:val="en-US" w:eastAsia="zh-CN" w:bidi="ar"/>
                    </w:rPr>
                    <w:t>3</w:t>
                  </w:r>
                </w:p>
              </w:tc>
              <w:tc>
                <w:tcPr>
                  <w:tcW w:w="695" w:type="dxa"/>
                  <w:shd w:val="clear" w:color="auto" w:fill="auto"/>
                  <w:vAlign w:val="center"/>
                </w:tcPr>
                <w:p w14:paraId="01CD6008">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速率</w:t>
                  </w:r>
                </w:p>
                <w:p w14:paraId="36DEC12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kg/h</w:t>
                  </w:r>
                </w:p>
              </w:tc>
              <w:tc>
                <w:tcPr>
                  <w:tcW w:w="820" w:type="dxa"/>
                  <w:shd w:val="clear" w:color="auto" w:fill="auto"/>
                  <w:vAlign w:val="center"/>
                </w:tcPr>
                <w:p w14:paraId="59FECB5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产生量</w:t>
                  </w:r>
                </w:p>
                <w:p w14:paraId="0269BBC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t/a</w:t>
                  </w:r>
                </w:p>
              </w:tc>
              <w:tc>
                <w:tcPr>
                  <w:tcW w:w="1040" w:type="dxa"/>
                  <w:vMerge w:val="continue"/>
                  <w:shd w:val="clear" w:color="auto" w:fill="auto"/>
                  <w:vAlign w:val="center"/>
                </w:tcPr>
                <w:p w14:paraId="4954FDBD">
                  <w:pPr>
                    <w:jc w:val="center"/>
                    <w:rPr>
                      <w:rFonts w:hint="default" w:ascii="Times New Roman" w:hAnsi="Times New Roman" w:eastAsia="宋体" w:cs="Times New Roman"/>
                      <w:b/>
                      <w:bCs/>
                      <w:i w:val="0"/>
                      <w:iCs w:val="0"/>
                      <w:color w:val="000000"/>
                      <w:sz w:val="21"/>
                      <w:szCs w:val="21"/>
                      <w:u w:val="none"/>
                    </w:rPr>
                  </w:pPr>
                </w:p>
              </w:tc>
              <w:tc>
                <w:tcPr>
                  <w:tcW w:w="791" w:type="dxa"/>
                  <w:vMerge w:val="continue"/>
                  <w:shd w:val="clear" w:color="auto" w:fill="auto"/>
                  <w:vAlign w:val="center"/>
                </w:tcPr>
                <w:p w14:paraId="061F4D0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p>
              </w:tc>
              <w:tc>
                <w:tcPr>
                  <w:tcW w:w="574" w:type="dxa"/>
                  <w:vMerge w:val="continue"/>
                  <w:shd w:val="clear" w:color="auto" w:fill="auto"/>
                  <w:vAlign w:val="center"/>
                </w:tcPr>
                <w:p w14:paraId="5F7E406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p>
              </w:tc>
              <w:tc>
                <w:tcPr>
                  <w:tcW w:w="619" w:type="dxa"/>
                  <w:vMerge w:val="continue"/>
                  <w:shd w:val="clear" w:color="auto" w:fill="auto"/>
                  <w:vAlign w:val="center"/>
                </w:tcPr>
                <w:p w14:paraId="782B652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p>
              </w:tc>
              <w:tc>
                <w:tcPr>
                  <w:tcW w:w="691" w:type="dxa"/>
                  <w:vMerge w:val="continue"/>
                  <w:shd w:val="clear" w:color="auto" w:fill="auto"/>
                  <w:vAlign w:val="center"/>
                </w:tcPr>
                <w:p w14:paraId="015AE4FD">
                  <w:pPr>
                    <w:jc w:val="center"/>
                    <w:rPr>
                      <w:rFonts w:hint="default" w:ascii="Times New Roman" w:hAnsi="Times New Roman" w:eastAsia="宋体" w:cs="Times New Roman"/>
                      <w:b/>
                      <w:bCs/>
                      <w:i w:val="0"/>
                      <w:iCs w:val="0"/>
                      <w:color w:val="000000"/>
                      <w:sz w:val="21"/>
                      <w:szCs w:val="21"/>
                      <w:u w:val="none"/>
                    </w:rPr>
                  </w:pPr>
                </w:p>
              </w:tc>
              <w:tc>
                <w:tcPr>
                  <w:tcW w:w="818" w:type="dxa"/>
                  <w:shd w:val="clear" w:color="auto" w:fill="auto"/>
                  <w:vAlign w:val="center"/>
                </w:tcPr>
                <w:p w14:paraId="14A549C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浓度mg/m</w:t>
                  </w:r>
                  <w:r>
                    <w:rPr>
                      <w:rStyle w:val="104"/>
                      <w:rFonts w:hint="default" w:ascii="Times New Roman" w:hAnsi="Times New Roman" w:eastAsia="宋体" w:cs="Times New Roman"/>
                      <w:b/>
                      <w:bCs/>
                      <w:sz w:val="21"/>
                      <w:szCs w:val="21"/>
                      <w:vertAlign w:val="superscript"/>
                      <w:lang w:val="en-US" w:eastAsia="zh-CN" w:bidi="ar"/>
                    </w:rPr>
                    <w:t>3</w:t>
                  </w:r>
                </w:p>
              </w:tc>
              <w:tc>
                <w:tcPr>
                  <w:tcW w:w="701" w:type="dxa"/>
                  <w:shd w:val="clear" w:color="auto" w:fill="auto"/>
                  <w:vAlign w:val="center"/>
                </w:tcPr>
                <w:p w14:paraId="5C2742A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速率</w:t>
                  </w:r>
                </w:p>
                <w:p w14:paraId="43D8411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kg/h</w:t>
                  </w:r>
                </w:p>
              </w:tc>
              <w:tc>
                <w:tcPr>
                  <w:tcW w:w="766" w:type="dxa"/>
                  <w:shd w:val="clear" w:color="auto" w:fill="auto"/>
                  <w:vAlign w:val="center"/>
                </w:tcPr>
                <w:p w14:paraId="483F019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排放量</w:t>
                  </w:r>
                  <w:r>
                    <w:rPr>
                      <w:rStyle w:val="124"/>
                      <w:rFonts w:hint="default" w:ascii="Times New Roman" w:hAnsi="Times New Roman" w:eastAsia="宋体" w:cs="Times New Roman"/>
                      <w:sz w:val="21"/>
                      <w:szCs w:val="21"/>
                      <w:lang w:val="en-US" w:eastAsia="zh-CN" w:bidi="ar"/>
                    </w:rPr>
                    <w:t>t</w:t>
                  </w:r>
                  <w:r>
                    <w:rPr>
                      <w:rFonts w:hint="default" w:ascii="Times New Roman" w:hAnsi="Times New Roman" w:eastAsia="宋体" w:cs="Times New Roman"/>
                      <w:b/>
                      <w:bCs/>
                      <w:i w:val="0"/>
                      <w:iCs w:val="0"/>
                      <w:color w:val="000000"/>
                      <w:kern w:val="0"/>
                      <w:sz w:val="21"/>
                      <w:szCs w:val="21"/>
                      <w:u w:val="none"/>
                      <w:lang w:val="en-US" w:eastAsia="zh-CN" w:bidi="ar"/>
                    </w:rPr>
                    <w:t>/a</w:t>
                  </w:r>
                </w:p>
              </w:tc>
              <w:tc>
                <w:tcPr>
                  <w:tcW w:w="798" w:type="dxa"/>
                  <w:shd w:val="clear" w:color="auto" w:fill="auto"/>
                  <w:vAlign w:val="center"/>
                </w:tcPr>
                <w:p w14:paraId="6B0BC46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浓度</w:t>
                  </w:r>
                </w:p>
                <w:p w14:paraId="1E8931F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mg/m</w:t>
                  </w:r>
                  <w:r>
                    <w:rPr>
                      <w:rStyle w:val="104"/>
                      <w:rFonts w:hint="default" w:ascii="Times New Roman" w:hAnsi="Times New Roman" w:eastAsia="宋体" w:cs="Times New Roman"/>
                      <w:b/>
                      <w:bCs/>
                      <w:sz w:val="21"/>
                      <w:szCs w:val="21"/>
                      <w:vertAlign w:val="superscript"/>
                      <w:lang w:val="en-US" w:eastAsia="zh-CN" w:bidi="ar"/>
                    </w:rPr>
                    <w:t>3</w:t>
                  </w:r>
                </w:p>
              </w:tc>
              <w:tc>
                <w:tcPr>
                  <w:tcW w:w="613" w:type="dxa"/>
                  <w:shd w:val="clear" w:color="auto" w:fill="auto"/>
                  <w:vAlign w:val="center"/>
                </w:tcPr>
                <w:p w14:paraId="2325250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速率</w:t>
                  </w:r>
                </w:p>
                <w:p w14:paraId="7996620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kg/h</w:t>
                  </w:r>
                </w:p>
              </w:tc>
              <w:tc>
                <w:tcPr>
                  <w:tcW w:w="670" w:type="dxa"/>
                  <w:vMerge w:val="continue"/>
                  <w:shd w:val="clear" w:color="auto" w:fill="auto"/>
                  <w:vAlign w:val="center"/>
                </w:tcPr>
                <w:p w14:paraId="2EA32F3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p>
              </w:tc>
            </w:tr>
            <w:tr w14:paraId="1478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shd w:val="clear" w:color="auto" w:fill="auto"/>
                  <w:vAlign w:val="center"/>
                </w:tcPr>
                <w:p w14:paraId="61659194">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下料</w:t>
                  </w:r>
                </w:p>
              </w:tc>
              <w:tc>
                <w:tcPr>
                  <w:tcW w:w="835" w:type="dxa"/>
                  <w:shd w:val="clear" w:color="auto" w:fill="auto"/>
                  <w:vAlign w:val="center"/>
                </w:tcPr>
                <w:p w14:paraId="3E76E9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ascii="Times New Roman" w:hAnsi="Times New Roman" w:eastAsia="宋体" w:cs="Times New Roman"/>
                      <w:i w:val="0"/>
                      <w:iCs w:val="0"/>
                      <w:color w:val="000000"/>
                      <w:kern w:val="0"/>
                      <w:sz w:val="21"/>
                      <w:szCs w:val="21"/>
                      <w:u w:val="none"/>
                      <w:lang w:val="en-US" w:eastAsia="zh-CN" w:bidi="ar"/>
                    </w:rPr>
                    <w:t>1</w:t>
                  </w:r>
                </w:p>
              </w:tc>
              <w:tc>
                <w:tcPr>
                  <w:tcW w:w="920" w:type="dxa"/>
                  <w:shd w:val="clear" w:color="auto" w:fill="auto"/>
                  <w:vAlign w:val="center"/>
                </w:tcPr>
                <w:p w14:paraId="237738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921" w:type="dxa"/>
                  <w:shd w:val="clear" w:color="auto" w:fill="auto"/>
                  <w:vAlign w:val="center"/>
                </w:tcPr>
                <w:p w14:paraId="4B6BB6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57.008</w:t>
                  </w:r>
                </w:p>
              </w:tc>
              <w:tc>
                <w:tcPr>
                  <w:tcW w:w="695" w:type="dxa"/>
                  <w:shd w:val="clear" w:color="auto" w:fill="auto"/>
                  <w:vAlign w:val="center"/>
                </w:tcPr>
                <w:p w14:paraId="427430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0.627</w:t>
                  </w:r>
                </w:p>
              </w:tc>
              <w:tc>
                <w:tcPr>
                  <w:tcW w:w="820" w:type="dxa"/>
                  <w:shd w:val="clear" w:color="auto" w:fill="auto"/>
                  <w:vAlign w:val="center"/>
                </w:tcPr>
                <w:p w14:paraId="0FEE04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1.505</w:t>
                  </w:r>
                </w:p>
              </w:tc>
              <w:tc>
                <w:tcPr>
                  <w:tcW w:w="1040" w:type="dxa"/>
                  <w:shd w:val="clear" w:color="auto" w:fill="auto"/>
                  <w:vAlign w:val="center"/>
                </w:tcPr>
                <w:p w14:paraId="23FC16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袋式除尘器</w:t>
                  </w:r>
                </w:p>
              </w:tc>
              <w:tc>
                <w:tcPr>
                  <w:tcW w:w="791" w:type="dxa"/>
                  <w:shd w:val="clear" w:color="auto" w:fill="auto"/>
                  <w:vAlign w:val="center"/>
                </w:tcPr>
                <w:p w14:paraId="427659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11000</w:t>
                  </w:r>
                </w:p>
              </w:tc>
              <w:tc>
                <w:tcPr>
                  <w:tcW w:w="574" w:type="dxa"/>
                  <w:shd w:val="clear" w:color="auto" w:fill="auto"/>
                  <w:vAlign w:val="center"/>
                </w:tcPr>
                <w:p w14:paraId="571AEC0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95</w:t>
                  </w:r>
                </w:p>
              </w:tc>
              <w:tc>
                <w:tcPr>
                  <w:tcW w:w="619" w:type="dxa"/>
                  <w:shd w:val="clear" w:color="auto" w:fill="auto"/>
                  <w:vAlign w:val="center"/>
                </w:tcPr>
                <w:p w14:paraId="2DD57C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95</w:t>
                  </w:r>
                </w:p>
              </w:tc>
              <w:tc>
                <w:tcPr>
                  <w:tcW w:w="691" w:type="dxa"/>
                  <w:shd w:val="clear" w:color="auto" w:fill="auto"/>
                  <w:vAlign w:val="center"/>
                </w:tcPr>
                <w:p w14:paraId="62E2B6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818" w:type="dxa"/>
                  <w:shd w:val="clear" w:color="auto" w:fill="auto"/>
                  <w:vAlign w:val="center"/>
                </w:tcPr>
                <w:p w14:paraId="4BBBEF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2.841</w:t>
                  </w:r>
                </w:p>
              </w:tc>
              <w:tc>
                <w:tcPr>
                  <w:tcW w:w="701" w:type="dxa"/>
                  <w:shd w:val="clear" w:color="auto" w:fill="auto"/>
                  <w:vAlign w:val="center"/>
                </w:tcPr>
                <w:p w14:paraId="26C904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0.031</w:t>
                  </w:r>
                </w:p>
              </w:tc>
              <w:tc>
                <w:tcPr>
                  <w:tcW w:w="766" w:type="dxa"/>
                  <w:shd w:val="clear" w:color="auto" w:fill="auto"/>
                  <w:vAlign w:val="center"/>
                </w:tcPr>
                <w:p w14:paraId="4BEF86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0.075</w:t>
                  </w:r>
                </w:p>
              </w:tc>
              <w:tc>
                <w:tcPr>
                  <w:tcW w:w="798" w:type="dxa"/>
                  <w:shd w:val="clear" w:color="auto" w:fill="auto"/>
                  <w:vAlign w:val="center"/>
                </w:tcPr>
                <w:p w14:paraId="36E625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120</w:t>
                  </w:r>
                </w:p>
              </w:tc>
              <w:tc>
                <w:tcPr>
                  <w:tcW w:w="613" w:type="dxa"/>
                  <w:shd w:val="clear" w:color="auto" w:fill="auto"/>
                  <w:vAlign w:val="center"/>
                </w:tcPr>
                <w:p w14:paraId="1CD50D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3.5</w:t>
                  </w:r>
                </w:p>
              </w:tc>
              <w:tc>
                <w:tcPr>
                  <w:tcW w:w="670" w:type="dxa"/>
                  <w:shd w:val="clear" w:color="auto" w:fill="auto"/>
                  <w:vAlign w:val="center"/>
                </w:tcPr>
                <w:p w14:paraId="45A7BB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w:t>
                  </w:r>
                </w:p>
              </w:tc>
            </w:tr>
            <w:tr w14:paraId="2AEF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shd w:val="clear" w:color="auto" w:fill="auto"/>
                  <w:vAlign w:val="center"/>
                </w:tcPr>
                <w:p w14:paraId="7E53EB2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喷塑</w:t>
                  </w:r>
                </w:p>
              </w:tc>
              <w:tc>
                <w:tcPr>
                  <w:tcW w:w="835" w:type="dxa"/>
                  <w:shd w:val="clear" w:color="auto" w:fill="auto"/>
                  <w:vAlign w:val="center"/>
                </w:tcPr>
                <w:p w14:paraId="73699C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ascii="Times New Roman" w:hAnsi="Times New Roman" w:eastAsia="宋体" w:cs="Times New Roman"/>
                      <w:i w:val="0"/>
                      <w:iCs w:val="0"/>
                      <w:color w:val="000000"/>
                      <w:kern w:val="0"/>
                      <w:sz w:val="21"/>
                      <w:szCs w:val="21"/>
                      <w:u w:val="none"/>
                      <w:lang w:val="en-US" w:eastAsia="zh-CN" w:bidi="ar"/>
                    </w:rPr>
                    <w:t>2</w:t>
                  </w:r>
                </w:p>
              </w:tc>
              <w:tc>
                <w:tcPr>
                  <w:tcW w:w="920" w:type="dxa"/>
                  <w:shd w:val="clear" w:color="auto" w:fill="auto"/>
                  <w:vAlign w:val="center"/>
                </w:tcPr>
                <w:p w14:paraId="1FD289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921" w:type="dxa"/>
                  <w:shd w:val="clear" w:color="auto" w:fill="auto"/>
                  <w:vAlign w:val="center"/>
                </w:tcPr>
                <w:p w14:paraId="1E88814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633.333</w:t>
                  </w:r>
                </w:p>
              </w:tc>
              <w:tc>
                <w:tcPr>
                  <w:tcW w:w="695" w:type="dxa"/>
                  <w:shd w:val="clear" w:color="auto" w:fill="auto"/>
                  <w:vAlign w:val="center"/>
                </w:tcPr>
                <w:p w14:paraId="5A896B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9.500</w:t>
                  </w:r>
                </w:p>
              </w:tc>
              <w:tc>
                <w:tcPr>
                  <w:tcW w:w="820" w:type="dxa"/>
                  <w:shd w:val="clear" w:color="auto" w:fill="auto"/>
                  <w:vAlign w:val="center"/>
                </w:tcPr>
                <w:p w14:paraId="1037086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22.8</w:t>
                  </w:r>
                </w:p>
              </w:tc>
              <w:tc>
                <w:tcPr>
                  <w:tcW w:w="1040" w:type="dxa"/>
                  <w:shd w:val="clear" w:color="auto" w:fill="auto"/>
                  <w:vAlign w:val="center"/>
                </w:tcPr>
                <w:p w14:paraId="6D0B33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sz w:val="21"/>
                      <w:szCs w:val="21"/>
                    </w:rPr>
                    <w:t>自带旋风+二级滤芯</w:t>
                  </w:r>
                </w:p>
              </w:tc>
              <w:tc>
                <w:tcPr>
                  <w:tcW w:w="791" w:type="dxa"/>
                  <w:shd w:val="clear" w:color="auto" w:fill="auto"/>
                  <w:vAlign w:val="center"/>
                </w:tcPr>
                <w:p w14:paraId="57FE7C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15000</w:t>
                  </w:r>
                </w:p>
              </w:tc>
              <w:tc>
                <w:tcPr>
                  <w:tcW w:w="574" w:type="dxa"/>
                  <w:shd w:val="clear" w:color="auto" w:fill="auto"/>
                  <w:vAlign w:val="center"/>
                </w:tcPr>
                <w:p w14:paraId="705895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95</w:t>
                  </w:r>
                </w:p>
              </w:tc>
              <w:tc>
                <w:tcPr>
                  <w:tcW w:w="619" w:type="dxa"/>
                  <w:shd w:val="clear" w:color="auto" w:fill="auto"/>
                  <w:vAlign w:val="center"/>
                </w:tcPr>
                <w:p w14:paraId="62673A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98</w:t>
                  </w:r>
                </w:p>
              </w:tc>
              <w:tc>
                <w:tcPr>
                  <w:tcW w:w="691" w:type="dxa"/>
                  <w:shd w:val="clear" w:color="auto" w:fill="auto"/>
                  <w:vAlign w:val="center"/>
                </w:tcPr>
                <w:p w14:paraId="243644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818" w:type="dxa"/>
                  <w:shd w:val="clear" w:color="auto" w:fill="auto"/>
                  <w:vAlign w:val="center"/>
                </w:tcPr>
                <w:p w14:paraId="06C561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12.667</w:t>
                  </w:r>
                </w:p>
              </w:tc>
              <w:tc>
                <w:tcPr>
                  <w:tcW w:w="701" w:type="dxa"/>
                  <w:shd w:val="clear" w:color="auto" w:fill="auto"/>
                  <w:vAlign w:val="center"/>
                </w:tcPr>
                <w:p w14:paraId="58CC03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0.190</w:t>
                  </w:r>
                </w:p>
              </w:tc>
              <w:tc>
                <w:tcPr>
                  <w:tcW w:w="766" w:type="dxa"/>
                  <w:shd w:val="clear" w:color="auto" w:fill="auto"/>
                  <w:vAlign w:val="center"/>
                </w:tcPr>
                <w:p w14:paraId="65A5BAB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0.456</w:t>
                  </w:r>
                </w:p>
              </w:tc>
              <w:tc>
                <w:tcPr>
                  <w:tcW w:w="798" w:type="dxa"/>
                  <w:shd w:val="clear" w:color="auto" w:fill="auto"/>
                  <w:vAlign w:val="center"/>
                </w:tcPr>
                <w:p w14:paraId="790DEB2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120</w:t>
                  </w:r>
                </w:p>
              </w:tc>
              <w:tc>
                <w:tcPr>
                  <w:tcW w:w="613" w:type="dxa"/>
                  <w:shd w:val="clear" w:color="auto" w:fill="auto"/>
                  <w:vAlign w:val="center"/>
                </w:tcPr>
                <w:p w14:paraId="10F274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3.5</w:t>
                  </w:r>
                </w:p>
              </w:tc>
              <w:tc>
                <w:tcPr>
                  <w:tcW w:w="670" w:type="dxa"/>
                  <w:shd w:val="clear" w:color="auto" w:fill="auto"/>
                  <w:vAlign w:val="center"/>
                </w:tcPr>
                <w:p w14:paraId="106D25C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w:t>
                  </w:r>
                </w:p>
              </w:tc>
            </w:tr>
            <w:tr w14:paraId="6086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shd w:val="clear" w:color="auto" w:fill="auto"/>
                  <w:vAlign w:val="center"/>
                </w:tcPr>
                <w:p w14:paraId="275CC7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固化</w:t>
                  </w:r>
                </w:p>
              </w:tc>
              <w:tc>
                <w:tcPr>
                  <w:tcW w:w="835" w:type="dxa"/>
                  <w:vMerge w:val="restart"/>
                  <w:shd w:val="clear" w:color="auto" w:fill="auto"/>
                  <w:vAlign w:val="center"/>
                </w:tcPr>
                <w:p w14:paraId="243C6A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DA00</w:t>
                  </w:r>
                  <w:r>
                    <w:rPr>
                      <w:rFonts w:hint="eastAsia" w:ascii="Times New Roman" w:hAnsi="Times New Roman" w:eastAsia="宋体" w:cs="Times New Roman"/>
                      <w:i w:val="0"/>
                      <w:iCs w:val="0"/>
                      <w:color w:val="000000"/>
                      <w:kern w:val="0"/>
                      <w:sz w:val="21"/>
                      <w:szCs w:val="21"/>
                      <w:u w:val="none"/>
                      <w:lang w:val="en-US" w:eastAsia="zh-CN" w:bidi="ar"/>
                    </w:rPr>
                    <w:t>3</w:t>
                  </w:r>
                </w:p>
              </w:tc>
              <w:tc>
                <w:tcPr>
                  <w:tcW w:w="920" w:type="dxa"/>
                  <w:shd w:val="clear" w:color="auto" w:fill="auto"/>
                  <w:vAlign w:val="center"/>
                </w:tcPr>
                <w:p w14:paraId="554B88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非甲烷总烃</w:t>
                  </w:r>
                </w:p>
              </w:tc>
              <w:tc>
                <w:tcPr>
                  <w:tcW w:w="921" w:type="dxa"/>
                  <w:shd w:val="clear" w:color="auto" w:fill="auto"/>
                  <w:vAlign w:val="center"/>
                </w:tcPr>
                <w:p w14:paraId="1C8584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95" w:type="dxa"/>
                  <w:shd w:val="clear" w:color="auto" w:fill="auto"/>
                  <w:vAlign w:val="center"/>
                </w:tcPr>
                <w:p w14:paraId="730CCC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0.180</w:t>
                  </w:r>
                </w:p>
              </w:tc>
              <w:tc>
                <w:tcPr>
                  <w:tcW w:w="820" w:type="dxa"/>
                  <w:shd w:val="clear" w:color="auto" w:fill="auto"/>
                  <w:vAlign w:val="center"/>
                </w:tcPr>
                <w:p w14:paraId="2AED2EA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0.432</w:t>
                  </w:r>
                </w:p>
              </w:tc>
              <w:tc>
                <w:tcPr>
                  <w:tcW w:w="1040" w:type="dxa"/>
                  <w:shd w:val="clear" w:color="auto" w:fill="auto"/>
                  <w:vAlign w:val="center"/>
                </w:tcPr>
                <w:p w14:paraId="35E99E9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二级活性炭吸附装置</w:t>
                  </w:r>
                </w:p>
              </w:tc>
              <w:tc>
                <w:tcPr>
                  <w:tcW w:w="791" w:type="dxa"/>
                  <w:vMerge w:val="restart"/>
                  <w:shd w:val="clear" w:color="auto" w:fill="auto"/>
                  <w:vAlign w:val="center"/>
                </w:tcPr>
                <w:p w14:paraId="7D604A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9000</w:t>
                  </w:r>
                </w:p>
              </w:tc>
              <w:tc>
                <w:tcPr>
                  <w:tcW w:w="574" w:type="dxa"/>
                  <w:shd w:val="clear" w:color="auto" w:fill="auto"/>
                  <w:vAlign w:val="center"/>
                </w:tcPr>
                <w:p w14:paraId="6D9B8C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90</w:t>
                  </w:r>
                </w:p>
              </w:tc>
              <w:tc>
                <w:tcPr>
                  <w:tcW w:w="619" w:type="dxa"/>
                  <w:shd w:val="clear" w:color="auto" w:fill="auto"/>
                  <w:vAlign w:val="center"/>
                </w:tcPr>
                <w:p w14:paraId="2281DB8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90</w:t>
                  </w:r>
                </w:p>
              </w:tc>
              <w:tc>
                <w:tcPr>
                  <w:tcW w:w="691" w:type="dxa"/>
                  <w:shd w:val="clear" w:color="auto" w:fill="auto"/>
                  <w:vAlign w:val="center"/>
                </w:tcPr>
                <w:p w14:paraId="3F1201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818" w:type="dxa"/>
                  <w:shd w:val="clear" w:color="auto" w:fill="auto"/>
                  <w:vAlign w:val="center"/>
                </w:tcPr>
                <w:p w14:paraId="4C81F3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1.991</w:t>
                  </w:r>
                </w:p>
              </w:tc>
              <w:tc>
                <w:tcPr>
                  <w:tcW w:w="701" w:type="dxa"/>
                  <w:shd w:val="clear" w:color="auto" w:fill="auto"/>
                  <w:vAlign w:val="center"/>
                </w:tcPr>
                <w:p w14:paraId="532922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766" w:type="dxa"/>
                  <w:shd w:val="clear" w:color="auto" w:fill="auto"/>
                  <w:vAlign w:val="center"/>
                </w:tcPr>
                <w:p w14:paraId="26C16C5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0.043</w:t>
                  </w:r>
                </w:p>
              </w:tc>
              <w:tc>
                <w:tcPr>
                  <w:tcW w:w="798" w:type="dxa"/>
                  <w:shd w:val="clear" w:color="auto" w:fill="auto"/>
                  <w:vAlign w:val="center"/>
                </w:tcPr>
                <w:p w14:paraId="56718A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120</w:t>
                  </w:r>
                </w:p>
              </w:tc>
              <w:tc>
                <w:tcPr>
                  <w:tcW w:w="613" w:type="dxa"/>
                  <w:shd w:val="clear" w:color="auto" w:fill="auto"/>
                  <w:vAlign w:val="center"/>
                </w:tcPr>
                <w:p w14:paraId="4B29E7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10</w:t>
                  </w:r>
                </w:p>
              </w:tc>
              <w:tc>
                <w:tcPr>
                  <w:tcW w:w="670" w:type="dxa"/>
                  <w:vMerge w:val="restart"/>
                  <w:shd w:val="clear" w:color="auto" w:fill="auto"/>
                  <w:vAlign w:val="center"/>
                </w:tcPr>
                <w:p w14:paraId="546C970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w:t>
                  </w:r>
                </w:p>
              </w:tc>
            </w:tr>
            <w:tr w14:paraId="7384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restart"/>
                  <w:shd w:val="clear" w:color="auto" w:fill="auto"/>
                  <w:vAlign w:val="center"/>
                </w:tcPr>
                <w:p w14:paraId="044B94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cs="Times New Roman"/>
                      <w:i w:val="0"/>
                      <w:iCs w:val="0"/>
                      <w:color w:val="000000"/>
                      <w:kern w:val="0"/>
                      <w:sz w:val="21"/>
                      <w:szCs w:val="21"/>
                      <w:u w:val="none"/>
                      <w:lang w:val="en-US" w:eastAsia="zh-CN" w:bidi="ar"/>
                    </w:rPr>
                    <w:t>烘干供热固化供热</w:t>
                  </w:r>
                  <w:r>
                    <w:rPr>
                      <w:rFonts w:hint="default" w:ascii="Times New Roman" w:hAnsi="Times New Roman" w:eastAsia="宋体" w:cs="Times New Roman"/>
                      <w:i w:val="0"/>
                      <w:iCs w:val="0"/>
                      <w:color w:val="000000"/>
                      <w:kern w:val="0"/>
                      <w:sz w:val="21"/>
                      <w:szCs w:val="21"/>
                      <w:u w:val="none"/>
                      <w:lang w:val="en-US" w:eastAsia="zh-CN" w:bidi="ar"/>
                    </w:rPr>
                    <w:t>燃烧废气</w:t>
                  </w:r>
                </w:p>
              </w:tc>
              <w:tc>
                <w:tcPr>
                  <w:tcW w:w="835" w:type="dxa"/>
                  <w:vMerge w:val="continue"/>
                  <w:shd w:val="clear" w:color="auto" w:fill="auto"/>
                  <w:vAlign w:val="center"/>
                </w:tcPr>
                <w:p w14:paraId="0292FF08">
                  <w:pPr>
                    <w:jc w:val="center"/>
                    <w:rPr>
                      <w:rFonts w:hint="default" w:ascii="Times New Roman" w:hAnsi="Times New Roman" w:eastAsia="宋体" w:cs="Times New Roman"/>
                      <w:i w:val="0"/>
                      <w:iCs w:val="0"/>
                      <w:color w:val="000000"/>
                      <w:sz w:val="21"/>
                      <w:szCs w:val="21"/>
                      <w:u w:val="none"/>
                    </w:rPr>
                  </w:pPr>
                </w:p>
              </w:tc>
              <w:tc>
                <w:tcPr>
                  <w:tcW w:w="920" w:type="dxa"/>
                  <w:shd w:val="clear" w:color="auto" w:fill="auto"/>
                  <w:vAlign w:val="center"/>
                </w:tcPr>
                <w:p w14:paraId="246EDE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921" w:type="dxa"/>
                  <w:shd w:val="clear" w:color="auto" w:fill="auto"/>
                  <w:vAlign w:val="center"/>
                </w:tcPr>
                <w:p w14:paraId="428725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2.639</w:t>
                  </w:r>
                </w:p>
              </w:tc>
              <w:tc>
                <w:tcPr>
                  <w:tcW w:w="695" w:type="dxa"/>
                  <w:shd w:val="clear" w:color="auto" w:fill="auto"/>
                  <w:vAlign w:val="center"/>
                </w:tcPr>
                <w:p w14:paraId="159C63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820" w:type="dxa"/>
                  <w:shd w:val="clear" w:color="auto" w:fill="auto"/>
                  <w:vAlign w:val="center"/>
                </w:tcPr>
                <w:p w14:paraId="3CDD89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0.057</w:t>
                  </w:r>
                </w:p>
              </w:tc>
              <w:tc>
                <w:tcPr>
                  <w:tcW w:w="1040" w:type="dxa"/>
                  <w:vMerge w:val="restart"/>
                  <w:shd w:val="clear" w:color="auto" w:fill="auto"/>
                  <w:vAlign w:val="center"/>
                </w:tcPr>
                <w:p w14:paraId="05B950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低氮燃烧器源头控制</w:t>
                  </w:r>
                </w:p>
              </w:tc>
              <w:tc>
                <w:tcPr>
                  <w:tcW w:w="791" w:type="dxa"/>
                  <w:vMerge w:val="continue"/>
                  <w:shd w:val="clear" w:color="auto" w:fill="auto"/>
                  <w:vAlign w:val="center"/>
                </w:tcPr>
                <w:p w14:paraId="3083A1ED">
                  <w:pPr>
                    <w:jc w:val="center"/>
                    <w:rPr>
                      <w:rFonts w:hint="default" w:ascii="Times New Roman" w:hAnsi="Times New Roman" w:eastAsia="宋体" w:cs="Times New Roman"/>
                      <w:i w:val="0"/>
                      <w:iCs w:val="0"/>
                      <w:color w:val="000000"/>
                      <w:sz w:val="21"/>
                      <w:szCs w:val="21"/>
                      <w:u w:val="none"/>
                    </w:rPr>
                  </w:pPr>
                </w:p>
              </w:tc>
              <w:tc>
                <w:tcPr>
                  <w:tcW w:w="574" w:type="dxa"/>
                  <w:shd w:val="clear" w:color="auto" w:fill="auto"/>
                  <w:vAlign w:val="center"/>
                </w:tcPr>
                <w:p w14:paraId="1BD9B6A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9" w:type="dxa"/>
                  <w:shd w:val="clear" w:color="auto" w:fill="auto"/>
                  <w:vAlign w:val="center"/>
                </w:tcPr>
                <w:p w14:paraId="76CB69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91" w:type="dxa"/>
                  <w:vMerge w:val="restart"/>
                  <w:shd w:val="clear" w:color="auto" w:fill="auto"/>
                  <w:vAlign w:val="center"/>
                </w:tcPr>
                <w:p w14:paraId="790976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w:t>
                  </w:r>
                </w:p>
              </w:tc>
              <w:tc>
                <w:tcPr>
                  <w:tcW w:w="818" w:type="dxa"/>
                  <w:shd w:val="clear" w:color="auto" w:fill="auto"/>
                  <w:vAlign w:val="center"/>
                </w:tcPr>
                <w:p w14:paraId="132D9DB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2.639</w:t>
                  </w:r>
                </w:p>
              </w:tc>
              <w:tc>
                <w:tcPr>
                  <w:tcW w:w="701" w:type="dxa"/>
                  <w:shd w:val="clear" w:color="auto" w:fill="auto"/>
                  <w:vAlign w:val="center"/>
                </w:tcPr>
                <w:p w14:paraId="268487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766" w:type="dxa"/>
                  <w:shd w:val="clear" w:color="auto" w:fill="auto"/>
                  <w:vAlign w:val="center"/>
                </w:tcPr>
                <w:p w14:paraId="7AE50B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0.057</w:t>
                  </w:r>
                </w:p>
              </w:tc>
              <w:tc>
                <w:tcPr>
                  <w:tcW w:w="798" w:type="dxa"/>
                  <w:shd w:val="clear" w:color="auto" w:fill="auto"/>
                  <w:vAlign w:val="center"/>
                </w:tcPr>
                <w:p w14:paraId="4747CD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30</w:t>
                  </w:r>
                </w:p>
              </w:tc>
              <w:tc>
                <w:tcPr>
                  <w:tcW w:w="613" w:type="dxa"/>
                  <w:shd w:val="clear" w:color="auto" w:fill="auto"/>
                  <w:vAlign w:val="center"/>
                </w:tcPr>
                <w:p w14:paraId="5D69C145">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670" w:type="dxa"/>
                  <w:vMerge w:val="continue"/>
                  <w:shd w:val="clear" w:color="auto" w:fill="auto"/>
                  <w:vAlign w:val="center"/>
                </w:tcPr>
                <w:p w14:paraId="3B7557EF">
                  <w:pPr>
                    <w:jc w:val="center"/>
                    <w:rPr>
                      <w:rFonts w:hint="default" w:ascii="Times New Roman" w:hAnsi="Times New Roman" w:eastAsia="宋体" w:cs="Times New Roman"/>
                      <w:i w:val="0"/>
                      <w:iCs w:val="0"/>
                      <w:color w:val="000000"/>
                      <w:sz w:val="21"/>
                      <w:szCs w:val="21"/>
                      <w:u w:val="none"/>
                    </w:rPr>
                  </w:pPr>
                </w:p>
              </w:tc>
            </w:tr>
            <w:tr w14:paraId="7FAF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shd w:val="clear" w:color="auto" w:fill="auto"/>
                  <w:vAlign w:val="center"/>
                </w:tcPr>
                <w:p w14:paraId="538851C3">
                  <w:pPr>
                    <w:jc w:val="center"/>
                    <w:rPr>
                      <w:rFonts w:hint="default" w:ascii="Times New Roman" w:hAnsi="Times New Roman" w:eastAsia="宋体" w:cs="Times New Roman"/>
                      <w:i w:val="0"/>
                      <w:iCs w:val="0"/>
                      <w:color w:val="000000"/>
                      <w:sz w:val="21"/>
                      <w:szCs w:val="21"/>
                      <w:u w:val="none"/>
                    </w:rPr>
                  </w:pPr>
                </w:p>
              </w:tc>
              <w:tc>
                <w:tcPr>
                  <w:tcW w:w="835" w:type="dxa"/>
                  <w:vMerge w:val="continue"/>
                  <w:shd w:val="clear" w:color="auto" w:fill="auto"/>
                  <w:vAlign w:val="center"/>
                </w:tcPr>
                <w:p w14:paraId="02D697DD">
                  <w:pPr>
                    <w:jc w:val="center"/>
                    <w:rPr>
                      <w:rFonts w:hint="default" w:ascii="Times New Roman" w:hAnsi="Times New Roman" w:eastAsia="宋体" w:cs="Times New Roman"/>
                      <w:i w:val="0"/>
                      <w:iCs w:val="0"/>
                      <w:color w:val="000000"/>
                      <w:sz w:val="21"/>
                      <w:szCs w:val="21"/>
                      <w:u w:val="none"/>
                    </w:rPr>
                  </w:pPr>
                </w:p>
              </w:tc>
              <w:tc>
                <w:tcPr>
                  <w:tcW w:w="920" w:type="dxa"/>
                  <w:shd w:val="clear" w:color="auto" w:fill="auto"/>
                  <w:vAlign w:val="center"/>
                </w:tcPr>
                <w:p w14:paraId="57839C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921" w:type="dxa"/>
                  <w:shd w:val="clear" w:color="auto" w:fill="auto"/>
                  <w:vAlign w:val="center"/>
                </w:tcPr>
                <w:p w14:paraId="5DAD65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1.852</w:t>
                  </w:r>
                </w:p>
              </w:tc>
              <w:tc>
                <w:tcPr>
                  <w:tcW w:w="695" w:type="dxa"/>
                  <w:shd w:val="clear" w:color="auto" w:fill="auto"/>
                  <w:vAlign w:val="center"/>
                </w:tcPr>
                <w:p w14:paraId="6A6439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820" w:type="dxa"/>
                  <w:shd w:val="clear" w:color="auto" w:fill="auto"/>
                  <w:vAlign w:val="center"/>
                </w:tcPr>
                <w:p w14:paraId="482458F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0.04</w:t>
                  </w:r>
                </w:p>
              </w:tc>
              <w:tc>
                <w:tcPr>
                  <w:tcW w:w="1040" w:type="dxa"/>
                  <w:vMerge w:val="continue"/>
                  <w:shd w:val="clear" w:color="auto" w:fill="auto"/>
                  <w:vAlign w:val="center"/>
                </w:tcPr>
                <w:p w14:paraId="35BF272A">
                  <w:pPr>
                    <w:jc w:val="center"/>
                    <w:rPr>
                      <w:rFonts w:hint="default" w:ascii="Times New Roman" w:hAnsi="Times New Roman" w:eastAsia="宋体" w:cs="Times New Roman"/>
                      <w:i w:val="0"/>
                      <w:iCs w:val="0"/>
                      <w:color w:val="000000"/>
                      <w:sz w:val="21"/>
                      <w:szCs w:val="21"/>
                      <w:u w:val="none"/>
                    </w:rPr>
                  </w:pPr>
                </w:p>
              </w:tc>
              <w:tc>
                <w:tcPr>
                  <w:tcW w:w="791" w:type="dxa"/>
                  <w:vMerge w:val="continue"/>
                  <w:shd w:val="clear" w:color="auto" w:fill="auto"/>
                  <w:vAlign w:val="center"/>
                </w:tcPr>
                <w:p w14:paraId="3B35C672">
                  <w:pPr>
                    <w:jc w:val="center"/>
                    <w:rPr>
                      <w:rFonts w:hint="default" w:ascii="Times New Roman" w:hAnsi="Times New Roman" w:eastAsia="宋体" w:cs="Times New Roman"/>
                      <w:i w:val="0"/>
                      <w:iCs w:val="0"/>
                      <w:color w:val="000000"/>
                      <w:sz w:val="21"/>
                      <w:szCs w:val="21"/>
                      <w:u w:val="none"/>
                    </w:rPr>
                  </w:pPr>
                </w:p>
              </w:tc>
              <w:tc>
                <w:tcPr>
                  <w:tcW w:w="574" w:type="dxa"/>
                  <w:shd w:val="clear" w:color="auto" w:fill="auto"/>
                  <w:vAlign w:val="center"/>
                </w:tcPr>
                <w:p w14:paraId="3596D5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9" w:type="dxa"/>
                  <w:shd w:val="clear" w:color="auto" w:fill="auto"/>
                  <w:vAlign w:val="center"/>
                </w:tcPr>
                <w:p w14:paraId="3416CF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91" w:type="dxa"/>
                  <w:vMerge w:val="continue"/>
                  <w:shd w:val="clear" w:color="auto" w:fill="auto"/>
                  <w:vAlign w:val="center"/>
                </w:tcPr>
                <w:p w14:paraId="68E3C3E6">
                  <w:pPr>
                    <w:jc w:val="center"/>
                    <w:rPr>
                      <w:rFonts w:hint="default" w:ascii="Times New Roman" w:hAnsi="Times New Roman" w:eastAsia="宋体" w:cs="Times New Roman"/>
                      <w:i w:val="0"/>
                      <w:iCs w:val="0"/>
                      <w:color w:val="000000"/>
                      <w:sz w:val="21"/>
                      <w:szCs w:val="21"/>
                      <w:u w:val="none"/>
                    </w:rPr>
                  </w:pPr>
                </w:p>
              </w:tc>
              <w:tc>
                <w:tcPr>
                  <w:tcW w:w="818" w:type="dxa"/>
                  <w:shd w:val="clear" w:color="auto" w:fill="auto"/>
                  <w:vAlign w:val="center"/>
                </w:tcPr>
                <w:p w14:paraId="234749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1.852</w:t>
                  </w:r>
                </w:p>
              </w:tc>
              <w:tc>
                <w:tcPr>
                  <w:tcW w:w="701" w:type="dxa"/>
                  <w:shd w:val="clear" w:color="auto" w:fill="auto"/>
                  <w:vAlign w:val="center"/>
                </w:tcPr>
                <w:p w14:paraId="62180E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766" w:type="dxa"/>
                  <w:shd w:val="clear" w:color="auto" w:fill="auto"/>
                  <w:vAlign w:val="center"/>
                </w:tcPr>
                <w:p w14:paraId="6543C9A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0.04</w:t>
                  </w:r>
                </w:p>
              </w:tc>
              <w:tc>
                <w:tcPr>
                  <w:tcW w:w="798" w:type="dxa"/>
                  <w:shd w:val="clear" w:color="auto" w:fill="auto"/>
                  <w:vAlign w:val="center"/>
                </w:tcPr>
                <w:p w14:paraId="7F4706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200</w:t>
                  </w:r>
                </w:p>
              </w:tc>
              <w:tc>
                <w:tcPr>
                  <w:tcW w:w="613" w:type="dxa"/>
                  <w:shd w:val="clear" w:color="auto" w:fill="auto"/>
                  <w:vAlign w:val="center"/>
                </w:tcPr>
                <w:p w14:paraId="45C2FEC3">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670" w:type="dxa"/>
                  <w:vMerge w:val="continue"/>
                  <w:shd w:val="clear" w:color="auto" w:fill="auto"/>
                  <w:vAlign w:val="center"/>
                </w:tcPr>
                <w:p w14:paraId="3CE6A249">
                  <w:pPr>
                    <w:jc w:val="center"/>
                    <w:rPr>
                      <w:rFonts w:hint="default" w:ascii="Times New Roman" w:hAnsi="Times New Roman" w:eastAsia="宋体" w:cs="Times New Roman"/>
                      <w:i w:val="0"/>
                      <w:iCs w:val="0"/>
                      <w:color w:val="000000"/>
                      <w:sz w:val="21"/>
                      <w:szCs w:val="21"/>
                      <w:u w:val="none"/>
                    </w:rPr>
                  </w:pPr>
                </w:p>
              </w:tc>
            </w:tr>
            <w:tr w14:paraId="6C31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vMerge w:val="continue"/>
                  <w:shd w:val="clear" w:color="auto" w:fill="auto"/>
                  <w:vAlign w:val="center"/>
                </w:tcPr>
                <w:p w14:paraId="540E7578">
                  <w:pPr>
                    <w:jc w:val="center"/>
                    <w:rPr>
                      <w:rFonts w:hint="default" w:ascii="Times New Roman" w:hAnsi="Times New Roman" w:eastAsia="宋体" w:cs="Times New Roman"/>
                      <w:i w:val="0"/>
                      <w:iCs w:val="0"/>
                      <w:color w:val="000000"/>
                      <w:sz w:val="21"/>
                      <w:szCs w:val="21"/>
                      <w:u w:val="none"/>
                    </w:rPr>
                  </w:pPr>
                </w:p>
              </w:tc>
              <w:tc>
                <w:tcPr>
                  <w:tcW w:w="835" w:type="dxa"/>
                  <w:vMerge w:val="continue"/>
                  <w:shd w:val="clear" w:color="auto" w:fill="auto"/>
                  <w:vAlign w:val="center"/>
                </w:tcPr>
                <w:p w14:paraId="3744CAC8">
                  <w:pPr>
                    <w:jc w:val="center"/>
                    <w:rPr>
                      <w:rFonts w:hint="default" w:ascii="Times New Roman" w:hAnsi="Times New Roman" w:eastAsia="宋体" w:cs="Times New Roman"/>
                      <w:i w:val="0"/>
                      <w:iCs w:val="0"/>
                      <w:color w:val="000000"/>
                      <w:sz w:val="21"/>
                      <w:szCs w:val="21"/>
                      <w:u w:val="none"/>
                    </w:rPr>
                  </w:pPr>
                </w:p>
              </w:tc>
              <w:tc>
                <w:tcPr>
                  <w:tcW w:w="920" w:type="dxa"/>
                  <w:shd w:val="clear" w:color="auto" w:fill="auto"/>
                  <w:vAlign w:val="center"/>
                </w:tcPr>
                <w:p w14:paraId="63BC9B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921" w:type="dxa"/>
                  <w:shd w:val="clear" w:color="auto" w:fill="auto"/>
                  <w:vAlign w:val="center"/>
                </w:tcPr>
                <w:p w14:paraId="20E73EF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8.657</w:t>
                  </w:r>
                </w:p>
              </w:tc>
              <w:tc>
                <w:tcPr>
                  <w:tcW w:w="695" w:type="dxa"/>
                  <w:shd w:val="clear" w:color="auto" w:fill="auto"/>
                  <w:vAlign w:val="center"/>
                </w:tcPr>
                <w:p w14:paraId="6AFA0F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0.078</w:t>
                  </w:r>
                </w:p>
              </w:tc>
              <w:tc>
                <w:tcPr>
                  <w:tcW w:w="820" w:type="dxa"/>
                  <w:shd w:val="clear" w:color="auto" w:fill="auto"/>
                  <w:vAlign w:val="center"/>
                </w:tcPr>
                <w:p w14:paraId="730006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0.187</w:t>
                  </w:r>
                </w:p>
              </w:tc>
              <w:tc>
                <w:tcPr>
                  <w:tcW w:w="1040" w:type="dxa"/>
                  <w:vMerge w:val="continue"/>
                  <w:shd w:val="clear" w:color="auto" w:fill="auto"/>
                  <w:vAlign w:val="center"/>
                </w:tcPr>
                <w:p w14:paraId="6CC2C84B">
                  <w:pPr>
                    <w:jc w:val="center"/>
                    <w:rPr>
                      <w:rFonts w:hint="default" w:ascii="Times New Roman" w:hAnsi="Times New Roman" w:eastAsia="宋体" w:cs="Times New Roman"/>
                      <w:i w:val="0"/>
                      <w:iCs w:val="0"/>
                      <w:color w:val="000000"/>
                      <w:sz w:val="21"/>
                      <w:szCs w:val="21"/>
                      <w:u w:val="none"/>
                    </w:rPr>
                  </w:pPr>
                </w:p>
              </w:tc>
              <w:tc>
                <w:tcPr>
                  <w:tcW w:w="791" w:type="dxa"/>
                  <w:vMerge w:val="continue"/>
                  <w:shd w:val="clear" w:color="auto" w:fill="auto"/>
                  <w:vAlign w:val="center"/>
                </w:tcPr>
                <w:p w14:paraId="03619E48">
                  <w:pPr>
                    <w:jc w:val="center"/>
                    <w:rPr>
                      <w:rFonts w:hint="default" w:ascii="Times New Roman" w:hAnsi="Times New Roman" w:eastAsia="宋体" w:cs="Times New Roman"/>
                      <w:i w:val="0"/>
                      <w:iCs w:val="0"/>
                      <w:color w:val="000000"/>
                      <w:sz w:val="21"/>
                      <w:szCs w:val="21"/>
                      <w:u w:val="none"/>
                    </w:rPr>
                  </w:pPr>
                </w:p>
              </w:tc>
              <w:tc>
                <w:tcPr>
                  <w:tcW w:w="574" w:type="dxa"/>
                  <w:shd w:val="clear" w:color="auto" w:fill="auto"/>
                  <w:vAlign w:val="center"/>
                </w:tcPr>
                <w:p w14:paraId="34D1CE9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9" w:type="dxa"/>
                  <w:shd w:val="clear" w:color="auto" w:fill="auto"/>
                  <w:vAlign w:val="center"/>
                </w:tcPr>
                <w:p w14:paraId="75491E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91" w:type="dxa"/>
                  <w:vMerge w:val="continue"/>
                  <w:shd w:val="clear" w:color="auto" w:fill="auto"/>
                  <w:vAlign w:val="center"/>
                </w:tcPr>
                <w:p w14:paraId="19EEAA3C">
                  <w:pPr>
                    <w:jc w:val="center"/>
                    <w:rPr>
                      <w:rFonts w:hint="default" w:ascii="Times New Roman" w:hAnsi="Times New Roman" w:eastAsia="宋体" w:cs="Times New Roman"/>
                      <w:i w:val="0"/>
                      <w:iCs w:val="0"/>
                      <w:color w:val="000000"/>
                      <w:sz w:val="21"/>
                      <w:szCs w:val="21"/>
                      <w:u w:val="none"/>
                    </w:rPr>
                  </w:pPr>
                </w:p>
              </w:tc>
              <w:tc>
                <w:tcPr>
                  <w:tcW w:w="818" w:type="dxa"/>
                  <w:shd w:val="clear" w:color="auto" w:fill="auto"/>
                  <w:vAlign w:val="center"/>
                </w:tcPr>
                <w:p w14:paraId="006635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8.657</w:t>
                  </w:r>
                </w:p>
              </w:tc>
              <w:tc>
                <w:tcPr>
                  <w:tcW w:w="701" w:type="dxa"/>
                  <w:shd w:val="clear" w:color="auto" w:fill="auto"/>
                  <w:vAlign w:val="center"/>
                </w:tcPr>
                <w:p w14:paraId="5F3F39D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0.078</w:t>
                  </w:r>
                </w:p>
              </w:tc>
              <w:tc>
                <w:tcPr>
                  <w:tcW w:w="766" w:type="dxa"/>
                  <w:shd w:val="clear" w:color="auto" w:fill="auto"/>
                  <w:vAlign w:val="center"/>
                </w:tcPr>
                <w:p w14:paraId="44AA61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0.187</w:t>
                  </w:r>
                </w:p>
              </w:tc>
              <w:tc>
                <w:tcPr>
                  <w:tcW w:w="798" w:type="dxa"/>
                  <w:shd w:val="clear" w:color="auto" w:fill="auto"/>
                  <w:vAlign w:val="center"/>
                </w:tcPr>
                <w:p w14:paraId="7A7CE54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300</w:t>
                  </w:r>
                </w:p>
              </w:tc>
              <w:tc>
                <w:tcPr>
                  <w:tcW w:w="613" w:type="dxa"/>
                  <w:shd w:val="clear" w:color="auto" w:fill="auto"/>
                  <w:vAlign w:val="center"/>
                </w:tcPr>
                <w:p w14:paraId="00ADBCD3">
                  <w:pPr>
                    <w:keepNext w:val="0"/>
                    <w:keepLines w:val="0"/>
                    <w:widowControl/>
                    <w:suppressLineNumbers w:val="0"/>
                    <w:jc w:val="center"/>
                    <w:textAlignment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w:t>
                  </w:r>
                </w:p>
              </w:tc>
              <w:tc>
                <w:tcPr>
                  <w:tcW w:w="670" w:type="dxa"/>
                  <w:vMerge w:val="continue"/>
                  <w:shd w:val="clear" w:color="auto" w:fill="auto"/>
                  <w:vAlign w:val="center"/>
                </w:tcPr>
                <w:p w14:paraId="3A0989AC">
                  <w:pPr>
                    <w:jc w:val="center"/>
                    <w:rPr>
                      <w:rFonts w:hint="default" w:ascii="Times New Roman" w:hAnsi="Times New Roman" w:eastAsia="宋体" w:cs="Times New Roman"/>
                      <w:i w:val="0"/>
                      <w:iCs w:val="0"/>
                      <w:color w:val="000000"/>
                      <w:sz w:val="21"/>
                      <w:szCs w:val="21"/>
                      <w:u w:val="none"/>
                    </w:rPr>
                  </w:pPr>
                </w:p>
              </w:tc>
            </w:tr>
            <w:tr w14:paraId="0E53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dxa"/>
                  <w:shd w:val="clear" w:color="auto" w:fill="auto"/>
                  <w:vAlign w:val="center"/>
                </w:tcPr>
                <w:p w14:paraId="3552A024">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注塑</w:t>
                  </w:r>
                </w:p>
              </w:tc>
              <w:tc>
                <w:tcPr>
                  <w:tcW w:w="835" w:type="dxa"/>
                  <w:shd w:val="clear" w:color="auto" w:fill="auto"/>
                  <w:vAlign w:val="center"/>
                </w:tcPr>
                <w:p w14:paraId="6C068C6B">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DA004</w:t>
                  </w:r>
                </w:p>
              </w:tc>
              <w:tc>
                <w:tcPr>
                  <w:tcW w:w="920" w:type="dxa"/>
                  <w:shd w:val="clear" w:color="auto" w:fill="auto"/>
                  <w:vAlign w:val="center"/>
                </w:tcPr>
                <w:p w14:paraId="49A780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非甲烷总烃</w:t>
                  </w:r>
                </w:p>
              </w:tc>
              <w:tc>
                <w:tcPr>
                  <w:tcW w:w="921" w:type="dxa"/>
                  <w:shd w:val="clear" w:color="auto" w:fill="auto"/>
                  <w:vAlign w:val="center"/>
                </w:tcPr>
                <w:p w14:paraId="59ED57A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30.375</w:t>
                  </w:r>
                </w:p>
              </w:tc>
              <w:tc>
                <w:tcPr>
                  <w:tcW w:w="695" w:type="dxa"/>
                  <w:shd w:val="clear" w:color="auto" w:fill="auto"/>
                  <w:vAlign w:val="center"/>
                </w:tcPr>
                <w:p w14:paraId="6C711D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0.304</w:t>
                  </w:r>
                </w:p>
              </w:tc>
              <w:tc>
                <w:tcPr>
                  <w:tcW w:w="820" w:type="dxa"/>
                  <w:shd w:val="clear" w:color="auto" w:fill="auto"/>
                  <w:vAlign w:val="center"/>
                </w:tcPr>
                <w:p w14:paraId="408D1E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0.729</w:t>
                  </w:r>
                </w:p>
              </w:tc>
              <w:tc>
                <w:tcPr>
                  <w:tcW w:w="1040" w:type="dxa"/>
                  <w:shd w:val="clear" w:color="auto" w:fill="auto"/>
                  <w:vAlign w:val="center"/>
                </w:tcPr>
                <w:p w14:paraId="686139C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二级活性炭吸附装置</w:t>
                  </w:r>
                </w:p>
              </w:tc>
              <w:tc>
                <w:tcPr>
                  <w:tcW w:w="791" w:type="dxa"/>
                  <w:shd w:val="clear" w:color="auto" w:fill="auto"/>
                  <w:vAlign w:val="center"/>
                </w:tcPr>
                <w:p w14:paraId="549C5BCA">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10000</w:t>
                  </w:r>
                </w:p>
              </w:tc>
              <w:tc>
                <w:tcPr>
                  <w:tcW w:w="574" w:type="dxa"/>
                  <w:shd w:val="clear" w:color="auto" w:fill="auto"/>
                  <w:vAlign w:val="center"/>
                </w:tcPr>
                <w:p w14:paraId="5DC361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90</w:t>
                  </w:r>
                </w:p>
              </w:tc>
              <w:tc>
                <w:tcPr>
                  <w:tcW w:w="619" w:type="dxa"/>
                  <w:shd w:val="clear" w:color="auto" w:fill="auto"/>
                  <w:vAlign w:val="center"/>
                </w:tcPr>
                <w:p w14:paraId="65C752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sz w:val="21"/>
                      <w:szCs w:val="21"/>
                      <w:u w:val="none"/>
                      <w:lang w:val="en-US" w:eastAsia="zh-CN"/>
                    </w:rPr>
                    <w:t>90</w:t>
                  </w:r>
                </w:p>
              </w:tc>
              <w:tc>
                <w:tcPr>
                  <w:tcW w:w="691" w:type="dxa"/>
                  <w:shd w:val="clear" w:color="auto" w:fill="auto"/>
                  <w:vAlign w:val="center"/>
                </w:tcPr>
                <w:p w14:paraId="096906A9">
                  <w:pPr>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是</w:t>
                  </w:r>
                </w:p>
              </w:tc>
              <w:tc>
                <w:tcPr>
                  <w:tcW w:w="818" w:type="dxa"/>
                  <w:shd w:val="clear" w:color="auto" w:fill="auto"/>
                  <w:vAlign w:val="center"/>
                </w:tcPr>
                <w:p w14:paraId="00C752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01" w:type="dxa"/>
                  <w:shd w:val="clear" w:color="auto" w:fill="auto"/>
                  <w:vAlign w:val="center"/>
                </w:tcPr>
                <w:p w14:paraId="4B79C2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0.030</w:t>
                  </w:r>
                </w:p>
              </w:tc>
              <w:tc>
                <w:tcPr>
                  <w:tcW w:w="766" w:type="dxa"/>
                  <w:shd w:val="clear" w:color="auto" w:fill="auto"/>
                  <w:vAlign w:val="center"/>
                </w:tcPr>
                <w:p w14:paraId="2AA42A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0.073</w:t>
                  </w:r>
                </w:p>
              </w:tc>
              <w:tc>
                <w:tcPr>
                  <w:tcW w:w="798" w:type="dxa"/>
                  <w:shd w:val="clear" w:color="auto" w:fill="auto"/>
                  <w:vAlign w:val="center"/>
                </w:tcPr>
                <w:p w14:paraId="0870766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40</w:t>
                  </w:r>
                </w:p>
              </w:tc>
              <w:tc>
                <w:tcPr>
                  <w:tcW w:w="613" w:type="dxa"/>
                  <w:shd w:val="clear" w:color="auto" w:fill="auto"/>
                  <w:vAlign w:val="center"/>
                </w:tcPr>
                <w:p w14:paraId="11CF09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1.6</w:t>
                  </w:r>
                </w:p>
              </w:tc>
              <w:tc>
                <w:tcPr>
                  <w:tcW w:w="670" w:type="dxa"/>
                  <w:shd w:val="clear" w:color="auto" w:fill="auto"/>
                  <w:vAlign w:val="center"/>
                </w:tcPr>
                <w:p w14:paraId="0482272E">
                  <w:pPr>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2400</w:t>
                  </w:r>
                </w:p>
              </w:tc>
            </w:tr>
          </w:tbl>
          <w:p w14:paraId="3FCED37F">
            <w:pPr>
              <w:pStyle w:val="26"/>
              <w:widowControl w:val="0"/>
              <w:rPr>
                <w:rFonts w:hint="eastAsia" w:ascii="Times New Roman" w:hAnsi="Times New Roman" w:eastAsia="宋体"/>
                <w:snapToGrid w:val="0"/>
                <w:color w:val="000000" w:themeColor="text1"/>
                <w:sz w:val="30"/>
                <w:szCs w:val="30"/>
                <w:lang w:val="en-US" w:eastAsia="zh-CN"/>
                <w14:textFill>
                  <w14:solidFill>
                    <w14:schemeClr w14:val="tx1"/>
                  </w14:solidFill>
                </w14:textFill>
              </w:rPr>
            </w:pPr>
            <w:r>
              <w:rPr>
                <w:rFonts w:hint="eastAsia" w:ascii="Times New Roman" w:hAnsi="Times New Roman"/>
                <w:snapToGrid w:val="0"/>
                <w:color w:val="000000" w:themeColor="text1"/>
                <w:sz w:val="30"/>
                <w:szCs w:val="30"/>
                <w:lang w:val="en-US" w:eastAsia="zh-CN"/>
                <w14:textFill>
                  <w14:solidFill>
                    <w14:schemeClr w14:val="tx1"/>
                  </w14:solidFill>
                </w14:textFill>
              </w:rPr>
              <w:t xml:space="preserve"> </w:t>
            </w:r>
          </w:p>
        </w:tc>
      </w:tr>
    </w:tbl>
    <w:p w14:paraId="6C9C5172">
      <w:pPr>
        <w:pStyle w:val="26"/>
        <w:jc w:val="center"/>
        <w:outlineLvl w:val="0"/>
        <w:rPr>
          <w:rFonts w:ascii="Times New Roman" w:hAnsi="Times New Roman"/>
          <w:snapToGrid w:val="0"/>
          <w:color w:val="000000" w:themeColor="text1"/>
          <w:sz w:val="30"/>
          <w:szCs w:val="30"/>
          <w14:textFill>
            <w14:solidFill>
              <w14:schemeClr w14:val="tx1"/>
            </w14:solidFill>
          </w14:textFill>
        </w:rPr>
        <w:sectPr>
          <w:pgSz w:w="16840" w:h="11907" w:orient="landscape"/>
          <w:pgMar w:top="1531" w:right="1701" w:bottom="1531" w:left="2127" w:header="851" w:footer="851" w:gutter="0"/>
          <w:cols w:space="720" w:num="1"/>
          <w:docGrid w:linePitch="326" w:charSpace="0"/>
        </w:sectPr>
      </w:pPr>
    </w:p>
    <w:tbl>
      <w:tblPr>
        <w:tblStyle w:val="30"/>
        <w:tblW w:w="91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1"/>
        <w:gridCol w:w="8311"/>
      </w:tblGrid>
      <w:tr w14:paraId="67D73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7" w:hRule="atLeast"/>
          <w:jc w:val="center"/>
        </w:trPr>
        <w:tc>
          <w:tcPr>
            <w:tcW w:w="821" w:type="dxa"/>
            <w:tcMar>
              <w:left w:w="28" w:type="dxa"/>
              <w:right w:w="28" w:type="dxa"/>
            </w:tcMar>
            <w:vAlign w:val="center"/>
          </w:tcPr>
          <w:p w14:paraId="31354AD3">
            <w:pPr>
              <w:pStyle w:val="26"/>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p>
        </w:tc>
        <w:tc>
          <w:tcPr>
            <w:tcW w:w="8311" w:type="dxa"/>
            <w:vAlign w:val="center"/>
          </w:tcPr>
          <w:p w14:paraId="31D935C7">
            <w:pPr>
              <w:spacing w:line="360" w:lineRule="auto"/>
              <w:rPr>
                <w:b/>
                <w:bCs/>
                <w:color w:val="auto"/>
                <w:sz w:val="24"/>
              </w:rPr>
            </w:pPr>
            <w:r>
              <w:rPr>
                <w:rFonts w:hint="eastAsia"/>
                <w:b/>
                <w:bCs/>
                <w:color w:val="auto"/>
                <w:sz w:val="24"/>
                <w:lang w:val="en-US" w:eastAsia="zh-CN"/>
              </w:rPr>
              <w:t>2</w:t>
            </w:r>
            <w:r>
              <w:rPr>
                <w:b/>
                <w:bCs/>
                <w:color w:val="auto"/>
                <w:sz w:val="24"/>
              </w:rPr>
              <w:t>、排气筒设置情况及监测计划</w:t>
            </w:r>
          </w:p>
          <w:p w14:paraId="559B4BDB">
            <w:pPr>
              <w:spacing w:line="360" w:lineRule="auto"/>
              <w:ind w:firstLine="480" w:firstLineChars="200"/>
              <w:rPr>
                <w:color w:val="auto"/>
                <w:sz w:val="24"/>
              </w:rPr>
            </w:pPr>
            <w:r>
              <w:rPr>
                <w:color w:val="auto"/>
                <w:sz w:val="24"/>
              </w:rPr>
              <w:t>（1）排气筒设置情况</w:t>
            </w:r>
          </w:p>
          <w:p w14:paraId="41128D4D">
            <w:pPr>
              <w:spacing w:line="360" w:lineRule="auto"/>
              <w:ind w:left="240" w:leftChars="100" w:firstLine="240" w:firstLineChars="100"/>
              <w:rPr>
                <w:color w:val="auto"/>
                <w:sz w:val="24"/>
              </w:rPr>
            </w:pPr>
            <w:r>
              <w:rPr>
                <w:color w:val="auto"/>
                <w:sz w:val="24"/>
              </w:rPr>
              <w:t>项目建成后具体排气筒设置情况见以下分析。</w:t>
            </w:r>
          </w:p>
          <w:p w14:paraId="47780A98">
            <w:pPr>
              <w:jc w:val="center"/>
              <w:rPr>
                <w:b/>
                <w:bCs/>
                <w:color w:val="auto"/>
                <w:sz w:val="24"/>
              </w:rPr>
            </w:pPr>
            <w:r>
              <w:rPr>
                <w:b/>
                <w:bCs/>
                <w:color w:val="auto"/>
                <w:sz w:val="24"/>
              </w:rPr>
              <w:t>表4-</w:t>
            </w:r>
            <w:r>
              <w:rPr>
                <w:rFonts w:hint="eastAsia"/>
                <w:b/>
                <w:bCs/>
                <w:color w:val="auto"/>
                <w:sz w:val="24"/>
                <w:lang w:val="en-US" w:eastAsia="zh-CN"/>
              </w:rPr>
              <w:t>2</w:t>
            </w:r>
            <w:r>
              <w:rPr>
                <w:b/>
                <w:bCs/>
                <w:color w:val="auto"/>
                <w:sz w:val="24"/>
              </w:rPr>
              <w:t xml:space="preserve"> </w:t>
            </w:r>
            <w:r>
              <w:rPr>
                <w:rFonts w:hint="eastAsia"/>
                <w:b/>
                <w:bCs/>
                <w:color w:val="auto"/>
                <w:sz w:val="24"/>
                <w:lang w:val="en-US" w:eastAsia="zh-CN"/>
              </w:rPr>
              <w:t xml:space="preserve"> </w:t>
            </w:r>
            <w:r>
              <w:rPr>
                <w:b/>
                <w:bCs/>
                <w:color w:val="auto"/>
                <w:sz w:val="24"/>
              </w:rPr>
              <w:t>产排污环节、废气污染物对应排放口类型一览表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871"/>
              <w:gridCol w:w="907"/>
              <w:gridCol w:w="1230"/>
              <w:gridCol w:w="855"/>
              <w:gridCol w:w="885"/>
              <w:gridCol w:w="722"/>
              <w:gridCol w:w="933"/>
              <w:gridCol w:w="815"/>
            </w:tblGrid>
            <w:tr w14:paraId="58E2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vMerge w:val="restart"/>
                  <w:noWrap w:val="0"/>
                  <w:vAlign w:val="center"/>
                </w:tcPr>
                <w:p w14:paraId="36F8BCA0">
                  <w:pPr>
                    <w:jc w:val="center"/>
                    <w:rPr>
                      <w:b/>
                      <w:bCs/>
                      <w:color w:val="auto"/>
                      <w:sz w:val="21"/>
                      <w:szCs w:val="21"/>
                    </w:rPr>
                  </w:pPr>
                  <w:r>
                    <w:rPr>
                      <w:b/>
                      <w:bCs/>
                      <w:color w:val="auto"/>
                      <w:sz w:val="21"/>
                      <w:szCs w:val="21"/>
                    </w:rPr>
                    <w:t>产污</w:t>
                  </w:r>
                </w:p>
                <w:p w14:paraId="02DEB481">
                  <w:pPr>
                    <w:jc w:val="center"/>
                    <w:rPr>
                      <w:b/>
                      <w:bCs/>
                      <w:color w:val="auto"/>
                      <w:sz w:val="21"/>
                      <w:szCs w:val="21"/>
                    </w:rPr>
                  </w:pPr>
                  <w:r>
                    <w:rPr>
                      <w:b/>
                      <w:bCs/>
                      <w:color w:val="auto"/>
                      <w:sz w:val="21"/>
                      <w:szCs w:val="21"/>
                    </w:rPr>
                    <w:t>环节</w:t>
                  </w:r>
                </w:p>
              </w:tc>
              <w:tc>
                <w:tcPr>
                  <w:tcW w:w="871" w:type="dxa"/>
                  <w:vMerge w:val="restart"/>
                  <w:noWrap w:val="0"/>
                  <w:vAlign w:val="center"/>
                </w:tcPr>
                <w:p w14:paraId="309F8ED6">
                  <w:pPr>
                    <w:jc w:val="center"/>
                    <w:rPr>
                      <w:b/>
                      <w:bCs/>
                      <w:color w:val="auto"/>
                      <w:sz w:val="21"/>
                      <w:szCs w:val="21"/>
                    </w:rPr>
                  </w:pPr>
                  <w:r>
                    <w:rPr>
                      <w:b/>
                      <w:bCs/>
                      <w:color w:val="auto"/>
                      <w:sz w:val="21"/>
                      <w:szCs w:val="21"/>
                    </w:rPr>
                    <w:t>污染物种类</w:t>
                  </w:r>
                </w:p>
              </w:tc>
              <w:tc>
                <w:tcPr>
                  <w:tcW w:w="907" w:type="dxa"/>
                  <w:vMerge w:val="restart"/>
                  <w:noWrap w:val="0"/>
                  <w:vAlign w:val="center"/>
                </w:tcPr>
                <w:p w14:paraId="1F1376BE">
                  <w:pPr>
                    <w:jc w:val="center"/>
                    <w:rPr>
                      <w:b/>
                      <w:bCs/>
                      <w:color w:val="auto"/>
                      <w:sz w:val="21"/>
                      <w:szCs w:val="21"/>
                    </w:rPr>
                  </w:pPr>
                  <w:r>
                    <w:rPr>
                      <w:b/>
                      <w:bCs/>
                      <w:color w:val="auto"/>
                      <w:sz w:val="21"/>
                      <w:szCs w:val="21"/>
                    </w:rPr>
                    <w:t>排放</w:t>
                  </w:r>
                </w:p>
                <w:p w14:paraId="04D790C8">
                  <w:pPr>
                    <w:jc w:val="center"/>
                    <w:rPr>
                      <w:b/>
                      <w:bCs/>
                      <w:color w:val="auto"/>
                      <w:sz w:val="21"/>
                      <w:szCs w:val="21"/>
                    </w:rPr>
                  </w:pPr>
                  <w:r>
                    <w:rPr>
                      <w:b/>
                      <w:bCs/>
                      <w:color w:val="auto"/>
                      <w:sz w:val="21"/>
                      <w:szCs w:val="21"/>
                    </w:rPr>
                    <w:t>形式</w:t>
                  </w:r>
                </w:p>
              </w:tc>
              <w:tc>
                <w:tcPr>
                  <w:tcW w:w="3692" w:type="dxa"/>
                  <w:gridSpan w:val="4"/>
                  <w:noWrap w:val="0"/>
                  <w:vAlign w:val="center"/>
                </w:tcPr>
                <w:p w14:paraId="3F622F93">
                  <w:pPr>
                    <w:jc w:val="center"/>
                    <w:rPr>
                      <w:b/>
                      <w:bCs/>
                      <w:color w:val="auto"/>
                      <w:sz w:val="21"/>
                      <w:szCs w:val="21"/>
                    </w:rPr>
                  </w:pPr>
                  <w:r>
                    <w:rPr>
                      <w:b/>
                      <w:bCs/>
                      <w:color w:val="auto"/>
                      <w:sz w:val="21"/>
                      <w:szCs w:val="21"/>
                    </w:rPr>
                    <w:t>治理设施</w:t>
                  </w:r>
                </w:p>
              </w:tc>
              <w:tc>
                <w:tcPr>
                  <w:tcW w:w="933" w:type="dxa"/>
                  <w:vMerge w:val="restart"/>
                  <w:noWrap w:val="0"/>
                  <w:vAlign w:val="center"/>
                </w:tcPr>
                <w:p w14:paraId="765E6C0A">
                  <w:pPr>
                    <w:jc w:val="center"/>
                    <w:rPr>
                      <w:b/>
                      <w:bCs/>
                      <w:color w:val="auto"/>
                      <w:sz w:val="21"/>
                      <w:szCs w:val="21"/>
                    </w:rPr>
                  </w:pPr>
                  <w:r>
                    <w:rPr>
                      <w:b/>
                      <w:bCs/>
                      <w:color w:val="auto"/>
                      <w:sz w:val="21"/>
                      <w:szCs w:val="21"/>
                    </w:rPr>
                    <w:t>排放口编号</w:t>
                  </w:r>
                </w:p>
              </w:tc>
              <w:tc>
                <w:tcPr>
                  <w:tcW w:w="815" w:type="dxa"/>
                  <w:vMerge w:val="restart"/>
                  <w:noWrap w:val="0"/>
                  <w:vAlign w:val="center"/>
                </w:tcPr>
                <w:p w14:paraId="3682D79A">
                  <w:pPr>
                    <w:jc w:val="center"/>
                    <w:rPr>
                      <w:b/>
                      <w:bCs/>
                      <w:color w:val="auto"/>
                      <w:sz w:val="21"/>
                      <w:szCs w:val="21"/>
                    </w:rPr>
                  </w:pPr>
                  <w:r>
                    <w:rPr>
                      <w:b/>
                      <w:bCs/>
                      <w:color w:val="auto"/>
                      <w:sz w:val="21"/>
                      <w:szCs w:val="21"/>
                    </w:rPr>
                    <w:t>排放口类型</w:t>
                  </w:r>
                </w:p>
              </w:tc>
            </w:tr>
            <w:tr w14:paraId="25E0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vMerge w:val="continue"/>
                  <w:noWrap w:val="0"/>
                  <w:vAlign w:val="center"/>
                </w:tcPr>
                <w:p w14:paraId="52A21CFE">
                  <w:pPr>
                    <w:jc w:val="center"/>
                    <w:rPr>
                      <w:color w:val="auto"/>
                      <w:sz w:val="21"/>
                      <w:szCs w:val="21"/>
                    </w:rPr>
                  </w:pPr>
                </w:p>
              </w:tc>
              <w:tc>
                <w:tcPr>
                  <w:tcW w:w="871" w:type="dxa"/>
                  <w:vMerge w:val="continue"/>
                  <w:noWrap w:val="0"/>
                  <w:vAlign w:val="center"/>
                </w:tcPr>
                <w:p w14:paraId="22004C34">
                  <w:pPr>
                    <w:jc w:val="center"/>
                    <w:rPr>
                      <w:color w:val="auto"/>
                      <w:sz w:val="21"/>
                      <w:szCs w:val="21"/>
                    </w:rPr>
                  </w:pPr>
                </w:p>
              </w:tc>
              <w:tc>
                <w:tcPr>
                  <w:tcW w:w="907" w:type="dxa"/>
                  <w:vMerge w:val="continue"/>
                  <w:noWrap w:val="0"/>
                  <w:vAlign w:val="center"/>
                </w:tcPr>
                <w:p w14:paraId="17A183E5">
                  <w:pPr>
                    <w:jc w:val="center"/>
                    <w:rPr>
                      <w:color w:val="auto"/>
                      <w:sz w:val="21"/>
                      <w:szCs w:val="21"/>
                    </w:rPr>
                  </w:pPr>
                </w:p>
              </w:tc>
              <w:tc>
                <w:tcPr>
                  <w:tcW w:w="1230" w:type="dxa"/>
                  <w:noWrap w:val="0"/>
                  <w:vAlign w:val="center"/>
                </w:tcPr>
                <w:p w14:paraId="146C781A">
                  <w:pPr>
                    <w:jc w:val="center"/>
                    <w:rPr>
                      <w:b/>
                      <w:bCs/>
                      <w:color w:val="auto"/>
                      <w:sz w:val="21"/>
                      <w:szCs w:val="21"/>
                    </w:rPr>
                  </w:pPr>
                  <w:r>
                    <w:rPr>
                      <w:b/>
                      <w:bCs/>
                      <w:color w:val="auto"/>
                      <w:sz w:val="21"/>
                      <w:szCs w:val="21"/>
                    </w:rPr>
                    <w:t>治理</w:t>
                  </w:r>
                </w:p>
                <w:p w14:paraId="6A1C4C87">
                  <w:pPr>
                    <w:jc w:val="center"/>
                    <w:rPr>
                      <w:b/>
                      <w:bCs/>
                      <w:color w:val="auto"/>
                      <w:sz w:val="21"/>
                      <w:szCs w:val="21"/>
                    </w:rPr>
                  </w:pPr>
                  <w:r>
                    <w:rPr>
                      <w:b/>
                      <w:bCs/>
                      <w:color w:val="auto"/>
                      <w:sz w:val="21"/>
                      <w:szCs w:val="21"/>
                    </w:rPr>
                    <w:t>工艺</w:t>
                  </w:r>
                </w:p>
              </w:tc>
              <w:tc>
                <w:tcPr>
                  <w:tcW w:w="855" w:type="dxa"/>
                  <w:noWrap w:val="0"/>
                  <w:vAlign w:val="center"/>
                </w:tcPr>
                <w:p w14:paraId="29D2B9B5">
                  <w:pPr>
                    <w:jc w:val="center"/>
                    <w:rPr>
                      <w:b/>
                      <w:bCs/>
                      <w:color w:val="auto"/>
                      <w:sz w:val="21"/>
                      <w:szCs w:val="21"/>
                    </w:rPr>
                  </w:pPr>
                  <w:r>
                    <w:rPr>
                      <w:b/>
                      <w:bCs/>
                      <w:color w:val="auto"/>
                      <w:sz w:val="21"/>
                      <w:szCs w:val="21"/>
                    </w:rPr>
                    <w:t>收集</w:t>
                  </w:r>
                </w:p>
                <w:p w14:paraId="5C70DD98">
                  <w:pPr>
                    <w:jc w:val="center"/>
                    <w:rPr>
                      <w:rFonts w:hint="eastAsia" w:eastAsia="宋体"/>
                      <w:b/>
                      <w:bCs/>
                      <w:color w:val="auto"/>
                      <w:sz w:val="21"/>
                      <w:szCs w:val="21"/>
                      <w:lang w:val="en-US" w:eastAsia="zh-CN"/>
                    </w:rPr>
                  </w:pPr>
                  <w:r>
                    <w:rPr>
                      <w:b/>
                      <w:bCs/>
                      <w:color w:val="auto"/>
                      <w:sz w:val="21"/>
                      <w:szCs w:val="21"/>
                    </w:rPr>
                    <w:t>效率</w:t>
                  </w:r>
                  <w:r>
                    <w:rPr>
                      <w:rFonts w:hint="eastAsia"/>
                      <w:b/>
                      <w:bCs/>
                      <w:color w:val="auto"/>
                      <w:sz w:val="21"/>
                      <w:szCs w:val="21"/>
                      <w:lang w:val="en-US" w:eastAsia="zh-CN"/>
                    </w:rPr>
                    <w:t>%</w:t>
                  </w:r>
                </w:p>
              </w:tc>
              <w:tc>
                <w:tcPr>
                  <w:tcW w:w="885" w:type="dxa"/>
                  <w:noWrap w:val="0"/>
                  <w:vAlign w:val="center"/>
                </w:tcPr>
                <w:p w14:paraId="2E40DDF3">
                  <w:pPr>
                    <w:jc w:val="center"/>
                    <w:rPr>
                      <w:b/>
                      <w:bCs/>
                      <w:color w:val="auto"/>
                      <w:sz w:val="21"/>
                      <w:szCs w:val="21"/>
                    </w:rPr>
                  </w:pPr>
                  <w:r>
                    <w:rPr>
                      <w:b/>
                      <w:bCs/>
                      <w:color w:val="auto"/>
                      <w:sz w:val="21"/>
                      <w:szCs w:val="21"/>
                    </w:rPr>
                    <w:t>处理</w:t>
                  </w:r>
                </w:p>
                <w:p w14:paraId="58C6C1F9">
                  <w:pPr>
                    <w:jc w:val="center"/>
                    <w:rPr>
                      <w:rFonts w:hint="eastAsia" w:eastAsia="宋体"/>
                      <w:b/>
                      <w:bCs/>
                      <w:color w:val="auto"/>
                      <w:sz w:val="21"/>
                      <w:szCs w:val="21"/>
                      <w:lang w:val="en-US" w:eastAsia="zh-CN"/>
                    </w:rPr>
                  </w:pPr>
                  <w:r>
                    <w:rPr>
                      <w:b/>
                      <w:bCs/>
                      <w:color w:val="auto"/>
                      <w:sz w:val="21"/>
                      <w:szCs w:val="21"/>
                    </w:rPr>
                    <w:t>效率</w:t>
                  </w:r>
                  <w:r>
                    <w:rPr>
                      <w:rFonts w:hint="eastAsia"/>
                      <w:b/>
                      <w:bCs/>
                      <w:color w:val="auto"/>
                      <w:sz w:val="21"/>
                      <w:szCs w:val="21"/>
                      <w:lang w:val="en-US" w:eastAsia="zh-CN"/>
                    </w:rPr>
                    <w:t>%</w:t>
                  </w:r>
                </w:p>
              </w:tc>
              <w:tc>
                <w:tcPr>
                  <w:tcW w:w="722" w:type="dxa"/>
                  <w:noWrap w:val="0"/>
                  <w:vAlign w:val="center"/>
                </w:tcPr>
                <w:p w14:paraId="074667BD">
                  <w:pPr>
                    <w:jc w:val="center"/>
                    <w:rPr>
                      <w:b/>
                      <w:bCs/>
                      <w:color w:val="auto"/>
                      <w:sz w:val="21"/>
                      <w:szCs w:val="21"/>
                    </w:rPr>
                  </w:pPr>
                  <w:r>
                    <w:rPr>
                      <w:b/>
                      <w:bCs/>
                      <w:color w:val="auto"/>
                      <w:sz w:val="21"/>
                      <w:szCs w:val="21"/>
                    </w:rPr>
                    <w:t>是否</w:t>
                  </w:r>
                </w:p>
                <w:p w14:paraId="463C8276">
                  <w:pPr>
                    <w:jc w:val="center"/>
                    <w:rPr>
                      <w:b/>
                      <w:bCs/>
                      <w:color w:val="auto"/>
                      <w:sz w:val="21"/>
                      <w:szCs w:val="21"/>
                    </w:rPr>
                  </w:pPr>
                  <w:r>
                    <w:rPr>
                      <w:b/>
                      <w:bCs/>
                      <w:color w:val="auto"/>
                      <w:sz w:val="21"/>
                      <w:szCs w:val="21"/>
                    </w:rPr>
                    <w:t>可行</w:t>
                  </w:r>
                </w:p>
              </w:tc>
              <w:tc>
                <w:tcPr>
                  <w:tcW w:w="933" w:type="dxa"/>
                  <w:vMerge w:val="continue"/>
                  <w:noWrap w:val="0"/>
                  <w:vAlign w:val="center"/>
                </w:tcPr>
                <w:p w14:paraId="55336E9E">
                  <w:pPr>
                    <w:jc w:val="center"/>
                    <w:rPr>
                      <w:color w:val="auto"/>
                      <w:sz w:val="21"/>
                      <w:szCs w:val="21"/>
                    </w:rPr>
                  </w:pPr>
                </w:p>
              </w:tc>
              <w:tc>
                <w:tcPr>
                  <w:tcW w:w="815" w:type="dxa"/>
                  <w:vMerge w:val="continue"/>
                  <w:noWrap w:val="0"/>
                  <w:vAlign w:val="center"/>
                </w:tcPr>
                <w:p w14:paraId="171110BB">
                  <w:pPr>
                    <w:jc w:val="center"/>
                    <w:rPr>
                      <w:color w:val="auto"/>
                      <w:sz w:val="21"/>
                      <w:szCs w:val="21"/>
                    </w:rPr>
                  </w:pPr>
                </w:p>
              </w:tc>
            </w:tr>
            <w:tr w14:paraId="4630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0AA051A3">
                  <w:pPr>
                    <w:jc w:val="center"/>
                    <w:rPr>
                      <w:rFonts w:hint="default" w:eastAsia="宋体"/>
                      <w:color w:val="auto"/>
                      <w:sz w:val="21"/>
                      <w:szCs w:val="21"/>
                      <w:lang w:val="en-US" w:eastAsia="zh-CN"/>
                    </w:rPr>
                  </w:pPr>
                  <w:r>
                    <w:rPr>
                      <w:rFonts w:hint="eastAsia"/>
                      <w:color w:val="auto"/>
                      <w:sz w:val="21"/>
                      <w:szCs w:val="21"/>
                      <w:lang w:val="en-US" w:eastAsia="zh-CN"/>
                    </w:rPr>
                    <w:t>下料</w:t>
                  </w:r>
                </w:p>
              </w:tc>
              <w:tc>
                <w:tcPr>
                  <w:tcW w:w="871" w:type="dxa"/>
                  <w:noWrap w:val="0"/>
                  <w:vAlign w:val="center"/>
                </w:tcPr>
                <w:p w14:paraId="721AE863">
                  <w:pPr>
                    <w:jc w:val="center"/>
                    <w:rPr>
                      <w:rFonts w:hint="default" w:eastAsia="宋体"/>
                      <w:color w:val="auto"/>
                      <w:sz w:val="21"/>
                      <w:szCs w:val="21"/>
                      <w:lang w:val="en-US" w:eastAsia="zh-CN"/>
                    </w:rPr>
                  </w:pPr>
                  <w:r>
                    <w:rPr>
                      <w:rFonts w:hint="eastAsia"/>
                      <w:color w:val="auto"/>
                      <w:sz w:val="21"/>
                      <w:szCs w:val="21"/>
                      <w:lang w:val="en-US" w:eastAsia="zh-CN"/>
                    </w:rPr>
                    <w:t>颗粒物</w:t>
                  </w:r>
                </w:p>
              </w:tc>
              <w:tc>
                <w:tcPr>
                  <w:tcW w:w="907" w:type="dxa"/>
                  <w:noWrap w:val="0"/>
                  <w:vAlign w:val="center"/>
                </w:tcPr>
                <w:p w14:paraId="0B48D3D2">
                  <w:pPr>
                    <w:jc w:val="center"/>
                    <w:rPr>
                      <w:rFonts w:hint="default"/>
                      <w:color w:val="auto"/>
                      <w:kern w:val="2"/>
                      <w:sz w:val="21"/>
                      <w:szCs w:val="21"/>
                      <w:lang w:val="en-US" w:eastAsia="zh-CN" w:bidi="ar-SA"/>
                    </w:rPr>
                  </w:pPr>
                  <w:r>
                    <w:rPr>
                      <w:rFonts w:hint="eastAsia"/>
                      <w:color w:val="auto"/>
                      <w:kern w:val="2"/>
                      <w:sz w:val="21"/>
                      <w:szCs w:val="21"/>
                      <w:lang w:val="en-US" w:eastAsia="zh-CN" w:bidi="ar-SA"/>
                    </w:rPr>
                    <w:t>有组织</w:t>
                  </w:r>
                </w:p>
              </w:tc>
              <w:tc>
                <w:tcPr>
                  <w:tcW w:w="1230" w:type="dxa"/>
                  <w:noWrap w:val="0"/>
                  <w:vAlign w:val="center"/>
                </w:tcPr>
                <w:p w14:paraId="2FCA8C41">
                  <w:pPr>
                    <w:jc w:val="center"/>
                    <w:rPr>
                      <w:rFonts w:hint="default" w:eastAsia="宋体"/>
                      <w:color w:val="auto"/>
                      <w:sz w:val="21"/>
                      <w:szCs w:val="21"/>
                      <w:lang w:val="en-US" w:eastAsia="zh-CN"/>
                    </w:rPr>
                  </w:pPr>
                  <w:r>
                    <w:rPr>
                      <w:rFonts w:hint="eastAsia"/>
                      <w:color w:val="auto"/>
                      <w:sz w:val="21"/>
                      <w:szCs w:val="21"/>
                      <w:lang w:val="en-US" w:eastAsia="zh-CN"/>
                    </w:rPr>
                    <w:t>袋式除尘</w:t>
                  </w:r>
                </w:p>
              </w:tc>
              <w:tc>
                <w:tcPr>
                  <w:tcW w:w="855" w:type="dxa"/>
                  <w:noWrap w:val="0"/>
                  <w:vAlign w:val="center"/>
                </w:tcPr>
                <w:p w14:paraId="07D0893E">
                  <w:pPr>
                    <w:jc w:val="center"/>
                    <w:rPr>
                      <w:rFonts w:hint="default" w:eastAsia="宋体"/>
                      <w:color w:val="auto"/>
                      <w:sz w:val="21"/>
                      <w:szCs w:val="21"/>
                      <w:lang w:val="en-US" w:eastAsia="zh-CN"/>
                    </w:rPr>
                  </w:pPr>
                  <w:r>
                    <w:rPr>
                      <w:rFonts w:hint="eastAsia"/>
                      <w:color w:val="auto"/>
                      <w:sz w:val="21"/>
                      <w:szCs w:val="21"/>
                      <w:lang w:val="en-US" w:eastAsia="zh-CN"/>
                    </w:rPr>
                    <w:t>95</w:t>
                  </w:r>
                </w:p>
              </w:tc>
              <w:tc>
                <w:tcPr>
                  <w:tcW w:w="885" w:type="dxa"/>
                  <w:noWrap w:val="0"/>
                  <w:vAlign w:val="center"/>
                </w:tcPr>
                <w:p w14:paraId="12603B8A">
                  <w:pPr>
                    <w:jc w:val="center"/>
                    <w:rPr>
                      <w:rFonts w:hint="default" w:eastAsia="宋体"/>
                      <w:color w:val="auto"/>
                      <w:sz w:val="21"/>
                      <w:szCs w:val="21"/>
                      <w:lang w:val="en-US" w:eastAsia="zh-CN"/>
                    </w:rPr>
                  </w:pPr>
                  <w:r>
                    <w:rPr>
                      <w:rFonts w:hint="eastAsia"/>
                      <w:color w:val="auto"/>
                      <w:sz w:val="21"/>
                      <w:szCs w:val="21"/>
                      <w:lang w:val="en-US" w:eastAsia="zh-CN"/>
                    </w:rPr>
                    <w:t>95</w:t>
                  </w:r>
                </w:p>
              </w:tc>
              <w:tc>
                <w:tcPr>
                  <w:tcW w:w="722" w:type="dxa"/>
                  <w:noWrap w:val="0"/>
                  <w:vAlign w:val="center"/>
                </w:tcPr>
                <w:p w14:paraId="23D4C17D">
                  <w:pPr>
                    <w:jc w:val="center"/>
                    <w:rPr>
                      <w:rFonts w:hint="eastAsia" w:eastAsia="宋体"/>
                      <w:color w:val="auto"/>
                      <w:sz w:val="21"/>
                      <w:szCs w:val="21"/>
                      <w:lang w:val="en-US" w:eastAsia="zh-CN"/>
                    </w:rPr>
                  </w:pPr>
                  <w:r>
                    <w:rPr>
                      <w:rFonts w:hint="eastAsia"/>
                      <w:color w:val="auto"/>
                      <w:sz w:val="21"/>
                      <w:szCs w:val="21"/>
                      <w:lang w:val="en-US" w:eastAsia="zh-CN"/>
                    </w:rPr>
                    <w:t>可行</w:t>
                  </w:r>
                </w:p>
              </w:tc>
              <w:tc>
                <w:tcPr>
                  <w:tcW w:w="933" w:type="dxa"/>
                  <w:noWrap w:val="0"/>
                  <w:vAlign w:val="center"/>
                </w:tcPr>
                <w:p w14:paraId="569BC9E8">
                  <w:pPr>
                    <w:jc w:val="center"/>
                    <w:rPr>
                      <w:color w:val="auto"/>
                      <w:sz w:val="21"/>
                      <w:szCs w:val="21"/>
                    </w:rPr>
                  </w:pPr>
                  <w:r>
                    <w:rPr>
                      <w:color w:val="auto"/>
                      <w:sz w:val="21"/>
                      <w:szCs w:val="21"/>
                    </w:rPr>
                    <w:t>DA001</w:t>
                  </w:r>
                </w:p>
              </w:tc>
              <w:tc>
                <w:tcPr>
                  <w:tcW w:w="815" w:type="dxa"/>
                  <w:vMerge w:val="restart"/>
                  <w:noWrap w:val="0"/>
                  <w:vAlign w:val="center"/>
                </w:tcPr>
                <w:p w14:paraId="4AB63C91">
                  <w:pPr>
                    <w:jc w:val="center"/>
                    <w:rPr>
                      <w:color w:val="auto"/>
                      <w:sz w:val="21"/>
                      <w:szCs w:val="21"/>
                    </w:rPr>
                  </w:pPr>
                  <w:r>
                    <w:rPr>
                      <w:color w:val="auto"/>
                      <w:sz w:val="21"/>
                      <w:szCs w:val="21"/>
                    </w:rPr>
                    <w:t>一般排放口</w:t>
                  </w:r>
                </w:p>
              </w:tc>
            </w:tr>
            <w:tr w14:paraId="0BF2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102FEDA5">
                  <w:pPr>
                    <w:jc w:val="center"/>
                    <w:rPr>
                      <w:rFonts w:hint="default"/>
                      <w:color w:val="auto"/>
                      <w:sz w:val="21"/>
                      <w:szCs w:val="21"/>
                      <w:lang w:val="en-US" w:eastAsia="zh-CN"/>
                    </w:rPr>
                  </w:pPr>
                  <w:r>
                    <w:rPr>
                      <w:rFonts w:hint="eastAsia"/>
                      <w:color w:val="auto"/>
                      <w:sz w:val="21"/>
                      <w:szCs w:val="21"/>
                      <w:lang w:val="en-US" w:eastAsia="zh-CN"/>
                    </w:rPr>
                    <w:t>喷塑</w:t>
                  </w:r>
                </w:p>
              </w:tc>
              <w:tc>
                <w:tcPr>
                  <w:tcW w:w="871" w:type="dxa"/>
                  <w:shd w:val="clear" w:color="auto" w:fill="auto"/>
                  <w:noWrap w:val="0"/>
                  <w:vAlign w:val="center"/>
                </w:tcPr>
                <w:p w14:paraId="5921CD23">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颗粒物</w:t>
                  </w:r>
                </w:p>
              </w:tc>
              <w:tc>
                <w:tcPr>
                  <w:tcW w:w="907" w:type="dxa"/>
                  <w:shd w:val="clear" w:color="auto" w:fill="auto"/>
                  <w:noWrap w:val="0"/>
                  <w:vAlign w:val="center"/>
                </w:tcPr>
                <w:p w14:paraId="644430FD">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有组织</w:t>
                  </w:r>
                </w:p>
              </w:tc>
              <w:tc>
                <w:tcPr>
                  <w:tcW w:w="1230" w:type="dxa"/>
                  <w:shd w:val="clear" w:color="auto" w:fill="auto"/>
                  <w:noWrap w:val="0"/>
                  <w:vAlign w:val="center"/>
                </w:tcPr>
                <w:p w14:paraId="72C1DC4E">
                  <w:pPr>
                    <w:jc w:val="center"/>
                    <w:rPr>
                      <w:rFonts w:hint="eastAsia" w:ascii="Times New Roman" w:hAnsi="Times New Roman" w:eastAsia="宋体" w:cs="Times New Roman"/>
                      <w:color w:val="auto"/>
                      <w:kern w:val="2"/>
                      <w:sz w:val="21"/>
                      <w:szCs w:val="21"/>
                      <w:lang w:val="en-US" w:eastAsia="zh-CN" w:bidi="ar-SA"/>
                    </w:rPr>
                  </w:pPr>
                  <w:r>
                    <w:rPr>
                      <w:rFonts w:hint="eastAsia"/>
                      <w:sz w:val="21"/>
                      <w:szCs w:val="21"/>
                    </w:rPr>
                    <w:t>自带旋风+二级滤芯</w:t>
                  </w:r>
                </w:p>
              </w:tc>
              <w:tc>
                <w:tcPr>
                  <w:tcW w:w="855" w:type="dxa"/>
                  <w:shd w:val="clear" w:color="auto" w:fill="auto"/>
                  <w:noWrap w:val="0"/>
                  <w:vAlign w:val="center"/>
                </w:tcPr>
                <w:p w14:paraId="734D8D53">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95</w:t>
                  </w:r>
                </w:p>
              </w:tc>
              <w:tc>
                <w:tcPr>
                  <w:tcW w:w="885" w:type="dxa"/>
                  <w:shd w:val="clear" w:color="auto" w:fill="auto"/>
                  <w:noWrap w:val="0"/>
                  <w:vAlign w:val="center"/>
                </w:tcPr>
                <w:p w14:paraId="203E6795">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98</w:t>
                  </w:r>
                </w:p>
              </w:tc>
              <w:tc>
                <w:tcPr>
                  <w:tcW w:w="722" w:type="dxa"/>
                  <w:shd w:val="clear" w:color="auto" w:fill="auto"/>
                  <w:noWrap w:val="0"/>
                  <w:vAlign w:val="center"/>
                </w:tcPr>
                <w:p w14:paraId="2D10450F">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可行</w:t>
                  </w:r>
                </w:p>
              </w:tc>
              <w:tc>
                <w:tcPr>
                  <w:tcW w:w="933" w:type="dxa"/>
                  <w:shd w:val="clear" w:color="auto" w:fill="auto"/>
                  <w:noWrap w:val="0"/>
                  <w:vAlign w:val="center"/>
                </w:tcPr>
                <w:p w14:paraId="058010C5">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DA00</w:t>
                  </w:r>
                  <w:r>
                    <w:rPr>
                      <w:rFonts w:hint="eastAsia"/>
                      <w:color w:val="auto"/>
                      <w:sz w:val="21"/>
                      <w:szCs w:val="21"/>
                      <w:lang w:val="en-US" w:eastAsia="zh-CN"/>
                    </w:rPr>
                    <w:t>2</w:t>
                  </w:r>
                </w:p>
              </w:tc>
              <w:tc>
                <w:tcPr>
                  <w:tcW w:w="815" w:type="dxa"/>
                  <w:vMerge w:val="continue"/>
                  <w:noWrap w:val="0"/>
                  <w:vAlign w:val="center"/>
                </w:tcPr>
                <w:p w14:paraId="44FF1005">
                  <w:pPr>
                    <w:jc w:val="center"/>
                    <w:rPr>
                      <w:color w:val="auto"/>
                      <w:sz w:val="21"/>
                      <w:szCs w:val="21"/>
                    </w:rPr>
                  </w:pPr>
                </w:p>
              </w:tc>
            </w:tr>
            <w:tr w14:paraId="7235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387EC755">
                  <w:pPr>
                    <w:jc w:val="center"/>
                    <w:rPr>
                      <w:rFonts w:hint="default"/>
                      <w:color w:val="auto"/>
                      <w:sz w:val="21"/>
                      <w:szCs w:val="21"/>
                      <w:lang w:val="en-US" w:eastAsia="zh-CN"/>
                    </w:rPr>
                  </w:pPr>
                  <w:r>
                    <w:rPr>
                      <w:rFonts w:hint="eastAsia"/>
                      <w:color w:val="auto"/>
                      <w:sz w:val="21"/>
                      <w:szCs w:val="21"/>
                      <w:lang w:val="en-US" w:eastAsia="zh-CN"/>
                    </w:rPr>
                    <w:t>固化</w:t>
                  </w:r>
                </w:p>
              </w:tc>
              <w:tc>
                <w:tcPr>
                  <w:tcW w:w="871" w:type="dxa"/>
                  <w:shd w:val="clear" w:color="auto" w:fill="auto"/>
                  <w:noWrap w:val="0"/>
                  <w:vAlign w:val="center"/>
                </w:tcPr>
                <w:p w14:paraId="3A9F525C">
                  <w:pPr>
                    <w:jc w:val="center"/>
                    <w:rPr>
                      <w:rFonts w:hint="default"/>
                      <w:color w:val="auto"/>
                      <w:sz w:val="21"/>
                      <w:szCs w:val="21"/>
                      <w:lang w:val="en-US" w:eastAsia="zh-CN"/>
                    </w:rPr>
                  </w:pPr>
                  <w:r>
                    <w:rPr>
                      <w:rFonts w:hint="eastAsia"/>
                      <w:color w:val="auto"/>
                      <w:sz w:val="21"/>
                      <w:szCs w:val="21"/>
                      <w:lang w:val="en-US" w:eastAsia="zh-CN"/>
                    </w:rPr>
                    <w:t>非甲烷总烃</w:t>
                  </w:r>
                </w:p>
              </w:tc>
              <w:tc>
                <w:tcPr>
                  <w:tcW w:w="907" w:type="dxa"/>
                  <w:shd w:val="clear" w:color="auto" w:fill="auto"/>
                  <w:noWrap w:val="0"/>
                  <w:vAlign w:val="center"/>
                </w:tcPr>
                <w:p w14:paraId="37D81535">
                  <w:pPr>
                    <w:jc w:val="center"/>
                    <w:rPr>
                      <w:rFonts w:hint="eastAsia"/>
                      <w:color w:val="auto"/>
                      <w:kern w:val="2"/>
                      <w:sz w:val="21"/>
                      <w:szCs w:val="21"/>
                      <w:lang w:val="en-US" w:eastAsia="zh-CN" w:bidi="ar-SA"/>
                    </w:rPr>
                  </w:pPr>
                  <w:r>
                    <w:rPr>
                      <w:rFonts w:hint="eastAsia"/>
                      <w:color w:val="auto"/>
                      <w:kern w:val="2"/>
                      <w:sz w:val="21"/>
                      <w:szCs w:val="21"/>
                      <w:lang w:val="en-US" w:eastAsia="zh-CN" w:bidi="ar-SA"/>
                    </w:rPr>
                    <w:t>有组织</w:t>
                  </w:r>
                </w:p>
              </w:tc>
              <w:tc>
                <w:tcPr>
                  <w:tcW w:w="1230" w:type="dxa"/>
                  <w:shd w:val="clear" w:color="auto" w:fill="auto"/>
                  <w:noWrap w:val="0"/>
                  <w:vAlign w:val="center"/>
                </w:tcPr>
                <w:p w14:paraId="20D014CD">
                  <w:pPr>
                    <w:jc w:val="center"/>
                    <w:rPr>
                      <w:rFonts w:hint="default" w:eastAsia="宋体"/>
                      <w:sz w:val="21"/>
                      <w:szCs w:val="21"/>
                      <w:lang w:val="en-US" w:eastAsia="zh-CN"/>
                    </w:rPr>
                  </w:pPr>
                  <w:r>
                    <w:rPr>
                      <w:rFonts w:hint="eastAsia"/>
                      <w:sz w:val="21"/>
                      <w:szCs w:val="21"/>
                      <w:lang w:val="en-US" w:eastAsia="zh-CN"/>
                    </w:rPr>
                    <w:t>二级活性炭吸附装置</w:t>
                  </w:r>
                </w:p>
              </w:tc>
              <w:tc>
                <w:tcPr>
                  <w:tcW w:w="855" w:type="dxa"/>
                  <w:shd w:val="clear" w:color="auto" w:fill="auto"/>
                  <w:noWrap w:val="0"/>
                  <w:vAlign w:val="center"/>
                </w:tcPr>
                <w:p w14:paraId="10884F86">
                  <w:pPr>
                    <w:jc w:val="center"/>
                    <w:rPr>
                      <w:rFonts w:hint="default"/>
                      <w:color w:val="auto"/>
                      <w:sz w:val="21"/>
                      <w:szCs w:val="21"/>
                      <w:lang w:val="en-US" w:eastAsia="zh-CN"/>
                    </w:rPr>
                  </w:pPr>
                  <w:r>
                    <w:rPr>
                      <w:rFonts w:hint="eastAsia"/>
                      <w:color w:val="auto"/>
                      <w:sz w:val="21"/>
                      <w:szCs w:val="21"/>
                      <w:lang w:val="en-US" w:eastAsia="zh-CN"/>
                    </w:rPr>
                    <w:t>90</w:t>
                  </w:r>
                </w:p>
              </w:tc>
              <w:tc>
                <w:tcPr>
                  <w:tcW w:w="885" w:type="dxa"/>
                  <w:shd w:val="clear" w:color="auto" w:fill="auto"/>
                  <w:noWrap w:val="0"/>
                  <w:vAlign w:val="center"/>
                </w:tcPr>
                <w:p w14:paraId="723B5D97">
                  <w:pPr>
                    <w:jc w:val="center"/>
                    <w:rPr>
                      <w:rFonts w:hint="default"/>
                      <w:color w:val="auto"/>
                      <w:sz w:val="21"/>
                      <w:szCs w:val="21"/>
                      <w:lang w:val="en-US" w:eastAsia="zh-CN"/>
                    </w:rPr>
                  </w:pPr>
                  <w:r>
                    <w:rPr>
                      <w:rFonts w:hint="eastAsia"/>
                      <w:color w:val="auto"/>
                      <w:sz w:val="21"/>
                      <w:szCs w:val="21"/>
                      <w:lang w:val="en-US" w:eastAsia="zh-CN"/>
                    </w:rPr>
                    <w:t>90</w:t>
                  </w:r>
                </w:p>
              </w:tc>
              <w:tc>
                <w:tcPr>
                  <w:tcW w:w="722" w:type="dxa"/>
                  <w:shd w:val="clear" w:color="auto" w:fill="auto"/>
                  <w:noWrap w:val="0"/>
                  <w:vAlign w:val="center"/>
                </w:tcPr>
                <w:p w14:paraId="03E80F0A">
                  <w:pPr>
                    <w:jc w:val="center"/>
                    <w:rPr>
                      <w:rFonts w:hint="eastAsia"/>
                      <w:color w:val="auto"/>
                      <w:sz w:val="21"/>
                      <w:szCs w:val="21"/>
                      <w:lang w:val="en-US" w:eastAsia="zh-CN"/>
                    </w:rPr>
                  </w:pPr>
                  <w:r>
                    <w:rPr>
                      <w:rFonts w:hint="eastAsia"/>
                      <w:color w:val="auto"/>
                      <w:sz w:val="21"/>
                      <w:szCs w:val="21"/>
                      <w:lang w:val="en-US" w:eastAsia="zh-CN"/>
                    </w:rPr>
                    <w:t>可行</w:t>
                  </w:r>
                </w:p>
              </w:tc>
              <w:tc>
                <w:tcPr>
                  <w:tcW w:w="933" w:type="dxa"/>
                  <w:vMerge w:val="restart"/>
                  <w:shd w:val="clear" w:color="auto" w:fill="auto"/>
                  <w:noWrap w:val="0"/>
                  <w:vAlign w:val="center"/>
                </w:tcPr>
                <w:p w14:paraId="2DCD2BC8">
                  <w:pPr>
                    <w:jc w:val="center"/>
                    <w:rPr>
                      <w:rFonts w:hint="default" w:eastAsia="宋体"/>
                      <w:color w:val="auto"/>
                      <w:sz w:val="21"/>
                      <w:szCs w:val="21"/>
                      <w:lang w:val="en-US" w:eastAsia="zh-CN"/>
                    </w:rPr>
                  </w:pPr>
                  <w:r>
                    <w:rPr>
                      <w:rFonts w:hint="eastAsia"/>
                      <w:color w:val="auto"/>
                      <w:sz w:val="21"/>
                      <w:szCs w:val="21"/>
                      <w:lang w:val="en-US" w:eastAsia="zh-CN"/>
                    </w:rPr>
                    <w:t>DA003</w:t>
                  </w:r>
                </w:p>
              </w:tc>
              <w:tc>
                <w:tcPr>
                  <w:tcW w:w="815" w:type="dxa"/>
                  <w:vMerge w:val="continue"/>
                  <w:noWrap w:val="0"/>
                  <w:vAlign w:val="center"/>
                </w:tcPr>
                <w:p w14:paraId="228107B8">
                  <w:pPr>
                    <w:jc w:val="center"/>
                    <w:rPr>
                      <w:color w:val="auto"/>
                      <w:sz w:val="21"/>
                      <w:szCs w:val="21"/>
                    </w:rPr>
                  </w:pPr>
                </w:p>
              </w:tc>
            </w:tr>
            <w:tr w14:paraId="29E3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vMerge w:val="restart"/>
                  <w:noWrap w:val="0"/>
                  <w:vAlign w:val="center"/>
                </w:tcPr>
                <w:p w14:paraId="380BCDB7">
                  <w:pPr>
                    <w:jc w:val="center"/>
                    <w:rPr>
                      <w:rFonts w:hint="default"/>
                      <w:color w:val="auto"/>
                      <w:sz w:val="21"/>
                      <w:szCs w:val="21"/>
                      <w:lang w:val="en-US" w:eastAsia="zh-CN"/>
                    </w:rPr>
                  </w:pPr>
                  <w:r>
                    <w:rPr>
                      <w:rFonts w:hint="eastAsia"/>
                      <w:color w:val="auto"/>
                      <w:sz w:val="21"/>
                      <w:szCs w:val="21"/>
                      <w:lang w:val="en-US" w:eastAsia="zh-CN"/>
                    </w:rPr>
                    <w:t>供热燃烧</w:t>
                  </w:r>
                </w:p>
              </w:tc>
              <w:tc>
                <w:tcPr>
                  <w:tcW w:w="871" w:type="dxa"/>
                  <w:shd w:val="clear" w:color="auto" w:fill="auto"/>
                  <w:noWrap w:val="0"/>
                  <w:vAlign w:val="center"/>
                </w:tcPr>
                <w:p w14:paraId="40DD6091">
                  <w:pPr>
                    <w:jc w:val="center"/>
                    <w:rPr>
                      <w:rFonts w:hint="default"/>
                      <w:color w:val="auto"/>
                      <w:sz w:val="21"/>
                      <w:szCs w:val="21"/>
                      <w:lang w:val="en-US" w:eastAsia="zh-CN"/>
                    </w:rPr>
                  </w:pPr>
                  <w:r>
                    <w:rPr>
                      <w:rFonts w:hint="eastAsia"/>
                      <w:color w:val="auto"/>
                      <w:sz w:val="21"/>
                      <w:szCs w:val="21"/>
                      <w:lang w:val="en-US" w:eastAsia="zh-CN"/>
                    </w:rPr>
                    <w:t>颗粒物</w:t>
                  </w:r>
                </w:p>
              </w:tc>
              <w:tc>
                <w:tcPr>
                  <w:tcW w:w="907" w:type="dxa"/>
                  <w:vMerge w:val="restart"/>
                  <w:shd w:val="clear" w:color="auto" w:fill="auto"/>
                  <w:noWrap w:val="0"/>
                  <w:vAlign w:val="center"/>
                </w:tcPr>
                <w:p w14:paraId="77CEF791">
                  <w:pPr>
                    <w:jc w:val="center"/>
                    <w:rPr>
                      <w:rFonts w:hint="eastAsia"/>
                      <w:color w:val="auto"/>
                      <w:kern w:val="2"/>
                      <w:sz w:val="21"/>
                      <w:szCs w:val="21"/>
                      <w:lang w:val="en-US" w:eastAsia="zh-CN" w:bidi="ar-SA"/>
                    </w:rPr>
                  </w:pPr>
                  <w:r>
                    <w:rPr>
                      <w:rFonts w:hint="eastAsia"/>
                      <w:color w:val="auto"/>
                      <w:kern w:val="2"/>
                      <w:sz w:val="21"/>
                      <w:szCs w:val="21"/>
                      <w:lang w:val="en-US" w:eastAsia="zh-CN" w:bidi="ar-SA"/>
                    </w:rPr>
                    <w:t>有组织</w:t>
                  </w:r>
                </w:p>
              </w:tc>
              <w:tc>
                <w:tcPr>
                  <w:tcW w:w="1230" w:type="dxa"/>
                  <w:vMerge w:val="restart"/>
                  <w:shd w:val="clear" w:color="auto" w:fill="auto"/>
                  <w:noWrap w:val="0"/>
                  <w:vAlign w:val="center"/>
                </w:tcPr>
                <w:p w14:paraId="3E97D387">
                  <w:pPr>
                    <w:jc w:val="center"/>
                    <w:rPr>
                      <w:rFonts w:hint="default"/>
                      <w:sz w:val="21"/>
                      <w:szCs w:val="21"/>
                      <w:lang w:val="en-US" w:eastAsia="zh-CN"/>
                    </w:rPr>
                  </w:pPr>
                  <w:r>
                    <w:rPr>
                      <w:rFonts w:hint="eastAsia"/>
                      <w:sz w:val="21"/>
                      <w:szCs w:val="21"/>
                      <w:lang w:val="en-US" w:eastAsia="zh-CN"/>
                    </w:rPr>
                    <w:t>/</w:t>
                  </w:r>
                </w:p>
              </w:tc>
              <w:tc>
                <w:tcPr>
                  <w:tcW w:w="855" w:type="dxa"/>
                  <w:shd w:val="clear" w:color="auto" w:fill="auto"/>
                  <w:noWrap w:val="0"/>
                  <w:vAlign w:val="center"/>
                </w:tcPr>
                <w:p w14:paraId="7A1EC00D">
                  <w:pPr>
                    <w:jc w:val="center"/>
                    <w:rPr>
                      <w:rFonts w:hint="default"/>
                      <w:color w:val="auto"/>
                      <w:sz w:val="21"/>
                      <w:szCs w:val="21"/>
                      <w:lang w:val="en-US" w:eastAsia="zh-CN"/>
                    </w:rPr>
                  </w:pPr>
                  <w:r>
                    <w:rPr>
                      <w:rFonts w:hint="eastAsia"/>
                      <w:color w:val="auto"/>
                      <w:sz w:val="21"/>
                      <w:szCs w:val="21"/>
                      <w:lang w:val="en-US" w:eastAsia="zh-CN"/>
                    </w:rPr>
                    <w:t>/</w:t>
                  </w:r>
                </w:p>
              </w:tc>
              <w:tc>
                <w:tcPr>
                  <w:tcW w:w="885" w:type="dxa"/>
                  <w:shd w:val="clear" w:color="auto" w:fill="auto"/>
                  <w:noWrap w:val="0"/>
                  <w:vAlign w:val="center"/>
                </w:tcPr>
                <w:p w14:paraId="5C495754">
                  <w:pPr>
                    <w:jc w:val="center"/>
                    <w:rPr>
                      <w:rFonts w:hint="eastAsia"/>
                      <w:color w:val="auto"/>
                      <w:sz w:val="21"/>
                      <w:szCs w:val="21"/>
                      <w:lang w:val="en-US" w:eastAsia="zh-CN"/>
                    </w:rPr>
                  </w:pPr>
                  <w:r>
                    <w:rPr>
                      <w:rFonts w:hint="eastAsia"/>
                      <w:color w:val="auto"/>
                      <w:sz w:val="21"/>
                      <w:szCs w:val="21"/>
                      <w:lang w:val="en-US" w:eastAsia="zh-CN"/>
                    </w:rPr>
                    <w:t>/</w:t>
                  </w:r>
                </w:p>
              </w:tc>
              <w:tc>
                <w:tcPr>
                  <w:tcW w:w="722" w:type="dxa"/>
                  <w:vMerge w:val="restart"/>
                  <w:shd w:val="clear" w:color="auto" w:fill="auto"/>
                  <w:noWrap w:val="0"/>
                  <w:vAlign w:val="center"/>
                </w:tcPr>
                <w:p w14:paraId="0F57A668">
                  <w:pPr>
                    <w:jc w:val="center"/>
                    <w:rPr>
                      <w:rFonts w:hint="eastAsia"/>
                      <w:color w:val="auto"/>
                      <w:sz w:val="21"/>
                      <w:szCs w:val="21"/>
                      <w:lang w:val="en-US" w:eastAsia="zh-CN"/>
                    </w:rPr>
                  </w:pPr>
                  <w:r>
                    <w:rPr>
                      <w:rFonts w:hint="eastAsia"/>
                      <w:color w:val="auto"/>
                      <w:sz w:val="21"/>
                      <w:szCs w:val="21"/>
                      <w:lang w:val="en-US" w:eastAsia="zh-CN"/>
                    </w:rPr>
                    <w:t>可行</w:t>
                  </w:r>
                </w:p>
              </w:tc>
              <w:tc>
                <w:tcPr>
                  <w:tcW w:w="933" w:type="dxa"/>
                  <w:vMerge w:val="continue"/>
                  <w:shd w:val="clear" w:color="auto" w:fill="auto"/>
                  <w:noWrap w:val="0"/>
                  <w:vAlign w:val="center"/>
                </w:tcPr>
                <w:p w14:paraId="17E2716F">
                  <w:pPr>
                    <w:jc w:val="center"/>
                    <w:rPr>
                      <w:rFonts w:hint="eastAsia"/>
                      <w:color w:val="auto"/>
                      <w:sz w:val="21"/>
                      <w:szCs w:val="21"/>
                      <w:lang w:val="en-US" w:eastAsia="zh-CN"/>
                    </w:rPr>
                  </w:pPr>
                </w:p>
              </w:tc>
              <w:tc>
                <w:tcPr>
                  <w:tcW w:w="815" w:type="dxa"/>
                  <w:vMerge w:val="continue"/>
                  <w:noWrap w:val="0"/>
                  <w:vAlign w:val="center"/>
                </w:tcPr>
                <w:p w14:paraId="0E80E58D">
                  <w:pPr>
                    <w:jc w:val="center"/>
                    <w:rPr>
                      <w:color w:val="auto"/>
                      <w:sz w:val="21"/>
                      <w:szCs w:val="21"/>
                    </w:rPr>
                  </w:pPr>
                </w:p>
              </w:tc>
            </w:tr>
            <w:tr w14:paraId="366A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vMerge w:val="continue"/>
                  <w:noWrap w:val="0"/>
                  <w:vAlign w:val="center"/>
                </w:tcPr>
                <w:p w14:paraId="0B86C19D">
                  <w:pPr>
                    <w:jc w:val="center"/>
                    <w:rPr>
                      <w:rFonts w:hint="eastAsia"/>
                      <w:color w:val="auto"/>
                      <w:sz w:val="21"/>
                      <w:szCs w:val="21"/>
                      <w:lang w:val="en-US" w:eastAsia="zh-CN"/>
                    </w:rPr>
                  </w:pPr>
                </w:p>
              </w:tc>
              <w:tc>
                <w:tcPr>
                  <w:tcW w:w="871" w:type="dxa"/>
                  <w:shd w:val="clear" w:color="auto" w:fill="auto"/>
                  <w:noWrap w:val="0"/>
                  <w:vAlign w:val="center"/>
                </w:tcPr>
                <w:p w14:paraId="551F9769">
                  <w:pPr>
                    <w:jc w:val="center"/>
                    <w:rPr>
                      <w:rFonts w:hint="default"/>
                      <w:color w:val="auto"/>
                      <w:sz w:val="21"/>
                      <w:szCs w:val="21"/>
                      <w:lang w:val="en-US" w:eastAsia="zh-CN"/>
                    </w:rPr>
                  </w:pPr>
                  <w:r>
                    <w:rPr>
                      <w:rFonts w:hint="eastAsia"/>
                      <w:color w:val="auto"/>
                      <w:sz w:val="21"/>
                      <w:szCs w:val="21"/>
                      <w:lang w:val="en-US" w:eastAsia="zh-CN"/>
                    </w:rPr>
                    <w:t>二氧化硫</w:t>
                  </w:r>
                </w:p>
              </w:tc>
              <w:tc>
                <w:tcPr>
                  <w:tcW w:w="907" w:type="dxa"/>
                  <w:vMerge w:val="continue"/>
                  <w:shd w:val="clear" w:color="auto" w:fill="auto"/>
                  <w:noWrap w:val="0"/>
                  <w:vAlign w:val="center"/>
                </w:tcPr>
                <w:p w14:paraId="57CDFC3A">
                  <w:pPr>
                    <w:jc w:val="center"/>
                    <w:rPr>
                      <w:rFonts w:hint="eastAsia"/>
                      <w:color w:val="auto"/>
                      <w:kern w:val="2"/>
                      <w:sz w:val="21"/>
                      <w:szCs w:val="21"/>
                      <w:lang w:val="en-US" w:eastAsia="zh-CN" w:bidi="ar-SA"/>
                    </w:rPr>
                  </w:pPr>
                </w:p>
              </w:tc>
              <w:tc>
                <w:tcPr>
                  <w:tcW w:w="1230" w:type="dxa"/>
                  <w:vMerge w:val="continue"/>
                  <w:shd w:val="clear" w:color="auto" w:fill="auto"/>
                  <w:noWrap w:val="0"/>
                  <w:vAlign w:val="center"/>
                </w:tcPr>
                <w:p w14:paraId="0E98A025">
                  <w:pPr>
                    <w:jc w:val="center"/>
                    <w:rPr>
                      <w:rFonts w:hint="eastAsia"/>
                      <w:sz w:val="21"/>
                      <w:szCs w:val="21"/>
                      <w:lang w:val="en-US" w:eastAsia="zh-CN"/>
                    </w:rPr>
                  </w:pPr>
                </w:p>
              </w:tc>
              <w:tc>
                <w:tcPr>
                  <w:tcW w:w="855" w:type="dxa"/>
                  <w:shd w:val="clear" w:color="auto" w:fill="auto"/>
                  <w:noWrap w:val="0"/>
                  <w:vAlign w:val="center"/>
                </w:tcPr>
                <w:p w14:paraId="4A2F57CC">
                  <w:pPr>
                    <w:jc w:val="center"/>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noWrap w:val="0"/>
                  <w:vAlign w:val="center"/>
                </w:tcPr>
                <w:p w14:paraId="33268539">
                  <w:pPr>
                    <w:jc w:val="center"/>
                    <w:rPr>
                      <w:rFonts w:hint="eastAsia"/>
                      <w:color w:val="auto"/>
                      <w:sz w:val="21"/>
                      <w:szCs w:val="21"/>
                      <w:lang w:val="en-US" w:eastAsia="zh-CN"/>
                    </w:rPr>
                  </w:pPr>
                  <w:r>
                    <w:rPr>
                      <w:rFonts w:hint="eastAsia"/>
                      <w:color w:val="auto"/>
                      <w:sz w:val="21"/>
                      <w:szCs w:val="21"/>
                      <w:lang w:val="en-US" w:eastAsia="zh-CN"/>
                    </w:rPr>
                    <w:t>/</w:t>
                  </w:r>
                </w:p>
              </w:tc>
              <w:tc>
                <w:tcPr>
                  <w:tcW w:w="722" w:type="dxa"/>
                  <w:vMerge w:val="continue"/>
                  <w:shd w:val="clear" w:color="auto" w:fill="auto"/>
                  <w:noWrap w:val="0"/>
                  <w:vAlign w:val="center"/>
                </w:tcPr>
                <w:p w14:paraId="7CEC9421">
                  <w:pPr>
                    <w:jc w:val="center"/>
                    <w:rPr>
                      <w:rFonts w:hint="eastAsia"/>
                      <w:color w:val="auto"/>
                      <w:sz w:val="21"/>
                      <w:szCs w:val="21"/>
                      <w:lang w:val="en-US" w:eastAsia="zh-CN"/>
                    </w:rPr>
                  </w:pPr>
                </w:p>
              </w:tc>
              <w:tc>
                <w:tcPr>
                  <w:tcW w:w="933" w:type="dxa"/>
                  <w:vMerge w:val="continue"/>
                  <w:shd w:val="clear" w:color="auto" w:fill="auto"/>
                  <w:noWrap w:val="0"/>
                  <w:vAlign w:val="center"/>
                </w:tcPr>
                <w:p w14:paraId="21B53727">
                  <w:pPr>
                    <w:jc w:val="center"/>
                    <w:rPr>
                      <w:rFonts w:hint="eastAsia"/>
                      <w:color w:val="auto"/>
                      <w:sz w:val="21"/>
                      <w:szCs w:val="21"/>
                      <w:lang w:val="en-US" w:eastAsia="zh-CN"/>
                    </w:rPr>
                  </w:pPr>
                </w:p>
              </w:tc>
              <w:tc>
                <w:tcPr>
                  <w:tcW w:w="815" w:type="dxa"/>
                  <w:vMerge w:val="continue"/>
                  <w:noWrap w:val="0"/>
                  <w:vAlign w:val="center"/>
                </w:tcPr>
                <w:p w14:paraId="2CDD2CEE">
                  <w:pPr>
                    <w:jc w:val="center"/>
                    <w:rPr>
                      <w:color w:val="auto"/>
                      <w:sz w:val="21"/>
                      <w:szCs w:val="21"/>
                    </w:rPr>
                  </w:pPr>
                </w:p>
              </w:tc>
            </w:tr>
            <w:tr w14:paraId="02EC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vMerge w:val="continue"/>
                  <w:noWrap w:val="0"/>
                  <w:vAlign w:val="center"/>
                </w:tcPr>
                <w:p w14:paraId="3A2B073D">
                  <w:pPr>
                    <w:jc w:val="center"/>
                    <w:rPr>
                      <w:rFonts w:hint="eastAsia"/>
                      <w:color w:val="auto"/>
                      <w:sz w:val="21"/>
                      <w:szCs w:val="21"/>
                      <w:lang w:val="en-US" w:eastAsia="zh-CN"/>
                    </w:rPr>
                  </w:pPr>
                </w:p>
              </w:tc>
              <w:tc>
                <w:tcPr>
                  <w:tcW w:w="871" w:type="dxa"/>
                  <w:shd w:val="clear" w:color="auto" w:fill="auto"/>
                  <w:noWrap w:val="0"/>
                  <w:vAlign w:val="center"/>
                </w:tcPr>
                <w:p w14:paraId="795BFF72">
                  <w:pPr>
                    <w:jc w:val="center"/>
                    <w:rPr>
                      <w:rFonts w:hint="default"/>
                      <w:color w:val="auto"/>
                      <w:sz w:val="21"/>
                      <w:szCs w:val="21"/>
                      <w:lang w:val="en-US" w:eastAsia="zh-CN"/>
                    </w:rPr>
                  </w:pPr>
                  <w:r>
                    <w:rPr>
                      <w:rFonts w:hint="eastAsia"/>
                      <w:color w:val="auto"/>
                      <w:sz w:val="21"/>
                      <w:szCs w:val="21"/>
                      <w:lang w:val="en-US" w:eastAsia="zh-CN"/>
                    </w:rPr>
                    <w:t>氮氧化物</w:t>
                  </w:r>
                </w:p>
              </w:tc>
              <w:tc>
                <w:tcPr>
                  <w:tcW w:w="907" w:type="dxa"/>
                  <w:vMerge w:val="continue"/>
                  <w:shd w:val="clear" w:color="auto" w:fill="auto"/>
                  <w:noWrap w:val="0"/>
                  <w:vAlign w:val="center"/>
                </w:tcPr>
                <w:p w14:paraId="5102E632">
                  <w:pPr>
                    <w:jc w:val="center"/>
                    <w:rPr>
                      <w:rFonts w:hint="eastAsia"/>
                      <w:color w:val="auto"/>
                      <w:kern w:val="2"/>
                      <w:sz w:val="21"/>
                      <w:szCs w:val="21"/>
                      <w:lang w:val="en-US" w:eastAsia="zh-CN" w:bidi="ar-SA"/>
                    </w:rPr>
                  </w:pPr>
                </w:p>
              </w:tc>
              <w:tc>
                <w:tcPr>
                  <w:tcW w:w="1230" w:type="dxa"/>
                  <w:shd w:val="clear" w:color="auto" w:fill="auto"/>
                  <w:noWrap w:val="0"/>
                  <w:vAlign w:val="center"/>
                </w:tcPr>
                <w:p w14:paraId="2E6084EC">
                  <w:pPr>
                    <w:jc w:val="center"/>
                    <w:rPr>
                      <w:rFonts w:hint="default"/>
                      <w:sz w:val="21"/>
                      <w:szCs w:val="21"/>
                      <w:lang w:val="en-US" w:eastAsia="zh-CN"/>
                    </w:rPr>
                  </w:pPr>
                  <w:r>
                    <w:rPr>
                      <w:rFonts w:hint="eastAsia"/>
                      <w:sz w:val="21"/>
                      <w:szCs w:val="21"/>
                      <w:lang w:val="en-US" w:eastAsia="zh-CN"/>
                    </w:rPr>
                    <w:t>低氮燃烧器源头控制</w:t>
                  </w:r>
                </w:p>
              </w:tc>
              <w:tc>
                <w:tcPr>
                  <w:tcW w:w="855" w:type="dxa"/>
                  <w:shd w:val="clear" w:color="auto" w:fill="auto"/>
                  <w:noWrap w:val="0"/>
                  <w:vAlign w:val="center"/>
                </w:tcPr>
                <w:p w14:paraId="61A1D4C7">
                  <w:pPr>
                    <w:jc w:val="center"/>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noWrap w:val="0"/>
                  <w:vAlign w:val="center"/>
                </w:tcPr>
                <w:p w14:paraId="430B06BF">
                  <w:pPr>
                    <w:jc w:val="center"/>
                    <w:rPr>
                      <w:rFonts w:hint="eastAsia"/>
                      <w:color w:val="auto"/>
                      <w:sz w:val="21"/>
                      <w:szCs w:val="21"/>
                      <w:lang w:val="en-US" w:eastAsia="zh-CN"/>
                    </w:rPr>
                  </w:pPr>
                  <w:r>
                    <w:rPr>
                      <w:rFonts w:hint="eastAsia"/>
                      <w:color w:val="auto"/>
                      <w:sz w:val="21"/>
                      <w:szCs w:val="21"/>
                      <w:lang w:val="en-US" w:eastAsia="zh-CN"/>
                    </w:rPr>
                    <w:t>/</w:t>
                  </w:r>
                </w:p>
              </w:tc>
              <w:tc>
                <w:tcPr>
                  <w:tcW w:w="722" w:type="dxa"/>
                  <w:vMerge w:val="continue"/>
                  <w:shd w:val="clear" w:color="auto" w:fill="auto"/>
                  <w:noWrap w:val="0"/>
                  <w:vAlign w:val="center"/>
                </w:tcPr>
                <w:p w14:paraId="6D83224C">
                  <w:pPr>
                    <w:jc w:val="center"/>
                    <w:rPr>
                      <w:rFonts w:hint="eastAsia"/>
                      <w:color w:val="auto"/>
                      <w:sz w:val="21"/>
                      <w:szCs w:val="21"/>
                      <w:lang w:val="en-US" w:eastAsia="zh-CN"/>
                    </w:rPr>
                  </w:pPr>
                </w:p>
              </w:tc>
              <w:tc>
                <w:tcPr>
                  <w:tcW w:w="933" w:type="dxa"/>
                  <w:vMerge w:val="continue"/>
                  <w:shd w:val="clear" w:color="auto" w:fill="auto"/>
                  <w:noWrap w:val="0"/>
                  <w:vAlign w:val="center"/>
                </w:tcPr>
                <w:p w14:paraId="0162D48F">
                  <w:pPr>
                    <w:jc w:val="center"/>
                    <w:rPr>
                      <w:rFonts w:hint="eastAsia"/>
                      <w:color w:val="auto"/>
                      <w:sz w:val="21"/>
                      <w:szCs w:val="21"/>
                      <w:lang w:val="en-US" w:eastAsia="zh-CN"/>
                    </w:rPr>
                  </w:pPr>
                </w:p>
              </w:tc>
              <w:tc>
                <w:tcPr>
                  <w:tcW w:w="815" w:type="dxa"/>
                  <w:vMerge w:val="continue"/>
                  <w:noWrap w:val="0"/>
                  <w:vAlign w:val="center"/>
                </w:tcPr>
                <w:p w14:paraId="7FB6B1A0">
                  <w:pPr>
                    <w:jc w:val="center"/>
                    <w:rPr>
                      <w:color w:val="auto"/>
                      <w:sz w:val="21"/>
                      <w:szCs w:val="21"/>
                    </w:rPr>
                  </w:pPr>
                </w:p>
              </w:tc>
            </w:tr>
            <w:tr w14:paraId="11DF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22F7F639">
                  <w:pPr>
                    <w:jc w:val="center"/>
                    <w:rPr>
                      <w:rFonts w:hint="default"/>
                      <w:color w:val="auto"/>
                      <w:sz w:val="21"/>
                      <w:szCs w:val="21"/>
                      <w:lang w:val="en-US" w:eastAsia="zh-CN"/>
                    </w:rPr>
                  </w:pPr>
                  <w:r>
                    <w:rPr>
                      <w:rFonts w:hint="eastAsia"/>
                      <w:color w:val="auto"/>
                      <w:sz w:val="21"/>
                      <w:szCs w:val="21"/>
                      <w:lang w:val="en-US" w:eastAsia="zh-CN"/>
                    </w:rPr>
                    <w:t>注塑</w:t>
                  </w:r>
                </w:p>
              </w:tc>
              <w:tc>
                <w:tcPr>
                  <w:tcW w:w="871" w:type="dxa"/>
                  <w:shd w:val="clear" w:color="auto" w:fill="auto"/>
                  <w:noWrap w:val="0"/>
                  <w:vAlign w:val="center"/>
                </w:tcPr>
                <w:p w14:paraId="33FD9A7E">
                  <w:pPr>
                    <w:jc w:val="center"/>
                    <w:rPr>
                      <w:rFonts w:hint="eastAsia"/>
                      <w:color w:val="auto"/>
                      <w:sz w:val="21"/>
                      <w:szCs w:val="21"/>
                      <w:lang w:val="en-US" w:eastAsia="zh-CN"/>
                    </w:rPr>
                  </w:pPr>
                  <w:r>
                    <w:rPr>
                      <w:rFonts w:hint="eastAsia"/>
                      <w:color w:val="auto"/>
                      <w:sz w:val="21"/>
                      <w:szCs w:val="21"/>
                      <w:lang w:val="en-US" w:eastAsia="zh-CN"/>
                    </w:rPr>
                    <w:t>非甲烷总烃</w:t>
                  </w:r>
                </w:p>
              </w:tc>
              <w:tc>
                <w:tcPr>
                  <w:tcW w:w="907" w:type="dxa"/>
                  <w:shd w:val="clear" w:color="auto" w:fill="auto"/>
                  <w:noWrap w:val="0"/>
                  <w:vAlign w:val="center"/>
                </w:tcPr>
                <w:p w14:paraId="05137C8A">
                  <w:pPr>
                    <w:jc w:val="center"/>
                    <w:rPr>
                      <w:rFonts w:hint="eastAsia"/>
                      <w:color w:val="auto"/>
                      <w:kern w:val="2"/>
                      <w:sz w:val="21"/>
                      <w:szCs w:val="21"/>
                      <w:lang w:val="en-US" w:eastAsia="zh-CN" w:bidi="ar-SA"/>
                    </w:rPr>
                  </w:pPr>
                  <w:r>
                    <w:rPr>
                      <w:rFonts w:hint="eastAsia"/>
                      <w:color w:val="auto"/>
                      <w:kern w:val="2"/>
                      <w:sz w:val="21"/>
                      <w:szCs w:val="21"/>
                      <w:lang w:val="en-US" w:eastAsia="zh-CN" w:bidi="ar-SA"/>
                    </w:rPr>
                    <w:t>有组织</w:t>
                  </w:r>
                </w:p>
              </w:tc>
              <w:tc>
                <w:tcPr>
                  <w:tcW w:w="1230" w:type="dxa"/>
                  <w:shd w:val="clear" w:color="auto" w:fill="auto"/>
                  <w:noWrap w:val="0"/>
                  <w:vAlign w:val="center"/>
                </w:tcPr>
                <w:p w14:paraId="6EB21C68">
                  <w:pPr>
                    <w:jc w:val="center"/>
                    <w:rPr>
                      <w:rFonts w:hint="eastAsia"/>
                      <w:sz w:val="21"/>
                      <w:szCs w:val="21"/>
                      <w:lang w:val="en-US" w:eastAsia="zh-CN"/>
                    </w:rPr>
                  </w:pPr>
                  <w:r>
                    <w:rPr>
                      <w:rFonts w:hint="eastAsia"/>
                      <w:sz w:val="21"/>
                      <w:szCs w:val="21"/>
                      <w:lang w:val="en-US" w:eastAsia="zh-CN"/>
                    </w:rPr>
                    <w:t>二级活性炭吸附装置</w:t>
                  </w:r>
                </w:p>
              </w:tc>
              <w:tc>
                <w:tcPr>
                  <w:tcW w:w="855" w:type="dxa"/>
                  <w:shd w:val="clear" w:color="auto" w:fill="auto"/>
                  <w:noWrap w:val="0"/>
                  <w:vAlign w:val="center"/>
                </w:tcPr>
                <w:p w14:paraId="3C76E0D9">
                  <w:pPr>
                    <w:jc w:val="center"/>
                    <w:rPr>
                      <w:rFonts w:hint="eastAsia"/>
                      <w:color w:val="auto"/>
                      <w:sz w:val="21"/>
                      <w:szCs w:val="21"/>
                      <w:lang w:val="en-US" w:eastAsia="zh-CN"/>
                    </w:rPr>
                  </w:pPr>
                  <w:r>
                    <w:rPr>
                      <w:rFonts w:hint="eastAsia"/>
                      <w:color w:val="auto"/>
                      <w:sz w:val="21"/>
                      <w:szCs w:val="21"/>
                      <w:lang w:val="en-US" w:eastAsia="zh-CN"/>
                    </w:rPr>
                    <w:t>90</w:t>
                  </w:r>
                </w:p>
              </w:tc>
              <w:tc>
                <w:tcPr>
                  <w:tcW w:w="885" w:type="dxa"/>
                  <w:shd w:val="clear" w:color="auto" w:fill="auto"/>
                  <w:noWrap w:val="0"/>
                  <w:vAlign w:val="center"/>
                </w:tcPr>
                <w:p w14:paraId="7B301BA9">
                  <w:pPr>
                    <w:jc w:val="center"/>
                    <w:rPr>
                      <w:rFonts w:hint="eastAsia"/>
                      <w:color w:val="auto"/>
                      <w:sz w:val="21"/>
                      <w:szCs w:val="21"/>
                      <w:lang w:val="en-US" w:eastAsia="zh-CN"/>
                    </w:rPr>
                  </w:pPr>
                  <w:r>
                    <w:rPr>
                      <w:rFonts w:hint="eastAsia"/>
                      <w:color w:val="auto"/>
                      <w:sz w:val="21"/>
                      <w:szCs w:val="21"/>
                      <w:lang w:val="en-US" w:eastAsia="zh-CN"/>
                    </w:rPr>
                    <w:t>90</w:t>
                  </w:r>
                </w:p>
              </w:tc>
              <w:tc>
                <w:tcPr>
                  <w:tcW w:w="722" w:type="dxa"/>
                  <w:shd w:val="clear" w:color="auto" w:fill="auto"/>
                  <w:noWrap w:val="0"/>
                  <w:vAlign w:val="center"/>
                </w:tcPr>
                <w:p w14:paraId="3979C9AF">
                  <w:pPr>
                    <w:jc w:val="center"/>
                    <w:rPr>
                      <w:rFonts w:hint="eastAsia"/>
                      <w:color w:val="auto"/>
                      <w:sz w:val="21"/>
                      <w:szCs w:val="21"/>
                      <w:lang w:val="en-US" w:eastAsia="zh-CN"/>
                    </w:rPr>
                  </w:pPr>
                  <w:r>
                    <w:rPr>
                      <w:rFonts w:hint="eastAsia"/>
                      <w:color w:val="auto"/>
                      <w:sz w:val="21"/>
                      <w:szCs w:val="21"/>
                      <w:lang w:val="en-US" w:eastAsia="zh-CN"/>
                    </w:rPr>
                    <w:t>可行</w:t>
                  </w:r>
                </w:p>
              </w:tc>
              <w:tc>
                <w:tcPr>
                  <w:tcW w:w="933" w:type="dxa"/>
                  <w:shd w:val="clear" w:color="auto" w:fill="auto"/>
                  <w:noWrap w:val="0"/>
                  <w:vAlign w:val="center"/>
                </w:tcPr>
                <w:p w14:paraId="18187380">
                  <w:pPr>
                    <w:jc w:val="center"/>
                    <w:rPr>
                      <w:rFonts w:hint="default"/>
                      <w:color w:val="auto"/>
                      <w:sz w:val="21"/>
                      <w:szCs w:val="21"/>
                      <w:lang w:val="en-US" w:eastAsia="zh-CN"/>
                    </w:rPr>
                  </w:pPr>
                  <w:r>
                    <w:rPr>
                      <w:rFonts w:hint="eastAsia"/>
                      <w:color w:val="auto"/>
                      <w:sz w:val="21"/>
                      <w:szCs w:val="21"/>
                      <w:lang w:val="en-US" w:eastAsia="zh-CN"/>
                    </w:rPr>
                    <w:t>DA004</w:t>
                  </w:r>
                </w:p>
              </w:tc>
              <w:tc>
                <w:tcPr>
                  <w:tcW w:w="815" w:type="dxa"/>
                  <w:vMerge w:val="continue"/>
                  <w:noWrap w:val="0"/>
                  <w:vAlign w:val="center"/>
                </w:tcPr>
                <w:p w14:paraId="05F7C1D2">
                  <w:pPr>
                    <w:jc w:val="center"/>
                    <w:rPr>
                      <w:color w:val="auto"/>
                      <w:sz w:val="21"/>
                      <w:szCs w:val="21"/>
                    </w:rPr>
                  </w:pPr>
                </w:p>
              </w:tc>
            </w:tr>
            <w:tr w14:paraId="6193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40713B35">
                  <w:pPr>
                    <w:jc w:val="center"/>
                    <w:rPr>
                      <w:rFonts w:hint="default" w:eastAsia="宋体"/>
                      <w:sz w:val="21"/>
                      <w:szCs w:val="21"/>
                      <w:lang w:val="en-US" w:eastAsia="zh-CN"/>
                    </w:rPr>
                  </w:pPr>
                  <w:r>
                    <w:rPr>
                      <w:rFonts w:hint="eastAsia"/>
                      <w:sz w:val="21"/>
                      <w:szCs w:val="21"/>
                      <w:lang w:val="en-US" w:eastAsia="zh-CN"/>
                    </w:rPr>
                    <w:t>焊接</w:t>
                  </w:r>
                </w:p>
              </w:tc>
              <w:tc>
                <w:tcPr>
                  <w:tcW w:w="871" w:type="dxa"/>
                  <w:noWrap w:val="0"/>
                  <w:vAlign w:val="center"/>
                </w:tcPr>
                <w:p w14:paraId="67F2B307">
                  <w:pPr>
                    <w:jc w:val="center"/>
                    <w:rPr>
                      <w:rFonts w:hint="default"/>
                      <w:color w:val="auto"/>
                      <w:sz w:val="21"/>
                      <w:szCs w:val="21"/>
                      <w:lang w:val="en-US" w:eastAsia="zh-CN"/>
                    </w:rPr>
                  </w:pPr>
                  <w:r>
                    <w:rPr>
                      <w:rFonts w:hint="eastAsia"/>
                      <w:color w:val="auto"/>
                      <w:sz w:val="21"/>
                      <w:szCs w:val="21"/>
                      <w:lang w:val="en-US" w:eastAsia="zh-CN"/>
                    </w:rPr>
                    <w:t>颗粒物</w:t>
                  </w:r>
                </w:p>
              </w:tc>
              <w:tc>
                <w:tcPr>
                  <w:tcW w:w="907" w:type="dxa"/>
                  <w:noWrap w:val="0"/>
                  <w:vAlign w:val="center"/>
                </w:tcPr>
                <w:p w14:paraId="09CAAF3B">
                  <w:pPr>
                    <w:jc w:val="center"/>
                    <w:rPr>
                      <w:rFonts w:hint="default"/>
                      <w:color w:val="auto"/>
                      <w:sz w:val="21"/>
                      <w:szCs w:val="21"/>
                      <w:lang w:val="en-US" w:eastAsia="zh-CN"/>
                    </w:rPr>
                  </w:pPr>
                  <w:r>
                    <w:rPr>
                      <w:rFonts w:hint="eastAsia"/>
                      <w:color w:val="auto"/>
                      <w:sz w:val="21"/>
                      <w:szCs w:val="21"/>
                      <w:lang w:val="en-US" w:eastAsia="zh-CN"/>
                    </w:rPr>
                    <w:t>无组织</w:t>
                  </w:r>
                </w:p>
              </w:tc>
              <w:tc>
                <w:tcPr>
                  <w:tcW w:w="1230" w:type="dxa"/>
                  <w:noWrap w:val="0"/>
                  <w:vAlign w:val="center"/>
                </w:tcPr>
                <w:p w14:paraId="37EB81A4">
                  <w:pPr>
                    <w:jc w:val="center"/>
                    <w:rPr>
                      <w:rFonts w:hint="eastAsia"/>
                      <w:color w:val="auto"/>
                      <w:sz w:val="21"/>
                      <w:szCs w:val="21"/>
                      <w:lang w:val="en-US" w:eastAsia="zh-CN"/>
                    </w:rPr>
                  </w:pPr>
                  <w:r>
                    <w:rPr>
                      <w:rFonts w:hint="default" w:ascii="Times New Roman" w:hAnsi="Times New Roman" w:eastAsia="宋体" w:cs="Times New Roman"/>
                      <w:color w:val="auto"/>
                      <w:sz w:val="21"/>
                      <w:szCs w:val="21"/>
                      <w:lang w:val="en-US" w:eastAsia="zh-CN"/>
                    </w:rPr>
                    <w:t>移动式烟尘净化器</w:t>
                  </w:r>
                </w:p>
              </w:tc>
              <w:tc>
                <w:tcPr>
                  <w:tcW w:w="855" w:type="dxa"/>
                  <w:shd w:val="clear" w:color="auto" w:fill="auto"/>
                  <w:noWrap w:val="0"/>
                  <w:vAlign w:val="center"/>
                </w:tcPr>
                <w:p w14:paraId="793CF99E">
                  <w:pPr>
                    <w:jc w:val="center"/>
                    <w:rPr>
                      <w:rFonts w:hint="default"/>
                      <w:color w:val="auto"/>
                      <w:sz w:val="21"/>
                      <w:szCs w:val="21"/>
                      <w:lang w:val="en-US" w:eastAsia="zh-CN"/>
                    </w:rPr>
                  </w:pPr>
                  <w:r>
                    <w:rPr>
                      <w:rFonts w:hint="eastAsia"/>
                      <w:color w:val="auto"/>
                      <w:sz w:val="21"/>
                      <w:szCs w:val="21"/>
                      <w:lang w:val="en-US" w:eastAsia="zh-CN"/>
                    </w:rPr>
                    <w:t>80</w:t>
                  </w:r>
                </w:p>
              </w:tc>
              <w:tc>
                <w:tcPr>
                  <w:tcW w:w="885" w:type="dxa"/>
                  <w:shd w:val="clear" w:color="auto" w:fill="auto"/>
                  <w:noWrap w:val="0"/>
                  <w:vAlign w:val="center"/>
                </w:tcPr>
                <w:p w14:paraId="0E6950A8">
                  <w:pPr>
                    <w:jc w:val="center"/>
                    <w:rPr>
                      <w:rFonts w:hint="default"/>
                      <w:color w:val="auto"/>
                      <w:sz w:val="21"/>
                      <w:szCs w:val="21"/>
                      <w:lang w:val="en-US" w:eastAsia="zh-CN"/>
                    </w:rPr>
                  </w:pPr>
                  <w:r>
                    <w:rPr>
                      <w:rFonts w:hint="eastAsia"/>
                      <w:color w:val="auto"/>
                      <w:sz w:val="21"/>
                      <w:szCs w:val="21"/>
                      <w:lang w:val="en-US" w:eastAsia="zh-CN"/>
                    </w:rPr>
                    <w:t>95</w:t>
                  </w:r>
                </w:p>
              </w:tc>
              <w:tc>
                <w:tcPr>
                  <w:tcW w:w="722" w:type="dxa"/>
                  <w:noWrap w:val="0"/>
                  <w:vAlign w:val="center"/>
                </w:tcPr>
                <w:p w14:paraId="4382C61C">
                  <w:pPr>
                    <w:jc w:val="center"/>
                    <w:rPr>
                      <w:rFonts w:hint="eastAsia"/>
                      <w:color w:val="auto"/>
                      <w:sz w:val="21"/>
                      <w:szCs w:val="21"/>
                      <w:lang w:val="en-US" w:eastAsia="zh-CN"/>
                    </w:rPr>
                  </w:pPr>
                  <w:r>
                    <w:rPr>
                      <w:rFonts w:hint="eastAsia"/>
                      <w:color w:val="auto"/>
                      <w:sz w:val="21"/>
                      <w:szCs w:val="21"/>
                      <w:lang w:val="en-US" w:eastAsia="zh-CN"/>
                    </w:rPr>
                    <w:t>可行</w:t>
                  </w:r>
                </w:p>
              </w:tc>
              <w:tc>
                <w:tcPr>
                  <w:tcW w:w="933" w:type="dxa"/>
                  <w:noWrap w:val="0"/>
                  <w:vAlign w:val="center"/>
                </w:tcPr>
                <w:p w14:paraId="3093A094">
                  <w:pPr>
                    <w:jc w:val="center"/>
                    <w:rPr>
                      <w:rFonts w:hint="default"/>
                      <w:color w:val="auto"/>
                      <w:sz w:val="21"/>
                      <w:szCs w:val="21"/>
                      <w:lang w:val="en-US" w:eastAsia="zh-CN"/>
                    </w:rPr>
                  </w:pPr>
                  <w:r>
                    <w:rPr>
                      <w:rFonts w:hint="eastAsia"/>
                      <w:color w:val="auto"/>
                      <w:sz w:val="21"/>
                      <w:szCs w:val="21"/>
                      <w:lang w:val="en-US" w:eastAsia="zh-CN"/>
                    </w:rPr>
                    <w:t>/</w:t>
                  </w:r>
                </w:p>
              </w:tc>
              <w:tc>
                <w:tcPr>
                  <w:tcW w:w="815" w:type="dxa"/>
                  <w:noWrap w:val="0"/>
                  <w:vAlign w:val="center"/>
                </w:tcPr>
                <w:p w14:paraId="51CD2554">
                  <w:pPr>
                    <w:jc w:val="center"/>
                    <w:rPr>
                      <w:rFonts w:hint="default"/>
                      <w:color w:val="auto"/>
                      <w:sz w:val="21"/>
                      <w:szCs w:val="21"/>
                      <w:lang w:val="en-US" w:eastAsia="zh-CN"/>
                    </w:rPr>
                  </w:pPr>
                  <w:r>
                    <w:rPr>
                      <w:rFonts w:hint="eastAsia"/>
                      <w:color w:val="auto"/>
                      <w:sz w:val="21"/>
                      <w:szCs w:val="21"/>
                      <w:lang w:val="en-US" w:eastAsia="zh-CN"/>
                    </w:rPr>
                    <w:t>/</w:t>
                  </w:r>
                </w:p>
              </w:tc>
            </w:tr>
            <w:tr w14:paraId="6920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3D951F00">
                  <w:pPr>
                    <w:jc w:val="center"/>
                    <w:rPr>
                      <w:rFonts w:hint="default" w:eastAsia="宋体"/>
                      <w:sz w:val="21"/>
                      <w:szCs w:val="21"/>
                      <w:lang w:val="en-US" w:eastAsia="zh-CN"/>
                    </w:rPr>
                  </w:pPr>
                  <w:r>
                    <w:rPr>
                      <w:rFonts w:hint="eastAsia"/>
                      <w:sz w:val="21"/>
                      <w:szCs w:val="21"/>
                      <w:lang w:val="en-US" w:eastAsia="zh-CN"/>
                    </w:rPr>
                    <w:t>打磨</w:t>
                  </w:r>
                </w:p>
              </w:tc>
              <w:tc>
                <w:tcPr>
                  <w:tcW w:w="871" w:type="dxa"/>
                  <w:noWrap w:val="0"/>
                  <w:vAlign w:val="center"/>
                </w:tcPr>
                <w:p w14:paraId="1538739B">
                  <w:pPr>
                    <w:jc w:val="center"/>
                    <w:rPr>
                      <w:rFonts w:hint="default"/>
                      <w:color w:val="auto"/>
                      <w:sz w:val="21"/>
                      <w:szCs w:val="21"/>
                      <w:lang w:val="en-US" w:eastAsia="zh-CN"/>
                    </w:rPr>
                  </w:pPr>
                  <w:r>
                    <w:rPr>
                      <w:rFonts w:hint="eastAsia"/>
                      <w:color w:val="auto"/>
                      <w:sz w:val="21"/>
                      <w:szCs w:val="21"/>
                      <w:lang w:val="en-US" w:eastAsia="zh-CN"/>
                    </w:rPr>
                    <w:t>颗粒物</w:t>
                  </w:r>
                </w:p>
              </w:tc>
              <w:tc>
                <w:tcPr>
                  <w:tcW w:w="907" w:type="dxa"/>
                  <w:noWrap w:val="0"/>
                  <w:vAlign w:val="center"/>
                </w:tcPr>
                <w:p w14:paraId="65F53307">
                  <w:pPr>
                    <w:jc w:val="center"/>
                    <w:rPr>
                      <w:rFonts w:hint="eastAsia"/>
                      <w:color w:val="auto"/>
                      <w:sz w:val="21"/>
                      <w:szCs w:val="21"/>
                      <w:lang w:val="en-US" w:eastAsia="zh-CN"/>
                    </w:rPr>
                  </w:pPr>
                  <w:r>
                    <w:rPr>
                      <w:rFonts w:hint="eastAsia"/>
                      <w:color w:val="auto"/>
                      <w:sz w:val="21"/>
                      <w:szCs w:val="21"/>
                      <w:lang w:val="en-US" w:eastAsia="zh-CN"/>
                    </w:rPr>
                    <w:t>无组织</w:t>
                  </w:r>
                </w:p>
              </w:tc>
              <w:tc>
                <w:tcPr>
                  <w:tcW w:w="1230" w:type="dxa"/>
                  <w:noWrap w:val="0"/>
                  <w:vAlign w:val="center"/>
                </w:tcPr>
                <w:p w14:paraId="51E32433">
                  <w:pPr>
                    <w:jc w:val="center"/>
                    <w:rPr>
                      <w:rFonts w:hint="default"/>
                      <w:color w:val="auto"/>
                      <w:sz w:val="21"/>
                      <w:szCs w:val="21"/>
                      <w:lang w:val="en-US" w:eastAsia="zh-CN"/>
                    </w:rPr>
                  </w:pPr>
                  <w:r>
                    <w:rPr>
                      <w:rFonts w:hint="default" w:ascii="Times New Roman" w:hAnsi="Times New Roman" w:eastAsia="宋体" w:cs="Times New Roman"/>
                      <w:color w:val="auto"/>
                      <w:sz w:val="21"/>
                      <w:szCs w:val="21"/>
                      <w:lang w:val="en-US" w:eastAsia="zh-CN"/>
                    </w:rPr>
                    <w:t>移动式烟尘净化器</w:t>
                  </w:r>
                </w:p>
              </w:tc>
              <w:tc>
                <w:tcPr>
                  <w:tcW w:w="855" w:type="dxa"/>
                  <w:shd w:val="clear" w:color="auto" w:fill="auto"/>
                  <w:noWrap w:val="0"/>
                  <w:vAlign w:val="center"/>
                </w:tcPr>
                <w:p w14:paraId="7B08EF1F">
                  <w:pPr>
                    <w:jc w:val="center"/>
                    <w:rPr>
                      <w:rFonts w:hint="default"/>
                      <w:color w:val="auto"/>
                      <w:sz w:val="21"/>
                      <w:szCs w:val="21"/>
                      <w:lang w:val="en-US" w:eastAsia="zh-CN"/>
                    </w:rPr>
                  </w:pPr>
                  <w:r>
                    <w:rPr>
                      <w:rFonts w:hint="eastAsia"/>
                      <w:color w:val="auto"/>
                      <w:sz w:val="21"/>
                      <w:szCs w:val="21"/>
                      <w:lang w:val="en-US" w:eastAsia="zh-CN"/>
                    </w:rPr>
                    <w:t>80</w:t>
                  </w:r>
                </w:p>
              </w:tc>
              <w:tc>
                <w:tcPr>
                  <w:tcW w:w="885" w:type="dxa"/>
                  <w:shd w:val="clear" w:color="auto" w:fill="auto"/>
                  <w:noWrap w:val="0"/>
                  <w:vAlign w:val="center"/>
                </w:tcPr>
                <w:p w14:paraId="660D5743">
                  <w:pPr>
                    <w:jc w:val="center"/>
                    <w:rPr>
                      <w:rFonts w:hint="default"/>
                      <w:color w:val="auto"/>
                      <w:sz w:val="21"/>
                      <w:szCs w:val="21"/>
                      <w:lang w:val="en-US" w:eastAsia="zh-CN"/>
                    </w:rPr>
                  </w:pPr>
                  <w:r>
                    <w:rPr>
                      <w:rFonts w:hint="eastAsia"/>
                      <w:color w:val="auto"/>
                      <w:sz w:val="21"/>
                      <w:szCs w:val="21"/>
                      <w:lang w:val="en-US" w:eastAsia="zh-CN"/>
                    </w:rPr>
                    <w:t>95</w:t>
                  </w:r>
                </w:p>
              </w:tc>
              <w:tc>
                <w:tcPr>
                  <w:tcW w:w="722" w:type="dxa"/>
                  <w:noWrap w:val="0"/>
                  <w:vAlign w:val="center"/>
                </w:tcPr>
                <w:p w14:paraId="7FEECAC4">
                  <w:pPr>
                    <w:jc w:val="center"/>
                    <w:rPr>
                      <w:rFonts w:hint="default"/>
                      <w:color w:val="auto"/>
                      <w:sz w:val="21"/>
                      <w:szCs w:val="21"/>
                      <w:lang w:val="en-US" w:eastAsia="zh-CN"/>
                    </w:rPr>
                  </w:pPr>
                  <w:r>
                    <w:rPr>
                      <w:rFonts w:hint="eastAsia"/>
                      <w:color w:val="auto"/>
                      <w:sz w:val="21"/>
                      <w:szCs w:val="21"/>
                      <w:lang w:val="en-US" w:eastAsia="zh-CN"/>
                    </w:rPr>
                    <w:t>可行</w:t>
                  </w:r>
                </w:p>
              </w:tc>
              <w:tc>
                <w:tcPr>
                  <w:tcW w:w="933" w:type="dxa"/>
                  <w:noWrap w:val="0"/>
                  <w:vAlign w:val="center"/>
                </w:tcPr>
                <w:p w14:paraId="3B4CFA81">
                  <w:pPr>
                    <w:jc w:val="center"/>
                    <w:rPr>
                      <w:rFonts w:hint="default"/>
                      <w:color w:val="auto"/>
                      <w:sz w:val="21"/>
                      <w:szCs w:val="21"/>
                      <w:lang w:val="en-US" w:eastAsia="zh-CN"/>
                    </w:rPr>
                  </w:pPr>
                  <w:r>
                    <w:rPr>
                      <w:rFonts w:hint="eastAsia"/>
                      <w:color w:val="auto"/>
                      <w:sz w:val="21"/>
                      <w:szCs w:val="21"/>
                      <w:lang w:val="en-US" w:eastAsia="zh-CN"/>
                    </w:rPr>
                    <w:t>/</w:t>
                  </w:r>
                </w:p>
              </w:tc>
              <w:tc>
                <w:tcPr>
                  <w:tcW w:w="815" w:type="dxa"/>
                  <w:noWrap w:val="0"/>
                  <w:vAlign w:val="center"/>
                </w:tcPr>
                <w:p w14:paraId="2D218534">
                  <w:pPr>
                    <w:jc w:val="center"/>
                    <w:rPr>
                      <w:rFonts w:hint="default"/>
                      <w:color w:val="auto"/>
                      <w:sz w:val="21"/>
                      <w:szCs w:val="21"/>
                      <w:lang w:val="en-US" w:eastAsia="zh-CN"/>
                    </w:rPr>
                  </w:pPr>
                  <w:r>
                    <w:rPr>
                      <w:rFonts w:hint="eastAsia"/>
                      <w:color w:val="auto"/>
                      <w:sz w:val="21"/>
                      <w:szCs w:val="21"/>
                      <w:lang w:val="en-US" w:eastAsia="zh-CN"/>
                    </w:rPr>
                    <w:t>/</w:t>
                  </w:r>
                </w:p>
              </w:tc>
            </w:tr>
            <w:tr w14:paraId="0D9A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3456A953">
                  <w:pPr>
                    <w:jc w:val="center"/>
                    <w:rPr>
                      <w:rFonts w:hint="default"/>
                      <w:sz w:val="21"/>
                      <w:szCs w:val="21"/>
                      <w:lang w:val="en-US" w:eastAsia="zh-CN"/>
                    </w:rPr>
                  </w:pPr>
                  <w:r>
                    <w:rPr>
                      <w:rFonts w:hint="eastAsia"/>
                      <w:sz w:val="21"/>
                      <w:szCs w:val="21"/>
                      <w:lang w:val="en-US" w:eastAsia="zh-CN"/>
                    </w:rPr>
                    <w:t>机加工</w:t>
                  </w:r>
                </w:p>
              </w:tc>
              <w:tc>
                <w:tcPr>
                  <w:tcW w:w="871" w:type="dxa"/>
                  <w:noWrap w:val="0"/>
                  <w:vAlign w:val="center"/>
                </w:tcPr>
                <w:p w14:paraId="7859238B">
                  <w:pPr>
                    <w:jc w:val="center"/>
                    <w:rPr>
                      <w:rFonts w:hint="eastAsia"/>
                      <w:color w:val="auto"/>
                      <w:sz w:val="21"/>
                      <w:szCs w:val="21"/>
                      <w:lang w:val="en-US" w:eastAsia="zh-CN"/>
                    </w:rPr>
                  </w:pPr>
                  <w:r>
                    <w:rPr>
                      <w:rFonts w:hint="eastAsia"/>
                      <w:color w:val="auto"/>
                      <w:sz w:val="21"/>
                      <w:szCs w:val="21"/>
                      <w:lang w:val="en-US" w:eastAsia="zh-CN"/>
                    </w:rPr>
                    <w:t>非甲烷总烃</w:t>
                  </w:r>
                </w:p>
              </w:tc>
              <w:tc>
                <w:tcPr>
                  <w:tcW w:w="907" w:type="dxa"/>
                  <w:noWrap w:val="0"/>
                  <w:vAlign w:val="center"/>
                </w:tcPr>
                <w:p w14:paraId="3DF132FF">
                  <w:pPr>
                    <w:jc w:val="center"/>
                    <w:rPr>
                      <w:rFonts w:hint="eastAsia"/>
                      <w:color w:val="auto"/>
                      <w:sz w:val="21"/>
                      <w:szCs w:val="21"/>
                      <w:lang w:val="en-US" w:eastAsia="zh-CN"/>
                    </w:rPr>
                  </w:pPr>
                  <w:r>
                    <w:rPr>
                      <w:rFonts w:hint="eastAsia"/>
                      <w:color w:val="auto"/>
                      <w:sz w:val="21"/>
                      <w:szCs w:val="21"/>
                      <w:lang w:val="en-US" w:eastAsia="zh-CN"/>
                    </w:rPr>
                    <w:t>无组织</w:t>
                  </w:r>
                </w:p>
              </w:tc>
              <w:tc>
                <w:tcPr>
                  <w:tcW w:w="1230" w:type="dxa"/>
                  <w:noWrap w:val="0"/>
                  <w:vAlign w:val="center"/>
                </w:tcPr>
                <w:p w14:paraId="67A60E8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厂房通风</w:t>
                  </w:r>
                </w:p>
              </w:tc>
              <w:tc>
                <w:tcPr>
                  <w:tcW w:w="855" w:type="dxa"/>
                  <w:shd w:val="clear" w:color="auto" w:fill="auto"/>
                  <w:noWrap w:val="0"/>
                  <w:vAlign w:val="center"/>
                </w:tcPr>
                <w:p w14:paraId="35030AAA">
                  <w:pPr>
                    <w:jc w:val="center"/>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noWrap w:val="0"/>
                  <w:vAlign w:val="center"/>
                </w:tcPr>
                <w:p w14:paraId="4066A5EF">
                  <w:pPr>
                    <w:jc w:val="center"/>
                    <w:rPr>
                      <w:rFonts w:hint="eastAsia"/>
                      <w:color w:val="auto"/>
                      <w:sz w:val="21"/>
                      <w:szCs w:val="21"/>
                      <w:lang w:val="en-US" w:eastAsia="zh-CN"/>
                    </w:rPr>
                  </w:pPr>
                  <w:r>
                    <w:rPr>
                      <w:rFonts w:hint="eastAsia"/>
                      <w:color w:val="auto"/>
                      <w:sz w:val="21"/>
                      <w:szCs w:val="21"/>
                      <w:lang w:val="en-US" w:eastAsia="zh-CN"/>
                    </w:rPr>
                    <w:t>/</w:t>
                  </w:r>
                </w:p>
              </w:tc>
              <w:tc>
                <w:tcPr>
                  <w:tcW w:w="722" w:type="dxa"/>
                  <w:noWrap w:val="0"/>
                  <w:vAlign w:val="center"/>
                </w:tcPr>
                <w:p w14:paraId="05271896">
                  <w:pPr>
                    <w:jc w:val="center"/>
                    <w:rPr>
                      <w:rFonts w:hint="eastAsia"/>
                      <w:color w:val="auto"/>
                      <w:sz w:val="21"/>
                      <w:szCs w:val="21"/>
                      <w:lang w:val="en-US" w:eastAsia="zh-CN"/>
                    </w:rPr>
                  </w:pPr>
                  <w:r>
                    <w:rPr>
                      <w:rFonts w:hint="eastAsia"/>
                      <w:color w:val="auto"/>
                      <w:sz w:val="21"/>
                      <w:szCs w:val="21"/>
                      <w:lang w:val="en-US" w:eastAsia="zh-CN"/>
                    </w:rPr>
                    <w:t>/</w:t>
                  </w:r>
                </w:p>
              </w:tc>
              <w:tc>
                <w:tcPr>
                  <w:tcW w:w="933" w:type="dxa"/>
                  <w:noWrap w:val="0"/>
                  <w:vAlign w:val="center"/>
                </w:tcPr>
                <w:p w14:paraId="19AA20ED">
                  <w:pPr>
                    <w:jc w:val="center"/>
                    <w:rPr>
                      <w:rFonts w:hint="eastAsia"/>
                      <w:color w:val="auto"/>
                      <w:sz w:val="21"/>
                      <w:szCs w:val="21"/>
                      <w:lang w:val="en-US" w:eastAsia="zh-CN"/>
                    </w:rPr>
                  </w:pPr>
                  <w:r>
                    <w:rPr>
                      <w:rFonts w:hint="eastAsia"/>
                      <w:color w:val="auto"/>
                      <w:sz w:val="21"/>
                      <w:szCs w:val="21"/>
                      <w:lang w:val="en-US" w:eastAsia="zh-CN"/>
                    </w:rPr>
                    <w:t>/</w:t>
                  </w:r>
                </w:p>
              </w:tc>
              <w:tc>
                <w:tcPr>
                  <w:tcW w:w="815" w:type="dxa"/>
                  <w:noWrap w:val="0"/>
                  <w:vAlign w:val="center"/>
                </w:tcPr>
                <w:p w14:paraId="5AFF10EC">
                  <w:pPr>
                    <w:jc w:val="center"/>
                    <w:rPr>
                      <w:rFonts w:hint="eastAsia"/>
                      <w:color w:val="auto"/>
                      <w:sz w:val="21"/>
                      <w:szCs w:val="21"/>
                      <w:lang w:val="en-US" w:eastAsia="zh-CN"/>
                    </w:rPr>
                  </w:pPr>
                  <w:r>
                    <w:rPr>
                      <w:rFonts w:hint="eastAsia"/>
                      <w:color w:val="auto"/>
                      <w:sz w:val="21"/>
                      <w:szCs w:val="21"/>
                      <w:lang w:val="en-US" w:eastAsia="zh-CN"/>
                    </w:rPr>
                    <w:t>/</w:t>
                  </w:r>
                </w:p>
              </w:tc>
            </w:tr>
            <w:tr w14:paraId="6A5D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7" w:type="dxa"/>
                  <w:noWrap w:val="0"/>
                  <w:vAlign w:val="center"/>
                </w:tcPr>
                <w:p w14:paraId="2216294A">
                  <w:pPr>
                    <w:jc w:val="center"/>
                    <w:rPr>
                      <w:rFonts w:hint="default"/>
                      <w:sz w:val="21"/>
                      <w:szCs w:val="21"/>
                      <w:lang w:val="en-US" w:eastAsia="zh-CN"/>
                    </w:rPr>
                  </w:pPr>
                  <w:r>
                    <w:rPr>
                      <w:rFonts w:hint="eastAsia"/>
                      <w:sz w:val="21"/>
                      <w:szCs w:val="21"/>
                      <w:lang w:val="en-US" w:eastAsia="zh-CN"/>
                    </w:rPr>
                    <w:t>密封</w:t>
                  </w:r>
                </w:p>
              </w:tc>
              <w:tc>
                <w:tcPr>
                  <w:tcW w:w="871" w:type="dxa"/>
                  <w:noWrap w:val="0"/>
                  <w:vAlign w:val="center"/>
                </w:tcPr>
                <w:p w14:paraId="6FDDF172">
                  <w:pPr>
                    <w:jc w:val="center"/>
                    <w:rPr>
                      <w:rFonts w:hint="eastAsia"/>
                      <w:color w:val="auto"/>
                      <w:sz w:val="21"/>
                      <w:szCs w:val="21"/>
                      <w:lang w:val="en-US" w:eastAsia="zh-CN"/>
                    </w:rPr>
                  </w:pPr>
                  <w:r>
                    <w:rPr>
                      <w:rFonts w:hint="eastAsia"/>
                      <w:color w:val="auto"/>
                      <w:sz w:val="21"/>
                      <w:szCs w:val="21"/>
                      <w:lang w:val="en-US" w:eastAsia="zh-CN"/>
                    </w:rPr>
                    <w:t>非甲烷总烃</w:t>
                  </w:r>
                </w:p>
              </w:tc>
              <w:tc>
                <w:tcPr>
                  <w:tcW w:w="907" w:type="dxa"/>
                  <w:noWrap w:val="0"/>
                  <w:vAlign w:val="center"/>
                </w:tcPr>
                <w:p w14:paraId="35B1B7A9">
                  <w:pPr>
                    <w:jc w:val="center"/>
                    <w:rPr>
                      <w:rFonts w:hint="eastAsia"/>
                      <w:color w:val="auto"/>
                      <w:sz w:val="21"/>
                      <w:szCs w:val="21"/>
                      <w:lang w:val="en-US" w:eastAsia="zh-CN"/>
                    </w:rPr>
                  </w:pPr>
                  <w:r>
                    <w:rPr>
                      <w:rFonts w:hint="eastAsia"/>
                      <w:color w:val="auto"/>
                      <w:sz w:val="21"/>
                      <w:szCs w:val="21"/>
                      <w:lang w:val="en-US" w:eastAsia="zh-CN"/>
                    </w:rPr>
                    <w:t>无组织</w:t>
                  </w:r>
                </w:p>
              </w:tc>
              <w:tc>
                <w:tcPr>
                  <w:tcW w:w="1230" w:type="dxa"/>
                  <w:noWrap w:val="0"/>
                  <w:vAlign w:val="center"/>
                </w:tcPr>
                <w:p w14:paraId="4E11673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厂房通风</w:t>
                  </w:r>
                </w:p>
              </w:tc>
              <w:tc>
                <w:tcPr>
                  <w:tcW w:w="855" w:type="dxa"/>
                  <w:shd w:val="clear" w:color="auto" w:fill="auto"/>
                  <w:noWrap w:val="0"/>
                  <w:vAlign w:val="center"/>
                </w:tcPr>
                <w:p w14:paraId="64D0F124">
                  <w:pPr>
                    <w:jc w:val="center"/>
                    <w:rPr>
                      <w:rFonts w:hint="eastAsia"/>
                      <w:color w:val="auto"/>
                      <w:sz w:val="21"/>
                      <w:szCs w:val="21"/>
                      <w:lang w:val="en-US" w:eastAsia="zh-CN"/>
                    </w:rPr>
                  </w:pPr>
                  <w:r>
                    <w:rPr>
                      <w:rFonts w:hint="eastAsia"/>
                      <w:color w:val="auto"/>
                      <w:sz w:val="21"/>
                      <w:szCs w:val="21"/>
                      <w:lang w:val="en-US" w:eastAsia="zh-CN"/>
                    </w:rPr>
                    <w:t>/</w:t>
                  </w:r>
                </w:p>
              </w:tc>
              <w:tc>
                <w:tcPr>
                  <w:tcW w:w="885" w:type="dxa"/>
                  <w:shd w:val="clear" w:color="auto" w:fill="auto"/>
                  <w:noWrap w:val="0"/>
                  <w:vAlign w:val="center"/>
                </w:tcPr>
                <w:p w14:paraId="3B3ED714">
                  <w:pPr>
                    <w:jc w:val="center"/>
                    <w:rPr>
                      <w:rFonts w:hint="eastAsia"/>
                      <w:color w:val="auto"/>
                      <w:sz w:val="21"/>
                      <w:szCs w:val="21"/>
                      <w:lang w:val="en-US" w:eastAsia="zh-CN"/>
                    </w:rPr>
                  </w:pPr>
                  <w:r>
                    <w:rPr>
                      <w:rFonts w:hint="eastAsia"/>
                      <w:color w:val="auto"/>
                      <w:sz w:val="21"/>
                      <w:szCs w:val="21"/>
                      <w:lang w:val="en-US" w:eastAsia="zh-CN"/>
                    </w:rPr>
                    <w:t>/</w:t>
                  </w:r>
                </w:p>
              </w:tc>
              <w:tc>
                <w:tcPr>
                  <w:tcW w:w="722" w:type="dxa"/>
                  <w:noWrap w:val="0"/>
                  <w:vAlign w:val="center"/>
                </w:tcPr>
                <w:p w14:paraId="554ED9E4">
                  <w:pPr>
                    <w:jc w:val="center"/>
                    <w:rPr>
                      <w:rFonts w:hint="eastAsia"/>
                      <w:color w:val="auto"/>
                      <w:sz w:val="21"/>
                      <w:szCs w:val="21"/>
                      <w:lang w:val="en-US" w:eastAsia="zh-CN"/>
                    </w:rPr>
                  </w:pPr>
                  <w:r>
                    <w:rPr>
                      <w:rFonts w:hint="eastAsia"/>
                      <w:color w:val="auto"/>
                      <w:sz w:val="21"/>
                      <w:szCs w:val="21"/>
                      <w:lang w:val="en-US" w:eastAsia="zh-CN"/>
                    </w:rPr>
                    <w:t>/</w:t>
                  </w:r>
                </w:p>
              </w:tc>
              <w:tc>
                <w:tcPr>
                  <w:tcW w:w="933" w:type="dxa"/>
                  <w:noWrap w:val="0"/>
                  <w:vAlign w:val="center"/>
                </w:tcPr>
                <w:p w14:paraId="71F123AB">
                  <w:pPr>
                    <w:jc w:val="center"/>
                    <w:rPr>
                      <w:rFonts w:hint="eastAsia"/>
                      <w:color w:val="auto"/>
                      <w:sz w:val="21"/>
                      <w:szCs w:val="21"/>
                      <w:lang w:val="en-US" w:eastAsia="zh-CN"/>
                    </w:rPr>
                  </w:pPr>
                  <w:r>
                    <w:rPr>
                      <w:rFonts w:hint="eastAsia"/>
                      <w:color w:val="auto"/>
                      <w:sz w:val="21"/>
                      <w:szCs w:val="21"/>
                      <w:lang w:val="en-US" w:eastAsia="zh-CN"/>
                    </w:rPr>
                    <w:t>/</w:t>
                  </w:r>
                </w:p>
              </w:tc>
              <w:tc>
                <w:tcPr>
                  <w:tcW w:w="815" w:type="dxa"/>
                  <w:noWrap w:val="0"/>
                  <w:vAlign w:val="center"/>
                </w:tcPr>
                <w:p w14:paraId="61A3B6F4">
                  <w:pPr>
                    <w:jc w:val="center"/>
                    <w:rPr>
                      <w:rFonts w:hint="eastAsia"/>
                      <w:color w:val="auto"/>
                      <w:sz w:val="21"/>
                      <w:szCs w:val="21"/>
                      <w:lang w:val="en-US" w:eastAsia="zh-CN"/>
                    </w:rPr>
                  </w:pPr>
                  <w:r>
                    <w:rPr>
                      <w:rFonts w:hint="eastAsia"/>
                      <w:color w:val="auto"/>
                      <w:sz w:val="21"/>
                      <w:szCs w:val="21"/>
                      <w:lang w:val="en-US" w:eastAsia="zh-CN"/>
                    </w:rPr>
                    <w:t>/</w:t>
                  </w:r>
                </w:p>
              </w:tc>
            </w:tr>
          </w:tbl>
          <w:p w14:paraId="701170DA">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b/>
                <w:bCs/>
                <w:color w:val="auto"/>
                <w:sz w:val="24"/>
              </w:rPr>
            </w:pPr>
            <w:r>
              <w:rPr>
                <w:b/>
                <w:bCs/>
                <w:color w:val="auto"/>
                <w:sz w:val="24"/>
              </w:rPr>
              <w:t>表4-</w:t>
            </w:r>
            <w:r>
              <w:rPr>
                <w:rFonts w:hint="eastAsia"/>
                <w:b/>
                <w:bCs/>
                <w:color w:val="auto"/>
                <w:sz w:val="24"/>
                <w:lang w:val="en-US" w:eastAsia="zh-CN"/>
              </w:rPr>
              <w:t>3</w:t>
            </w:r>
            <w:r>
              <w:rPr>
                <w:b/>
                <w:bCs/>
                <w:color w:val="auto"/>
                <w:sz w:val="24"/>
              </w:rPr>
              <w:t xml:space="preserve"> </w:t>
            </w:r>
            <w:r>
              <w:rPr>
                <w:rFonts w:hint="eastAsia"/>
                <w:b/>
                <w:bCs/>
                <w:color w:val="auto"/>
                <w:sz w:val="24"/>
                <w:lang w:val="en-US" w:eastAsia="zh-CN"/>
              </w:rPr>
              <w:t xml:space="preserve"> </w:t>
            </w:r>
            <w:r>
              <w:rPr>
                <w:b/>
                <w:bCs/>
                <w:color w:val="auto"/>
                <w:sz w:val="24"/>
              </w:rPr>
              <w:t>排放口基本情况一览表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847"/>
              <w:gridCol w:w="960"/>
              <w:gridCol w:w="1155"/>
              <w:gridCol w:w="1755"/>
              <w:gridCol w:w="1465"/>
            </w:tblGrid>
            <w:tr w14:paraId="7DAD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restart"/>
                  <w:noWrap w:val="0"/>
                  <w:vAlign w:val="center"/>
                </w:tcPr>
                <w:p w14:paraId="799D5FD1">
                  <w:pPr>
                    <w:jc w:val="center"/>
                    <w:rPr>
                      <w:b/>
                      <w:bCs/>
                      <w:color w:val="auto"/>
                      <w:sz w:val="21"/>
                      <w:szCs w:val="21"/>
                    </w:rPr>
                  </w:pPr>
                  <w:r>
                    <w:rPr>
                      <w:b/>
                      <w:bCs/>
                      <w:color w:val="auto"/>
                      <w:sz w:val="21"/>
                      <w:szCs w:val="21"/>
                    </w:rPr>
                    <w:t>排放口编号</w:t>
                  </w:r>
                </w:p>
              </w:tc>
              <w:tc>
                <w:tcPr>
                  <w:tcW w:w="1847" w:type="dxa"/>
                  <w:vMerge w:val="restart"/>
                  <w:noWrap w:val="0"/>
                  <w:vAlign w:val="center"/>
                </w:tcPr>
                <w:p w14:paraId="0AB3696F">
                  <w:pPr>
                    <w:jc w:val="center"/>
                    <w:rPr>
                      <w:b/>
                      <w:bCs/>
                      <w:color w:val="auto"/>
                      <w:sz w:val="21"/>
                      <w:szCs w:val="21"/>
                    </w:rPr>
                  </w:pPr>
                  <w:r>
                    <w:rPr>
                      <w:b/>
                      <w:bCs/>
                      <w:color w:val="auto"/>
                      <w:sz w:val="21"/>
                      <w:szCs w:val="21"/>
                    </w:rPr>
                    <w:t>污染物种类</w:t>
                  </w:r>
                </w:p>
              </w:tc>
              <w:tc>
                <w:tcPr>
                  <w:tcW w:w="960" w:type="dxa"/>
                  <w:vMerge w:val="restart"/>
                  <w:noWrap w:val="0"/>
                  <w:vAlign w:val="center"/>
                </w:tcPr>
                <w:p w14:paraId="50B06A9B">
                  <w:pPr>
                    <w:jc w:val="center"/>
                    <w:rPr>
                      <w:b/>
                      <w:bCs/>
                      <w:color w:val="auto"/>
                      <w:sz w:val="21"/>
                      <w:szCs w:val="21"/>
                    </w:rPr>
                  </w:pPr>
                  <w:r>
                    <w:rPr>
                      <w:b/>
                      <w:bCs/>
                      <w:color w:val="auto"/>
                      <w:sz w:val="21"/>
                      <w:szCs w:val="21"/>
                    </w:rPr>
                    <w:t>排气筒高度m</w:t>
                  </w:r>
                </w:p>
              </w:tc>
              <w:tc>
                <w:tcPr>
                  <w:tcW w:w="1155" w:type="dxa"/>
                  <w:vMerge w:val="restart"/>
                  <w:noWrap w:val="0"/>
                  <w:vAlign w:val="center"/>
                </w:tcPr>
                <w:p w14:paraId="153C01ED">
                  <w:pPr>
                    <w:jc w:val="center"/>
                    <w:rPr>
                      <w:b/>
                      <w:bCs/>
                      <w:color w:val="auto"/>
                      <w:sz w:val="21"/>
                      <w:szCs w:val="21"/>
                    </w:rPr>
                  </w:pPr>
                  <w:r>
                    <w:rPr>
                      <w:b/>
                      <w:bCs/>
                      <w:color w:val="auto"/>
                      <w:sz w:val="21"/>
                      <w:szCs w:val="21"/>
                    </w:rPr>
                    <w:t>内径m</w:t>
                  </w:r>
                </w:p>
              </w:tc>
              <w:tc>
                <w:tcPr>
                  <w:tcW w:w="3220" w:type="dxa"/>
                  <w:gridSpan w:val="2"/>
                  <w:noWrap w:val="0"/>
                  <w:vAlign w:val="center"/>
                </w:tcPr>
                <w:p w14:paraId="47ED54B0">
                  <w:pPr>
                    <w:jc w:val="center"/>
                    <w:rPr>
                      <w:b/>
                      <w:bCs/>
                      <w:color w:val="auto"/>
                      <w:sz w:val="21"/>
                      <w:szCs w:val="21"/>
                    </w:rPr>
                  </w:pPr>
                  <w:r>
                    <w:rPr>
                      <w:b/>
                      <w:bCs/>
                      <w:color w:val="auto"/>
                      <w:sz w:val="21"/>
                      <w:szCs w:val="21"/>
                    </w:rPr>
                    <w:t>坐标</w:t>
                  </w:r>
                </w:p>
              </w:tc>
            </w:tr>
            <w:tr w14:paraId="219F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vMerge w:val="continue"/>
                  <w:noWrap w:val="0"/>
                  <w:vAlign w:val="center"/>
                </w:tcPr>
                <w:p w14:paraId="0BF0A450">
                  <w:pPr>
                    <w:jc w:val="center"/>
                    <w:rPr>
                      <w:color w:val="auto"/>
                      <w:sz w:val="21"/>
                      <w:szCs w:val="21"/>
                    </w:rPr>
                  </w:pPr>
                </w:p>
              </w:tc>
              <w:tc>
                <w:tcPr>
                  <w:tcW w:w="1847" w:type="dxa"/>
                  <w:vMerge w:val="continue"/>
                  <w:noWrap w:val="0"/>
                  <w:vAlign w:val="center"/>
                </w:tcPr>
                <w:p w14:paraId="623A973E">
                  <w:pPr>
                    <w:jc w:val="center"/>
                    <w:rPr>
                      <w:color w:val="auto"/>
                      <w:sz w:val="21"/>
                      <w:szCs w:val="21"/>
                    </w:rPr>
                  </w:pPr>
                </w:p>
              </w:tc>
              <w:tc>
                <w:tcPr>
                  <w:tcW w:w="960" w:type="dxa"/>
                  <w:vMerge w:val="continue"/>
                  <w:noWrap w:val="0"/>
                  <w:vAlign w:val="center"/>
                </w:tcPr>
                <w:p w14:paraId="71443E19">
                  <w:pPr>
                    <w:jc w:val="center"/>
                    <w:rPr>
                      <w:color w:val="auto"/>
                      <w:sz w:val="21"/>
                      <w:szCs w:val="21"/>
                    </w:rPr>
                  </w:pPr>
                </w:p>
              </w:tc>
              <w:tc>
                <w:tcPr>
                  <w:tcW w:w="1155" w:type="dxa"/>
                  <w:vMerge w:val="continue"/>
                  <w:noWrap w:val="0"/>
                  <w:vAlign w:val="center"/>
                </w:tcPr>
                <w:p w14:paraId="6D3A19E9">
                  <w:pPr>
                    <w:jc w:val="center"/>
                    <w:rPr>
                      <w:color w:val="auto"/>
                      <w:sz w:val="21"/>
                      <w:szCs w:val="21"/>
                    </w:rPr>
                  </w:pPr>
                </w:p>
              </w:tc>
              <w:tc>
                <w:tcPr>
                  <w:tcW w:w="1755" w:type="dxa"/>
                  <w:noWrap w:val="0"/>
                  <w:vAlign w:val="center"/>
                </w:tcPr>
                <w:p w14:paraId="6D1A3A36">
                  <w:pPr>
                    <w:jc w:val="center"/>
                    <w:rPr>
                      <w:b/>
                      <w:bCs/>
                      <w:color w:val="auto"/>
                      <w:sz w:val="21"/>
                      <w:szCs w:val="21"/>
                    </w:rPr>
                  </w:pPr>
                  <w:r>
                    <w:rPr>
                      <w:b/>
                      <w:bCs/>
                      <w:color w:val="auto"/>
                      <w:sz w:val="21"/>
                      <w:szCs w:val="21"/>
                    </w:rPr>
                    <w:t>经度</w:t>
                  </w:r>
                </w:p>
              </w:tc>
              <w:tc>
                <w:tcPr>
                  <w:tcW w:w="1465" w:type="dxa"/>
                  <w:noWrap w:val="0"/>
                  <w:vAlign w:val="center"/>
                </w:tcPr>
                <w:p w14:paraId="1442F3EE">
                  <w:pPr>
                    <w:jc w:val="center"/>
                    <w:rPr>
                      <w:b/>
                      <w:bCs/>
                      <w:color w:val="auto"/>
                      <w:sz w:val="21"/>
                      <w:szCs w:val="21"/>
                    </w:rPr>
                  </w:pPr>
                  <w:r>
                    <w:rPr>
                      <w:b/>
                      <w:bCs/>
                      <w:color w:val="auto"/>
                      <w:sz w:val="21"/>
                      <w:szCs w:val="21"/>
                    </w:rPr>
                    <w:t>纬度</w:t>
                  </w:r>
                </w:p>
              </w:tc>
            </w:tr>
            <w:tr w14:paraId="2F0E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noWrap w:val="0"/>
                  <w:vAlign w:val="center"/>
                </w:tcPr>
                <w:p w14:paraId="3E896ECA">
                  <w:pPr>
                    <w:jc w:val="center"/>
                    <w:rPr>
                      <w:color w:val="auto"/>
                      <w:sz w:val="21"/>
                      <w:szCs w:val="21"/>
                    </w:rPr>
                  </w:pPr>
                  <w:r>
                    <w:rPr>
                      <w:color w:val="auto"/>
                      <w:sz w:val="21"/>
                      <w:szCs w:val="21"/>
                    </w:rPr>
                    <w:t>DA001</w:t>
                  </w:r>
                </w:p>
              </w:tc>
              <w:tc>
                <w:tcPr>
                  <w:tcW w:w="1847" w:type="dxa"/>
                  <w:noWrap w:val="0"/>
                  <w:vAlign w:val="center"/>
                </w:tcPr>
                <w:p w14:paraId="3BC0D757">
                  <w:pPr>
                    <w:jc w:val="center"/>
                    <w:rPr>
                      <w:color w:val="auto"/>
                      <w:sz w:val="21"/>
                      <w:szCs w:val="21"/>
                    </w:rPr>
                  </w:pPr>
                  <w:r>
                    <w:rPr>
                      <w:rFonts w:hint="eastAsia"/>
                      <w:color w:val="auto"/>
                      <w:sz w:val="21"/>
                      <w:szCs w:val="21"/>
                      <w:lang w:val="en-US" w:eastAsia="zh-CN"/>
                    </w:rPr>
                    <w:t>颗粒物</w:t>
                  </w:r>
                </w:p>
              </w:tc>
              <w:tc>
                <w:tcPr>
                  <w:tcW w:w="960" w:type="dxa"/>
                  <w:noWrap w:val="0"/>
                  <w:vAlign w:val="center"/>
                </w:tcPr>
                <w:p w14:paraId="4FC4D966">
                  <w:pPr>
                    <w:jc w:val="center"/>
                    <w:rPr>
                      <w:color w:val="auto"/>
                      <w:sz w:val="21"/>
                      <w:szCs w:val="21"/>
                    </w:rPr>
                  </w:pPr>
                  <w:r>
                    <w:rPr>
                      <w:color w:val="auto"/>
                      <w:sz w:val="21"/>
                      <w:szCs w:val="21"/>
                    </w:rPr>
                    <w:t>15</w:t>
                  </w:r>
                </w:p>
              </w:tc>
              <w:tc>
                <w:tcPr>
                  <w:tcW w:w="1155" w:type="dxa"/>
                  <w:noWrap w:val="0"/>
                  <w:vAlign w:val="center"/>
                </w:tcPr>
                <w:p w14:paraId="1886FDD5">
                  <w:pPr>
                    <w:jc w:val="center"/>
                    <w:rPr>
                      <w:color w:val="auto"/>
                      <w:sz w:val="21"/>
                      <w:szCs w:val="21"/>
                    </w:rPr>
                  </w:pPr>
                  <w:r>
                    <w:rPr>
                      <w:color w:val="auto"/>
                      <w:sz w:val="21"/>
                      <w:szCs w:val="21"/>
                    </w:rPr>
                    <w:t>0.</w:t>
                  </w:r>
                  <w:r>
                    <w:rPr>
                      <w:rFonts w:hint="eastAsia"/>
                      <w:color w:val="auto"/>
                      <w:sz w:val="21"/>
                      <w:szCs w:val="21"/>
                      <w:lang w:val="en-US" w:eastAsia="zh-CN"/>
                    </w:rPr>
                    <w:t>4</w:t>
                  </w:r>
                </w:p>
              </w:tc>
              <w:tc>
                <w:tcPr>
                  <w:tcW w:w="1755" w:type="dxa"/>
                  <w:noWrap w:val="0"/>
                  <w:vAlign w:val="center"/>
                </w:tcPr>
                <w:p w14:paraId="4C38EFE1">
                  <w:pPr>
                    <w:jc w:val="center"/>
                    <w:rPr>
                      <w:rFonts w:hint="default" w:eastAsia="宋体"/>
                      <w:color w:val="auto"/>
                      <w:sz w:val="21"/>
                      <w:szCs w:val="21"/>
                      <w:lang w:val="en-US" w:eastAsia="zh-CN"/>
                    </w:rPr>
                  </w:pPr>
                  <w:r>
                    <w:rPr>
                      <w:rFonts w:hint="default" w:eastAsia="宋体"/>
                      <w:color w:val="auto"/>
                      <w:sz w:val="21"/>
                      <w:szCs w:val="21"/>
                      <w:lang w:val="en-US" w:eastAsia="zh-CN"/>
                    </w:rPr>
                    <w:t>117.929374</w:t>
                  </w:r>
                </w:p>
              </w:tc>
              <w:tc>
                <w:tcPr>
                  <w:tcW w:w="1465" w:type="dxa"/>
                  <w:noWrap w:val="0"/>
                  <w:vAlign w:val="center"/>
                </w:tcPr>
                <w:p w14:paraId="621232A1">
                  <w:pPr>
                    <w:jc w:val="center"/>
                    <w:rPr>
                      <w:color w:val="auto"/>
                      <w:sz w:val="21"/>
                      <w:szCs w:val="21"/>
                    </w:rPr>
                  </w:pPr>
                  <w:r>
                    <w:rPr>
                      <w:rFonts w:hint="eastAsia"/>
                      <w:color w:val="auto"/>
                      <w:sz w:val="21"/>
                      <w:szCs w:val="21"/>
                    </w:rPr>
                    <w:t>33.470847</w:t>
                  </w:r>
                </w:p>
              </w:tc>
            </w:tr>
            <w:tr w14:paraId="693A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noWrap w:val="0"/>
                  <w:vAlign w:val="center"/>
                </w:tcPr>
                <w:p w14:paraId="7864D288">
                  <w:pPr>
                    <w:jc w:val="center"/>
                    <w:rPr>
                      <w:rFonts w:hint="default" w:eastAsia="宋体"/>
                      <w:color w:val="auto"/>
                      <w:sz w:val="21"/>
                      <w:szCs w:val="21"/>
                      <w:lang w:val="en-US" w:eastAsia="zh-CN"/>
                    </w:rPr>
                  </w:pPr>
                  <w:r>
                    <w:rPr>
                      <w:rFonts w:hint="eastAsia"/>
                      <w:color w:val="auto"/>
                      <w:sz w:val="21"/>
                      <w:szCs w:val="21"/>
                      <w:lang w:val="en-US" w:eastAsia="zh-CN"/>
                    </w:rPr>
                    <w:t>DA002</w:t>
                  </w:r>
                </w:p>
              </w:tc>
              <w:tc>
                <w:tcPr>
                  <w:tcW w:w="1847" w:type="dxa"/>
                  <w:noWrap w:val="0"/>
                  <w:vAlign w:val="center"/>
                </w:tcPr>
                <w:p w14:paraId="3D69AD3F">
                  <w:pPr>
                    <w:jc w:val="center"/>
                    <w:rPr>
                      <w:rFonts w:hint="default"/>
                      <w:color w:val="auto"/>
                      <w:sz w:val="21"/>
                      <w:szCs w:val="21"/>
                      <w:lang w:val="en-US" w:eastAsia="zh-CN"/>
                    </w:rPr>
                  </w:pPr>
                  <w:r>
                    <w:rPr>
                      <w:rFonts w:hint="eastAsia"/>
                      <w:color w:val="auto"/>
                      <w:sz w:val="21"/>
                      <w:szCs w:val="21"/>
                      <w:lang w:val="en-US" w:eastAsia="zh-CN"/>
                    </w:rPr>
                    <w:t>颗粒物</w:t>
                  </w:r>
                </w:p>
              </w:tc>
              <w:tc>
                <w:tcPr>
                  <w:tcW w:w="960" w:type="dxa"/>
                  <w:noWrap w:val="0"/>
                  <w:vAlign w:val="center"/>
                </w:tcPr>
                <w:p w14:paraId="251C2665">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1155" w:type="dxa"/>
                  <w:noWrap w:val="0"/>
                  <w:vAlign w:val="center"/>
                </w:tcPr>
                <w:p w14:paraId="4DFAB719">
                  <w:pPr>
                    <w:jc w:val="center"/>
                    <w:rPr>
                      <w:rFonts w:hint="default"/>
                      <w:color w:val="auto"/>
                      <w:sz w:val="21"/>
                      <w:szCs w:val="21"/>
                      <w:lang w:val="en-US" w:eastAsia="zh-CN"/>
                    </w:rPr>
                  </w:pPr>
                  <w:r>
                    <w:rPr>
                      <w:rFonts w:hint="eastAsia"/>
                      <w:color w:val="auto"/>
                      <w:sz w:val="21"/>
                      <w:szCs w:val="21"/>
                      <w:lang w:val="en-US" w:eastAsia="zh-CN"/>
                    </w:rPr>
                    <w:t>0.5</w:t>
                  </w:r>
                </w:p>
              </w:tc>
              <w:tc>
                <w:tcPr>
                  <w:tcW w:w="1755" w:type="dxa"/>
                  <w:shd w:val="clear" w:color="auto" w:fill="auto"/>
                  <w:noWrap w:val="0"/>
                  <w:vAlign w:val="center"/>
                </w:tcPr>
                <w:p w14:paraId="38A22CC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117.929675</w:t>
                  </w:r>
                </w:p>
              </w:tc>
              <w:tc>
                <w:tcPr>
                  <w:tcW w:w="1465" w:type="dxa"/>
                  <w:shd w:val="clear" w:color="auto" w:fill="auto"/>
                  <w:noWrap w:val="0"/>
                  <w:vAlign w:val="center"/>
                </w:tcPr>
                <w:p w14:paraId="5A6B58E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33.470753</w:t>
                  </w:r>
                </w:p>
              </w:tc>
            </w:tr>
            <w:tr w14:paraId="2027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noWrap w:val="0"/>
                  <w:vAlign w:val="center"/>
                </w:tcPr>
                <w:p w14:paraId="48830D68">
                  <w:pPr>
                    <w:jc w:val="center"/>
                    <w:rPr>
                      <w:rFonts w:hint="default"/>
                      <w:color w:val="auto"/>
                      <w:sz w:val="21"/>
                      <w:szCs w:val="21"/>
                      <w:lang w:val="en-US" w:eastAsia="zh-CN"/>
                    </w:rPr>
                  </w:pPr>
                  <w:r>
                    <w:rPr>
                      <w:rFonts w:hint="eastAsia"/>
                      <w:color w:val="auto"/>
                      <w:sz w:val="21"/>
                      <w:szCs w:val="21"/>
                      <w:lang w:val="en-US" w:eastAsia="zh-CN"/>
                    </w:rPr>
                    <w:t>DA003</w:t>
                  </w:r>
                </w:p>
              </w:tc>
              <w:tc>
                <w:tcPr>
                  <w:tcW w:w="1847" w:type="dxa"/>
                  <w:noWrap w:val="0"/>
                  <w:vAlign w:val="center"/>
                </w:tcPr>
                <w:p w14:paraId="117A80C6">
                  <w:pPr>
                    <w:jc w:val="center"/>
                    <w:rPr>
                      <w:rFonts w:hint="default"/>
                      <w:color w:val="auto"/>
                      <w:sz w:val="21"/>
                      <w:szCs w:val="21"/>
                      <w:lang w:val="en-US" w:eastAsia="zh-CN"/>
                    </w:rPr>
                  </w:pPr>
                  <w:r>
                    <w:rPr>
                      <w:rFonts w:hint="eastAsia"/>
                      <w:color w:val="auto"/>
                      <w:sz w:val="21"/>
                      <w:szCs w:val="21"/>
                      <w:lang w:val="en-US" w:eastAsia="zh-CN"/>
                    </w:rPr>
                    <w:t>非甲烷总烃、颗粒物、二氧化硫、氮氧化物</w:t>
                  </w:r>
                </w:p>
              </w:tc>
              <w:tc>
                <w:tcPr>
                  <w:tcW w:w="960" w:type="dxa"/>
                  <w:noWrap w:val="0"/>
                  <w:vAlign w:val="center"/>
                </w:tcPr>
                <w:p w14:paraId="302FF12D">
                  <w:pPr>
                    <w:jc w:val="center"/>
                    <w:rPr>
                      <w:rFonts w:hint="eastAsia"/>
                      <w:color w:val="auto"/>
                      <w:sz w:val="21"/>
                      <w:szCs w:val="21"/>
                      <w:lang w:val="en-US" w:eastAsia="zh-CN"/>
                    </w:rPr>
                  </w:pPr>
                  <w:r>
                    <w:rPr>
                      <w:rFonts w:hint="eastAsia"/>
                      <w:color w:val="auto"/>
                      <w:sz w:val="21"/>
                      <w:szCs w:val="21"/>
                      <w:lang w:val="en-US" w:eastAsia="zh-CN"/>
                    </w:rPr>
                    <w:t>15</w:t>
                  </w:r>
                </w:p>
              </w:tc>
              <w:tc>
                <w:tcPr>
                  <w:tcW w:w="1155" w:type="dxa"/>
                  <w:noWrap w:val="0"/>
                  <w:vAlign w:val="center"/>
                </w:tcPr>
                <w:p w14:paraId="051C294E">
                  <w:pPr>
                    <w:jc w:val="center"/>
                    <w:rPr>
                      <w:rFonts w:hint="eastAsia"/>
                      <w:color w:val="auto"/>
                      <w:sz w:val="21"/>
                      <w:szCs w:val="21"/>
                      <w:lang w:val="en-US" w:eastAsia="zh-CN"/>
                    </w:rPr>
                  </w:pPr>
                  <w:r>
                    <w:rPr>
                      <w:rFonts w:hint="eastAsia"/>
                      <w:color w:val="auto"/>
                      <w:sz w:val="21"/>
                      <w:szCs w:val="21"/>
                      <w:lang w:val="en-US" w:eastAsia="zh-CN"/>
                    </w:rPr>
                    <w:t>0.5</w:t>
                  </w:r>
                </w:p>
              </w:tc>
              <w:tc>
                <w:tcPr>
                  <w:tcW w:w="1755" w:type="dxa"/>
                  <w:shd w:val="clear" w:color="auto" w:fill="auto"/>
                  <w:noWrap w:val="0"/>
                  <w:vAlign w:val="center"/>
                </w:tcPr>
                <w:p w14:paraId="4D4EDD6F">
                  <w:pPr>
                    <w:jc w:val="center"/>
                    <w:rPr>
                      <w:rFonts w:hint="eastAsia"/>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117.929664</w:t>
                  </w:r>
                </w:p>
              </w:tc>
              <w:tc>
                <w:tcPr>
                  <w:tcW w:w="1465" w:type="dxa"/>
                  <w:shd w:val="clear" w:color="auto" w:fill="auto"/>
                  <w:noWrap w:val="0"/>
                  <w:vAlign w:val="center"/>
                </w:tcPr>
                <w:p w14:paraId="1B4FD79B">
                  <w:pPr>
                    <w:jc w:val="center"/>
                    <w:rPr>
                      <w:rFonts w:hint="eastAsia"/>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33.470850</w:t>
                  </w:r>
                </w:p>
              </w:tc>
            </w:tr>
            <w:tr w14:paraId="40A2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 w:type="dxa"/>
                  <w:noWrap w:val="0"/>
                  <w:vAlign w:val="center"/>
                </w:tcPr>
                <w:p w14:paraId="4438F31F">
                  <w:pPr>
                    <w:jc w:val="center"/>
                    <w:rPr>
                      <w:rFonts w:hint="default"/>
                      <w:color w:val="auto"/>
                      <w:sz w:val="21"/>
                      <w:szCs w:val="21"/>
                      <w:lang w:val="en-US" w:eastAsia="zh-CN"/>
                    </w:rPr>
                  </w:pPr>
                  <w:r>
                    <w:rPr>
                      <w:rFonts w:hint="eastAsia"/>
                      <w:color w:val="auto"/>
                      <w:sz w:val="21"/>
                      <w:szCs w:val="21"/>
                      <w:lang w:val="en-US" w:eastAsia="zh-CN"/>
                    </w:rPr>
                    <w:t>DA004</w:t>
                  </w:r>
                </w:p>
              </w:tc>
              <w:tc>
                <w:tcPr>
                  <w:tcW w:w="1847" w:type="dxa"/>
                  <w:noWrap w:val="0"/>
                  <w:vAlign w:val="center"/>
                </w:tcPr>
                <w:p w14:paraId="4D0E3EF6">
                  <w:pPr>
                    <w:jc w:val="center"/>
                    <w:rPr>
                      <w:rFonts w:hint="default"/>
                      <w:color w:val="auto"/>
                      <w:sz w:val="21"/>
                      <w:szCs w:val="21"/>
                      <w:lang w:val="en-US" w:eastAsia="zh-CN"/>
                    </w:rPr>
                  </w:pPr>
                  <w:r>
                    <w:rPr>
                      <w:rFonts w:hint="eastAsia"/>
                      <w:color w:val="auto"/>
                      <w:sz w:val="21"/>
                      <w:szCs w:val="21"/>
                      <w:lang w:val="en-US" w:eastAsia="zh-CN"/>
                    </w:rPr>
                    <w:t>非甲烷总烃</w:t>
                  </w:r>
                </w:p>
              </w:tc>
              <w:tc>
                <w:tcPr>
                  <w:tcW w:w="960" w:type="dxa"/>
                  <w:noWrap w:val="0"/>
                  <w:vAlign w:val="center"/>
                </w:tcPr>
                <w:p w14:paraId="18A4DF8D">
                  <w:pPr>
                    <w:jc w:val="center"/>
                    <w:rPr>
                      <w:rFonts w:hint="eastAsia"/>
                      <w:color w:val="auto"/>
                      <w:sz w:val="21"/>
                      <w:szCs w:val="21"/>
                      <w:lang w:val="en-US" w:eastAsia="zh-CN"/>
                    </w:rPr>
                  </w:pPr>
                  <w:r>
                    <w:rPr>
                      <w:color w:val="auto"/>
                      <w:sz w:val="21"/>
                      <w:szCs w:val="21"/>
                    </w:rPr>
                    <w:t>15</w:t>
                  </w:r>
                </w:p>
              </w:tc>
              <w:tc>
                <w:tcPr>
                  <w:tcW w:w="1155" w:type="dxa"/>
                  <w:noWrap w:val="0"/>
                  <w:vAlign w:val="center"/>
                </w:tcPr>
                <w:p w14:paraId="0F1E0F0B">
                  <w:pPr>
                    <w:jc w:val="center"/>
                    <w:rPr>
                      <w:rFonts w:hint="eastAsia"/>
                      <w:color w:val="auto"/>
                      <w:sz w:val="21"/>
                      <w:szCs w:val="21"/>
                      <w:lang w:val="en-US" w:eastAsia="zh-CN"/>
                    </w:rPr>
                  </w:pPr>
                  <w:r>
                    <w:rPr>
                      <w:color w:val="auto"/>
                      <w:sz w:val="21"/>
                      <w:szCs w:val="21"/>
                    </w:rPr>
                    <w:t>0.</w:t>
                  </w:r>
                  <w:r>
                    <w:rPr>
                      <w:rFonts w:hint="eastAsia"/>
                      <w:color w:val="auto"/>
                      <w:sz w:val="21"/>
                      <w:szCs w:val="21"/>
                      <w:lang w:val="en-US" w:eastAsia="zh-CN"/>
                    </w:rPr>
                    <w:t>4</w:t>
                  </w:r>
                </w:p>
              </w:tc>
              <w:tc>
                <w:tcPr>
                  <w:tcW w:w="1755" w:type="dxa"/>
                  <w:shd w:val="clear" w:color="auto" w:fill="auto"/>
                  <w:noWrap w:val="0"/>
                  <w:vAlign w:val="center"/>
                </w:tcPr>
                <w:p w14:paraId="3BC2C175">
                  <w:pPr>
                    <w:jc w:val="center"/>
                    <w:rPr>
                      <w:rFonts w:hint="eastAsia"/>
                      <w:color w:val="auto"/>
                      <w:sz w:val="21"/>
                      <w:szCs w:val="21"/>
                      <w:lang w:val="en-US" w:eastAsia="zh-CN"/>
                    </w:rPr>
                  </w:pPr>
                  <w:r>
                    <w:rPr>
                      <w:rFonts w:hint="eastAsia"/>
                      <w:color w:val="auto"/>
                      <w:sz w:val="21"/>
                      <w:szCs w:val="21"/>
                      <w:lang w:val="en-US" w:eastAsia="zh-CN"/>
                    </w:rPr>
                    <w:t>117.928704</w:t>
                  </w:r>
                </w:p>
              </w:tc>
              <w:tc>
                <w:tcPr>
                  <w:tcW w:w="1465" w:type="dxa"/>
                  <w:shd w:val="clear" w:color="auto" w:fill="auto"/>
                  <w:noWrap w:val="0"/>
                  <w:vAlign w:val="center"/>
                </w:tcPr>
                <w:p w14:paraId="11FAEB56">
                  <w:pPr>
                    <w:jc w:val="center"/>
                    <w:rPr>
                      <w:rFonts w:hint="eastAsia"/>
                      <w:color w:val="auto"/>
                      <w:sz w:val="21"/>
                      <w:szCs w:val="21"/>
                      <w:lang w:val="en-US" w:eastAsia="zh-CN"/>
                    </w:rPr>
                  </w:pPr>
                  <w:r>
                    <w:rPr>
                      <w:rFonts w:hint="eastAsia"/>
                      <w:color w:val="auto"/>
                      <w:sz w:val="21"/>
                      <w:szCs w:val="21"/>
                      <w:lang w:val="en-US" w:eastAsia="zh-CN"/>
                    </w:rPr>
                    <w:t>33.470646</w:t>
                  </w:r>
                </w:p>
              </w:tc>
            </w:tr>
          </w:tbl>
          <w:p w14:paraId="332B3C58">
            <w:pPr>
              <w:adjustRightInd w:val="0"/>
              <w:snapToGrid w:val="0"/>
              <w:spacing w:before="120" w:beforeLines="50"/>
              <w:jc w:val="center"/>
              <w:rPr>
                <w:b/>
                <w:bCs/>
                <w:color w:val="auto"/>
              </w:rPr>
            </w:pPr>
            <w:r>
              <w:rPr>
                <w:b/>
                <w:bCs/>
                <w:color w:val="auto"/>
              </w:rPr>
              <w:t>表4</w:t>
            </w:r>
            <w:r>
              <w:rPr>
                <w:rFonts w:hint="eastAsia"/>
                <w:b/>
                <w:bCs/>
                <w:color w:val="auto"/>
                <w:lang w:val="en-US" w:eastAsia="zh-CN"/>
              </w:rPr>
              <w:t>-4</w:t>
            </w:r>
            <w:r>
              <w:rPr>
                <w:b/>
                <w:bCs/>
                <w:color w:val="auto"/>
              </w:rPr>
              <w:t xml:space="preserve"> </w:t>
            </w:r>
            <w:r>
              <w:rPr>
                <w:rFonts w:hint="eastAsia"/>
                <w:b/>
                <w:bCs/>
                <w:color w:val="auto"/>
              </w:rPr>
              <w:t xml:space="preserve"> </w:t>
            </w:r>
            <w:r>
              <w:rPr>
                <w:b/>
                <w:bCs/>
                <w:color w:val="auto"/>
              </w:rPr>
              <w:t>项目无组织废气产生及排放情况</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488"/>
              <w:gridCol w:w="1306"/>
              <w:gridCol w:w="1326"/>
              <w:gridCol w:w="1086"/>
              <w:gridCol w:w="1086"/>
              <w:gridCol w:w="1066"/>
            </w:tblGrid>
            <w:tr w14:paraId="086A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026889B3">
                  <w:pPr>
                    <w:jc w:val="center"/>
                    <w:outlineLvl w:val="0"/>
                    <w:rPr>
                      <w:b/>
                      <w:sz w:val="21"/>
                      <w:szCs w:val="21"/>
                    </w:rPr>
                  </w:pPr>
                  <w:r>
                    <w:rPr>
                      <w:b/>
                      <w:sz w:val="21"/>
                      <w:szCs w:val="21"/>
                    </w:rPr>
                    <w:t>序号</w:t>
                  </w:r>
                </w:p>
              </w:tc>
              <w:tc>
                <w:tcPr>
                  <w:tcW w:w="1500" w:type="dxa"/>
                  <w:vAlign w:val="center"/>
                </w:tcPr>
                <w:p w14:paraId="3A42D18A">
                  <w:pPr>
                    <w:jc w:val="center"/>
                    <w:outlineLvl w:val="0"/>
                    <w:rPr>
                      <w:b/>
                      <w:sz w:val="21"/>
                      <w:szCs w:val="21"/>
                    </w:rPr>
                  </w:pPr>
                  <w:r>
                    <w:rPr>
                      <w:b/>
                      <w:sz w:val="21"/>
                      <w:szCs w:val="21"/>
                    </w:rPr>
                    <w:t>污染物</w:t>
                  </w:r>
                </w:p>
              </w:tc>
              <w:tc>
                <w:tcPr>
                  <w:tcW w:w="1316" w:type="dxa"/>
                  <w:vAlign w:val="center"/>
                </w:tcPr>
                <w:p w14:paraId="2B875608">
                  <w:pPr>
                    <w:jc w:val="center"/>
                    <w:outlineLvl w:val="0"/>
                    <w:rPr>
                      <w:b/>
                      <w:sz w:val="21"/>
                      <w:szCs w:val="21"/>
                    </w:rPr>
                  </w:pPr>
                  <w:r>
                    <w:rPr>
                      <w:b/>
                      <w:sz w:val="21"/>
                      <w:szCs w:val="21"/>
                    </w:rPr>
                    <w:t>污染源位置</w:t>
                  </w:r>
                </w:p>
              </w:tc>
              <w:tc>
                <w:tcPr>
                  <w:tcW w:w="1336" w:type="dxa"/>
                  <w:vAlign w:val="center"/>
                </w:tcPr>
                <w:p w14:paraId="58FCBE95">
                  <w:pPr>
                    <w:jc w:val="center"/>
                    <w:outlineLvl w:val="0"/>
                    <w:rPr>
                      <w:b/>
                      <w:sz w:val="21"/>
                      <w:szCs w:val="21"/>
                    </w:rPr>
                  </w:pPr>
                  <w:r>
                    <w:rPr>
                      <w:b/>
                      <w:sz w:val="21"/>
                      <w:szCs w:val="21"/>
                    </w:rPr>
                    <w:t>污染物排放（t/a）</w:t>
                  </w:r>
                </w:p>
              </w:tc>
              <w:tc>
                <w:tcPr>
                  <w:tcW w:w="1094" w:type="dxa"/>
                  <w:vAlign w:val="center"/>
                </w:tcPr>
                <w:p w14:paraId="4908862F">
                  <w:pPr>
                    <w:jc w:val="center"/>
                    <w:outlineLvl w:val="0"/>
                    <w:rPr>
                      <w:b/>
                      <w:sz w:val="21"/>
                      <w:szCs w:val="21"/>
                    </w:rPr>
                  </w:pPr>
                  <w:r>
                    <w:rPr>
                      <w:b/>
                      <w:sz w:val="21"/>
                      <w:szCs w:val="21"/>
                    </w:rPr>
                    <w:t>面源宽度（m）</w:t>
                  </w:r>
                </w:p>
              </w:tc>
              <w:tc>
                <w:tcPr>
                  <w:tcW w:w="1094" w:type="dxa"/>
                  <w:vAlign w:val="center"/>
                </w:tcPr>
                <w:p w14:paraId="4D4BDF1D">
                  <w:pPr>
                    <w:jc w:val="center"/>
                    <w:outlineLvl w:val="0"/>
                    <w:rPr>
                      <w:b/>
                      <w:sz w:val="21"/>
                      <w:szCs w:val="21"/>
                    </w:rPr>
                  </w:pPr>
                  <w:r>
                    <w:rPr>
                      <w:b/>
                      <w:sz w:val="21"/>
                      <w:szCs w:val="21"/>
                    </w:rPr>
                    <w:t>面源长度（m）</w:t>
                  </w:r>
                </w:p>
              </w:tc>
              <w:tc>
                <w:tcPr>
                  <w:tcW w:w="1074" w:type="dxa"/>
                  <w:vAlign w:val="center"/>
                </w:tcPr>
                <w:p w14:paraId="60250BF3">
                  <w:pPr>
                    <w:jc w:val="center"/>
                    <w:outlineLvl w:val="0"/>
                    <w:rPr>
                      <w:b/>
                      <w:sz w:val="21"/>
                      <w:szCs w:val="21"/>
                    </w:rPr>
                  </w:pPr>
                  <w:r>
                    <w:rPr>
                      <w:b/>
                      <w:sz w:val="21"/>
                      <w:szCs w:val="21"/>
                    </w:rPr>
                    <w:t>面源高度（m）</w:t>
                  </w:r>
                </w:p>
              </w:tc>
            </w:tr>
            <w:tr w14:paraId="73A0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53A73A3F">
                  <w:pPr>
                    <w:jc w:val="center"/>
                    <w:outlineLvl w:val="0"/>
                    <w:rPr>
                      <w:rFonts w:hint="eastAsia" w:eastAsia="宋体"/>
                      <w:bCs/>
                      <w:sz w:val="21"/>
                      <w:szCs w:val="21"/>
                      <w:lang w:val="en-US" w:eastAsia="zh-CN"/>
                    </w:rPr>
                  </w:pPr>
                  <w:r>
                    <w:rPr>
                      <w:rFonts w:hint="eastAsia"/>
                      <w:bCs/>
                      <w:sz w:val="21"/>
                      <w:szCs w:val="21"/>
                      <w:lang w:val="en-US" w:eastAsia="zh-CN"/>
                    </w:rPr>
                    <w:t>1</w:t>
                  </w:r>
                </w:p>
              </w:tc>
              <w:tc>
                <w:tcPr>
                  <w:tcW w:w="1500" w:type="dxa"/>
                  <w:vAlign w:val="center"/>
                </w:tcPr>
                <w:p w14:paraId="0C2E72A1">
                  <w:pPr>
                    <w:jc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316" w:type="dxa"/>
                  <w:vMerge w:val="restart"/>
                  <w:vAlign w:val="center"/>
                </w:tcPr>
                <w:p w14:paraId="17F3B181">
                  <w:pPr>
                    <w:jc w:val="center"/>
                    <w:outlineLvl w:val="0"/>
                    <w:rPr>
                      <w:rFonts w:hint="default" w:eastAsia="宋体"/>
                      <w:bCs/>
                      <w:sz w:val="21"/>
                      <w:szCs w:val="21"/>
                      <w:lang w:val="en-US" w:eastAsia="zh-CN"/>
                    </w:rPr>
                  </w:pPr>
                  <w:r>
                    <w:rPr>
                      <w:rFonts w:hint="eastAsia" w:eastAsia="宋体"/>
                      <w:bCs/>
                      <w:sz w:val="21"/>
                      <w:szCs w:val="21"/>
                      <w:lang w:val="en-US" w:eastAsia="zh-CN"/>
                    </w:rPr>
                    <w:t>生产车间</w:t>
                  </w:r>
                </w:p>
              </w:tc>
              <w:tc>
                <w:tcPr>
                  <w:tcW w:w="1336" w:type="dxa"/>
                  <w:vAlign w:val="center"/>
                </w:tcPr>
                <w:p w14:paraId="76C843DC">
                  <w:pPr>
                    <w:jc w:val="center"/>
                    <w:rPr>
                      <w:rFonts w:hint="default" w:eastAsia="宋体"/>
                      <w:sz w:val="21"/>
                      <w:szCs w:val="21"/>
                      <w:lang w:val="en-US" w:eastAsia="zh-CN"/>
                    </w:rPr>
                  </w:pPr>
                  <w:r>
                    <w:rPr>
                      <w:rFonts w:hint="eastAsia" w:eastAsia="宋体"/>
                      <w:sz w:val="21"/>
                      <w:szCs w:val="21"/>
                      <w:lang w:val="en-US" w:eastAsia="zh-CN"/>
                    </w:rPr>
                    <w:t>1.343</w:t>
                  </w:r>
                </w:p>
              </w:tc>
              <w:tc>
                <w:tcPr>
                  <w:tcW w:w="1094" w:type="dxa"/>
                  <w:vMerge w:val="restart"/>
                  <w:vAlign w:val="center"/>
                </w:tcPr>
                <w:p w14:paraId="4835AD92">
                  <w:pPr>
                    <w:jc w:val="center"/>
                    <w:outlineLvl w:val="0"/>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24.5</w:t>
                  </w:r>
                </w:p>
              </w:tc>
              <w:tc>
                <w:tcPr>
                  <w:tcW w:w="1094" w:type="dxa"/>
                  <w:vMerge w:val="restart"/>
                  <w:vAlign w:val="center"/>
                </w:tcPr>
                <w:p w14:paraId="5B18B40B">
                  <w:pPr>
                    <w:jc w:val="center"/>
                    <w:outlineLvl w:val="0"/>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90</w:t>
                  </w:r>
                </w:p>
              </w:tc>
              <w:tc>
                <w:tcPr>
                  <w:tcW w:w="1074" w:type="dxa"/>
                  <w:vMerge w:val="restart"/>
                  <w:vAlign w:val="center"/>
                </w:tcPr>
                <w:p w14:paraId="7805F9B7">
                  <w:pPr>
                    <w:jc w:val="center"/>
                    <w:outlineLvl w:val="0"/>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12</w:t>
                  </w:r>
                </w:p>
              </w:tc>
            </w:tr>
            <w:tr w14:paraId="4540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vAlign w:val="center"/>
                </w:tcPr>
                <w:p w14:paraId="54910084">
                  <w:pPr>
                    <w:jc w:val="center"/>
                    <w:outlineLvl w:val="0"/>
                    <w:rPr>
                      <w:rFonts w:hint="default"/>
                      <w:bCs/>
                      <w:sz w:val="21"/>
                      <w:szCs w:val="21"/>
                      <w:lang w:val="en-US" w:eastAsia="zh-CN"/>
                    </w:rPr>
                  </w:pPr>
                  <w:r>
                    <w:rPr>
                      <w:rFonts w:hint="eastAsia"/>
                      <w:bCs/>
                      <w:sz w:val="21"/>
                      <w:szCs w:val="21"/>
                      <w:lang w:val="en-US" w:eastAsia="zh-CN"/>
                    </w:rPr>
                    <w:t>2</w:t>
                  </w:r>
                </w:p>
              </w:tc>
              <w:tc>
                <w:tcPr>
                  <w:tcW w:w="1500" w:type="dxa"/>
                  <w:vAlign w:val="center"/>
                </w:tcPr>
                <w:p w14:paraId="5E7F203A">
                  <w:pPr>
                    <w:jc w:val="center"/>
                    <w:rPr>
                      <w:rFonts w:hint="eastAsia" w:eastAsia="宋体"/>
                      <w:sz w:val="21"/>
                      <w:szCs w:val="21"/>
                      <w:lang w:val="en-US" w:eastAsia="zh-CN"/>
                    </w:rPr>
                  </w:pPr>
                  <w:r>
                    <w:rPr>
                      <w:rFonts w:hint="eastAsia"/>
                      <w:sz w:val="21"/>
                      <w:szCs w:val="21"/>
                      <w:lang w:val="en-US" w:eastAsia="zh-CN"/>
                    </w:rPr>
                    <w:t>非甲烷总烃</w:t>
                  </w:r>
                </w:p>
              </w:tc>
              <w:tc>
                <w:tcPr>
                  <w:tcW w:w="1316" w:type="dxa"/>
                  <w:vMerge w:val="continue"/>
                  <w:vAlign w:val="center"/>
                </w:tcPr>
                <w:p w14:paraId="6195B0BB">
                  <w:pPr>
                    <w:jc w:val="center"/>
                    <w:outlineLvl w:val="0"/>
                    <w:rPr>
                      <w:rFonts w:hint="eastAsia"/>
                      <w:bCs/>
                      <w:sz w:val="21"/>
                      <w:szCs w:val="21"/>
                      <w:lang w:val="en-US" w:eastAsia="zh-CN"/>
                    </w:rPr>
                  </w:pPr>
                </w:p>
              </w:tc>
              <w:tc>
                <w:tcPr>
                  <w:tcW w:w="1336" w:type="dxa"/>
                  <w:vAlign w:val="center"/>
                </w:tcPr>
                <w:p w14:paraId="00711732">
                  <w:pPr>
                    <w:jc w:val="center"/>
                    <w:rPr>
                      <w:rFonts w:hint="default"/>
                      <w:sz w:val="21"/>
                      <w:szCs w:val="21"/>
                      <w:lang w:val="en-US" w:eastAsia="zh-CN"/>
                    </w:rPr>
                  </w:pPr>
                  <w:r>
                    <w:rPr>
                      <w:rFonts w:hint="eastAsia"/>
                      <w:sz w:val="21"/>
                      <w:szCs w:val="21"/>
                      <w:lang w:val="en-US" w:eastAsia="zh-CN"/>
                    </w:rPr>
                    <w:t>0.144</w:t>
                  </w:r>
                </w:p>
              </w:tc>
              <w:tc>
                <w:tcPr>
                  <w:tcW w:w="1094" w:type="dxa"/>
                  <w:vMerge w:val="continue"/>
                  <w:vAlign w:val="center"/>
                </w:tcPr>
                <w:p w14:paraId="7813A923">
                  <w:pPr>
                    <w:jc w:val="center"/>
                    <w:outlineLvl w:val="0"/>
                    <w:rPr>
                      <w:rFonts w:hint="eastAsia"/>
                      <w:bCs/>
                      <w:color w:val="000000" w:themeColor="text1"/>
                      <w:sz w:val="21"/>
                      <w:szCs w:val="21"/>
                      <w:lang w:val="en-US" w:eastAsia="zh-CN"/>
                      <w14:textFill>
                        <w14:solidFill>
                          <w14:schemeClr w14:val="tx1"/>
                        </w14:solidFill>
                      </w14:textFill>
                    </w:rPr>
                  </w:pPr>
                </w:p>
              </w:tc>
              <w:tc>
                <w:tcPr>
                  <w:tcW w:w="1094" w:type="dxa"/>
                  <w:vMerge w:val="continue"/>
                  <w:vAlign w:val="center"/>
                </w:tcPr>
                <w:p w14:paraId="6E0CCDC5">
                  <w:pPr>
                    <w:jc w:val="center"/>
                    <w:outlineLvl w:val="0"/>
                    <w:rPr>
                      <w:rFonts w:hint="eastAsia"/>
                      <w:bCs/>
                      <w:color w:val="000000" w:themeColor="text1"/>
                      <w:sz w:val="21"/>
                      <w:szCs w:val="21"/>
                      <w:lang w:val="en-US" w:eastAsia="zh-CN"/>
                      <w14:textFill>
                        <w14:solidFill>
                          <w14:schemeClr w14:val="tx1"/>
                        </w14:solidFill>
                      </w14:textFill>
                    </w:rPr>
                  </w:pPr>
                </w:p>
              </w:tc>
              <w:tc>
                <w:tcPr>
                  <w:tcW w:w="1074" w:type="dxa"/>
                  <w:vMerge w:val="continue"/>
                  <w:vAlign w:val="center"/>
                </w:tcPr>
                <w:p w14:paraId="250AD5F9">
                  <w:pPr>
                    <w:jc w:val="center"/>
                    <w:outlineLvl w:val="0"/>
                    <w:rPr>
                      <w:rFonts w:hint="eastAsia"/>
                      <w:bCs/>
                      <w:color w:val="000000" w:themeColor="text1"/>
                      <w:sz w:val="21"/>
                      <w:szCs w:val="21"/>
                      <w:lang w:val="en-US" w:eastAsia="zh-CN"/>
                      <w14:textFill>
                        <w14:solidFill>
                          <w14:schemeClr w14:val="tx1"/>
                        </w14:solidFill>
                      </w14:textFill>
                    </w:rPr>
                  </w:pPr>
                </w:p>
              </w:tc>
            </w:tr>
          </w:tbl>
          <w:p w14:paraId="2B45F63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rPr>
            </w:pPr>
            <w:r>
              <w:rPr>
                <w:color w:val="auto"/>
                <w:sz w:val="24"/>
              </w:rPr>
              <w:t>（2）监测计划</w:t>
            </w:r>
          </w:p>
          <w:p w14:paraId="30EB91DF">
            <w:pPr>
              <w:tabs>
                <w:tab w:val="left" w:pos="7200"/>
              </w:tabs>
              <w:autoSpaceDE w:val="0"/>
              <w:autoSpaceDN w:val="0"/>
              <w:adjustRightInd w:val="0"/>
              <w:spacing w:line="360" w:lineRule="auto"/>
              <w:ind w:firstLine="480" w:firstLineChars="200"/>
              <w:rPr>
                <w:color w:val="auto"/>
                <w:sz w:val="24"/>
              </w:rPr>
            </w:pPr>
            <w:r>
              <w:rPr>
                <w:color w:val="auto"/>
                <w:sz w:val="24"/>
              </w:rPr>
              <w:t>本项目废气自行监测计划实施</w:t>
            </w:r>
            <w:r>
              <w:rPr>
                <w:rFonts w:hint="eastAsia"/>
                <w:color w:val="auto"/>
                <w:kern w:val="0"/>
                <w:sz w:val="24"/>
                <w:lang w:val="en-US" w:eastAsia="zh-CN" w:bidi="ar"/>
              </w:rPr>
              <w:t>参照《排污单位自行监测技术指南  总则》（HJ819-2017）</w:t>
            </w:r>
            <w:r>
              <w:rPr>
                <w:color w:val="auto"/>
                <w:kern w:val="0"/>
                <w:sz w:val="24"/>
                <w:lang w:bidi="ar"/>
              </w:rPr>
              <w:t>中相关要求，项目在投入运行后，需定期对项目污染源开展监测活动，具体如下所示</w:t>
            </w:r>
            <w:r>
              <w:rPr>
                <w:color w:val="auto"/>
                <w:sz w:val="24"/>
              </w:rPr>
              <w:t>。</w:t>
            </w:r>
          </w:p>
          <w:p w14:paraId="1706E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4"/>
              </w:rPr>
            </w:pPr>
            <w:r>
              <w:rPr>
                <w:b/>
                <w:bCs/>
                <w:color w:val="auto"/>
                <w:sz w:val="24"/>
              </w:rPr>
              <w:t>表4-</w:t>
            </w:r>
            <w:r>
              <w:rPr>
                <w:rFonts w:hint="eastAsia"/>
                <w:b/>
                <w:bCs/>
                <w:color w:val="auto"/>
                <w:sz w:val="24"/>
                <w:lang w:val="en-US" w:eastAsia="zh-CN"/>
              </w:rPr>
              <w:t>5</w:t>
            </w:r>
            <w:r>
              <w:rPr>
                <w:b/>
                <w:bCs/>
                <w:color w:val="auto"/>
                <w:sz w:val="24"/>
              </w:rPr>
              <w:t xml:space="preserve"> </w:t>
            </w:r>
            <w:r>
              <w:rPr>
                <w:rFonts w:hint="eastAsia"/>
                <w:b/>
                <w:bCs/>
                <w:color w:val="auto"/>
                <w:sz w:val="24"/>
                <w:lang w:val="en-US" w:eastAsia="zh-CN"/>
              </w:rPr>
              <w:t xml:space="preserve"> </w:t>
            </w:r>
            <w:r>
              <w:rPr>
                <w:b/>
                <w:bCs/>
                <w:color w:val="auto"/>
                <w:sz w:val="24"/>
              </w:rPr>
              <w:t>项目建成后废气自行监测计划表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838"/>
              <w:gridCol w:w="2547"/>
              <w:gridCol w:w="1539"/>
              <w:gridCol w:w="1067"/>
            </w:tblGrid>
            <w:tr w14:paraId="1FB8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noWrap w:val="0"/>
                  <w:vAlign w:val="center"/>
                </w:tcPr>
                <w:p w14:paraId="5F2A1561">
                  <w:pPr>
                    <w:jc w:val="center"/>
                    <w:rPr>
                      <w:b/>
                      <w:bCs/>
                      <w:color w:val="auto"/>
                      <w:sz w:val="21"/>
                      <w:szCs w:val="21"/>
                    </w:rPr>
                  </w:pPr>
                  <w:r>
                    <w:rPr>
                      <w:b/>
                      <w:bCs/>
                      <w:color w:val="auto"/>
                      <w:sz w:val="21"/>
                      <w:szCs w:val="21"/>
                    </w:rPr>
                    <w:t>排放口编号/点位</w:t>
                  </w:r>
                </w:p>
              </w:tc>
              <w:tc>
                <w:tcPr>
                  <w:tcW w:w="1137" w:type="pct"/>
                  <w:noWrap w:val="0"/>
                  <w:vAlign w:val="center"/>
                </w:tcPr>
                <w:p w14:paraId="7106288E">
                  <w:pPr>
                    <w:jc w:val="center"/>
                    <w:rPr>
                      <w:b/>
                      <w:bCs/>
                      <w:color w:val="auto"/>
                      <w:sz w:val="21"/>
                      <w:szCs w:val="21"/>
                    </w:rPr>
                  </w:pPr>
                  <w:r>
                    <w:rPr>
                      <w:b/>
                      <w:bCs/>
                      <w:color w:val="auto"/>
                      <w:sz w:val="21"/>
                      <w:szCs w:val="21"/>
                    </w:rPr>
                    <w:t>排放口名称</w:t>
                  </w:r>
                </w:p>
              </w:tc>
              <w:tc>
                <w:tcPr>
                  <w:tcW w:w="1575" w:type="pct"/>
                  <w:noWrap w:val="0"/>
                  <w:vAlign w:val="center"/>
                </w:tcPr>
                <w:p w14:paraId="05261D67">
                  <w:pPr>
                    <w:jc w:val="center"/>
                    <w:rPr>
                      <w:b/>
                      <w:bCs/>
                      <w:color w:val="auto"/>
                      <w:sz w:val="21"/>
                      <w:szCs w:val="21"/>
                    </w:rPr>
                  </w:pPr>
                  <w:r>
                    <w:rPr>
                      <w:b/>
                      <w:bCs/>
                      <w:color w:val="auto"/>
                      <w:sz w:val="21"/>
                      <w:szCs w:val="21"/>
                    </w:rPr>
                    <w:t>监测内容</w:t>
                  </w:r>
                </w:p>
              </w:tc>
              <w:tc>
                <w:tcPr>
                  <w:tcW w:w="952" w:type="pct"/>
                  <w:noWrap w:val="0"/>
                  <w:vAlign w:val="center"/>
                </w:tcPr>
                <w:p w14:paraId="43364503">
                  <w:pPr>
                    <w:jc w:val="center"/>
                    <w:rPr>
                      <w:b/>
                      <w:bCs/>
                      <w:color w:val="auto"/>
                      <w:sz w:val="21"/>
                      <w:szCs w:val="21"/>
                    </w:rPr>
                  </w:pPr>
                  <w:r>
                    <w:rPr>
                      <w:b/>
                      <w:bCs/>
                      <w:color w:val="auto"/>
                      <w:sz w:val="21"/>
                      <w:szCs w:val="21"/>
                    </w:rPr>
                    <w:t>污染物名称</w:t>
                  </w:r>
                </w:p>
              </w:tc>
              <w:tc>
                <w:tcPr>
                  <w:tcW w:w="660" w:type="pct"/>
                  <w:noWrap w:val="0"/>
                  <w:vAlign w:val="center"/>
                </w:tcPr>
                <w:p w14:paraId="09CABC90">
                  <w:pPr>
                    <w:jc w:val="center"/>
                    <w:rPr>
                      <w:b/>
                      <w:bCs/>
                      <w:color w:val="auto"/>
                      <w:sz w:val="21"/>
                      <w:szCs w:val="21"/>
                    </w:rPr>
                  </w:pPr>
                  <w:r>
                    <w:rPr>
                      <w:b/>
                      <w:bCs/>
                      <w:color w:val="auto"/>
                      <w:sz w:val="21"/>
                      <w:szCs w:val="21"/>
                    </w:rPr>
                    <w:t>监测频次</w:t>
                  </w:r>
                </w:p>
              </w:tc>
            </w:tr>
            <w:tr w14:paraId="58D9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noWrap w:val="0"/>
                  <w:vAlign w:val="center"/>
                </w:tcPr>
                <w:p w14:paraId="5B851E52">
                  <w:pPr>
                    <w:jc w:val="center"/>
                    <w:rPr>
                      <w:color w:val="auto"/>
                      <w:sz w:val="21"/>
                      <w:szCs w:val="21"/>
                    </w:rPr>
                  </w:pPr>
                  <w:r>
                    <w:rPr>
                      <w:color w:val="auto"/>
                      <w:sz w:val="21"/>
                      <w:szCs w:val="21"/>
                    </w:rPr>
                    <w:t>DA001</w:t>
                  </w:r>
                </w:p>
              </w:tc>
              <w:tc>
                <w:tcPr>
                  <w:tcW w:w="1137" w:type="pct"/>
                  <w:noWrap w:val="0"/>
                  <w:vAlign w:val="center"/>
                </w:tcPr>
                <w:p w14:paraId="3D055A43">
                  <w:pPr>
                    <w:jc w:val="center"/>
                    <w:rPr>
                      <w:rFonts w:hint="default" w:eastAsia="宋体"/>
                      <w:color w:val="auto"/>
                      <w:sz w:val="21"/>
                      <w:szCs w:val="21"/>
                      <w:lang w:val="en-US" w:eastAsia="zh-CN"/>
                    </w:rPr>
                  </w:pPr>
                  <w:r>
                    <w:rPr>
                      <w:rFonts w:hint="eastAsia"/>
                      <w:color w:val="auto"/>
                      <w:sz w:val="21"/>
                      <w:szCs w:val="21"/>
                      <w:lang w:val="en-US" w:eastAsia="zh-CN"/>
                    </w:rPr>
                    <w:t>下料废气排放口</w:t>
                  </w:r>
                </w:p>
              </w:tc>
              <w:tc>
                <w:tcPr>
                  <w:tcW w:w="1575" w:type="pct"/>
                  <w:noWrap w:val="0"/>
                  <w:vAlign w:val="center"/>
                </w:tcPr>
                <w:p w14:paraId="2FE5AEDD">
                  <w:pPr>
                    <w:jc w:val="center"/>
                    <w:rPr>
                      <w:color w:val="auto"/>
                      <w:sz w:val="21"/>
                      <w:szCs w:val="21"/>
                    </w:rPr>
                  </w:pPr>
                  <w:r>
                    <w:rPr>
                      <w:color w:val="auto"/>
                      <w:sz w:val="21"/>
                      <w:szCs w:val="21"/>
                    </w:rPr>
                    <w:t>烟气温度、烟气量、烟气含湿量、烟气流速、烟气压力</w:t>
                  </w:r>
                </w:p>
              </w:tc>
              <w:tc>
                <w:tcPr>
                  <w:tcW w:w="952" w:type="pct"/>
                  <w:noWrap w:val="0"/>
                  <w:vAlign w:val="center"/>
                </w:tcPr>
                <w:p w14:paraId="73B115B5">
                  <w:pPr>
                    <w:jc w:val="center"/>
                    <w:rPr>
                      <w:rFonts w:hint="eastAsia" w:eastAsia="宋体"/>
                      <w:color w:val="auto"/>
                      <w:sz w:val="21"/>
                      <w:szCs w:val="21"/>
                      <w:lang w:val="en-US" w:eastAsia="zh-CN"/>
                    </w:rPr>
                  </w:pPr>
                  <w:r>
                    <w:rPr>
                      <w:rFonts w:hint="eastAsia"/>
                      <w:color w:val="auto"/>
                      <w:sz w:val="21"/>
                      <w:szCs w:val="21"/>
                      <w:lang w:val="en-US" w:eastAsia="zh-CN"/>
                    </w:rPr>
                    <w:t>颗粒物</w:t>
                  </w:r>
                </w:p>
              </w:tc>
              <w:tc>
                <w:tcPr>
                  <w:tcW w:w="660" w:type="pct"/>
                  <w:noWrap w:val="0"/>
                  <w:vAlign w:val="center"/>
                </w:tcPr>
                <w:p w14:paraId="61CC6703">
                  <w:pPr>
                    <w:jc w:val="center"/>
                    <w:rPr>
                      <w:color w:val="auto"/>
                      <w:sz w:val="21"/>
                      <w:szCs w:val="21"/>
                    </w:rPr>
                  </w:pPr>
                  <w:r>
                    <w:rPr>
                      <w:color w:val="auto"/>
                      <w:sz w:val="21"/>
                      <w:szCs w:val="21"/>
                    </w:rPr>
                    <w:t>1次/年</w:t>
                  </w:r>
                </w:p>
              </w:tc>
            </w:tr>
            <w:tr w14:paraId="2E23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shd w:val="clear" w:color="auto" w:fill="auto"/>
                  <w:noWrap w:val="0"/>
                  <w:vAlign w:val="center"/>
                </w:tcPr>
                <w:p w14:paraId="69C60F10">
                  <w:pPr>
                    <w:jc w:val="center"/>
                    <w:rPr>
                      <w:rFonts w:hint="eastAsia" w:ascii="Times New Roman" w:hAnsi="Times New Roman" w:eastAsia="宋体" w:cs="Times New Roman"/>
                      <w:color w:val="auto"/>
                      <w:kern w:val="2"/>
                      <w:sz w:val="21"/>
                      <w:szCs w:val="21"/>
                      <w:lang w:val="en-US" w:eastAsia="zh-CN" w:bidi="ar-SA"/>
                    </w:rPr>
                  </w:pPr>
                  <w:r>
                    <w:rPr>
                      <w:color w:val="auto"/>
                      <w:sz w:val="21"/>
                      <w:szCs w:val="21"/>
                    </w:rPr>
                    <w:t>DA00</w:t>
                  </w:r>
                  <w:r>
                    <w:rPr>
                      <w:rFonts w:hint="eastAsia"/>
                      <w:color w:val="auto"/>
                      <w:sz w:val="21"/>
                      <w:szCs w:val="21"/>
                      <w:lang w:val="en-US" w:eastAsia="zh-CN"/>
                    </w:rPr>
                    <w:t>2</w:t>
                  </w:r>
                </w:p>
              </w:tc>
              <w:tc>
                <w:tcPr>
                  <w:tcW w:w="1137" w:type="pct"/>
                  <w:shd w:val="clear" w:color="auto" w:fill="auto"/>
                  <w:noWrap w:val="0"/>
                  <w:vAlign w:val="center"/>
                </w:tcPr>
                <w:p w14:paraId="5AB0D58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喷塑废气排放口</w:t>
                  </w:r>
                </w:p>
              </w:tc>
              <w:tc>
                <w:tcPr>
                  <w:tcW w:w="1575" w:type="pct"/>
                  <w:shd w:val="clear" w:color="auto" w:fill="auto"/>
                  <w:noWrap w:val="0"/>
                  <w:vAlign w:val="center"/>
                </w:tcPr>
                <w:p w14:paraId="2483EBC4">
                  <w:pPr>
                    <w:jc w:val="center"/>
                    <w:rPr>
                      <w:rFonts w:ascii="Times New Roman" w:hAnsi="Times New Roman" w:eastAsia="宋体" w:cs="Times New Roman"/>
                      <w:color w:val="auto"/>
                      <w:kern w:val="2"/>
                      <w:sz w:val="21"/>
                      <w:szCs w:val="21"/>
                      <w:lang w:val="en-US" w:eastAsia="zh-CN" w:bidi="ar-SA"/>
                    </w:rPr>
                  </w:pPr>
                  <w:r>
                    <w:rPr>
                      <w:color w:val="auto"/>
                      <w:sz w:val="21"/>
                      <w:szCs w:val="21"/>
                    </w:rPr>
                    <w:t>烟气温度、烟气量、烟气含湿量、烟气流速、烟气压力</w:t>
                  </w:r>
                </w:p>
              </w:tc>
              <w:tc>
                <w:tcPr>
                  <w:tcW w:w="952" w:type="pct"/>
                  <w:shd w:val="clear" w:color="auto" w:fill="auto"/>
                  <w:noWrap w:val="0"/>
                  <w:vAlign w:val="center"/>
                </w:tcPr>
                <w:p w14:paraId="3D113446">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颗粒物</w:t>
                  </w:r>
                </w:p>
              </w:tc>
              <w:tc>
                <w:tcPr>
                  <w:tcW w:w="660" w:type="pct"/>
                  <w:shd w:val="clear" w:color="auto" w:fill="auto"/>
                  <w:noWrap w:val="0"/>
                  <w:vAlign w:val="center"/>
                </w:tcPr>
                <w:p w14:paraId="28F14430">
                  <w:pPr>
                    <w:jc w:val="center"/>
                    <w:rPr>
                      <w:rFonts w:ascii="Times New Roman" w:hAnsi="Times New Roman" w:eastAsia="宋体" w:cs="Times New Roman"/>
                      <w:color w:val="auto"/>
                      <w:kern w:val="2"/>
                      <w:sz w:val="21"/>
                      <w:szCs w:val="21"/>
                      <w:lang w:val="en-US" w:eastAsia="zh-CN" w:bidi="ar-SA"/>
                    </w:rPr>
                  </w:pPr>
                  <w:r>
                    <w:rPr>
                      <w:color w:val="auto"/>
                      <w:sz w:val="21"/>
                      <w:szCs w:val="21"/>
                    </w:rPr>
                    <w:t>1次/年</w:t>
                  </w:r>
                </w:p>
              </w:tc>
            </w:tr>
            <w:tr w14:paraId="2007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shd w:val="clear" w:color="auto" w:fill="auto"/>
                  <w:noWrap w:val="0"/>
                  <w:vAlign w:val="center"/>
                </w:tcPr>
                <w:p w14:paraId="72E50FF5">
                  <w:pPr>
                    <w:jc w:val="center"/>
                    <w:rPr>
                      <w:rFonts w:hint="default" w:eastAsia="宋体"/>
                      <w:color w:val="auto"/>
                      <w:sz w:val="21"/>
                      <w:szCs w:val="21"/>
                      <w:lang w:val="en-US" w:eastAsia="zh-CN"/>
                    </w:rPr>
                  </w:pPr>
                  <w:r>
                    <w:rPr>
                      <w:rFonts w:hint="eastAsia"/>
                      <w:color w:val="auto"/>
                      <w:sz w:val="21"/>
                      <w:szCs w:val="21"/>
                      <w:lang w:val="en-US" w:eastAsia="zh-CN"/>
                    </w:rPr>
                    <w:t>DA003</w:t>
                  </w:r>
                </w:p>
              </w:tc>
              <w:tc>
                <w:tcPr>
                  <w:tcW w:w="1137" w:type="pct"/>
                  <w:shd w:val="clear" w:color="auto" w:fill="auto"/>
                  <w:noWrap w:val="0"/>
                  <w:vAlign w:val="center"/>
                </w:tcPr>
                <w:p w14:paraId="3A7FF839">
                  <w:pPr>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固化及供热废气排放口</w:t>
                  </w:r>
                </w:p>
              </w:tc>
              <w:tc>
                <w:tcPr>
                  <w:tcW w:w="2547" w:type="dxa"/>
                  <w:shd w:val="clear" w:color="auto" w:fill="auto"/>
                  <w:noWrap w:val="0"/>
                  <w:vAlign w:val="center"/>
                </w:tcPr>
                <w:p w14:paraId="439FF2D4">
                  <w:pPr>
                    <w:jc w:val="center"/>
                    <w:rPr>
                      <w:color w:val="auto"/>
                      <w:sz w:val="21"/>
                      <w:szCs w:val="21"/>
                    </w:rPr>
                  </w:pPr>
                  <w:r>
                    <w:rPr>
                      <w:color w:val="auto"/>
                      <w:sz w:val="21"/>
                      <w:szCs w:val="21"/>
                    </w:rPr>
                    <w:t>烟气温度、烟气量、烟气含湿量、烟气流速、烟气压力</w:t>
                  </w:r>
                </w:p>
              </w:tc>
              <w:tc>
                <w:tcPr>
                  <w:tcW w:w="952" w:type="pct"/>
                  <w:shd w:val="clear" w:color="auto" w:fill="auto"/>
                  <w:noWrap w:val="0"/>
                  <w:vAlign w:val="center"/>
                </w:tcPr>
                <w:p w14:paraId="718CF8E9">
                  <w:pPr>
                    <w:jc w:val="center"/>
                    <w:rPr>
                      <w:rFonts w:hint="default"/>
                      <w:color w:val="auto"/>
                      <w:sz w:val="21"/>
                      <w:szCs w:val="21"/>
                      <w:lang w:val="en-US" w:eastAsia="zh-CN"/>
                    </w:rPr>
                  </w:pPr>
                  <w:r>
                    <w:rPr>
                      <w:rFonts w:hint="eastAsia"/>
                      <w:color w:val="auto"/>
                      <w:sz w:val="21"/>
                      <w:szCs w:val="21"/>
                      <w:lang w:val="en-US" w:eastAsia="zh-CN"/>
                    </w:rPr>
                    <w:t>非甲烷总烃、颗粒物、二氧化硫、氮氧化物</w:t>
                  </w:r>
                </w:p>
              </w:tc>
              <w:tc>
                <w:tcPr>
                  <w:tcW w:w="660" w:type="pct"/>
                  <w:shd w:val="clear" w:color="auto" w:fill="auto"/>
                  <w:noWrap w:val="0"/>
                  <w:vAlign w:val="center"/>
                </w:tcPr>
                <w:p w14:paraId="76244B91">
                  <w:pPr>
                    <w:jc w:val="center"/>
                    <w:rPr>
                      <w:color w:val="auto"/>
                      <w:sz w:val="21"/>
                      <w:szCs w:val="21"/>
                    </w:rPr>
                  </w:pPr>
                  <w:r>
                    <w:rPr>
                      <w:color w:val="auto"/>
                      <w:sz w:val="21"/>
                      <w:szCs w:val="21"/>
                    </w:rPr>
                    <w:t>1次/年</w:t>
                  </w:r>
                </w:p>
              </w:tc>
            </w:tr>
            <w:tr w14:paraId="0802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shd w:val="clear" w:color="auto" w:fill="auto"/>
                  <w:noWrap w:val="0"/>
                  <w:vAlign w:val="center"/>
                </w:tcPr>
                <w:p w14:paraId="4BE7D442">
                  <w:pPr>
                    <w:jc w:val="center"/>
                    <w:rPr>
                      <w:rFonts w:hint="default" w:eastAsia="宋体"/>
                      <w:color w:val="auto"/>
                      <w:sz w:val="21"/>
                      <w:szCs w:val="21"/>
                      <w:lang w:val="en-US" w:eastAsia="zh-CN"/>
                    </w:rPr>
                  </w:pPr>
                  <w:r>
                    <w:rPr>
                      <w:rFonts w:hint="eastAsia"/>
                      <w:color w:val="auto"/>
                      <w:sz w:val="21"/>
                      <w:szCs w:val="21"/>
                      <w:lang w:val="en-US" w:eastAsia="zh-CN"/>
                    </w:rPr>
                    <w:t>DA004</w:t>
                  </w:r>
                </w:p>
              </w:tc>
              <w:tc>
                <w:tcPr>
                  <w:tcW w:w="1137" w:type="pct"/>
                  <w:shd w:val="clear" w:color="auto" w:fill="auto"/>
                  <w:noWrap w:val="0"/>
                  <w:vAlign w:val="center"/>
                </w:tcPr>
                <w:p w14:paraId="4107ABD0">
                  <w:pPr>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注塑废气排放口</w:t>
                  </w:r>
                </w:p>
              </w:tc>
              <w:tc>
                <w:tcPr>
                  <w:tcW w:w="2547" w:type="dxa"/>
                  <w:shd w:val="clear" w:color="auto" w:fill="auto"/>
                  <w:noWrap w:val="0"/>
                  <w:vAlign w:val="center"/>
                </w:tcPr>
                <w:p w14:paraId="53D5BA11">
                  <w:pPr>
                    <w:jc w:val="center"/>
                    <w:rPr>
                      <w:color w:val="auto"/>
                      <w:sz w:val="21"/>
                      <w:szCs w:val="21"/>
                    </w:rPr>
                  </w:pPr>
                  <w:r>
                    <w:rPr>
                      <w:color w:val="auto"/>
                      <w:sz w:val="21"/>
                      <w:szCs w:val="21"/>
                    </w:rPr>
                    <w:t>烟气温度、烟气量、烟气含湿量、烟气流速、烟气压力</w:t>
                  </w:r>
                </w:p>
              </w:tc>
              <w:tc>
                <w:tcPr>
                  <w:tcW w:w="952" w:type="pct"/>
                  <w:shd w:val="clear" w:color="auto" w:fill="auto"/>
                  <w:noWrap w:val="0"/>
                  <w:vAlign w:val="center"/>
                </w:tcPr>
                <w:p w14:paraId="48B977A5">
                  <w:pPr>
                    <w:jc w:val="center"/>
                    <w:rPr>
                      <w:rFonts w:hint="eastAsia"/>
                      <w:color w:val="auto"/>
                      <w:sz w:val="21"/>
                      <w:szCs w:val="21"/>
                      <w:lang w:val="en-US" w:eastAsia="zh-CN"/>
                    </w:rPr>
                  </w:pPr>
                  <w:r>
                    <w:rPr>
                      <w:rFonts w:hint="eastAsia"/>
                      <w:color w:val="auto"/>
                      <w:sz w:val="21"/>
                      <w:szCs w:val="21"/>
                      <w:lang w:val="en-US" w:eastAsia="zh-CN"/>
                    </w:rPr>
                    <w:t>非甲烷总烃</w:t>
                  </w:r>
                </w:p>
              </w:tc>
              <w:tc>
                <w:tcPr>
                  <w:tcW w:w="660" w:type="pct"/>
                  <w:shd w:val="clear" w:color="auto" w:fill="auto"/>
                  <w:noWrap w:val="0"/>
                  <w:vAlign w:val="center"/>
                </w:tcPr>
                <w:p w14:paraId="7CA66723">
                  <w:pPr>
                    <w:jc w:val="center"/>
                    <w:rPr>
                      <w:color w:val="auto"/>
                      <w:sz w:val="21"/>
                      <w:szCs w:val="21"/>
                    </w:rPr>
                  </w:pPr>
                  <w:r>
                    <w:rPr>
                      <w:color w:val="auto"/>
                      <w:sz w:val="21"/>
                      <w:szCs w:val="21"/>
                    </w:rPr>
                    <w:t>1次/年</w:t>
                  </w:r>
                </w:p>
              </w:tc>
            </w:tr>
            <w:tr w14:paraId="43E5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noWrap w:val="0"/>
                  <w:vAlign w:val="center"/>
                </w:tcPr>
                <w:p w14:paraId="62F74F4D">
                  <w:pPr>
                    <w:jc w:val="center"/>
                    <w:rPr>
                      <w:color w:val="auto"/>
                      <w:sz w:val="21"/>
                      <w:szCs w:val="21"/>
                    </w:rPr>
                  </w:pPr>
                  <w:r>
                    <w:rPr>
                      <w:color w:val="auto"/>
                      <w:sz w:val="21"/>
                      <w:szCs w:val="21"/>
                    </w:rPr>
                    <w:t>厂界</w:t>
                  </w:r>
                </w:p>
              </w:tc>
              <w:tc>
                <w:tcPr>
                  <w:tcW w:w="1137" w:type="pct"/>
                  <w:noWrap w:val="0"/>
                  <w:vAlign w:val="center"/>
                </w:tcPr>
                <w:p w14:paraId="59570454">
                  <w:pPr>
                    <w:jc w:val="center"/>
                    <w:rPr>
                      <w:color w:val="auto"/>
                      <w:sz w:val="21"/>
                      <w:szCs w:val="21"/>
                    </w:rPr>
                  </w:pPr>
                  <w:r>
                    <w:rPr>
                      <w:color w:val="auto"/>
                      <w:sz w:val="21"/>
                      <w:szCs w:val="21"/>
                    </w:rPr>
                    <w:t>上风向1个监测点位，下风向3个监测点位</w:t>
                  </w:r>
                </w:p>
              </w:tc>
              <w:tc>
                <w:tcPr>
                  <w:tcW w:w="1575" w:type="pct"/>
                  <w:noWrap w:val="0"/>
                  <w:vAlign w:val="center"/>
                </w:tcPr>
                <w:p w14:paraId="358733F6">
                  <w:pPr>
                    <w:jc w:val="center"/>
                    <w:rPr>
                      <w:color w:val="auto"/>
                      <w:sz w:val="21"/>
                      <w:szCs w:val="21"/>
                    </w:rPr>
                  </w:pPr>
                  <w:r>
                    <w:rPr>
                      <w:color w:val="auto"/>
                      <w:sz w:val="21"/>
                      <w:szCs w:val="21"/>
                    </w:rPr>
                    <w:t>温度</w:t>
                  </w:r>
                  <w:r>
                    <w:rPr>
                      <w:rFonts w:hint="eastAsia"/>
                      <w:color w:val="auto"/>
                      <w:sz w:val="21"/>
                      <w:szCs w:val="21"/>
                      <w:lang w:eastAsia="zh-CN"/>
                    </w:rPr>
                    <w:t>，</w:t>
                  </w:r>
                  <w:r>
                    <w:rPr>
                      <w:color w:val="auto"/>
                      <w:sz w:val="21"/>
                      <w:szCs w:val="21"/>
                    </w:rPr>
                    <w:t>湿度</w:t>
                  </w:r>
                  <w:r>
                    <w:rPr>
                      <w:rFonts w:hint="eastAsia"/>
                      <w:color w:val="auto"/>
                      <w:sz w:val="21"/>
                      <w:szCs w:val="21"/>
                      <w:lang w:eastAsia="zh-CN"/>
                    </w:rPr>
                    <w:t>，</w:t>
                  </w:r>
                  <w:r>
                    <w:rPr>
                      <w:color w:val="auto"/>
                      <w:sz w:val="21"/>
                      <w:szCs w:val="21"/>
                    </w:rPr>
                    <w:t>气压</w:t>
                  </w:r>
                  <w:r>
                    <w:rPr>
                      <w:rFonts w:hint="eastAsia"/>
                      <w:color w:val="auto"/>
                      <w:sz w:val="21"/>
                      <w:szCs w:val="21"/>
                      <w:lang w:eastAsia="zh-CN"/>
                    </w:rPr>
                    <w:t>，</w:t>
                  </w:r>
                  <w:r>
                    <w:rPr>
                      <w:color w:val="auto"/>
                      <w:sz w:val="21"/>
                      <w:szCs w:val="21"/>
                    </w:rPr>
                    <w:t>风速</w:t>
                  </w:r>
                  <w:r>
                    <w:rPr>
                      <w:rFonts w:hint="eastAsia"/>
                      <w:color w:val="auto"/>
                      <w:sz w:val="21"/>
                      <w:szCs w:val="21"/>
                      <w:lang w:eastAsia="zh-CN"/>
                    </w:rPr>
                    <w:t>，</w:t>
                  </w:r>
                  <w:r>
                    <w:rPr>
                      <w:color w:val="auto"/>
                      <w:sz w:val="21"/>
                      <w:szCs w:val="21"/>
                    </w:rPr>
                    <w:t>风向</w:t>
                  </w:r>
                </w:p>
              </w:tc>
              <w:tc>
                <w:tcPr>
                  <w:tcW w:w="952" w:type="pct"/>
                  <w:noWrap w:val="0"/>
                  <w:vAlign w:val="center"/>
                </w:tcPr>
                <w:p w14:paraId="24EF2346">
                  <w:pPr>
                    <w:jc w:val="center"/>
                    <w:rPr>
                      <w:rFonts w:hint="default" w:eastAsia="宋体"/>
                      <w:color w:val="auto"/>
                      <w:sz w:val="21"/>
                      <w:szCs w:val="21"/>
                      <w:lang w:val="en-US" w:eastAsia="zh-CN"/>
                    </w:rPr>
                  </w:pPr>
                  <w:r>
                    <w:rPr>
                      <w:color w:val="auto"/>
                      <w:sz w:val="21"/>
                      <w:szCs w:val="21"/>
                    </w:rPr>
                    <w:t>非甲烷总烃、</w:t>
                  </w:r>
                  <w:r>
                    <w:rPr>
                      <w:rFonts w:hint="eastAsia"/>
                      <w:color w:val="auto"/>
                      <w:sz w:val="21"/>
                      <w:szCs w:val="21"/>
                      <w:lang w:val="en-US" w:eastAsia="zh-CN"/>
                    </w:rPr>
                    <w:t>总悬浮颗粒物</w:t>
                  </w:r>
                </w:p>
              </w:tc>
              <w:tc>
                <w:tcPr>
                  <w:tcW w:w="660" w:type="pct"/>
                  <w:noWrap w:val="0"/>
                  <w:vAlign w:val="center"/>
                </w:tcPr>
                <w:p w14:paraId="064C3000">
                  <w:pPr>
                    <w:pStyle w:val="123"/>
                    <w:adjustRightInd w:val="0"/>
                    <w:snapToGrid w:val="0"/>
                    <w:jc w:val="center"/>
                    <w:rPr>
                      <w:rFonts w:ascii="Times New Roman" w:hAnsi="Times New Roman"/>
                      <w:color w:val="auto"/>
                      <w:sz w:val="21"/>
                      <w:szCs w:val="21"/>
                    </w:rPr>
                  </w:pPr>
                  <w:r>
                    <w:rPr>
                      <w:rFonts w:ascii="Times New Roman" w:hAnsi="Times New Roman"/>
                      <w:color w:val="auto"/>
                      <w:sz w:val="21"/>
                      <w:szCs w:val="21"/>
                    </w:rPr>
                    <w:t>1次/年</w:t>
                  </w:r>
                </w:p>
              </w:tc>
            </w:tr>
          </w:tbl>
          <w:p w14:paraId="7666B51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auto"/>
                <w:sz w:val="24"/>
              </w:rPr>
            </w:pPr>
            <w:r>
              <w:rPr>
                <w:rFonts w:hint="eastAsia"/>
                <w:b/>
                <w:bCs/>
                <w:color w:val="auto"/>
                <w:sz w:val="24"/>
                <w:lang w:val="en-US" w:eastAsia="zh-CN"/>
              </w:rPr>
              <w:t>3</w:t>
            </w:r>
            <w:r>
              <w:rPr>
                <w:b/>
                <w:bCs/>
                <w:color w:val="auto"/>
                <w:sz w:val="24"/>
              </w:rPr>
              <w:t>、污染物达标情况分析</w:t>
            </w:r>
          </w:p>
          <w:p w14:paraId="4B205E53">
            <w:pPr>
              <w:spacing w:line="360" w:lineRule="auto"/>
              <w:ind w:firstLine="480" w:firstLineChars="200"/>
              <w:rPr>
                <w:color w:val="auto"/>
                <w:kern w:val="0"/>
              </w:rPr>
            </w:pPr>
            <w:r>
              <w:rPr>
                <w:rFonts w:hint="eastAsia"/>
                <w:color w:val="auto"/>
                <w:kern w:val="0"/>
                <w:lang w:eastAsia="zh-CN"/>
              </w:rPr>
              <w:t>（</w:t>
            </w:r>
            <w:r>
              <w:rPr>
                <w:rFonts w:hint="eastAsia"/>
                <w:color w:val="auto"/>
                <w:kern w:val="0"/>
                <w:lang w:val="en-US" w:eastAsia="zh-CN"/>
              </w:rPr>
              <w:t>1</w:t>
            </w:r>
            <w:r>
              <w:rPr>
                <w:rFonts w:hint="eastAsia"/>
                <w:color w:val="auto"/>
                <w:kern w:val="0"/>
                <w:lang w:eastAsia="zh-CN"/>
              </w:rPr>
              <w:t>）</w:t>
            </w:r>
            <w:r>
              <w:rPr>
                <w:rFonts w:hint="eastAsia"/>
                <w:color w:val="auto"/>
                <w:kern w:val="0"/>
              </w:rPr>
              <w:t>技术可行</w:t>
            </w:r>
          </w:p>
          <w:p w14:paraId="4A50439D">
            <w:pPr>
              <w:spacing w:line="360" w:lineRule="auto"/>
              <w:ind w:firstLine="480" w:firstLineChars="200"/>
              <w:rPr>
                <w:rFonts w:hint="eastAsia" w:eastAsia="宋体"/>
                <w:color w:val="auto"/>
                <w:kern w:val="0"/>
                <w:lang w:val="en-US" w:eastAsia="zh-CN"/>
              </w:rPr>
            </w:pPr>
            <w:r>
              <w:rPr>
                <w:color w:val="auto"/>
                <w:kern w:val="0"/>
              </w:rPr>
              <w:t>本项目废气主要为</w:t>
            </w:r>
            <w:r>
              <w:rPr>
                <w:rFonts w:hint="eastAsia"/>
                <w:color w:val="auto"/>
                <w:kern w:val="0"/>
              </w:rPr>
              <w:t>颗粒物</w:t>
            </w:r>
            <w:r>
              <w:rPr>
                <w:rFonts w:hint="eastAsia"/>
                <w:color w:val="auto"/>
                <w:kern w:val="0"/>
                <w:lang w:eastAsia="zh-CN"/>
              </w:rPr>
              <w:t>、</w:t>
            </w:r>
            <w:r>
              <w:rPr>
                <w:rFonts w:hint="eastAsia"/>
                <w:color w:val="auto"/>
                <w:kern w:val="0"/>
                <w:lang w:val="en-US" w:eastAsia="zh-CN"/>
              </w:rPr>
              <w:t>非甲烷总烃、二氧化硫和氮氧化物</w:t>
            </w:r>
            <w:r>
              <w:rPr>
                <w:color w:val="auto"/>
                <w:kern w:val="0"/>
              </w:rPr>
              <w:t>，</w:t>
            </w:r>
            <w:r>
              <w:rPr>
                <w:rFonts w:hint="eastAsia"/>
                <w:color w:val="auto"/>
                <w:kern w:val="0"/>
                <w:lang w:val="en-US" w:eastAsia="zh-CN"/>
              </w:rPr>
              <w:t>下料工序产生的废气经袋式除尘器处理后经排气筒（DA001）排放，喷塑工序产生的废气经设备自带旋风+二级滤芯处理后经排气筒（DA002）排放，固化工序产生的废气经二级活性炭吸附装置器处理后经排气筒（DA003）排放，烘干、固化供热产生的天然气燃烧废气经低氮燃烧器源头控制后排气筒（DA003）排放，注塑工序产生的废气经二级活性炭吸附装置器处理后经排气筒（DA004）排放。废气排放浓度能满足</w:t>
            </w:r>
            <w:r>
              <w:rPr>
                <w:rFonts w:hint="eastAsia"/>
                <w:color w:val="000000"/>
                <w:lang w:val="en-US" w:eastAsia="zh-CN"/>
              </w:rPr>
              <w:t>《大气污染物综合排放标准》（GB16297-1996）表2中</w:t>
            </w:r>
            <w:r>
              <w:rPr>
                <w:rFonts w:hint="eastAsia"/>
                <w:color w:val="000000"/>
                <w:lang w:bidi="ar"/>
              </w:rPr>
              <w:t>新污染源</w:t>
            </w:r>
            <w:r>
              <w:rPr>
                <w:color w:val="000000"/>
                <w:lang w:bidi="ar"/>
              </w:rPr>
              <w:t>排放</w:t>
            </w:r>
            <w:r>
              <w:rPr>
                <w:rFonts w:hint="eastAsia"/>
                <w:color w:val="auto"/>
                <w:lang w:val="en-US" w:eastAsia="zh-CN"/>
              </w:rPr>
              <w:t>限值要求</w:t>
            </w:r>
            <w:r>
              <w:rPr>
                <w:rFonts w:hint="eastAsia"/>
                <w:lang w:val="en-US" w:eastAsia="zh-CN"/>
              </w:rPr>
              <w:t>，注塑废气</w:t>
            </w:r>
            <w:r>
              <w:rPr>
                <w:rFonts w:hint="eastAsia"/>
                <w:color w:val="auto"/>
                <w:kern w:val="0"/>
                <w:lang w:val="en-US" w:eastAsia="zh-CN"/>
              </w:rPr>
              <w:t>排放浓度能满足</w:t>
            </w:r>
            <w:r>
              <w:rPr>
                <w:rFonts w:hint="eastAsia"/>
                <w:lang w:val="en-US" w:eastAsia="zh-CN"/>
              </w:rPr>
              <w:t>安徽省</w:t>
            </w:r>
            <w:r>
              <w:t>《</w:t>
            </w:r>
            <w:r>
              <w:rPr>
                <w:lang w:val="en-US" w:eastAsia="zh-CN"/>
              </w:rPr>
              <w:t xml:space="preserve">固定源挥发性有机物综合排放标准 </w:t>
            </w:r>
            <w:r>
              <w:rPr>
                <w:rFonts w:hint="eastAsia"/>
                <w:lang w:val="en-US" w:eastAsia="zh-CN"/>
              </w:rPr>
              <w:t>第6部分：其他行业</w:t>
            </w:r>
            <w:r>
              <w:t>》（</w:t>
            </w:r>
            <w:r>
              <w:rPr>
                <w:lang w:val="en-US" w:eastAsia="zh-CN"/>
              </w:rPr>
              <w:t>DB 34/</w:t>
            </w:r>
            <w:r>
              <w:rPr>
                <w:rFonts w:hint="eastAsia"/>
                <w:lang w:val="en-US" w:eastAsia="zh-CN"/>
              </w:rPr>
              <w:t xml:space="preserve"> </w:t>
            </w:r>
            <w:r>
              <w:rPr>
                <w:lang w:val="en-US" w:eastAsia="zh-CN"/>
              </w:rPr>
              <w:t>4812.6</w:t>
            </w:r>
            <w:r>
              <w:rPr>
                <w:rFonts w:hint="eastAsia"/>
                <w:lang w:val="en-US" w:eastAsia="zh-CN"/>
              </w:rPr>
              <w:t>-</w:t>
            </w:r>
            <w:r>
              <w:rPr>
                <w:lang w:val="en-US" w:eastAsia="zh-CN"/>
              </w:rPr>
              <w:t>2024</w:t>
            </w:r>
            <w:r>
              <w:t>）</w:t>
            </w:r>
            <w:r>
              <w:rPr>
                <w:rFonts w:hint="eastAsia"/>
                <w:color w:val="auto"/>
                <w:lang w:val="en-US" w:eastAsia="zh-CN"/>
              </w:rPr>
              <w:t>表1中排放限值要求</w:t>
            </w:r>
            <w:r>
              <w:rPr>
                <w:rFonts w:hint="eastAsia"/>
                <w:color w:val="000000"/>
                <w:lang w:eastAsia="zh-CN" w:bidi="ar"/>
              </w:rPr>
              <w:t>。</w:t>
            </w:r>
          </w:p>
          <w:p w14:paraId="772E6860">
            <w:pPr>
              <w:spacing w:line="360" w:lineRule="auto"/>
              <w:ind w:firstLine="480" w:firstLineChars="200"/>
              <w:rPr>
                <w:color w:val="auto"/>
                <w:lang w:bidi="ar"/>
              </w:rPr>
            </w:pPr>
            <w:r>
              <w:rPr>
                <w:rFonts w:hint="eastAsia" w:ascii="宋体" w:hAnsi="宋体" w:cs="宋体"/>
                <w:bCs/>
                <w:color w:val="000000" w:themeColor="text1"/>
                <w:spacing w:val="0"/>
                <w14:textFill>
                  <w14:solidFill>
                    <w14:schemeClr w14:val="tx1"/>
                  </w14:solidFill>
                </w14:textFill>
              </w:rPr>
              <w:t>项目废气处理措施可行性分析：</w:t>
            </w:r>
            <w:r>
              <w:rPr>
                <w:bCs/>
                <w:color w:val="auto"/>
              </w:rPr>
              <w:t>项目末端治理技术</w:t>
            </w:r>
            <w:r>
              <w:rPr>
                <w:rFonts w:hint="eastAsia"/>
                <w:bCs/>
                <w:color w:val="auto"/>
                <w:lang w:val="en-US" w:eastAsia="zh-CN"/>
              </w:rPr>
              <w:t>采用</w:t>
            </w:r>
            <w:r>
              <w:rPr>
                <w:bCs/>
                <w:color w:val="auto"/>
              </w:rPr>
              <w:t>《排放源统计调查产排污核算方法和系数手册</w:t>
            </w:r>
            <w:r>
              <w:rPr>
                <w:rFonts w:hint="eastAsia"/>
                <w:bCs/>
                <w:color w:val="auto"/>
                <w:lang w:val="en-US" w:eastAsia="zh-CN"/>
              </w:rPr>
              <w:t xml:space="preserve"> 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w:t>
            </w:r>
            <w:r>
              <w:rPr>
                <w:bCs/>
                <w:color w:val="auto"/>
              </w:rPr>
              <w:t>》</w:t>
            </w:r>
            <w:r>
              <w:rPr>
                <w:rFonts w:hint="eastAsia"/>
                <w:bCs/>
                <w:color w:val="auto"/>
                <w:lang w:eastAsia="zh-CN"/>
              </w:rPr>
              <w:t>、</w:t>
            </w:r>
            <w:r>
              <w:rPr>
                <w:color w:val="auto"/>
                <w:sz w:val="24"/>
              </w:rPr>
              <w:t xml:space="preserve">《排污许可证申请与核发技术规范  </w:t>
            </w:r>
            <w:r>
              <w:rPr>
                <w:rFonts w:hint="eastAsia"/>
                <w:color w:val="auto"/>
                <w:sz w:val="24"/>
                <w:lang w:val="en-US" w:eastAsia="zh-CN"/>
              </w:rPr>
              <w:t>铁路、船舶、航空航天和其他运输设备</w:t>
            </w:r>
            <w:r>
              <w:rPr>
                <w:color w:val="auto"/>
                <w:sz w:val="24"/>
              </w:rPr>
              <w:t xml:space="preserve">》（HJ </w:t>
            </w:r>
            <w:r>
              <w:rPr>
                <w:rFonts w:hint="eastAsia"/>
                <w:color w:val="auto"/>
                <w:sz w:val="24"/>
                <w:lang w:val="en-US" w:eastAsia="zh-CN"/>
              </w:rPr>
              <w:t>1124-</w:t>
            </w:r>
            <w:r>
              <w:rPr>
                <w:color w:val="auto"/>
                <w:sz w:val="24"/>
              </w:rPr>
              <w:t>2020）</w:t>
            </w:r>
            <w:r>
              <w:rPr>
                <w:rFonts w:hint="eastAsia"/>
                <w:color w:val="auto"/>
                <w:sz w:val="24"/>
                <w:lang w:eastAsia="zh-CN"/>
              </w:rPr>
              <w:t>、</w:t>
            </w:r>
            <w:r>
              <w:rPr>
                <w:color w:val="auto"/>
                <w:sz w:val="24"/>
              </w:rPr>
              <w:t xml:space="preserve">《排污许可证申请与核发技术规范  </w:t>
            </w:r>
            <w:r>
              <w:rPr>
                <w:rFonts w:hint="eastAsia"/>
                <w:color w:val="auto"/>
                <w:sz w:val="24"/>
                <w:lang w:val="en-US" w:eastAsia="zh-CN"/>
              </w:rPr>
              <w:t>橡胶和塑料制品工业</w:t>
            </w:r>
            <w:r>
              <w:rPr>
                <w:color w:val="auto"/>
                <w:sz w:val="24"/>
              </w:rPr>
              <w:t xml:space="preserve">》（HJ </w:t>
            </w:r>
            <w:r>
              <w:rPr>
                <w:rFonts w:hint="eastAsia"/>
                <w:color w:val="auto"/>
                <w:sz w:val="24"/>
                <w:lang w:val="en-US" w:eastAsia="zh-CN"/>
              </w:rPr>
              <w:t>1122-</w:t>
            </w:r>
            <w:r>
              <w:rPr>
                <w:color w:val="auto"/>
                <w:sz w:val="24"/>
              </w:rPr>
              <w:t>2020）</w:t>
            </w:r>
            <w:r>
              <w:rPr>
                <w:bCs/>
                <w:color w:val="auto"/>
              </w:rPr>
              <w:t>中</w:t>
            </w:r>
            <w:r>
              <w:rPr>
                <w:rFonts w:hint="eastAsia" w:ascii="宋体" w:hAnsi="宋体" w:cs="宋体"/>
                <w:bCs/>
                <w:color w:val="auto"/>
              </w:rPr>
              <w:t>的可行技术</w:t>
            </w:r>
            <w:r>
              <w:rPr>
                <w:rFonts w:hint="eastAsia" w:ascii="宋体" w:hAnsi="宋体" w:cs="宋体"/>
                <w:bCs/>
                <w:color w:val="auto"/>
                <w:lang w:eastAsia="zh-CN"/>
              </w:rPr>
              <w:t>，</w:t>
            </w:r>
            <w:r>
              <w:rPr>
                <w:rFonts w:hint="default" w:ascii="Times New Roman" w:hAnsi="Times New Roman" w:cs="Times New Roman"/>
                <w:bCs/>
                <w:color w:val="auto"/>
              </w:rPr>
              <w:t>项目废气排放</w:t>
            </w:r>
            <w:r>
              <w:rPr>
                <w:rFonts w:hint="eastAsia" w:ascii="Times New Roman" w:hAnsi="Times New Roman" w:cs="Times New Roman"/>
                <w:bCs/>
                <w:color w:val="auto"/>
                <w:lang w:val="en-US" w:eastAsia="zh-CN"/>
              </w:rPr>
              <w:t>浓度</w:t>
            </w:r>
            <w:r>
              <w:rPr>
                <w:rFonts w:hint="default" w:ascii="Times New Roman" w:hAnsi="Times New Roman" w:cs="Times New Roman"/>
                <w:bCs/>
                <w:color w:val="auto"/>
              </w:rPr>
              <w:t>满足</w:t>
            </w:r>
            <w:r>
              <w:rPr>
                <w:rFonts w:hint="eastAsia"/>
                <w:color w:val="000000"/>
                <w:lang w:val="en-US" w:eastAsia="zh-CN"/>
              </w:rPr>
              <w:t>《大气污染物综合排放标准》（GB16297-1996）表2中</w:t>
            </w:r>
            <w:r>
              <w:rPr>
                <w:rFonts w:hint="eastAsia"/>
                <w:color w:val="000000"/>
                <w:lang w:bidi="ar"/>
              </w:rPr>
              <w:t>新污染源</w:t>
            </w:r>
            <w:r>
              <w:rPr>
                <w:color w:val="000000"/>
                <w:lang w:bidi="ar"/>
              </w:rPr>
              <w:t>排放</w:t>
            </w:r>
            <w:r>
              <w:rPr>
                <w:rFonts w:hint="eastAsia"/>
                <w:color w:val="auto"/>
                <w:lang w:val="en-US" w:eastAsia="zh-CN"/>
              </w:rPr>
              <w:t>限值要求</w:t>
            </w:r>
            <w:r>
              <w:rPr>
                <w:rFonts w:hint="eastAsia" w:cs="Times New Roman"/>
                <w:color w:val="auto"/>
                <w:lang w:val="en-US" w:eastAsia="zh-CN"/>
              </w:rPr>
              <w:t>、</w:t>
            </w:r>
            <w:r>
              <w:rPr>
                <w:rFonts w:hint="eastAsia"/>
                <w:lang w:val="en-US" w:eastAsia="zh-CN"/>
              </w:rPr>
              <w:t>安徽省</w:t>
            </w:r>
            <w:r>
              <w:t>《</w:t>
            </w:r>
            <w:r>
              <w:rPr>
                <w:lang w:val="en-US" w:eastAsia="zh-CN"/>
              </w:rPr>
              <w:t xml:space="preserve">固定源挥发性有机物综合排放标准 </w:t>
            </w:r>
            <w:r>
              <w:rPr>
                <w:rFonts w:hint="eastAsia"/>
                <w:lang w:val="en-US" w:eastAsia="zh-CN"/>
              </w:rPr>
              <w:t>第6部分：其他行业</w:t>
            </w:r>
            <w:r>
              <w:t>》（</w:t>
            </w:r>
            <w:r>
              <w:rPr>
                <w:lang w:val="en-US" w:eastAsia="zh-CN"/>
              </w:rPr>
              <w:t>DB 34/</w:t>
            </w:r>
            <w:r>
              <w:rPr>
                <w:rFonts w:hint="eastAsia"/>
                <w:lang w:val="en-US" w:eastAsia="zh-CN"/>
              </w:rPr>
              <w:t xml:space="preserve"> </w:t>
            </w:r>
            <w:r>
              <w:rPr>
                <w:lang w:val="en-US" w:eastAsia="zh-CN"/>
              </w:rPr>
              <w:t>4812.6</w:t>
            </w:r>
            <w:r>
              <w:rPr>
                <w:rFonts w:hint="eastAsia"/>
                <w:lang w:val="en-US" w:eastAsia="zh-CN"/>
              </w:rPr>
              <w:t>-</w:t>
            </w:r>
            <w:r>
              <w:rPr>
                <w:lang w:val="en-US" w:eastAsia="zh-CN"/>
              </w:rPr>
              <w:t>2024</w:t>
            </w:r>
            <w:r>
              <w:t>）</w:t>
            </w:r>
            <w:r>
              <w:rPr>
                <w:rFonts w:hint="eastAsia"/>
                <w:color w:val="auto"/>
                <w:lang w:val="en-US" w:eastAsia="zh-CN"/>
              </w:rPr>
              <w:t>表1中排放限值要求</w:t>
            </w:r>
            <w:r>
              <w:rPr>
                <w:rFonts w:hint="default" w:ascii="Times New Roman" w:hAnsi="Times New Roman" w:cs="Times New Roman"/>
                <w:color w:val="auto"/>
              </w:rPr>
              <w:t>，</w:t>
            </w:r>
            <w:r>
              <w:rPr>
                <w:rFonts w:hint="default" w:ascii="Times New Roman" w:hAnsi="Times New Roman" w:cs="Times New Roman"/>
                <w:bCs/>
                <w:color w:val="auto"/>
              </w:rPr>
              <w:t>故不再进一步分析其可行性。</w:t>
            </w:r>
          </w:p>
          <w:p w14:paraId="5B5E2856">
            <w:pPr>
              <w:spacing w:line="360" w:lineRule="auto"/>
              <w:ind w:firstLine="480" w:firstLineChars="200"/>
            </w:pPr>
            <w:r>
              <w:rPr>
                <w:rFonts w:hint="eastAsia"/>
                <w:lang w:eastAsia="zh-CN"/>
              </w:rPr>
              <w:t>（</w:t>
            </w:r>
            <w:r>
              <w:rPr>
                <w:rFonts w:hint="eastAsia"/>
                <w:lang w:val="en-US" w:eastAsia="zh-CN"/>
              </w:rPr>
              <w:t>2</w:t>
            </w:r>
            <w:r>
              <w:rPr>
                <w:rFonts w:hint="eastAsia"/>
                <w:lang w:eastAsia="zh-CN"/>
              </w:rPr>
              <w:t>）</w:t>
            </w:r>
            <w:r>
              <w:rPr>
                <w:rFonts w:hint="eastAsia"/>
              </w:rPr>
              <w:t>废气治理设施适用性分析</w:t>
            </w:r>
          </w:p>
          <w:p w14:paraId="22469798">
            <w:pPr>
              <w:spacing w:line="360" w:lineRule="auto"/>
              <w:ind w:firstLine="480" w:firstLineChars="200"/>
            </w:pPr>
            <w:r>
              <w:t>1）</w:t>
            </w:r>
            <w:r>
              <w:rPr>
                <w:rFonts w:hint="eastAsia"/>
                <w:lang w:val="en-US" w:eastAsia="zh-CN"/>
              </w:rPr>
              <w:t>袋式</w:t>
            </w:r>
            <w:r>
              <w:rPr>
                <w:rFonts w:hint="eastAsia"/>
              </w:rPr>
              <w:t>除尘器</w:t>
            </w:r>
            <w:r>
              <w:rPr>
                <w:rFonts w:hint="eastAsia"/>
                <w:lang w:eastAsia="zh-CN"/>
              </w:rPr>
              <w:t>：</w:t>
            </w:r>
            <w:r>
              <w:t>利用纤维织物的过滤作用对含尘气体进行过滤，当含尘气体进入布袋除尘器，颗粒大、比重大的粉尘，由于重力的作用沉降下来，落入灰斗，含有较细小粉尘的气体在通过滤料时，粉尘被阻留，使气体得到净化。一般新滤料的除尘效率是不够高的。滤料使用一段时间后，由于筛滤、碰撞、滞留、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除尘器效率下降。另外，除尘器的阻力过高会使除尘系统的风量显著下降。因此，除尘器的阻力达到一定数值后，要及时清灰。布袋除尘装置运行成本符合企业预算，故粉尘采用布袋除尘装置处理可行。</w:t>
            </w:r>
          </w:p>
          <w:p w14:paraId="07457386">
            <w:pPr>
              <w:adjustRightInd w:val="0"/>
              <w:snapToGrid w:val="0"/>
              <w:spacing w:line="360" w:lineRule="auto"/>
              <w:ind w:firstLine="480" w:firstLineChars="200"/>
              <w:rPr>
                <w:rFonts w:ascii="宋体" w:hAnsi="宋体" w:cs="宋体"/>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移动式焊接烟尘净化器</w:t>
            </w:r>
            <w:r>
              <w:rPr>
                <w:rFonts w:ascii="宋体" w:hAnsi="宋体" w:cs="宋体"/>
              </w:rPr>
              <w:t>：通过风机引力作用，焊烟废气经万向吸尘罩吸入设备进风口，设备进风口处设有阻火器，火花经阻火器被阻留，烟尘气体进入沉降室，利用重力与上行气流，首先将粗粒尘直接降至灰斗，微粒烟尘被滤芯捕集在外表面，洁净气体经滤芯过滤净化后经出风口达标排出。是一款专为工业焊接烟尘和轻质颗粒而设计的净化装置，轻巧灵活，操作方便，同时广泛应用于化工、电子、金属加工、烟草、玻璃、制药、食品加工、净化室、医院等行业及其它有粉尘、烟雾污染的场所。</w:t>
            </w:r>
          </w:p>
          <w:p w14:paraId="20C6F74E">
            <w:pPr>
              <w:autoSpaceDE w:val="0"/>
              <w:autoSpaceDN w:val="0"/>
              <w:adjustRightInd w:val="0"/>
              <w:spacing w:line="360" w:lineRule="auto"/>
              <w:ind w:firstLine="480" w:firstLineChars="200"/>
              <w:rPr>
                <w:color w:val="000000" w:themeColor="text1"/>
                <w14:textFill>
                  <w14:solidFill>
                    <w14:schemeClr w14:val="tx1"/>
                  </w14:solidFill>
                </w14:textFill>
              </w:rPr>
            </w:pPr>
            <w:r>
              <w:rPr>
                <w:rFonts w:hint="eastAsia"/>
              </w:rPr>
              <w:t>3）</w:t>
            </w:r>
            <w:r>
              <w:rPr>
                <w:rFonts w:hint="eastAsia"/>
                <w:lang w:val="en-US" w:eastAsia="zh-CN"/>
              </w:rPr>
              <w:t>活性炭</w:t>
            </w:r>
            <w:r>
              <w:rPr>
                <w:rFonts w:eastAsia="Times New Roman"/>
                <w:color w:val="000000"/>
                <w:lang w:val="zh-CN"/>
              </w:rPr>
              <w:t>吸附装置</w:t>
            </w:r>
            <w:r>
              <w:rPr>
                <w:rFonts w:hint="eastAsia" w:eastAsia="Times New Roman"/>
                <w:color w:val="000000"/>
                <w:lang w:val="zh-CN"/>
              </w:rPr>
              <w:t>：</w:t>
            </w:r>
            <w:r>
              <w:rPr>
                <w:rFonts w:hint="eastAsia"/>
                <w:lang w:val="en-US" w:eastAsia="zh-CN"/>
              </w:rPr>
              <w:t>活性炭</w:t>
            </w:r>
            <w:r>
              <w:rPr>
                <w:rFonts w:eastAsia="Times New Roman"/>
                <w:color w:val="000000"/>
                <w:lang w:val="zh-CN"/>
              </w:rPr>
              <w:t>吸附装置性能特点</w:t>
            </w:r>
            <w:r>
              <w:rPr>
                <w:rFonts w:hint="eastAsia" w:eastAsia="Times New Roman"/>
                <w:color w:val="000000"/>
                <w:lang w:val="zh-CN"/>
              </w:rPr>
              <w:t>，</w:t>
            </w:r>
            <w:r>
              <w:rPr>
                <w:rFonts w:eastAsia="Times New Roman"/>
                <w:color w:val="000000"/>
                <w:lang w:val="zh-CN"/>
              </w:rPr>
              <w:t>运行过程不产生二次污染；设备投资少，运行费用低，性能稳定、可同时处理多种混合气体，净化效率≥90%；采用新型</w:t>
            </w:r>
            <w:r>
              <w:rPr>
                <w:rFonts w:hint="eastAsia" w:eastAsia="Times New Roman"/>
                <w:color w:val="000000"/>
                <w:lang w:val="zh-CN"/>
              </w:rPr>
              <w:t>活性炭</w:t>
            </w:r>
            <w:r>
              <w:rPr>
                <w:rFonts w:eastAsia="Times New Roman"/>
                <w:color w:val="000000"/>
                <w:lang w:val="zh-CN"/>
              </w:rPr>
              <w:t>吸附材料作为吸附剂，具有阻力低、寿命长、净化效率高等优点；全密闭型，室内外皆可使用；根据工程实际需要，可采用自动化控制运转设计，操作简易、安全；设备构造紧凑，占地面积小，维护管理简单方便，运转成本低；</w:t>
            </w:r>
            <w:r>
              <w:rPr>
                <w:rFonts w:hint="eastAsia" w:eastAsia="Times New Roman"/>
                <w:color w:val="000000"/>
                <w:lang w:val="zh-CN"/>
              </w:rPr>
              <w:t>活性炭</w:t>
            </w:r>
            <w:r>
              <w:rPr>
                <w:rFonts w:eastAsia="Times New Roman"/>
                <w:color w:val="000000"/>
                <w:lang w:val="zh-CN"/>
              </w:rPr>
              <w:t>吸附装置可以依据废气处理特性及客户需求，进行个案设计定制。</w:t>
            </w:r>
          </w:p>
          <w:p w14:paraId="2D2525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）无组织废气管控措施</w:t>
            </w:r>
          </w:p>
          <w:p w14:paraId="4C857197">
            <w:pPr>
              <w:autoSpaceDE w:val="0"/>
              <w:autoSpaceDN w:val="0"/>
              <w:adjustRightInd w:val="0"/>
              <w:spacing w:line="360" w:lineRule="auto"/>
              <w:ind w:firstLine="480"/>
              <w:rPr>
                <w:rFonts w:ascii="Times New Roman" w:hAnsi="Times New Roman" w:eastAsia="宋体" w:cs="Times New Roman"/>
                <w:color w:val="000000" w:themeColor="text1"/>
                <w:kern w:val="0"/>
                <w:lang w:val="zh-CN"/>
                <w14:textFill>
                  <w14:solidFill>
                    <w14:schemeClr w14:val="tx1"/>
                  </w14:solidFill>
                </w14:textFill>
              </w:rPr>
            </w:pPr>
            <w:r>
              <w:rPr>
                <w:color w:val="000000" w:themeColor="text1"/>
                <w14:textFill>
                  <w14:solidFill>
                    <w14:schemeClr w14:val="tx1"/>
                  </w14:solidFill>
                </w14:textFill>
              </w:rPr>
              <w:t>项目无组织排</w:t>
            </w:r>
            <w:r>
              <w:rPr>
                <w:rFonts w:ascii="Times New Roman" w:hAnsi="Times New Roman" w:eastAsia="宋体" w:cs="Times New Roman"/>
                <w:color w:val="000000" w:themeColor="text1"/>
                <w:kern w:val="0"/>
                <w:lang w:val="zh-CN"/>
                <w14:textFill>
                  <w14:solidFill>
                    <w14:schemeClr w14:val="tx1"/>
                  </w14:solidFill>
                </w14:textFill>
              </w:rPr>
              <w:t>放废气主要是生产车间内产生的无组织排放废气，包含</w:t>
            </w:r>
            <w:r>
              <w:rPr>
                <w:rFonts w:hint="eastAsia" w:cs="Times New Roman"/>
                <w:color w:val="000000" w:themeColor="text1"/>
                <w:kern w:val="0"/>
                <w:lang w:val="en-US" w:eastAsia="zh-CN"/>
                <w14:textFill>
                  <w14:solidFill>
                    <w14:schemeClr w14:val="tx1"/>
                  </w14:solidFill>
                </w14:textFill>
              </w:rPr>
              <w:t>机加工和密封产生的非甲烷总烃、焊接烟尘和</w:t>
            </w:r>
            <w:r>
              <w:rPr>
                <w:rFonts w:ascii="Times New Roman" w:hAnsi="Times New Roman" w:eastAsia="宋体" w:cs="Times New Roman"/>
                <w:color w:val="000000" w:themeColor="text1"/>
                <w:kern w:val="0"/>
                <w:lang w:val="zh-CN"/>
                <w14:textFill>
                  <w14:solidFill>
                    <w14:schemeClr w14:val="tx1"/>
                  </w14:solidFill>
                </w14:textFill>
              </w:rPr>
              <w:t>未收集到的无组织</w:t>
            </w:r>
            <w:r>
              <w:rPr>
                <w:rFonts w:hint="eastAsia" w:cs="Times New Roman"/>
                <w:color w:val="000000" w:themeColor="text1"/>
                <w:kern w:val="0"/>
                <w:lang w:val="en-US" w:eastAsia="zh-CN"/>
                <w14:textFill>
                  <w14:solidFill>
                    <w14:schemeClr w14:val="tx1"/>
                  </w14:solidFill>
                </w14:textFill>
              </w:rPr>
              <w:t>颗粒物、非甲烷总烃等</w:t>
            </w:r>
            <w:r>
              <w:rPr>
                <w:rFonts w:ascii="Times New Roman" w:hAnsi="Times New Roman" w:eastAsia="宋体" w:cs="Times New Roman"/>
                <w:color w:val="000000" w:themeColor="text1"/>
                <w:kern w:val="0"/>
                <w:lang w:val="zh-CN"/>
                <w14:textFill>
                  <w14:solidFill>
                    <w14:schemeClr w14:val="tx1"/>
                  </w14:solidFill>
                </w14:textFill>
              </w:rPr>
              <w:t>。</w:t>
            </w:r>
          </w:p>
          <w:p w14:paraId="5DE82976">
            <w:pPr>
              <w:autoSpaceDE w:val="0"/>
              <w:autoSpaceDN w:val="0"/>
              <w:adjustRightInd w:val="0"/>
              <w:spacing w:line="360" w:lineRule="auto"/>
              <w:ind w:firstLine="480"/>
              <w:rPr>
                <w:color w:val="000000" w:themeColor="text1"/>
                <w:kern w:val="0"/>
                <w:lang w:val="zh-CN"/>
                <w14:textFill>
                  <w14:solidFill>
                    <w14:schemeClr w14:val="tx1"/>
                  </w14:solidFill>
                </w14:textFill>
              </w:rPr>
            </w:pPr>
            <w:r>
              <w:rPr>
                <w:rFonts w:ascii="Times New Roman" w:hAnsi="Times New Roman" w:eastAsia="宋体" w:cs="Times New Roman"/>
                <w:color w:val="000000" w:themeColor="text1"/>
                <w:kern w:val="0"/>
                <w:lang w:val="zh-CN"/>
                <w14:textFill>
                  <w14:solidFill>
                    <w14:schemeClr w14:val="tx1"/>
                  </w14:solidFill>
                </w14:textFill>
              </w:rPr>
              <w:t>为有效控制废气的无组织排</w:t>
            </w:r>
            <w:r>
              <w:rPr>
                <w:color w:val="000000" w:themeColor="text1"/>
                <w:kern w:val="0"/>
                <w:lang w:val="zh-CN"/>
                <w14:textFill>
                  <w14:solidFill>
                    <w14:schemeClr w14:val="tx1"/>
                  </w14:solidFill>
                </w14:textFill>
              </w:rPr>
              <w:t>放，本项日采取预防为主的方针，同时优化工艺设计，尽量最大限度收集废气，尽量转化成有组织排放。除此之外，本项目运营时应加强操作工的培训和管理，减少人为造成的废气无组织排放。同时加大车间的通风换气的力度，尤其是在有无组织挥发的车间。</w:t>
            </w:r>
          </w:p>
          <w:p w14:paraId="3365ECCF">
            <w:pPr>
              <w:autoSpaceDE w:val="0"/>
              <w:autoSpaceDN w:val="0"/>
              <w:adjustRightInd w:val="0"/>
              <w:spacing w:line="360" w:lineRule="auto"/>
              <w:ind w:firstLine="482"/>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为减少无组织排放点和排放强度，同时减轻无组织排放的污染物对环境的影响，本环评建议采用以下方式：</w:t>
            </w:r>
          </w:p>
          <w:p w14:paraId="4EFA5455">
            <w:pPr>
              <w:autoSpaceDE w:val="0"/>
              <w:autoSpaceDN w:val="0"/>
              <w:adjustRightInd w:val="0"/>
              <w:spacing w:line="360" w:lineRule="auto"/>
              <w:ind w:firstLine="482"/>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fldChar w:fldCharType="begin"/>
            </w:r>
            <w:r>
              <w:rPr>
                <w:color w:val="000000" w:themeColor="text1"/>
                <w:kern w:val="0"/>
                <w:lang w:val="zh-CN"/>
                <w14:textFill>
                  <w14:solidFill>
                    <w14:schemeClr w14:val="tx1"/>
                  </w14:solidFill>
                </w14:textFill>
              </w:rPr>
              <w:instrText xml:space="preserve"> = 1 \* GB3 \* MERGEFORMAT </w:instrText>
            </w:r>
            <w:r>
              <w:rPr>
                <w:color w:val="000000" w:themeColor="text1"/>
                <w:kern w:val="0"/>
                <w:lang w:val="zh-CN"/>
                <w14:textFill>
                  <w14:solidFill>
                    <w14:schemeClr w14:val="tx1"/>
                  </w14:solidFill>
                </w14:textFill>
              </w:rPr>
              <w:fldChar w:fldCharType="separate"/>
            </w:r>
            <w:r>
              <w:rPr>
                <w:rFonts w:hint="eastAsia" w:cs="宋体"/>
                <w:color w:val="000000" w:themeColor="text1"/>
                <w14:textFill>
                  <w14:solidFill>
                    <w14:schemeClr w14:val="tx1"/>
                  </w14:solidFill>
                </w14:textFill>
              </w:rPr>
              <w:t>①</w:t>
            </w:r>
            <w:r>
              <w:rPr>
                <w:color w:val="000000" w:themeColor="text1"/>
                <w:kern w:val="0"/>
                <w:lang w:val="zh-CN"/>
                <w14:textFill>
                  <w14:solidFill>
                    <w14:schemeClr w14:val="tx1"/>
                  </w14:solidFill>
                </w14:textFill>
              </w:rPr>
              <w:fldChar w:fldCharType="end"/>
            </w:r>
            <w:r>
              <w:rPr>
                <w:color w:val="000000" w:themeColor="text1"/>
                <w:kern w:val="0"/>
                <w:lang w:val="zh-CN"/>
                <w14:textFill>
                  <w14:solidFill>
                    <w14:schemeClr w14:val="tx1"/>
                  </w14:solidFill>
                </w14:textFill>
              </w:rPr>
              <w:t>工艺优化</w:t>
            </w:r>
          </w:p>
          <w:p w14:paraId="2437F1E3">
            <w:pPr>
              <w:autoSpaceDE w:val="0"/>
              <w:autoSpaceDN w:val="0"/>
              <w:adjustRightInd w:val="0"/>
              <w:spacing w:line="360" w:lineRule="auto"/>
              <w:ind w:firstLine="482"/>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优化车间设备布局，减少物料转运路程，使整个工艺系统得到优化。</w:t>
            </w:r>
          </w:p>
          <w:p w14:paraId="0A47A139">
            <w:pPr>
              <w:autoSpaceDE w:val="0"/>
              <w:autoSpaceDN w:val="0"/>
              <w:adjustRightInd w:val="0"/>
              <w:spacing w:line="360" w:lineRule="auto"/>
              <w:ind w:firstLine="482"/>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fldChar w:fldCharType="begin"/>
            </w:r>
            <w:r>
              <w:rPr>
                <w:color w:val="000000" w:themeColor="text1"/>
                <w:kern w:val="0"/>
                <w:lang w:val="zh-CN"/>
                <w14:textFill>
                  <w14:solidFill>
                    <w14:schemeClr w14:val="tx1"/>
                  </w14:solidFill>
                </w14:textFill>
              </w:rPr>
              <w:instrText xml:space="preserve"> = 2 \* GB3 \* MERGEFORMAT </w:instrText>
            </w:r>
            <w:r>
              <w:rPr>
                <w:color w:val="000000" w:themeColor="text1"/>
                <w:kern w:val="0"/>
                <w:lang w:val="zh-CN"/>
                <w14:textFill>
                  <w14:solidFill>
                    <w14:schemeClr w14:val="tx1"/>
                  </w14:solidFill>
                </w14:textFill>
              </w:rPr>
              <w:fldChar w:fldCharType="separate"/>
            </w:r>
            <w:r>
              <w:rPr>
                <w:rFonts w:hint="eastAsia" w:cs="宋体"/>
                <w:color w:val="000000" w:themeColor="text1"/>
                <w14:textFill>
                  <w14:solidFill>
                    <w14:schemeClr w14:val="tx1"/>
                  </w14:solidFill>
                </w14:textFill>
              </w:rPr>
              <w:t>②</w:t>
            </w:r>
            <w:r>
              <w:rPr>
                <w:color w:val="000000" w:themeColor="text1"/>
                <w:kern w:val="0"/>
                <w:lang w:val="zh-CN"/>
                <w14:textFill>
                  <w14:solidFill>
                    <w14:schemeClr w14:val="tx1"/>
                  </w14:solidFill>
                </w14:textFill>
              </w:rPr>
              <w:fldChar w:fldCharType="end"/>
            </w:r>
            <w:r>
              <w:rPr>
                <w:color w:val="000000" w:themeColor="text1"/>
                <w:kern w:val="0"/>
                <w:lang w:val="zh-CN"/>
                <w14:textFill>
                  <w14:solidFill>
                    <w14:schemeClr w14:val="tx1"/>
                  </w14:solidFill>
                </w14:textFill>
              </w:rPr>
              <w:t>操作规范</w:t>
            </w:r>
          </w:p>
          <w:p w14:paraId="26CCE5F6">
            <w:pPr>
              <w:autoSpaceDE w:val="0"/>
              <w:autoSpaceDN w:val="0"/>
              <w:adjustRightInd w:val="0"/>
              <w:spacing w:line="360" w:lineRule="auto"/>
              <w:ind w:firstLine="480"/>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t>无论是原辅材料的存放、转移还是生产操作一定按照相关规范进行，尽可能减少跑、冒、滴、漏现象。设备维修可以集中定期进行，以减少无组织排放的，同时维修应尽可能选在一个流程完成、设备中无存料的时段进行。</w:t>
            </w:r>
          </w:p>
          <w:p w14:paraId="3D44673D">
            <w:pPr>
              <w:autoSpaceDE w:val="0"/>
              <w:autoSpaceDN w:val="0"/>
              <w:adjustRightInd w:val="0"/>
              <w:spacing w:line="360" w:lineRule="auto"/>
              <w:ind w:firstLine="480"/>
              <w:rPr>
                <w:color w:val="000000" w:themeColor="text1"/>
                <w:kern w:val="0"/>
                <w:lang w:val="zh-CN"/>
                <w14:textFill>
                  <w14:solidFill>
                    <w14:schemeClr w14:val="tx1"/>
                  </w14:solidFill>
                </w14:textFill>
              </w:rPr>
            </w:pPr>
            <w:r>
              <w:rPr>
                <w:color w:val="000000" w:themeColor="text1"/>
                <w:kern w:val="0"/>
                <w:lang w:val="zh-CN"/>
                <w14:textFill>
                  <w14:solidFill>
                    <w14:schemeClr w14:val="tx1"/>
                  </w14:solidFill>
                </w14:textFill>
              </w:rPr>
              <w:fldChar w:fldCharType="begin"/>
            </w:r>
            <w:r>
              <w:rPr>
                <w:color w:val="000000" w:themeColor="text1"/>
                <w:kern w:val="0"/>
                <w:lang w:val="zh-CN"/>
                <w14:textFill>
                  <w14:solidFill>
                    <w14:schemeClr w14:val="tx1"/>
                  </w14:solidFill>
                </w14:textFill>
              </w:rPr>
              <w:instrText xml:space="preserve"> = 3 \* GB3 \* MERGEFORMAT </w:instrText>
            </w:r>
            <w:r>
              <w:rPr>
                <w:color w:val="000000" w:themeColor="text1"/>
                <w:kern w:val="0"/>
                <w:lang w:val="zh-CN"/>
                <w14:textFill>
                  <w14:solidFill>
                    <w14:schemeClr w14:val="tx1"/>
                  </w14:solidFill>
                </w14:textFill>
              </w:rPr>
              <w:fldChar w:fldCharType="separate"/>
            </w:r>
            <w:r>
              <w:rPr>
                <w:rFonts w:hint="eastAsia" w:cs="宋体"/>
                <w:color w:val="000000" w:themeColor="text1"/>
                <w14:textFill>
                  <w14:solidFill>
                    <w14:schemeClr w14:val="tx1"/>
                  </w14:solidFill>
                </w14:textFill>
              </w:rPr>
              <w:t>③</w:t>
            </w:r>
            <w:r>
              <w:rPr>
                <w:color w:val="000000" w:themeColor="text1"/>
                <w:kern w:val="0"/>
                <w:lang w:val="zh-CN"/>
                <w14:textFill>
                  <w14:solidFill>
                    <w14:schemeClr w14:val="tx1"/>
                  </w14:solidFill>
                </w14:textFill>
              </w:rPr>
              <w:fldChar w:fldCharType="end"/>
            </w:r>
            <w:r>
              <w:rPr>
                <w:color w:val="000000" w:themeColor="text1"/>
                <w:kern w:val="0"/>
                <w:lang w:val="zh-CN"/>
                <w14:textFill>
                  <w14:solidFill>
                    <w14:schemeClr w14:val="tx1"/>
                  </w14:solidFill>
                </w14:textFill>
              </w:rPr>
              <w:t>增强车间通风，降低无组织排放浓度当车间内出现无组织排放时应加强车间通风，以达到降低污染物在车间或仓储的局部区域的浓度，减少对职工的健康安全和环境的影响。</w:t>
            </w:r>
          </w:p>
          <w:p w14:paraId="180FD649">
            <w:pPr>
              <w:pStyle w:val="116"/>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Times New Roman" w:hAnsi="Times New Roman" w:cs="Times New Roman"/>
                <w:b/>
                <w:bCs/>
                <w:color w:val="000000" w:themeColor="text1"/>
                <w:lang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4、</w:t>
            </w:r>
            <w:r>
              <w:rPr>
                <w:rFonts w:ascii="Times New Roman" w:hAnsi="Times New Roman" w:cs="Times New Roman"/>
                <w:b/>
                <w:bCs/>
                <w:color w:val="000000" w:themeColor="text1"/>
                <w:lang w:eastAsia="zh-CN"/>
                <w14:textFill>
                  <w14:solidFill>
                    <w14:schemeClr w14:val="tx1"/>
                  </w14:solidFill>
                </w14:textFill>
              </w:rPr>
              <w:t>非正常工况</w:t>
            </w:r>
          </w:p>
          <w:p w14:paraId="15318712">
            <w:pPr>
              <w:spacing w:line="360" w:lineRule="auto"/>
              <w:ind w:firstLine="480" w:firstLineChars="200"/>
              <w:rPr>
                <w:color w:val="auto"/>
                <w:sz w:val="24"/>
              </w:rPr>
            </w:pPr>
            <w:r>
              <w:rPr>
                <w:color w:val="auto"/>
                <w:sz w:val="24"/>
              </w:rPr>
              <w:t>非正常排放是指生产过程中开停车（工、炉）、设备检修、工艺设备运转异常等非正常工况下的污染物排放，以及污染物排放控制措施达不到应有效率等情况下的排放。项目废气非正常工况排放主要为</w:t>
            </w:r>
            <w:r>
              <w:rPr>
                <w:rFonts w:hint="eastAsia"/>
                <w:color w:val="auto"/>
                <w:sz w:val="24"/>
                <w:lang w:val="en-US" w:eastAsia="zh-CN"/>
              </w:rPr>
              <w:t>袋式除尘器未及时更换布袋、活性炭未及时更换或废气处理装置</w:t>
            </w:r>
            <w:r>
              <w:rPr>
                <w:color w:val="auto"/>
                <w:sz w:val="24"/>
              </w:rPr>
              <w:t>发生故障时，废气处</w:t>
            </w:r>
            <w:r>
              <w:rPr>
                <w:color w:val="000000" w:themeColor="text1"/>
                <w:sz w:val="24"/>
                <w14:textFill>
                  <w14:solidFill>
                    <w14:schemeClr w14:val="tx1"/>
                  </w14:solidFill>
                </w14:textFill>
              </w:rPr>
              <w:t>理效率为0%的状态</w:t>
            </w:r>
            <w:r>
              <w:rPr>
                <w:color w:val="auto"/>
                <w:sz w:val="24"/>
              </w:rPr>
              <w:t>进行估算，但废气收集系统可以正常运行，废气通过排气筒排放等情况，废气处理设施出现故障不能正常运行时，应立即停产进行维修，避免对周围环境造成污染。废气非正常工况源强情况见</w:t>
            </w:r>
            <w:r>
              <w:rPr>
                <w:rFonts w:hint="eastAsia"/>
                <w:color w:val="auto"/>
                <w:sz w:val="24"/>
                <w:lang w:val="en-US" w:eastAsia="zh-CN"/>
              </w:rPr>
              <w:t>下</w:t>
            </w:r>
            <w:r>
              <w:rPr>
                <w:color w:val="auto"/>
                <w:sz w:val="24"/>
              </w:rPr>
              <w:t>表。</w:t>
            </w:r>
          </w:p>
          <w:p w14:paraId="02421A5D">
            <w:pPr>
              <w:jc w:val="center"/>
              <w:rPr>
                <w:b/>
                <w:bCs/>
                <w:color w:val="auto"/>
                <w:sz w:val="24"/>
              </w:rPr>
            </w:pPr>
            <w:r>
              <w:rPr>
                <w:b/>
                <w:bCs/>
                <w:color w:val="auto"/>
                <w:sz w:val="24"/>
              </w:rPr>
              <w:t>表4-</w:t>
            </w:r>
            <w:r>
              <w:rPr>
                <w:rFonts w:hint="eastAsia"/>
                <w:b/>
                <w:bCs/>
                <w:color w:val="auto"/>
                <w:sz w:val="24"/>
                <w:lang w:val="en-US" w:eastAsia="zh-CN"/>
              </w:rPr>
              <w:t xml:space="preserve">6 </w:t>
            </w:r>
            <w:r>
              <w:rPr>
                <w:b/>
                <w:bCs/>
                <w:color w:val="auto"/>
                <w:sz w:val="24"/>
              </w:rPr>
              <w:t xml:space="preserve"> 废气非正常工况排放量核算表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90"/>
              <w:gridCol w:w="983"/>
              <w:gridCol w:w="1082"/>
              <w:gridCol w:w="1320"/>
              <w:gridCol w:w="1170"/>
              <w:gridCol w:w="735"/>
              <w:gridCol w:w="660"/>
              <w:gridCol w:w="745"/>
            </w:tblGrid>
            <w:tr w14:paraId="70E7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Align w:val="center"/>
                </w:tcPr>
                <w:p w14:paraId="18B0E7F7">
                  <w:pPr>
                    <w:jc w:val="center"/>
                    <w:rPr>
                      <w:b/>
                      <w:bCs/>
                      <w:color w:val="000000"/>
                      <w:sz w:val="21"/>
                      <w:szCs w:val="21"/>
                    </w:rPr>
                  </w:pPr>
                  <w:r>
                    <w:rPr>
                      <w:b/>
                      <w:bCs/>
                      <w:color w:val="000000"/>
                      <w:sz w:val="21"/>
                      <w:szCs w:val="21"/>
                    </w:rPr>
                    <w:t>序号</w:t>
                  </w:r>
                </w:p>
              </w:tc>
              <w:tc>
                <w:tcPr>
                  <w:tcW w:w="890" w:type="dxa"/>
                  <w:vAlign w:val="center"/>
                </w:tcPr>
                <w:p w14:paraId="558EBA88">
                  <w:pPr>
                    <w:jc w:val="center"/>
                    <w:rPr>
                      <w:b/>
                      <w:bCs/>
                      <w:color w:val="000000"/>
                      <w:sz w:val="21"/>
                      <w:szCs w:val="21"/>
                    </w:rPr>
                  </w:pPr>
                  <w:r>
                    <w:rPr>
                      <w:b/>
                      <w:bCs/>
                      <w:color w:val="000000"/>
                      <w:sz w:val="21"/>
                      <w:szCs w:val="21"/>
                    </w:rPr>
                    <w:t>污染源</w:t>
                  </w:r>
                </w:p>
              </w:tc>
              <w:tc>
                <w:tcPr>
                  <w:tcW w:w="983" w:type="dxa"/>
                  <w:vAlign w:val="center"/>
                </w:tcPr>
                <w:p w14:paraId="0CF2E144">
                  <w:pPr>
                    <w:jc w:val="center"/>
                    <w:rPr>
                      <w:b/>
                      <w:bCs/>
                      <w:color w:val="000000"/>
                      <w:sz w:val="21"/>
                      <w:szCs w:val="21"/>
                    </w:rPr>
                  </w:pPr>
                  <w:r>
                    <w:rPr>
                      <w:b/>
                      <w:bCs/>
                      <w:color w:val="000000"/>
                      <w:sz w:val="21"/>
                      <w:szCs w:val="21"/>
                    </w:rPr>
                    <w:t>非正常排放原因</w:t>
                  </w:r>
                </w:p>
              </w:tc>
              <w:tc>
                <w:tcPr>
                  <w:tcW w:w="1082" w:type="dxa"/>
                  <w:vAlign w:val="center"/>
                </w:tcPr>
                <w:p w14:paraId="353C9932">
                  <w:pPr>
                    <w:jc w:val="center"/>
                    <w:rPr>
                      <w:b/>
                      <w:bCs/>
                      <w:color w:val="000000"/>
                      <w:sz w:val="21"/>
                      <w:szCs w:val="21"/>
                    </w:rPr>
                  </w:pPr>
                  <w:r>
                    <w:rPr>
                      <w:b/>
                      <w:bCs/>
                      <w:color w:val="000000"/>
                      <w:sz w:val="21"/>
                      <w:szCs w:val="21"/>
                    </w:rPr>
                    <w:t>污染物</w:t>
                  </w:r>
                </w:p>
              </w:tc>
              <w:tc>
                <w:tcPr>
                  <w:tcW w:w="1320" w:type="dxa"/>
                  <w:vAlign w:val="center"/>
                </w:tcPr>
                <w:p w14:paraId="6F49814A">
                  <w:pPr>
                    <w:jc w:val="center"/>
                    <w:rPr>
                      <w:b/>
                      <w:bCs/>
                      <w:color w:val="000000"/>
                      <w:sz w:val="21"/>
                      <w:szCs w:val="21"/>
                    </w:rPr>
                  </w:pPr>
                  <w:r>
                    <w:rPr>
                      <w:b/>
                      <w:bCs/>
                      <w:color w:val="auto"/>
                      <w:sz w:val="21"/>
                      <w:szCs w:val="21"/>
                    </w:rPr>
                    <w:t>非正常排放浓度/（mg/m</w:t>
                  </w:r>
                  <w:r>
                    <w:rPr>
                      <w:b/>
                      <w:bCs/>
                      <w:color w:val="auto"/>
                      <w:sz w:val="21"/>
                      <w:szCs w:val="21"/>
                      <w:vertAlign w:val="superscript"/>
                    </w:rPr>
                    <w:t>3</w:t>
                  </w:r>
                  <w:r>
                    <w:rPr>
                      <w:b/>
                      <w:bCs/>
                      <w:color w:val="auto"/>
                      <w:sz w:val="21"/>
                      <w:szCs w:val="21"/>
                    </w:rPr>
                    <w:t>）</w:t>
                  </w:r>
                </w:p>
              </w:tc>
              <w:tc>
                <w:tcPr>
                  <w:tcW w:w="1170" w:type="dxa"/>
                  <w:vAlign w:val="center"/>
                </w:tcPr>
                <w:p w14:paraId="5577175D">
                  <w:pPr>
                    <w:jc w:val="center"/>
                    <w:rPr>
                      <w:b/>
                      <w:bCs/>
                      <w:color w:val="000000"/>
                      <w:sz w:val="21"/>
                      <w:szCs w:val="21"/>
                    </w:rPr>
                  </w:pPr>
                  <w:r>
                    <w:rPr>
                      <w:b/>
                      <w:bCs/>
                      <w:color w:val="000000"/>
                      <w:sz w:val="21"/>
                      <w:szCs w:val="21"/>
                    </w:rPr>
                    <w:t>非正常排放速率/（kg/h）</w:t>
                  </w:r>
                </w:p>
              </w:tc>
              <w:tc>
                <w:tcPr>
                  <w:tcW w:w="735" w:type="dxa"/>
                  <w:vAlign w:val="center"/>
                </w:tcPr>
                <w:p w14:paraId="7DB717D0">
                  <w:pPr>
                    <w:jc w:val="center"/>
                    <w:rPr>
                      <w:b/>
                      <w:bCs/>
                      <w:color w:val="000000"/>
                      <w:sz w:val="21"/>
                      <w:szCs w:val="21"/>
                    </w:rPr>
                  </w:pPr>
                  <w:r>
                    <w:rPr>
                      <w:b/>
                      <w:bCs/>
                      <w:color w:val="000000"/>
                      <w:sz w:val="21"/>
                      <w:szCs w:val="21"/>
                    </w:rPr>
                    <w:t>单次持续时间/h</w:t>
                  </w:r>
                </w:p>
              </w:tc>
              <w:tc>
                <w:tcPr>
                  <w:tcW w:w="660" w:type="dxa"/>
                  <w:vAlign w:val="center"/>
                </w:tcPr>
                <w:p w14:paraId="1F7E687D">
                  <w:pPr>
                    <w:jc w:val="center"/>
                    <w:rPr>
                      <w:b/>
                      <w:bCs/>
                      <w:color w:val="000000"/>
                      <w:sz w:val="21"/>
                      <w:szCs w:val="21"/>
                    </w:rPr>
                  </w:pPr>
                  <w:r>
                    <w:rPr>
                      <w:b/>
                      <w:bCs/>
                      <w:color w:val="000000"/>
                      <w:sz w:val="21"/>
                      <w:szCs w:val="21"/>
                    </w:rPr>
                    <w:t>单次发生频次/次</w:t>
                  </w:r>
                </w:p>
              </w:tc>
              <w:tc>
                <w:tcPr>
                  <w:tcW w:w="745" w:type="dxa"/>
                  <w:vAlign w:val="center"/>
                </w:tcPr>
                <w:p w14:paraId="237277E6">
                  <w:pPr>
                    <w:jc w:val="center"/>
                    <w:rPr>
                      <w:b/>
                      <w:bCs/>
                      <w:color w:val="000000"/>
                      <w:sz w:val="21"/>
                      <w:szCs w:val="21"/>
                    </w:rPr>
                  </w:pPr>
                  <w:r>
                    <w:rPr>
                      <w:b/>
                      <w:bCs/>
                      <w:color w:val="000000"/>
                      <w:sz w:val="21"/>
                      <w:szCs w:val="21"/>
                    </w:rPr>
                    <w:t>应对措施</w:t>
                  </w:r>
                </w:p>
              </w:tc>
            </w:tr>
            <w:tr w14:paraId="6C1F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Align w:val="center"/>
                </w:tcPr>
                <w:p w14:paraId="5C2E2DB6">
                  <w:pPr>
                    <w:jc w:val="center"/>
                    <w:rPr>
                      <w:rFonts w:hint="eastAsia" w:eastAsia="宋体"/>
                      <w:color w:val="000000"/>
                      <w:sz w:val="21"/>
                      <w:szCs w:val="21"/>
                      <w:lang w:val="en-US" w:eastAsia="zh-CN"/>
                    </w:rPr>
                  </w:pPr>
                  <w:r>
                    <w:rPr>
                      <w:rFonts w:hint="eastAsia"/>
                      <w:color w:val="000000"/>
                      <w:sz w:val="21"/>
                      <w:szCs w:val="21"/>
                      <w:lang w:val="en-US" w:eastAsia="zh-CN"/>
                    </w:rPr>
                    <w:t>1</w:t>
                  </w:r>
                </w:p>
              </w:tc>
              <w:tc>
                <w:tcPr>
                  <w:tcW w:w="890" w:type="dxa"/>
                  <w:vAlign w:val="center"/>
                </w:tcPr>
                <w:p w14:paraId="74D659B0">
                  <w:pPr>
                    <w:jc w:val="center"/>
                    <w:rPr>
                      <w:rFonts w:hint="default"/>
                      <w:color w:val="000000"/>
                      <w:sz w:val="21"/>
                      <w:szCs w:val="21"/>
                      <w:lang w:val="en-US" w:eastAsia="zh-CN"/>
                    </w:rPr>
                  </w:pPr>
                  <w:r>
                    <w:rPr>
                      <w:rFonts w:hint="eastAsia"/>
                      <w:color w:val="000000"/>
                      <w:sz w:val="21"/>
                      <w:szCs w:val="21"/>
                      <w:lang w:val="en-US" w:eastAsia="zh-CN"/>
                    </w:rPr>
                    <w:t>下料</w:t>
                  </w:r>
                </w:p>
              </w:tc>
              <w:tc>
                <w:tcPr>
                  <w:tcW w:w="983" w:type="dxa"/>
                  <w:vMerge w:val="restart"/>
                  <w:vAlign w:val="center"/>
                </w:tcPr>
                <w:p w14:paraId="035FD7AB">
                  <w:pPr>
                    <w:jc w:val="center"/>
                    <w:rPr>
                      <w:color w:val="000000"/>
                      <w:sz w:val="21"/>
                      <w:szCs w:val="21"/>
                    </w:rPr>
                  </w:pPr>
                  <w:r>
                    <w:rPr>
                      <w:color w:val="000000"/>
                      <w:sz w:val="21"/>
                      <w:szCs w:val="21"/>
                    </w:rPr>
                    <w:t>废气处理设施故障，处理效率为0</w:t>
                  </w:r>
                  <w:r>
                    <w:rPr>
                      <w:rFonts w:hint="eastAsia"/>
                      <w:color w:val="000000"/>
                      <w:sz w:val="21"/>
                      <w:szCs w:val="21"/>
                    </w:rPr>
                    <w:t>%</w:t>
                  </w:r>
                </w:p>
              </w:tc>
              <w:tc>
                <w:tcPr>
                  <w:tcW w:w="1082" w:type="dxa"/>
                  <w:vAlign w:val="center"/>
                </w:tcPr>
                <w:p w14:paraId="1E62D942">
                  <w:pPr>
                    <w:jc w:val="center"/>
                    <w:rPr>
                      <w:rFonts w:hint="eastAsia" w:eastAsia="宋体"/>
                      <w:color w:val="000000"/>
                      <w:sz w:val="21"/>
                      <w:szCs w:val="21"/>
                      <w:lang w:val="en-US" w:eastAsia="zh-CN"/>
                    </w:rPr>
                  </w:pPr>
                  <w:r>
                    <w:rPr>
                      <w:rFonts w:hint="eastAsia"/>
                      <w:color w:val="000000"/>
                      <w:sz w:val="21"/>
                      <w:szCs w:val="21"/>
                      <w:lang w:val="en-US" w:eastAsia="zh-CN"/>
                    </w:rPr>
                    <w:t>颗粒物</w:t>
                  </w:r>
                </w:p>
              </w:tc>
              <w:tc>
                <w:tcPr>
                  <w:tcW w:w="1320" w:type="dxa"/>
                  <w:vAlign w:val="center"/>
                </w:tcPr>
                <w:p w14:paraId="2035F2C4">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57.008</w:t>
                  </w:r>
                </w:p>
              </w:tc>
              <w:tc>
                <w:tcPr>
                  <w:tcW w:w="1170" w:type="dxa"/>
                  <w:vAlign w:val="center"/>
                </w:tcPr>
                <w:p w14:paraId="152FE2D4">
                  <w:pPr>
                    <w:keepNext w:val="0"/>
                    <w:keepLines w:val="0"/>
                    <w:widowControl/>
                    <w:suppressLineNumbers w:val="0"/>
                    <w:jc w:val="center"/>
                    <w:textAlignment w:val="center"/>
                    <w:rPr>
                      <w:rFonts w:hint="default"/>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0.627</w:t>
                  </w:r>
                </w:p>
              </w:tc>
              <w:tc>
                <w:tcPr>
                  <w:tcW w:w="735" w:type="dxa"/>
                  <w:vAlign w:val="center"/>
                </w:tcPr>
                <w:p w14:paraId="6DF7FE6C">
                  <w:pPr>
                    <w:jc w:val="center"/>
                    <w:rPr>
                      <w:color w:val="000000"/>
                      <w:sz w:val="21"/>
                      <w:szCs w:val="21"/>
                    </w:rPr>
                  </w:pPr>
                  <w:r>
                    <w:rPr>
                      <w:color w:val="000000"/>
                      <w:sz w:val="21"/>
                      <w:szCs w:val="21"/>
                    </w:rPr>
                    <w:t>0.5</w:t>
                  </w:r>
                </w:p>
              </w:tc>
              <w:tc>
                <w:tcPr>
                  <w:tcW w:w="660" w:type="dxa"/>
                  <w:vAlign w:val="center"/>
                </w:tcPr>
                <w:p w14:paraId="67B4762D">
                  <w:pPr>
                    <w:jc w:val="center"/>
                    <w:rPr>
                      <w:color w:val="000000"/>
                      <w:sz w:val="21"/>
                      <w:szCs w:val="21"/>
                    </w:rPr>
                  </w:pPr>
                  <w:r>
                    <w:rPr>
                      <w:color w:val="000000"/>
                      <w:sz w:val="21"/>
                      <w:szCs w:val="21"/>
                    </w:rPr>
                    <w:t>1</w:t>
                  </w:r>
                </w:p>
              </w:tc>
              <w:tc>
                <w:tcPr>
                  <w:tcW w:w="745" w:type="dxa"/>
                  <w:vMerge w:val="restart"/>
                  <w:vAlign w:val="center"/>
                </w:tcPr>
                <w:p w14:paraId="765E3F32">
                  <w:pPr>
                    <w:jc w:val="center"/>
                    <w:rPr>
                      <w:color w:val="000000"/>
                      <w:sz w:val="21"/>
                      <w:szCs w:val="21"/>
                    </w:rPr>
                  </w:pPr>
                  <w:r>
                    <w:rPr>
                      <w:color w:val="000000"/>
                      <w:sz w:val="21"/>
                      <w:szCs w:val="21"/>
                    </w:rPr>
                    <w:t>立即停止生产，关闭排放阀，及时维修</w:t>
                  </w:r>
                </w:p>
              </w:tc>
            </w:tr>
            <w:tr w14:paraId="46F7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Align w:val="center"/>
                </w:tcPr>
                <w:p w14:paraId="61F5649A">
                  <w:pPr>
                    <w:jc w:val="center"/>
                    <w:rPr>
                      <w:rFonts w:hint="default"/>
                      <w:color w:val="000000"/>
                      <w:sz w:val="21"/>
                      <w:szCs w:val="21"/>
                      <w:lang w:val="en-US" w:eastAsia="zh-CN"/>
                    </w:rPr>
                  </w:pPr>
                  <w:r>
                    <w:rPr>
                      <w:rFonts w:hint="eastAsia"/>
                      <w:color w:val="000000"/>
                      <w:sz w:val="21"/>
                      <w:szCs w:val="21"/>
                      <w:lang w:val="en-US" w:eastAsia="zh-CN"/>
                    </w:rPr>
                    <w:t>2</w:t>
                  </w:r>
                </w:p>
              </w:tc>
              <w:tc>
                <w:tcPr>
                  <w:tcW w:w="890" w:type="dxa"/>
                  <w:vAlign w:val="center"/>
                </w:tcPr>
                <w:p w14:paraId="76AA5E67">
                  <w:pPr>
                    <w:keepNext w:val="0"/>
                    <w:keepLines w:val="0"/>
                    <w:widowControl/>
                    <w:suppressLineNumbers w:val="0"/>
                    <w:jc w:val="center"/>
                    <w:textAlignment w:val="center"/>
                    <w:rPr>
                      <w:rFonts w:hint="eastAsia"/>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喷塑</w:t>
                  </w:r>
                </w:p>
              </w:tc>
              <w:tc>
                <w:tcPr>
                  <w:tcW w:w="983" w:type="dxa"/>
                  <w:vMerge w:val="continue"/>
                  <w:vAlign w:val="center"/>
                </w:tcPr>
                <w:p w14:paraId="028BE746">
                  <w:pPr>
                    <w:jc w:val="center"/>
                    <w:rPr>
                      <w:color w:val="000000"/>
                      <w:sz w:val="21"/>
                      <w:szCs w:val="21"/>
                    </w:rPr>
                  </w:pPr>
                </w:p>
              </w:tc>
              <w:tc>
                <w:tcPr>
                  <w:tcW w:w="1082" w:type="dxa"/>
                  <w:vAlign w:val="center"/>
                </w:tcPr>
                <w:p w14:paraId="731E64A1">
                  <w:pPr>
                    <w:jc w:val="center"/>
                    <w:rPr>
                      <w:rFonts w:hint="eastAsia"/>
                      <w:color w:val="000000"/>
                      <w:sz w:val="21"/>
                      <w:szCs w:val="21"/>
                    </w:rPr>
                  </w:pPr>
                  <w:r>
                    <w:rPr>
                      <w:rFonts w:hint="eastAsia"/>
                      <w:color w:val="000000"/>
                      <w:sz w:val="21"/>
                      <w:szCs w:val="21"/>
                      <w:lang w:val="en-US" w:eastAsia="zh-CN"/>
                    </w:rPr>
                    <w:t>颗粒物</w:t>
                  </w:r>
                </w:p>
              </w:tc>
              <w:tc>
                <w:tcPr>
                  <w:tcW w:w="1320" w:type="dxa"/>
                  <w:vAlign w:val="center"/>
                </w:tcPr>
                <w:p w14:paraId="7603C17C">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633.333</w:t>
                  </w:r>
                </w:p>
              </w:tc>
              <w:tc>
                <w:tcPr>
                  <w:tcW w:w="1170" w:type="dxa"/>
                  <w:vAlign w:val="center"/>
                </w:tcPr>
                <w:p w14:paraId="07620D61">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9.500</w:t>
                  </w:r>
                </w:p>
              </w:tc>
              <w:tc>
                <w:tcPr>
                  <w:tcW w:w="735" w:type="dxa"/>
                  <w:vAlign w:val="center"/>
                </w:tcPr>
                <w:p w14:paraId="3837FE04">
                  <w:pPr>
                    <w:jc w:val="center"/>
                    <w:rPr>
                      <w:color w:val="000000"/>
                      <w:sz w:val="21"/>
                      <w:szCs w:val="21"/>
                    </w:rPr>
                  </w:pPr>
                  <w:r>
                    <w:rPr>
                      <w:color w:val="000000"/>
                      <w:sz w:val="21"/>
                      <w:szCs w:val="21"/>
                    </w:rPr>
                    <w:t>0.5</w:t>
                  </w:r>
                </w:p>
              </w:tc>
              <w:tc>
                <w:tcPr>
                  <w:tcW w:w="660" w:type="dxa"/>
                  <w:vAlign w:val="center"/>
                </w:tcPr>
                <w:p w14:paraId="4A2F0CF4">
                  <w:pPr>
                    <w:jc w:val="center"/>
                    <w:rPr>
                      <w:color w:val="000000"/>
                      <w:sz w:val="21"/>
                      <w:szCs w:val="21"/>
                    </w:rPr>
                  </w:pPr>
                  <w:r>
                    <w:rPr>
                      <w:color w:val="000000"/>
                      <w:sz w:val="21"/>
                      <w:szCs w:val="21"/>
                    </w:rPr>
                    <w:t>1</w:t>
                  </w:r>
                </w:p>
              </w:tc>
              <w:tc>
                <w:tcPr>
                  <w:tcW w:w="745" w:type="dxa"/>
                  <w:vMerge w:val="continue"/>
                  <w:vAlign w:val="center"/>
                </w:tcPr>
                <w:p w14:paraId="4AE2D86E">
                  <w:pPr>
                    <w:jc w:val="center"/>
                    <w:rPr>
                      <w:color w:val="000000"/>
                      <w:sz w:val="21"/>
                      <w:szCs w:val="21"/>
                    </w:rPr>
                  </w:pPr>
                </w:p>
              </w:tc>
            </w:tr>
            <w:tr w14:paraId="79BD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restart"/>
                  <w:vAlign w:val="center"/>
                </w:tcPr>
                <w:p w14:paraId="181CCDC0">
                  <w:pPr>
                    <w:jc w:val="center"/>
                    <w:rPr>
                      <w:rFonts w:hint="default"/>
                      <w:color w:val="000000"/>
                      <w:sz w:val="21"/>
                      <w:szCs w:val="21"/>
                      <w:lang w:val="en-US" w:eastAsia="zh-CN"/>
                    </w:rPr>
                  </w:pPr>
                  <w:r>
                    <w:rPr>
                      <w:rFonts w:hint="eastAsia"/>
                      <w:color w:val="000000"/>
                      <w:sz w:val="21"/>
                      <w:szCs w:val="21"/>
                      <w:lang w:val="en-US" w:eastAsia="zh-CN"/>
                    </w:rPr>
                    <w:t>3</w:t>
                  </w:r>
                </w:p>
              </w:tc>
              <w:tc>
                <w:tcPr>
                  <w:tcW w:w="890" w:type="dxa"/>
                  <w:vAlign w:val="center"/>
                </w:tcPr>
                <w:p w14:paraId="38E6C6F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固化</w:t>
                  </w:r>
                </w:p>
              </w:tc>
              <w:tc>
                <w:tcPr>
                  <w:tcW w:w="983" w:type="dxa"/>
                  <w:vMerge w:val="continue"/>
                  <w:vAlign w:val="center"/>
                </w:tcPr>
                <w:p w14:paraId="57E0CC31">
                  <w:pPr>
                    <w:jc w:val="center"/>
                    <w:rPr>
                      <w:color w:val="000000"/>
                      <w:sz w:val="21"/>
                      <w:szCs w:val="21"/>
                    </w:rPr>
                  </w:pPr>
                </w:p>
              </w:tc>
              <w:tc>
                <w:tcPr>
                  <w:tcW w:w="1082" w:type="dxa"/>
                  <w:vAlign w:val="center"/>
                </w:tcPr>
                <w:p w14:paraId="293D977F">
                  <w:pPr>
                    <w:jc w:val="center"/>
                    <w:rPr>
                      <w:rFonts w:hint="eastAsia"/>
                      <w:color w:val="000000"/>
                      <w:sz w:val="21"/>
                      <w:szCs w:val="21"/>
                      <w:lang w:val="en-US" w:eastAsia="zh-CN"/>
                    </w:rPr>
                  </w:pPr>
                  <w:r>
                    <w:rPr>
                      <w:rFonts w:hint="eastAsia"/>
                      <w:color w:val="000000"/>
                      <w:sz w:val="21"/>
                      <w:szCs w:val="21"/>
                      <w:lang w:val="en-US" w:eastAsia="zh-CN"/>
                    </w:rPr>
                    <w:t>非甲烷总烃</w:t>
                  </w:r>
                </w:p>
              </w:tc>
              <w:tc>
                <w:tcPr>
                  <w:tcW w:w="1320" w:type="dxa"/>
                  <w:vAlign w:val="center"/>
                </w:tcPr>
                <w:p w14:paraId="0E932805">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170" w:type="dxa"/>
                  <w:vAlign w:val="center"/>
                </w:tcPr>
                <w:p w14:paraId="6F44EE8A">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0.180</w:t>
                  </w:r>
                </w:p>
              </w:tc>
              <w:tc>
                <w:tcPr>
                  <w:tcW w:w="735" w:type="dxa"/>
                  <w:vAlign w:val="center"/>
                </w:tcPr>
                <w:p w14:paraId="1AE21CBE">
                  <w:pPr>
                    <w:jc w:val="center"/>
                    <w:rPr>
                      <w:color w:val="000000"/>
                      <w:sz w:val="21"/>
                      <w:szCs w:val="21"/>
                    </w:rPr>
                  </w:pPr>
                  <w:r>
                    <w:rPr>
                      <w:color w:val="000000"/>
                      <w:sz w:val="21"/>
                      <w:szCs w:val="21"/>
                    </w:rPr>
                    <w:t>0.5</w:t>
                  </w:r>
                </w:p>
              </w:tc>
              <w:tc>
                <w:tcPr>
                  <w:tcW w:w="660" w:type="dxa"/>
                  <w:vAlign w:val="center"/>
                </w:tcPr>
                <w:p w14:paraId="68477173">
                  <w:pPr>
                    <w:jc w:val="center"/>
                    <w:rPr>
                      <w:color w:val="000000"/>
                      <w:sz w:val="21"/>
                      <w:szCs w:val="21"/>
                    </w:rPr>
                  </w:pPr>
                  <w:r>
                    <w:rPr>
                      <w:color w:val="000000"/>
                      <w:sz w:val="21"/>
                      <w:szCs w:val="21"/>
                    </w:rPr>
                    <w:t>1</w:t>
                  </w:r>
                </w:p>
              </w:tc>
              <w:tc>
                <w:tcPr>
                  <w:tcW w:w="745" w:type="dxa"/>
                  <w:vMerge w:val="continue"/>
                  <w:vAlign w:val="center"/>
                </w:tcPr>
                <w:p w14:paraId="0C8D6E43">
                  <w:pPr>
                    <w:jc w:val="center"/>
                    <w:rPr>
                      <w:color w:val="000000"/>
                      <w:sz w:val="21"/>
                      <w:szCs w:val="21"/>
                    </w:rPr>
                  </w:pPr>
                </w:p>
              </w:tc>
            </w:tr>
            <w:tr w14:paraId="1765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vAlign w:val="center"/>
                </w:tcPr>
                <w:p w14:paraId="529A65D0">
                  <w:pPr>
                    <w:jc w:val="center"/>
                    <w:rPr>
                      <w:rFonts w:hint="eastAsia"/>
                      <w:color w:val="000000"/>
                      <w:sz w:val="21"/>
                      <w:szCs w:val="21"/>
                      <w:lang w:val="en-US" w:eastAsia="zh-CN"/>
                    </w:rPr>
                  </w:pPr>
                </w:p>
              </w:tc>
              <w:tc>
                <w:tcPr>
                  <w:tcW w:w="890" w:type="dxa"/>
                  <w:vMerge w:val="restart"/>
                  <w:vAlign w:val="center"/>
                </w:tcPr>
                <w:p w14:paraId="2B0D23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烘干、固化供热</w:t>
                  </w:r>
                  <w:r>
                    <w:rPr>
                      <w:rFonts w:hint="eastAsia" w:ascii="宋体" w:hAnsi="宋体" w:eastAsia="宋体" w:cs="宋体"/>
                      <w:i w:val="0"/>
                      <w:iCs w:val="0"/>
                      <w:color w:val="000000"/>
                      <w:kern w:val="0"/>
                      <w:sz w:val="21"/>
                      <w:szCs w:val="21"/>
                      <w:u w:val="none"/>
                      <w:lang w:val="en-US" w:eastAsia="zh-CN" w:bidi="ar"/>
                    </w:rPr>
                    <w:t>燃烧废气</w:t>
                  </w:r>
                </w:p>
              </w:tc>
              <w:tc>
                <w:tcPr>
                  <w:tcW w:w="983" w:type="dxa"/>
                  <w:vMerge w:val="continue"/>
                  <w:vAlign w:val="center"/>
                </w:tcPr>
                <w:p w14:paraId="3757DEB7">
                  <w:pPr>
                    <w:jc w:val="center"/>
                    <w:rPr>
                      <w:color w:val="000000"/>
                      <w:sz w:val="21"/>
                      <w:szCs w:val="21"/>
                    </w:rPr>
                  </w:pPr>
                </w:p>
              </w:tc>
              <w:tc>
                <w:tcPr>
                  <w:tcW w:w="1082" w:type="dxa"/>
                  <w:vAlign w:val="center"/>
                </w:tcPr>
                <w:p w14:paraId="15BED122">
                  <w:pPr>
                    <w:jc w:val="center"/>
                    <w:rPr>
                      <w:rFonts w:hint="eastAsia"/>
                      <w:color w:val="000000"/>
                      <w:sz w:val="21"/>
                      <w:szCs w:val="21"/>
                      <w:lang w:val="en-US" w:eastAsia="zh-CN"/>
                    </w:rPr>
                  </w:pPr>
                  <w:r>
                    <w:rPr>
                      <w:rFonts w:hint="eastAsia"/>
                      <w:color w:val="000000"/>
                      <w:sz w:val="21"/>
                      <w:szCs w:val="21"/>
                      <w:lang w:val="en-US" w:eastAsia="zh-CN"/>
                    </w:rPr>
                    <w:t>颗粒物</w:t>
                  </w:r>
                </w:p>
              </w:tc>
              <w:tc>
                <w:tcPr>
                  <w:tcW w:w="1320" w:type="dxa"/>
                  <w:vAlign w:val="center"/>
                </w:tcPr>
                <w:p w14:paraId="43028BAA">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2.639</w:t>
                  </w:r>
                </w:p>
              </w:tc>
              <w:tc>
                <w:tcPr>
                  <w:tcW w:w="1170" w:type="dxa"/>
                  <w:vAlign w:val="center"/>
                </w:tcPr>
                <w:p w14:paraId="5CA5EBFB">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735" w:type="dxa"/>
                  <w:vMerge w:val="restart"/>
                  <w:vAlign w:val="center"/>
                </w:tcPr>
                <w:p w14:paraId="4110389F">
                  <w:pPr>
                    <w:jc w:val="center"/>
                    <w:rPr>
                      <w:color w:val="000000"/>
                      <w:sz w:val="21"/>
                      <w:szCs w:val="21"/>
                    </w:rPr>
                  </w:pPr>
                  <w:r>
                    <w:rPr>
                      <w:color w:val="000000"/>
                      <w:sz w:val="21"/>
                      <w:szCs w:val="21"/>
                    </w:rPr>
                    <w:t>0.5</w:t>
                  </w:r>
                </w:p>
              </w:tc>
              <w:tc>
                <w:tcPr>
                  <w:tcW w:w="660" w:type="dxa"/>
                  <w:vMerge w:val="restart"/>
                  <w:vAlign w:val="center"/>
                </w:tcPr>
                <w:p w14:paraId="1B22D348">
                  <w:pPr>
                    <w:jc w:val="center"/>
                    <w:rPr>
                      <w:color w:val="000000"/>
                      <w:sz w:val="21"/>
                      <w:szCs w:val="21"/>
                    </w:rPr>
                  </w:pPr>
                  <w:r>
                    <w:rPr>
                      <w:color w:val="000000"/>
                      <w:sz w:val="21"/>
                      <w:szCs w:val="21"/>
                    </w:rPr>
                    <w:t>1</w:t>
                  </w:r>
                </w:p>
              </w:tc>
              <w:tc>
                <w:tcPr>
                  <w:tcW w:w="745" w:type="dxa"/>
                  <w:vMerge w:val="continue"/>
                  <w:vAlign w:val="center"/>
                </w:tcPr>
                <w:p w14:paraId="57885A4E">
                  <w:pPr>
                    <w:jc w:val="center"/>
                    <w:rPr>
                      <w:color w:val="000000"/>
                      <w:sz w:val="21"/>
                      <w:szCs w:val="21"/>
                    </w:rPr>
                  </w:pPr>
                </w:p>
              </w:tc>
            </w:tr>
            <w:tr w14:paraId="0FF1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vAlign w:val="center"/>
                </w:tcPr>
                <w:p w14:paraId="23B7B56B">
                  <w:pPr>
                    <w:jc w:val="center"/>
                    <w:rPr>
                      <w:rFonts w:hint="eastAsia"/>
                      <w:color w:val="000000"/>
                      <w:sz w:val="21"/>
                      <w:szCs w:val="21"/>
                      <w:lang w:val="en-US" w:eastAsia="zh-CN"/>
                    </w:rPr>
                  </w:pPr>
                </w:p>
              </w:tc>
              <w:tc>
                <w:tcPr>
                  <w:tcW w:w="890" w:type="dxa"/>
                  <w:vMerge w:val="continue"/>
                  <w:vAlign w:val="center"/>
                </w:tcPr>
                <w:p w14:paraId="359C3D3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3" w:type="dxa"/>
                  <w:vMerge w:val="continue"/>
                  <w:vAlign w:val="center"/>
                </w:tcPr>
                <w:p w14:paraId="3EAE6B7F">
                  <w:pPr>
                    <w:jc w:val="center"/>
                    <w:rPr>
                      <w:color w:val="000000"/>
                      <w:sz w:val="21"/>
                      <w:szCs w:val="21"/>
                    </w:rPr>
                  </w:pPr>
                </w:p>
              </w:tc>
              <w:tc>
                <w:tcPr>
                  <w:tcW w:w="1082" w:type="dxa"/>
                  <w:vAlign w:val="center"/>
                </w:tcPr>
                <w:p w14:paraId="30A7CDE0">
                  <w:pPr>
                    <w:jc w:val="center"/>
                    <w:rPr>
                      <w:rFonts w:hint="eastAsia"/>
                      <w:color w:val="000000"/>
                      <w:sz w:val="21"/>
                      <w:szCs w:val="21"/>
                      <w:lang w:val="en-US" w:eastAsia="zh-CN"/>
                    </w:rPr>
                  </w:pPr>
                  <w:r>
                    <w:rPr>
                      <w:rFonts w:hint="eastAsia"/>
                      <w:color w:val="000000"/>
                      <w:sz w:val="21"/>
                      <w:szCs w:val="21"/>
                      <w:lang w:val="en-US" w:eastAsia="zh-CN"/>
                    </w:rPr>
                    <w:t>二氧化硫</w:t>
                  </w:r>
                </w:p>
              </w:tc>
              <w:tc>
                <w:tcPr>
                  <w:tcW w:w="1320" w:type="dxa"/>
                  <w:vAlign w:val="center"/>
                </w:tcPr>
                <w:p w14:paraId="66CC05D2">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1.852</w:t>
                  </w:r>
                </w:p>
              </w:tc>
              <w:tc>
                <w:tcPr>
                  <w:tcW w:w="1170" w:type="dxa"/>
                  <w:vAlign w:val="center"/>
                </w:tcPr>
                <w:p w14:paraId="369099B1">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735" w:type="dxa"/>
                  <w:vMerge w:val="continue"/>
                  <w:vAlign w:val="center"/>
                </w:tcPr>
                <w:p w14:paraId="6E2A2423">
                  <w:pPr>
                    <w:jc w:val="center"/>
                    <w:rPr>
                      <w:color w:val="000000"/>
                      <w:sz w:val="21"/>
                      <w:szCs w:val="21"/>
                    </w:rPr>
                  </w:pPr>
                </w:p>
              </w:tc>
              <w:tc>
                <w:tcPr>
                  <w:tcW w:w="660" w:type="dxa"/>
                  <w:vMerge w:val="continue"/>
                  <w:vAlign w:val="center"/>
                </w:tcPr>
                <w:p w14:paraId="7C5AEBA9">
                  <w:pPr>
                    <w:jc w:val="center"/>
                    <w:rPr>
                      <w:color w:val="000000"/>
                      <w:sz w:val="21"/>
                      <w:szCs w:val="21"/>
                    </w:rPr>
                  </w:pPr>
                </w:p>
              </w:tc>
              <w:tc>
                <w:tcPr>
                  <w:tcW w:w="745" w:type="dxa"/>
                  <w:vMerge w:val="continue"/>
                  <w:vAlign w:val="center"/>
                </w:tcPr>
                <w:p w14:paraId="0B6A82CB">
                  <w:pPr>
                    <w:jc w:val="center"/>
                    <w:rPr>
                      <w:color w:val="000000"/>
                      <w:sz w:val="21"/>
                      <w:szCs w:val="21"/>
                    </w:rPr>
                  </w:pPr>
                </w:p>
              </w:tc>
            </w:tr>
            <w:tr w14:paraId="4C4F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Merge w:val="continue"/>
                  <w:vAlign w:val="center"/>
                </w:tcPr>
                <w:p w14:paraId="6CA8F653">
                  <w:pPr>
                    <w:jc w:val="center"/>
                    <w:rPr>
                      <w:rFonts w:hint="eastAsia"/>
                      <w:color w:val="000000"/>
                      <w:sz w:val="21"/>
                      <w:szCs w:val="21"/>
                      <w:lang w:val="en-US" w:eastAsia="zh-CN"/>
                    </w:rPr>
                  </w:pPr>
                </w:p>
              </w:tc>
              <w:tc>
                <w:tcPr>
                  <w:tcW w:w="890" w:type="dxa"/>
                  <w:vMerge w:val="continue"/>
                  <w:vAlign w:val="center"/>
                </w:tcPr>
                <w:p w14:paraId="43F4EE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3" w:type="dxa"/>
                  <w:vMerge w:val="continue"/>
                  <w:vAlign w:val="center"/>
                </w:tcPr>
                <w:p w14:paraId="2C4BA95E">
                  <w:pPr>
                    <w:jc w:val="center"/>
                    <w:rPr>
                      <w:color w:val="000000"/>
                      <w:sz w:val="21"/>
                      <w:szCs w:val="21"/>
                    </w:rPr>
                  </w:pPr>
                </w:p>
              </w:tc>
              <w:tc>
                <w:tcPr>
                  <w:tcW w:w="1082" w:type="dxa"/>
                  <w:vAlign w:val="center"/>
                </w:tcPr>
                <w:p w14:paraId="4543D447">
                  <w:pPr>
                    <w:jc w:val="center"/>
                    <w:rPr>
                      <w:rFonts w:hint="eastAsia"/>
                      <w:color w:val="000000"/>
                      <w:sz w:val="21"/>
                      <w:szCs w:val="21"/>
                      <w:lang w:val="en-US" w:eastAsia="zh-CN"/>
                    </w:rPr>
                  </w:pPr>
                  <w:r>
                    <w:rPr>
                      <w:rFonts w:hint="eastAsia"/>
                      <w:color w:val="000000"/>
                      <w:sz w:val="21"/>
                      <w:szCs w:val="21"/>
                      <w:lang w:val="en-US" w:eastAsia="zh-CN"/>
                    </w:rPr>
                    <w:t>氮氧化物</w:t>
                  </w:r>
                </w:p>
              </w:tc>
              <w:tc>
                <w:tcPr>
                  <w:tcW w:w="1320" w:type="dxa"/>
                  <w:vAlign w:val="center"/>
                </w:tcPr>
                <w:p w14:paraId="3AB72BDA">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8.657</w:t>
                  </w:r>
                </w:p>
              </w:tc>
              <w:tc>
                <w:tcPr>
                  <w:tcW w:w="1170" w:type="dxa"/>
                  <w:vAlign w:val="center"/>
                </w:tcPr>
                <w:p w14:paraId="67D07B97">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0.078</w:t>
                  </w:r>
                </w:p>
              </w:tc>
              <w:tc>
                <w:tcPr>
                  <w:tcW w:w="735" w:type="dxa"/>
                  <w:vMerge w:val="continue"/>
                  <w:vAlign w:val="center"/>
                </w:tcPr>
                <w:p w14:paraId="745EF84F">
                  <w:pPr>
                    <w:jc w:val="center"/>
                    <w:rPr>
                      <w:color w:val="000000"/>
                      <w:sz w:val="21"/>
                      <w:szCs w:val="21"/>
                    </w:rPr>
                  </w:pPr>
                </w:p>
              </w:tc>
              <w:tc>
                <w:tcPr>
                  <w:tcW w:w="660" w:type="dxa"/>
                  <w:vMerge w:val="continue"/>
                  <w:vAlign w:val="center"/>
                </w:tcPr>
                <w:p w14:paraId="1361BA51">
                  <w:pPr>
                    <w:jc w:val="center"/>
                    <w:rPr>
                      <w:color w:val="000000"/>
                      <w:sz w:val="21"/>
                      <w:szCs w:val="21"/>
                    </w:rPr>
                  </w:pPr>
                </w:p>
              </w:tc>
              <w:tc>
                <w:tcPr>
                  <w:tcW w:w="745" w:type="dxa"/>
                  <w:vMerge w:val="continue"/>
                  <w:vAlign w:val="center"/>
                </w:tcPr>
                <w:p w14:paraId="53B699D5">
                  <w:pPr>
                    <w:jc w:val="center"/>
                    <w:rPr>
                      <w:color w:val="000000"/>
                      <w:sz w:val="21"/>
                      <w:szCs w:val="21"/>
                    </w:rPr>
                  </w:pPr>
                </w:p>
              </w:tc>
            </w:tr>
            <w:tr w14:paraId="43C8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dxa"/>
                  <w:vAlign w:val="center"/>
                </w:tcPr>
                <w:p w14:paraId="3751F492">
                  <w:pPr>
                    <w:jc w:val="center"/>
                    <w:rPr>
                      <w:rFonts w:hint="default"/>
                      <w:color w:val="000000"/>
                      <w:sz w:val="21"/>
                      <w:szCs w:val="21"/>
                      <w:lang w:val="en-US" w:eastAsia="zh-CN"/>
                    </w:rPr>
                  </w:pPr>
                  <w:r>
                    <w:rPr>
                      <w:rFonts w:hint="eastAsia"/>
                      <w:color w:val="000000"/>
                      <w:sz w:val="21"/>
                      <w:szCs w:val="21"/>
                      <w:lang w:val="en-US" w:eastAsia="zh-CN"/>
                    </w:rPr>
                    <w:t>4</w:t>
                  </w:r>
                </w:p>
              </w:tc>
              <w:tc>
                <w:tcPr>
                  <w:tcW w:w="890" w:type="dxa"/>
                  <w:vAlign w:val="center"/>
                </w:tcPr>
                <w:p w14:paraId="78F992D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注塑</w:t>
                  </w:r>
                </w:p>
              </w:tc>
              <w:tc>
                <w:tcPr>
                  <w:tcW w:w="983" w:type="dxa"/>
                  <w:vMerge w:val="continue"/>
                  <w:vAlign w:val="center"/>
                </w:tcPr>
                <w:p w14:paraId="3D0485DE">
                  <w:pPr>
                    <w:jc w:val="center"/>
                    <w:rPr>
                      <w:color w:val="000000"/>
                      <w:sz w:val="21"/>
                      <w:szCs w:val="21"/>
                    </w:rPr>
                  </w:pPr>
                </w:p>
              </w:tc>
              <w:tc>
                <w:tcPr>
                  <w:tcW w:w="1082" w:type="dxa"/>
                  <w:vAlign w:val="center"/>
                </w:tcPr>
                <w:p w14:paraId="7CAFB907">
                  <w:pPr>
                    <w:jc w:val="center"/>
                    <w:rPr>
                      <w:rFonts w:hint="eastAsia"/>
                      <w:color w:val="000000"/>
                      <w:sz w:val="21"/>
                      <w:szCs w:val="21"/>
                      <w:lang w:val="en-US" w:eastAsia="zh-CN"/>
                    </w:rPr>
                  </w:pPr>
                  <w:r>
                    <w:rPr>
                      <w:rFonts w:hint="eastAsia"/>
                      <w:color w:val="000000"/>
                      <w:sz w:val="21"/>
                      <w:szCs w:val="21"/>
                      <w:lang w:val="en-US" w:eastAsia="zh-CN"/>
                    </w:rPr>
                    <w:t>非甲烷总烃</w:t>
                  </w:r>
                </w:p>
              </w:tc>
              <w:tc>
                <w:tcPr>
                  <w:tcW w:w="1320" w:type="dxa"/>
                  <w:vAlign w:val="center"/>
                </w:tcPr>
                <w:p w14:paraId="705462C7">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30.375</w:t>
                  </w:r>
                </w:p>
              </w:tc>
              <w:tc>
                <w:tcPr>
                  <w:tcW w:w="1170" w:type="dxa"/>
                  <w:vAlign w:val="center"/>
                </w:tcPr>
                <w:p w14:paraId="6592470D">
                  <w:pPr>
                    <w:keepNext w:val="0"/>
                    <w:keepLines w:val="0"/>
                    <w:widowControl/>
                    <w:suppressLineNumbers w:val="0"/>
                    <w:jc w:val="center"/>
                    <w:textAlignment w:val="center"/>
                    <w:rPr>
                      <w:rFonts w:hint="eastAsia"/>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0.304</w:t>
                  </w:r>
                </w:p>
              </w:tc>
              <w:tc>
                <w:tcPr>
                  <w:tcW w:w="735" w:type="dxa"/>
                  <w:vAlign w:val="center"/>
                </w:tcPr>
                <w:p w14:paraId="4AD6FA7B">
                  <w:pPr>
                    <w:jc w:val="center"/>
                    <w:rPr>
                      <w:color w:val="000000"/>
                      <w:sz w:val="21"/>
                      <w:szCs w:val="21"/>
                    </w:rPr>
                  </w:pPr>
                  <w:r>
                    <w:rPr>
                      <w:color w:val="000000"/>
                      <w:sz w:val="21"/>
                      <w:szCs w:val="21"/>
                    </w:rPr>
                    <w:t>0.5</w:t>
                  </w:r>
                </w:p>
              </w:tc>
              <w:tc>
                <w:tcPr>
                  <w:tcW w:w="660" w:type="dxa"/>
                  <w:vAlign w:val="center"/>
                </w:tcPr>
                <w:p w14:paraId="2EA80B3C">
                  <w:pPr>
                    <w:jc w:val="center"/>
                    <w:rPr>
                      <w:color w:val="000000"/>
                      <w:sz w:val="21"/>
                      <w:szCs w:val="21"/>
                    </w:rPr>
                  </w:pPr>
                  <w:r>
                    <w:rPr>
                      <w:color w:val="000000"/>
                      <w:sz w:val="21"/>
                      <w:szCs w:val="21"/>
                    </w:rPr>
                    <w:t>1</w:t>
                  </w:r>
                </w:p>
              </w:tc>
              <w:tc>
                <w:tcPr>
                  <w:tcW w:w="745" w:type="dxa"/>
                  <w:vMerge w:val="continue"/>
                  <w:vAlign w:val="center"/>
                </w:tcPr>
                <w:p w14:paraId="3CB4EA04">
                  <w:pPr>
                    <w:jc w:val="center"/>
                    <w:rPr>
                      <w:color w:val="000000"/>
                      <w:sz w:val="21"/>
                      <w:szCs w:val="21"/>
                    </w:rPr>
                  </w:pPr>
                </w:p>
              </w:tc>
            </w:tr>
          </w:tbl>
          <w:p w14:paraId="4ED4101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b/>
                <w:color w:val="000000" w:themeColor="text1"/>
                <w14:textFill>
                  <w14:solidFill>
                    <w14:schemeClr w14:val="tx1"/>
                  </w14:solidFill>
                </w14:textFill>
              </w:rPr>
            </w:pPr>
            <w:r>
              <w:rPr>
                <w:bCs/>
                <w:color w:val="000000" w:themeColor="text1"/>
                <w14:textFill>
                  <w14:solidFill>
                    <w14:schemeClr w14:val="tx1"/>
                  </w14:solidFill>
                </w14:textFill>
              </w:rPr>
              <w:t>根据上表可见，非正常工况下</w:t>
            </w:r>
            <w:r>
              <w:rPr>
                <w:rFonts w:hint="eastAsia"/>
                <w:bCs/>
                <w:color w:val="000000" w:themeColor="text1"/>
                <w:lang w:val="en-US" w:eastAsia="zh-CN"/>
                <w14:textFill>
                  <w14:solidFill>
                    <w14:schemeClr w14:val="tx1"/>
                  </w14:solidFill>
                </w14:textFill>
              </w:rPr>
              <w:t>颗粒物会出现明显超标情况</w:t>
            </w:r>
            <w:r>
              <w:rPr>
                <w:bCs/>
                <w:color w:val="000000" w:themeColor="text1"/>
                <w14:textFill>
                  <w14:solidFill>
                    <w14:schemeClr w14:val="tx1"/>
                  </w14:solidFill>
                </w14:textFill>
              </w:rPr>
              <w:t>，因此企业应加强在岗人员培训和对工艺设备运行的管理，尽量降低、避免非正常情况的发生，当废气处理设施出现故障不能短时间恢复时，应停车检修。</w:t>
            </w:r>
          </w:p>
          <w:p w14:paraId="094D3289">
            <w:pPr>
              <w:adjustRightInd w:val="0"/>
              <w:snapToGrid w:val="0"/>
              <w:spacing w:line="360" w:lineRule="auto"/>
              <w:jc w:val="left"/>
              <w:rPr>
                <w:b/>
                <w:color w:val="000000" w:themeColor="text1"/>
                <w14:textFill>
                  <w14:solidFill>
                    <w14:schemeClr w14:val="tx1"/>
                  </w14:solidFill>
                </w14:textFill>
              </w:rPr>
            </w:pPr>
            <w:r>
              <w:rPr>
                <w:b/>
                <w:color w:val="000000" w:themeColor="text1"/>
                <w14:textFill>
                  <w14:solidFill>
                    <w14:schemeClr w14:val="tx1"/>
                  </w14:solidFill>
                </w14:textFill>
              </w:rPr>
              <w:t>二、废（污）水</w:t>
            </w:r>
          </w:p>
          <w:p w14:paraId="3D9F5D35">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项目用水主要是员工生活用水、</w:t>
            </w:r>
            <w:r>
              <w:rPr>
                <w:rFonts w:hint="eastAsia" w:cs="Times New Roman"/>
                <w:b w:val="0"/>
                <w:bCs w:val="0"/>
                <w:color w:val="000000" w:themeColor="text1"/>
                <w:sz w:val="24"/>
                <w:szCs w:val="24"/>
                <w:lang w:val="en-US" w:eastAsia="zh-CN"/>
                <w14:textFill>
                  <w14:solidFill>
                    <w14:schemeClr w14:val="tx1"/>
                  </w14:solidFill>
                </w14:textFill>
              </w:rPr>
              <w:t>清洗剂</w:t>
            </w:r>
            <w:r>
              <w:rPr>
                <w:rFonts w:hint="default" w:ascii="Times New Roman" w:hAnsi="Times New Roman" w:eastAsia="宋体" w:cs="Times New Roman"/>
                <w:b w:val="0"/>
                <w:bCs w:val="0"/>
                <w:color w:val="000000" w:themeColor="text1"/>
                <w:sz w:val="24"/>
                <w:szCs w:val="24"/>
                <w14:textFill>
                  <w14:solidFill>
                    <w14:schemeClr w14:val="tx1"/>
                  </w14:solidFill>
                </w14:textFill>
              </w:rPr>
              <w:t>配置用水</w:t>
            </w:r>
            <w:r>
              <w:rPr>
                <w:rFonts w:hint="eastAsia" w:cs="Times New Roman"/>
                <w:b w:val="0"/>
                <w:bCs w:val="0"/>
                <w:color w:val="000000" w:themeColor="text1"/>
                <w:sz w:val="24"/>
                <w:szCs w:val="24"/>
                <w:lang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切削液</w:t>
            </w:r>
            <w:r>
              <w:rPr>
                <w:rFonts w:hint="default" w:ascii="Times New Roman" w:hAnsi="Times New Roman" w:eastAsia="宋体" w:cs="Times New Roman"/>
                <w:b w:val="0"/>
                <w:bCs w:val="0"/>
                <w:color w:val="000000" w:themeColor="text1"/>
                <w:sz w:val="24"/>
                <w:szCs w:val="24"/>
                <w14:textFill>
                  <w14:solidFill>
                    <w14:schemeClr w14:val="tx1"/>
                  </w14:solidFill>
                </w14:textFill>
              </w:rPr>
              <w:t>配置用水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和注塑冷却用水</w:t>
            </w:r>
            <w:r>
              <w:rPr>
                <w:rFonts w:hint="default" w:ascii="Times New Roman" w:hAnsi="Times New Roman" w:eastAsia="宋体" w:cs="Times New Roman"/>
                <w:b w:val="0"/>
                <w:bCs w:val="0"/>
                <w:color w:val="000000" w:themeColor="text1"/>
                <w:sz w:val="24"/>
                <w:szCs w:val="24"/>
                <w14:textFill>
                  <w14:solidFill>
                    <w14:schemeClr w14:val="tx1"/>
                  </w14:solidFill>
                </w14:textFill>
              </w:rPr>
              <w:t>。</w:t>
            </w:r>
          </w:p>
          <w:p w14:paraId="134F082C">
            <w:pPr>
              <w:spacing w:line="360" w:lineRule="auto"/>
              <w:ind w:firstLine="480" w:firstLineChars="200"/>
              <w:jc w:val="left"/>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生活用水：</w:t>
            </w:r>
            <w:r>
              <w:rPr>
                <w:rFonts w:hint="default" w:ascii="Times New Roman" w:hAnsi="Times New Roman" w:eastAsia="宋体" w:cs="Times New Roman"/>
                <w:color w:val="000000" w:themeColor="text1"/>
                <w:sz w:val="24"/>
                <w:szCs w:val="24"/>
                <w14:textFill>
                  <w14:solidFill>
                    <w14:schemeClr w14:val="tx1"/>
                  </w14:solidFill>
                </w14:textFill>
              </w:rPr>
              <w:t>项目劳动定员</w:t>
            </w:r>
            <w:r>
              <w:rPr>
                <w:rFonts w:hint="eastAsia" w:cs="Times New Roman"/>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14:textFill>
                  <w14:solidFill>
                    <w14:schemeClr w14:val="tx1"/>
                  </w14:solidFill>
                </w14:textFill>
              </w:rPr>
              <w:t>人，</w:t>
            </w:r>
            <w:r>
              <w:rPr>
                <w:rFonts w:hint="eastAsia"/>
                <w:bCs/>
                <w:color w:val="000000" w:themeColor="text1"/>
                <w:kern w:val="0"/>
                <w:lang w:val="en-US" w:eastAsia="zh-CN"/>
                <w14:textFill>
                  <w14:solidFill>
                    <w14:schemeClr w14:val="tx1"/>
                  </w14:solidFill>
                </w14:textFill>
              </w:rPr>
              <w:t>厂区不设置食宿</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用水标准参考《宿州市城市行业用水定额》（DB3413/T0001-2020），人均用水量按</w:t>
            </w:r>
            <w:r>
              <w:rPr>
                <w:rFonts w:hint="eastAsia" w:cs="Times New Roman"/>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0L/d计</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auto"/>
                <w:sz w:val="24"/>
                <w:szCs w:val="24"/>
              </w:rPr>
              <w:t>则用水量为</w:t>
            </w:r>
            <w:r>
              <w:rPr>
                <w:rFonts w:hint="eastAsia" w:ascii="Times New Roman" w:hAnsi="Times New Roman" w:eastAsia="宋体" w:cs="Times New Roman"/>
                <w:b w:val="0"/>
                <w:bCs w:val="0"/>
                <w:color w:val="auto"/>
                <w:sz w:val="24"/>
                <w:szCs w:val="24"/>
                <w:lang w:val="en-US" w:eastAsia="zh-CN"/>
              </w:rPr>
              <w:t>4.</w:t>
            </w:r>
            <w:r>
              <w:rPr>
                <w:rFonts w:hint="eastAsia"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/d，年用水量为</w:t>
            </w:r>
            <w:r>
              <w:rPr>
                <w:rFonts w:hint="eastAsia" w:cs="Times New Roman"/>
                <w:b w:val="0"/>
                <w:bCs w:val="0"/>
                <w:color w:val="auto"/>
                <w:sz w:val="24"/>
                <w:szCs w:val="24"/>
                <w:lang w:val="en-US" w:eastAsia="zh-CN"/>
              </w:rPr>
              <w:t>1260</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/a，废水产生系数取0.8，则废水产生量为</w:t>
            </w:r>
            <w:r>
              <w:rPr>
                <w:rFonts w:hint="eastAsia" w:ascii="Times New Roman" w:hAnsi="Times New Roman" w:eastAsia="宋体" w:cs="Times New Roman"/>
                <w:b w:val="0"/>
                <w:bCs w:val="0"/>
                <w:color w:val="auto"/>
                <w:sz w:val="24"/>
                <w:szCs w:val="24"/>
                <w:lang w:val="en-US" w:eastAsia="zh-CN"/>
              </w:rPr>
              <w:t>3.</w:t>
            </w:r>
            <w:r>
              <w:rPr>
                <w:rFonts w:hint="eastAsia" w:cs="Times New Roman"/>
                <w:b w:val="0"/>
                <w:bCs w:val="0"/>
                <w:color w:val="auto"/>
                <w:sz w:val="24"/>
                <w:szCs w:val="24"/>
                <w:lang w:val="en-US" w:eastAsia="zh-CN"/>
              </w:rPr>
              <w:t>36</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/d，</w:t>
            </w:r>
            <w:r>
              <w:rPr>
                <w:rFonts w:hint="eastAsia" w:ascii="Times New Roman" w:hAnsi="Times New Roman" w:eastAsia="宋体" w:cs="Times New Roman"/>
                <w:b w:val="0"/>
                <w:bCs w:val="0"/>
                <w:color w:val="auto"/>
                <w:sz w:val="24"/>
                <w:szCs w:val="24"/>
                <w:lang w:val="en-US" w:eastAsia="zh-CN"/>
              </w:rPr>
              <w:t>1</w:t>
            </w:r>
            <w:r>
              <w:rPr>
                <w:rFonts w:hint="eastAsia" w:cs="Times New Roman"/>
                <w:b w:val="0"/>
                <w:bCs w:val="0"/>
                <w:color w:val="auto"/>
                <w:sz w:val="24"/>
                <w:szCs w:val="24"/>
                <w:lang w:val="en-US" w:eastAsia="zh-CN"/>
              </w:rPr>
              <w:t>008</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/a</w:t>
            </w:r>
            <w:r>
              <w:rPr>
                <w:rFonts w:hint="eastAsia" w:cs="Times New Roman"/>
                <w:b w:val="0"/>
                <w:bCs w:val="0"/>
                <w:color w:val="auto"/>
                <w:sz w:val="24"/>
                <w:szCs w:val="24"/>
                <w:lang w:eastAsia="zh-CN"/>
              </w:rPr>
              <w:t>。</w:t>
            </w:r>
          </w:p>
          <w:p w14:paraId="708FBE77">
            <w:pPr>
              <w:adjustRightInd w:val="0"/>
              <w:snapToGrid w:val="0"/>
              <w:spacing w:line="360" w:lineRule="auto"/>
              <w:ind w:firstLine="480" w:firstLineChars="200"/>
              <w:rPr>
                <w:rFonts w:hint="default" w:ascii="Times New Roman" w:hAnsi="Times New Roman" w:eastAsia="宋体" w:cs="Times New Roman"/>
                <w:b w:val="0"/>
                <w:bCs w:val="0"/>
                <w:color w:val="0000FF"/>
                <w:sz w:val="24"/>
                <w:szCs w:val="24"/>
              </w:rPr>
            </w:pP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清洗剂</w:t>
            </w:r>
            <w:r>
              <w:rPr>
                <w:rFonts w:hint="eastAsia"/>
              </w:rPr>
              <w:t>配置</w:t>
            </w:r>
            <w:r>
              <w:rPr>
                <w:rFonts w:hint="eastAsia"/>
                <w:color w:val="000000" w:themeColor="text1"/>
                <w14:textFill>
                  <w14:solidFill>
                    <w14:schemeClr w14:val="tx1"/>
                  </w14:solidFill>
                </w14:textFill>
              </w:rPr>
              <w:t>用水：</w:t>
            </w:r>
            <w:r>
              <w:rPr>
                <w:rFonts w:hint="eastAsia" w:cs="Times New Roman"/>
                <w:color w:val="000000" w:themeColor="text1"/>
                <w:sz w:val="24"/>
                <w:szCs w:val="24"/>
                <w:lang w:val="en-US" w:eastAsia="zh-CN"/>
                <w14:textFill>
                  <w14:solidFill>
                    <w14:schemeClr w14:val="tx1"/>
                  </w14:solidFill>
                </w14:textFill>
              </w:rPr>
              <w:t>清洗剂</w:t>
            </w:r>
            <w:r>
              <w:rPr>
                <w:rFonts w:hint="eastAsia"/>
                <w:color w:val="000000" w:themeColor="text1"/>
                <w14:textFill>
                  <w14:solidFill>
                    <w14:schemeClr w14:val="tx1"/>
                  </w14:solidFill>
                </w14:textFill>
              </w:rPr>
              <w:t>需用水进行</w:t>
            </w:r>
            <w:r>
              <w:rPr>
                <w:color w:val="000000" w:themeColor="text1"/>
                <w14:textFill>
                  <w14:solidFill>
                    <w14:schemeClr w14:val="tx1"/>
                  </w14:solidFill>
                </w14:textFill>
              </w:rPr>
              <w:t>稀释，</w:t>
            </w:r>
            <w:r>
              <w:rPr>
                <w:rFonts w:hint="eastAsia"/>
                <w:color w:val="000000" w:themeColor="text1"/>
                <w14:textFill>
                  <w14:solidFill>
                    <w14:schemeClr w14:val="tx1"/>
                  </w14:solidFill>
                </w14:textFill>
              </w:rPr>
              <w:t>稀释</w:t>
            </w:r>
            <w:r>
              <w:rPr>
                <w:color w:val="000000" w:themeColor="text1"/>
                <w14:textFill>
                  <w14:solidFill>
                    <w14:schemeClr w14:val="tx1"/>
                  </w14:solidFill>
                </w14:textFill>
              </w:rPr>
              <w:t>比例为</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其中水为被稀释液体的</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倍</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项目</w:t>
            </w:r>
            <w:r>
              <w:rPr>
                <w:rFonts w:hint="eastAsia" w:cs="Times New Roman"/>
                <w:color w:val="000000" w:themeColor="text1"/>
                <w:sz w:val="24"/>
                <w:szCs w:val="24"/>
                <w:lang w:val="en-US" w:eastAsia="zh-CN"/>
                <w14:textFill>
                  <w14:solidFill>
                    <w14:schemeClr w14:val="tx1"/>
                  </w14:solidFill>
                </w14:textFill>
              </w:rPr>
              <w:t>清洗剂</w:t>
            </w:r>
            <w:r>
              <w:rPr>
                <w:color w:val="000000" w:themeColor="text1"/>
                <w14:textFill>
                  <w14:solidFill>
                    <w14:schemeClr w14:val="tx1"/>
                  </w14:solidFill>
                </w14:textFill>
              </w:rPr>
              <w:t>使用量为</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故稀释用水</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t/a</w:t>
            </w:r>
            <w:r>
              <w:rPr>
                <w:rFonts w:hint="eastAsia" w:ascii="Times New Roman" w:hAnsi="Times New Roman" w:cs="Times New Roman"/>
                <w:sz w:val="24"/>
                <w:szCs w:val="24"/>
                <w:lang w:val="en-US" w:eastAsia="zh-CN" w:bidi="ar"/>
              </w:rPr>
              <w:t>。</w:t>
            </w:r>
            <w:r>
              <w:rPr>
                <w:rFonts w:hint="eastAsia" w:cs="Times New Roman"/>
                <w:sz w:val="24"/>
                <w:szCs w:val="24"/>
                <w:lang w:val="en-US" w:eastAsia="zh-CN" w:bidi="ar"/>
              </w:rPr>
              <w:t>项目清洗液对工件进行喷淋清洗，清洗液循环使用，不外排，废清洗液作为危废处理，定期委托资质单位进行处置。</w:t>
            </w:r>
          </w:p>
          <w:p w14:paraId="3449F6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rPr>
              <w:t>切削液配置</w:t>
            </w:r>
            <w:r>
              <w:rPr>
                <w:rFonts w:hint="eastAsia"/>
                <w:color w:val="000000" w:themeColor="text1"/>
                <w14:textFill>
                  <w14:solidFill>
                    <w14:schemeClr w14:val="tx1"/>
                  </w14:solidFill>
                </w14:textFill>
              </w:rPr>
              <w:t>用水：切削</w:t>
            </w:r>
            <w:r>
              <w:rPr>
                <w:rFonts w:hint="eastAsia"/>
              </w:rPr>
              <w:t>液</w:t>
            </w:r>
            <w:r>
              <w:rPr>
                <w:rFonts w:hint="eastAsia"/>
                <w:color w:val="000000" w:themeColor="text1"/>
                <w14:textFill>
                  <w14:solidFill>
                    <w14:schemeClr w14:val="tx1"/>
                  </w14:solidFill>
                </w14:textFill>
              </w:rPr>
              <w:t>需用水进行</w:t>
            </w:r>
            <w:r>
              <w:rPr>
                <w:color w:val="000000" w:themeColor="text1"/>
                <w14:textFill>
                  <w14:solidFill>
                    <w14:schemeClr w14:val="tx1"/>
                  </w14:solidFill>
                </w14:textFill>
              </w:rPr>
              <w:t>稀释，</w:t>
            </w:r>
            <w:r>
              <w:rPr>
                <w:rFonts w:hint="eastAsia"/>
                <w:color w:val="000000" w:themeColor="text1"/>
                <w14:textFill>
                  <w14:solidFill>
                    <w14:schemeClr w14:val="tx1"/>
                  </w14:solidFill>
                </w14:textFill>
              </w:rPr>
              <w:t>稀释</w:t>
            </w:r>
            <w:r>
              <w:rPr>
                <w:color w:val="000000" w:themeColor="text1"/>
                <w14:textFill>
                  <w14:solidFill>
                    <w14:schemeClr w14:val="tx1"/>
                  </w14:solidFill>
                </w14:textFill>
              </w:rPr>
              <w:t>比例为</w:t>
            </w:r>
            <w:r>
              <w:rPr>
                <w:rFonts w:hint="eastAsia"/>
                <w:color w:val="000000" w:themeColor="text1"/>
                <w14:textFill>
                  <w14:solidFill>
                    <w14:schemeClr w14:val="tx1"/>
                  </w14:solidFill>
                </w14:textFill>
              </w:rPr>
              <w:t>1∶15，</w:t>
            </w:r>
            <w:r>
              <w:rPr>
                <w:color w:val="000000" w:themeColor="text1"/>
                <w14:textFill>
                  <w14:solidFill>
                    <w14:schemeClr w14:val="tx1"/>
                  </w14:solidFill>
                </w14:textFill>
              </w:rPr>
              <w:t>其中水为被稀释液体的</w:t>
            </w:r>
            <w:r>
              <w:rPr>
                <w:rFonts w:hint="eastAsia"/>
                <w:color w:val="000000" w:themeColor="text1"/>
                <w14:textFill>
                  <w14:solidFill>
                    <w14:schemeClr w14:val="tx1"/>
                  </w14:solidFill>
                </w14:textFill>
              </w:rPr>
              <w:t>15倍</w:t>
            </w:r>
            <w:r>
              <w:rPr>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企业提供资料</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项目</w:t>
            </w:r>
            <w:r>
              <w:rPr>
                <w:rFonts w:hint="eastAsia"/>
                <w:color w:val="000000" w:themeColor="text1"/>
                <w14:textFill>
                  <w14:solidFill>
                    <w14:schemeClr w14:val="tx1"/>
                  </w14:solidFill>
                </w14:textFill>
              </w:rPr>
              <w:t>切削液</w:t>
            </w:r>
            <w:r>
              <w:rPr>
                <w:color w:val="000000" w:themeColor="text1"/>
                <w14:textFill>
                  <w14:solidFill>
                    <w14:schemeClr w14:val="tx1"/>
                  </w14:solidFill>
                </w14:textFill>
              </w:rPr>
              <w:t>使用量为</w:t>
            </w: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故稀释用水</w:t>
            </w:r>
            <w:r>
              <w:rPr>
                <w:rFonts w:hint="eastAsia"/>
                <w:color w:val="000000" w:themeColor="text1"/>
                <w:lang w:val="en-US" w:eastAsia="zh-CN"/>
                <w14:textFill>
                  <w14:solidFill>
                    <w14:schemeClr w14:val="tx1"/>
                  </w14:solidFill>
                </w14:textFill>
              </w:rPr>
              <w:t>15</w:t>
            </w:r>
            <w:r>
              <w:rPr>
                <w:rFonts w:hint="eastAsia"/>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配置用水部分损耗，部分进入固废中，部分被加工工件带走，不产生废水</w:t>
            </w:r>
            <w:r>
              <w:rPr>
                <w:rFonts w:hint="default" w:ascii="Times New Roman" w:hAnsi="Times New Roman" w:eastAsia="宋体" w:cs="Times New Roman"/>
                <w:color w:val="auto"/>
                <w:sz w:val="24"/>
                <w:szCs w:val="24"/>
                <w:lang w:val="en-US" w:eastAsia="zh-CN"/>
              </w:rPr>
              <w:t>。</w:t>
            </w:r>
          </w:p>
          <w:p w14:paraId="04F002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（4）</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注塑冷却用水</w:t>
            </w:r>
          </w:p>
          <w:p w14:paraId="30851FFB">
            <w:pPr>
              <w:spacing w:line="360" w:lineRule="auto"/>
              <w:ind w:firstLine="480" w:firstLineChars="200"/>
              <w:rPr>
                <w:rFonts w:hint="default" w:cs="Times New Roman"/>
                <w:color w:val="auto"/>
                <w:sz w:val="24"/>
                <w:szCs w:val="24"/>
                <w:lang w:val="en-US" w:eastAsia="zh-CN"/>
              </w:rPr>
            </w:pPr>
            <w:r>
              <w:rPr>
                <w:rFonts w:hint="eastAsia"/>
                <w:b w:val="0"/>
                <w:bCs w:val="0"/>
                <w:color w:val="auto"/>
              </w:rPr>
              <w:t>项目注塑后需</w:t>
            </w:r>
            <w:r>
              <w:rPr>
                <w:rFonts w:hint="eastAsia"/>
                <w:b w:val="0"/>
                <w:bCs w:val="0"/>
                <w:color w:val="auto"/>
                <w:lang w:val="en-US" w:eastAsia="zh-CN"/>
              </w:rPr>
              <w:t>对产品进行间接</w:t>
            </w:r>
            <w:r>
              <w:rPr>
                <w:rFonts w:hint="eastAsia"/>
                <w:b w:val="0"/>
                <w:bCs w:val="0"/>
                <w:color w:val="auto"/>
              </w:rPr>
              <w:t>冷却。项目</w:t>
            </w:r>
            <w:r>
              <w:rPr>
                <w:rFonts w:hint="eastAsia"/>
                <w:b w:val="0"/>
                <w:bCs w:val="0"/>
                <w:color w:val="auto"/>
                <w:lang w:val="en-US" w:eastAsia="zh-CN"/>
              </w:rPr>
              <w:t>水箱</w:t>
            </w:r>
            <w:r>
              <w:rPr>
                <w:rFonts w:hint="eastAsia"/>
                <w:b w:val="0"/>
                <w:bCs w:val="0"/>
                <w:color w:val="auto"/>
              </w:rPr>
              <w:t>容积为</w:t>
            </w:r>
            <w:r>
              <w:rPr>
                <w:rFonts w:hint="eastAsia"/>
                <w:b w:val="0"/>
                <w:bCs w:val="0"/>
                <w:color w:val="auto"/>
                <w:lang w:val="en-US" w:eastAsia="zh-CN"/>
              </w:rPr>
              <w:t>3</w:t>
            </w:r>
            <w:r>
              <w:rPr>
                <w:rFonts w:hint="eastAsia"/>
                <w:b w:val="0"/>
                <w:bCs w:val="0"/>
                <w:color w:val="auto"/>
              </w:rPr>
              <w:t>m</w:t>
            </w:r>
            <w:r>
              <w:rPr>
                <w:rFonts w:hint="eastAsia"/>
                <w:b w:val="0"/>
                <w:bCs w:val="0"/>
                <w:color w:val="auto"/>
                <w:vertAlign w:val="superscript"/>
              </w:rPr>
              <w:t>3</w:t>
            </w:r>
            <w:r>
              <w:rPr>
                <w:rFonts w:hint="eastAsia"/>
                <w:b w:val="0"/>
                <w:bCs w:val="0"/>
                <w:color w:val="auto"/>
              </w:rPr>
              <w:t>，设计循环水量约</w:t>
            </w:r>
            <w:r>
              <w:rPr>
                <w:rFonts w:hint="eastAsia"/>
                <w:b w:val="0"/>
                <w:bCs w:val="0"/>
                <w:color w:val="auto"/>
                <w:lang w:val="en-US" w:eastAsia="zh-CN"/>
              </w:rPr>
              <w:t>2.5</w:t>
            </w:r>
            <w:r>
              <w:rPr>
                <w:rFonts w:hint="eastAsia"/>
                <w:b w:val="0"/>
                <w:bCs w:val="0"/>
                <w:color w:val="auto"/>
              </w:rPr>
              <w:t>m</w:t>
            </w:r>
            <w:r>
              <w:rPr>
                <w:rFonts w:hint="eastAsia"/>
                <w:b w:val="0"/>
                <w:bCs w:val="0"/>
                <w:color w:val="auto"/>
                <w:vertAlign w:val="superscript"/>
              </w:rPr>
              <w:t>3</w:t>
            </w:r>
            <w:r>
              <w:rPr>
                <w:rFonts w:hint="eastAsia"/>
                <w:b w:val="0"/>
                <w:bCs w:val="0"/>
                <w:color w:val="auto"/>
              </w:rPr>
              <w:t>/</w:t>
            </w:r>
            <w:r>
              <w:rPr>
                <w:rFonts w:hint="eastAsia"/>
                <w:b w:val="0"/>
                <w:bCs w:val="0"/>
                <w:color w:val="auto"/>
                <w:lang w:val="en-US" w:eastAsia="zh-CN"/>
              </w:rPr>
              <w:t>h（6000t/a）</w:t>
            </w:r>
            <w:r>
              <w:rPr>
                <w:rFonts w:hint="eastAsia"/>
                <w:b w:val="0"/>
                <w:bCs w:val="0"/>
                <w:color w:val="auto"/>
              </w:rPr>
              <w:t>，循环冷却水循环使用，定期</w:t>
            </w:r>
            <w:r>
              <w:rPr>
                <w:rFonts w:hint="eastAsia"/>
                <w:b w:val="0"/>
                <w:bCs w:val="0"/>
                <w:color w:val="auto"/>
                <w:lang w:val="en-US" w:eastAsia="zh-CN"/>
              </w:rPr>
              <w:t>添加，不外排</w:t>
            </w:r>
            <w:r>
              <w:rPr>
                <w:rFonts w:hint="eastAsia"/>
                <w:b w:val="0"/>
                <w:bCs w:val="0"/>
                <w:color w:val="auto"/>
              </w:rPr>
              <w:t>，</w:t>
            </w:r>
            <w:r>
              <w:rPr>
                <w:rFonts w:hint="eastAsia"/>
                <w:b w:val="0"/>
                <w:bCs w:val="0"/>
                <w:color w:val="auto"/>
                <w:lang w:val="en-US" w:eastAsia="zh-CN"/>
              </w:rPr>
              <w:t>水</w:t>
            </w:r>
            <w:r>
              <w:rPr>
                <w:rFonts w:hint="eastAsia"/>
                <w:b w:val="0"/>
                <w:bCs w:val="0"/>
                <w:color w:val="auto"/>
              </w:rPr>
              <w:t>补充占循环水量的2.5%，则需补充</w:t>
            </w:r>
            <w:r>
              <w:rPr>
                <w:rFonts w:hint="eastAsia"/>
                <w:b w:val="0"/>
                <w:bCs w:val="0"/>
                <w:color w:val="auto"/>
                <w:lang w:val="en-US" w:eastAsia="zh-CN"/>
              </w:rPr>
              <w:t>软</w:t>
            </w:r>
            <w:r>
              <w:rPr>
                <w:rFonts w:hint="eastAsia"/>
                <w:b w:val="0"/>
                <w:bCs w:val="0"/>
                <w:color w:val="auto"/>
              </w:rPr>
              <w:t>水</w:t>
            </w:r>
            <w:r>
              <w:rPr>
                <w:rFonts w:hint="eastAsia"/>
                <w:b w:val="0"/>
                <w:bCs w:val="0"/>
                <w:color w:val="auto"/>
                <w:lang w:val="en-US" w:eastAsia="zh-CN"/>
              </w:rPr>
              <w:t>150</w:t>
            </w:r>
            <w:r>
              <w:rPr>
                <w:rFonts w:hint="eastAsia"/>
                <w:b w:val="0"/>
                <w:bCs w:val="0"/>
                <w:color w:val="auto"/>
              </w:rPr>
              <w:t>m</w:t>
            </w:r>
            <w:r>
              <w:rPr>
                <w:rFonts w:hint="eastAsia"/>
                <w:b w:val="0"/>
                <w:bCs w:val="0"/>
                <w:color w:val="auto"/>
                <w:vertAlign w:val="superscript"/>
              </w:rPr>
              <w:t>3</w:t>
            </w:r>
            <w:r>
              <w:rPr>
                <w:rFonts w:hint="eastAsia"/>
                <w:b w:val="0"/>
                <w:bCs w:val="0"/>
                <w:color w:val="auto"/>
              </w:rPr>
              <w:t>/</w:t>
            </w:r>
            <w:r>
              <w:rPr>
                <w:rFonts w:hint="eastAsia"/>
                <w:b w:val="0"/>
                <w:bCs w:val="0"/>
                <w:color w:val="auto"/>
                <w:lang w:val="en-US" w:eastAsia="zh-CN"/>
              </w:rPr>
              <w:t>a</w:t>
            </w:r>
            <w:r>
              <w:rPr>
                <w:rFonts w:hint="eastAsia" w:cs="Times New Roman"/>
                <w:color w:val="auto"/>
                <w:sz w:val="24"/>
                <w:szCs w:val="24"/>
                <w:lang w:val="en-US" w:eastAsia="zh-CN"/>
              </w:rPr>
              <w:t>。</w:t>
            </w:r>
          </w:p>
          <w:p w14:paraId="1D3F828D">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项目水平衡图见下图所示。</w:t>
            </w:r>
          </w:p>
          <w:p w14:paraId="4BE6639E">
            <w:pPr>
              <w:spacing w:line="360" w:lineRule="auto"/>
              <w:jc w:val="center"/>
              <w:rPr>
                <w:rFonts w:hint="eastAsia" w:ascii="Times New Roman" w:hAnsi="Times New Roman" w:eastAsia="宋体" w:cs="Times New Roman"/>
                <w:b/>
                <w:bCs/>
                <w:color w:val="auto"/>
                <w:lang w:val="en-US" w:eastAsia="zh-CN"/>
              </w:rPr>
            </w:pPr>
            <w:r>
              <w:rPr>
                <w:rFonts w:hint="eastAsia" w:eastAsia="宋体"/>
                <w:color w:val="000000" w:themeColor="text1"/>
                <w:lang w:eastAsia="zh-CN"/>
                <w14:textFill>
                  <w14:solidFill>
                    <w14:schemeClr w14:val="tx1"/>
                  </w14:solidFill>
                </w14:textFill>
              </w:rPr>
              <w:drawing>
                <wp:inline distT="0" distB="0" distL="114300" distR="114300">
                  <wp:extent cx="5120640" cy="3165475"/>
                  <wp:effectExtent l="0" t="0" r="0" b="0"/>
                  <wp:docPr id="3" name="ECB019B1-382A-4266-B25C-5B523AA43C14-4" descr="C:/Users/45455/AppData/Local/Temp/wps.RwEnz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4" descr="C:/Users/45455/AppData/Local/Temp/wps.RwEnzTwps"/>
                          <pic:cNvPicPr>
                            <a:picLocks noChangeAspect="1"/>
                          </pic:cNvPicPr>
                        </pic:nvPicPr>
                        <pic:blipFill>
                          <a:blip r:embed="rId13"/>
                          <a:stretch>
                            <a:fillRect/>
                          </a:stretch>
                        </pic:blipFill>
                        <pic:spPr>
                          <a:xfrm>
                            <a:off x="0" y="0"/>
                            <a:ext cx="5120640" cy="3165475"/>
                          </a:xfrm>
                          <a:prstGeom prst="rect">
                            <a:avLst/>
                          </a:prstGeom>
                        </pic:spPr>
                      </pic:pic>
                    </a:graphicData>
                  </a:graphic>
                </wp:inline>
              </w:drawing>
            </w:r>
          </w:p>
          <w:p w14:paraId="08CFBF93">
            <w:pPr>
              <w:spacing w:line="360" w:lineRule="auto"/>
              <w:jc w:val="center"/>
              <w:rPr>
                <w:rFonts w:hint="default" w:cs="Times New Roman"/>
                <w:b/>
                <w:bCs/>
                <w:color w:val="auto"/>
                <w:lang w:val="en-US" w:eastAsia="zh-CN"/>
              </w:rPr>
            </w:pPr>
            <w:r>
              <w:rPr>
                <w:rFonts w:hint="eastAsia" w:ascii="Times New Roman" w:hAnsi="Times New Roman" w:eastAsia="宋体" w:cs="Times New Roman"/>
                <w:b/>
                <w:bCs/>
                <w:color w:val="auto"/>
                <w:lang w:val="en-US" w:eastAsia="zh-CN"/>
              </w:rPr>
              <w:t>图4</w:t>
            </w:r>
            <w:r>
              <w:rPr>
                <w:rFonts w:hint="eastAsia" w:cs="Times New Roman"/>
                <w:b/>
                <w:bCs/>
                <w:color w:val="auto"/>
                <w:lang w:val="en-US" w:eastAsia="zh-CN"/>
              </w:rPr>
              <w:t>-4</w:t>
            </w:r>
            <w:r>
              <w:rPr>
                <w:rFonts w:hint="eastAsia" w:ascii="Times New Roman" w:hAnsi="Times New Roman" w:eastAsia="宋体" w:cs="Times New Roman"/>
                <w:b/>
                <w:bCs/>
                <w:color w:val="auto"/>
                <w:lang w:val="en-US" w:eastAsia="zh-CN"/>
              </w:rPr>
              <w:t xml:space="preserve">  项目水平衡图  t/</w:t>
            </w:r>
            <w:r>
              <w:rPr>
                <w:rFonts w:hint="eastAsia" w:cs="Times New Roman"/>
                <w:b/>
                <w:bCs/>
                <w:color w:val="auto"/>
                <w:lang w:val="en-US" w:eastAsia="zh-CN"/>
              </w:rPr>
              <w:t>d</w:t>
            </w:r>
          </w:p>
          <w:p w14:paraId="6ED4136A">
            <w:pPr>
              <w:adjustRightInd w:val="0"/>
              <w:snapToGrid w:val="0"/>
              <w:spacing w:line="240" w:lineRule="auto"/>
              <w:jc w:val="center"/>
              <w:rPr>
                <w:b/>
                <w:bCs/>
              </w:rPr>
            </w:pPr>
            <w:r>
              <w:rPr>
                <w:rFonts w:hint="eastAsia"/>
                <w:b/>
                <w:bCs/>
              </w:rPr>
              <w:t>表4</w:t>
            </w:r>
            <w:r>
              <w:rPr>
                <w:rFonts w:hint="eastAsia"/>
                <w:b/>
                <w:bCs/>
                <w:lang w:val="en-US" w:eastAsia="zh-CN"/>
              </w:rPr>
              <w:t>-7</w:t>
            </w:r>
            <w:r>
              <w:rPr>
                <w:rFonts w:hint="eastAsia"/>
                <w:b/>
                <w:bCs/>
              </w:rPr>
              <w:t xml:space="preserve">  废水类别、污染物种类、排放方式及污染治理设施一览表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59"/>
              <w:gridCol w:w="924"/>
              <w:gridCol w:w="881"/>
              <w:gridCol w:w="1097"/>
              <w:gridCol w:w="1051"/>
              <w:gridCol w:w="1082"/>
              <w:gridCol w:w="1020"/>
            </w:tblGrid>
            <w:tr w14:paraId="1EAB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Merge w:val="restart"/>
                  <w:vAlign w:val="center"/>
                </w:tcPr>
                <w:p w14:paraId="53F02333">
                  <w:pPr>
                    <w:jc w:val="center"/>
                    <w:rPr>
                      <w:b/>
                      <w:bCs/>
                      <w:sz w:val="21"/>
                      <w:szCs w:val="21"/>
                    </w:rPr>
                  </w:pPr>
                  <w:r>
                    <w:rPr>
                      <w:rFonts w:hint="eastAsia"/>
                      <w:b/>
                      <w:bCs/>
                      <w:sz w:val="21"/>
                      <w:szCs w:val="21"/>
                    </w:rPr>
                    <w:t>废水类别</w:t>
                  </w:r>
                </w:p>
              </w:tc>
              <w:tc>
                <w:tcPr>
                  <w:tcW w:w="1359" w:type="dxa"/>
                  <w:vMerge w:val="restart"/>
                  <w:vAlign w:val="center"/>
                </w:tcPr>
                <w:p w14:paraId="3B20F09B">
                  <w:pPr>
                    <w:jc w:val="center"/>
                    <w:rPr>
                      <w:b/>
                      <w:bCs/>
                      <w:sz w:val="21"/>
                      <w:szCs w:val="21"/>
                    </w:rPr>
                  </w:pPr>
                  <w:r>
                    <w:rPr>
                      <w:rFonts w:hint="eastAsia"/>
                      <w:b/>
                      <w:bCs/>
                      <w:sz w:val="21"/>
                      <w:szCs w:val="21"/>
                    </w:rPr>
                    <w:t>污染物种类</w:t>
                  </w:r>
                </w:p>
              </w:tc>
              <w:tc>
                <w:tcPr>
                  <w:tcW w:w="1805" w:type="dxa"/>
                  <w:gridSpan w:val="2"/>
                  <w:vAlign w:val="center"/>
                </w:tcPr>
                <w:p w14:paraId="194ECADB">
                  <w:pPr>
                    <w:jc w:val="center"/>
                    <w:rPr>
                      <w:b/>
                      <w:bCs/>
                      <w:sz w:val="21"/>
                      <w:szCs w:val="21"/>
                    </w:rPr>
                  </w:pPr>
                  <w:r>
                    <w:rPr>
                      <w:rFonts w:hint="eastAsia"/>
                      <w:b/>
                      <w:bCs/>
                      <w:sz w:val="21"/>
                      <w:szCs w:val="21"/>
                    </w:rPr>
                    <w:t>污染治理工艺</w:t>
                  </w:r>
                </w:p>
              </w:tc>
              <w:tc>
                <w:tcPr>
                  <w:tcW w:w="1097" w:type="dxa"/>
                  <w:vMerge w:val="restart"/>
                  <w:vAlign w:val="center"/>
                </w:tcPr>
                <w:p w14:paraId="0B5DE784">
                  <w:pPr>
                    <w:jc w:val="center"/>
                    <w:rPr>
                      <w:b/>
                      <w:bCs/>
                      <w:sz w:val="21"/>
                      <w:szCs w:val="21"/>
                    </w:rPr>
                  </w:pPr>
                  <w:r>
                    <w:rPr>
                      <w:rFonts w:hint="eastAsia"/>
                      <w:b/>
                      <w:bCs/>
                      <w:sz w:val="21"/>
                      <w:szCs w:val="21"/>
                    </w:rPr>
                    <w:t>排放去向</w:t>
                  </w:r>
                </w:p>
              </w:tc>
              <w:tc>
                <w:tcPr>
                  <w:tcW w:w="1051" w:type="dxa"/>
                  <w:vMerge w:val="restart"/>
                  <w:vAlign w:val="center"/>
                </w:tcPr>
                <w:p w14:paraId="139CFEDF">
                  <w:pPr>
                    <w:jc w:val="center"/>
                    <w:rPr>
                      <w:b/>
                      <w:bCs/>
                      <w:sz w:val="21"/>
                      <w:szCs w:val="21"/>
                    </w:rPr>
                  </w:pPr>
                  <w:r>
                    <w:rPr>
                      <w:rFonts w:hint="eastAsia"/>
                      <w:b/>
                      <w:bCs/>
                      <w:sz w:val="21"/>
                      <w:szCs w:val="21"/>
                    </w:rPr>
                    <w:t>排放方式</w:t>
                  </w:r>
                </w:p>
              </w:tc>
              <w:tc>
                <w:tcPr>
                  <w:tcW w:w="1082" w:type="dxa"/>
                  <w:vMerge w:val="restart"/>
                  <w:vAlign w:val="center"/>
                </w:tcPr>
                <w:p w14:paraId="7983F63A">
                  <w:pPr>
                    <w:jc w:val="center"/>
                    <w:rPr>
                      <w:b/>
                      <w:bCs/>
                      <w:sz w:val="21"/>
                      <w:szCs w:val="21"/>
                    </w:rPr>
                  </w:pPr>
                  <w:r>
                    <w:rPr>
                      <w:rFonts w:hint="eastAsia"/>
                      <w:b/>
                      <w:bCs/>
                      <w:sz w:val="21"/>
                      <w:szCs w:val="21"/>
                    </w:rPr>
                    <w:t>排放口编号</w:t>
                  </w:r>
                </w:p>
              </w:tc>
              <w:tc>
                <w:tcPr>
                  <w:tcW w:w="1020" w:type="dxa"/>
                  <w:vMerge w:val="restart"/>
                  <w:vAlign w:val="center"/>
                </w:tcPr>
                <w:p w14:paraId="4DE6A4D2">
                  <w:pPr>
                    <w:jc w:val="center"/>
                    <w:rPr>
                      <w:b/>
                      <w:bCs/>
                      <w:sz w:val="21"/>
                      <w:szCs w:val="21"/>
                    </w:rPr>
                  </w:pPr>
                  <w:r>
                    <w:rPr>
                      <w:rFonts w:hint="eastAsia"/>
                      <w:b/>
                      <w:bCs/>
                      <w:sz w:val="21"/>
                      <w:szCs w:val="21"/>
                    </w:rPr>
                    <w:t>排放口类型</w:t>
                  </w:r>
                </w:p>
              </w:tc>
            </w:tr>
            <w:tr w14:paraId="3B4A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Merge w:val="continue"/>
                  <w:vAlign w:val="center"/>
                </w:tcPr>
                <w:p w14:paraId="38EC9DB5">
                  <w:pPr>
                    <w:jc w:val="center"/>
                    <w:rPr>
                      <w:b/>
                      <w:bCs/>
                      <w:sz w:val="21"/>
                      <w:szCs w:val="21"/>
                    </w:rPr>
                  </w:pPr>
                </w:p>
              </w:tc>
              <w:tc>
                <w:tcPr>
                  <w:tcW w:w="1359" w:type="dxa"/>
                  <w:vMerge w:val="continue"/>
                  <w:vAlign w:val="center"/>
                </w:tcPr>
                <w:p w14:paraId="2E1B330F">
                  <w:pPr>
                    <w:jc w:val="center"/>
                    <w:rPr>
                      <w:b/>
                      <w:bCs/>
                      <w:sz w:val="21"/>
                      <w:szCs w:val="21"/>
                    </w:rPr>
                  </w:pPr>
                </w:p>
              </w:tc>
              <w:tc>
                <w:tcPr>
                  <w:tcW w:w="924" w:type="dxa"/>
                  <w:vAlign w:val="center"/>
                </w:tcPr>
                <w:p w14:paraId="14A47C07">
                  <w:pPr>
                    <w:jc w:val="center"/>
                    <w:rPr>
                      <w:b/>
                      <w:bCs/>
                      <w:sz w:val="21"/>
                      <w:szCs w:val="21"/>
                    </w:rPr>
                  </w:pPr>
                  <w:r>
                    <w:rPr>
                      <w:rFonts w:hint="eastAsia"/>
                      <w:b/>
                      <w:bCs/>
                      <w:sz w:val="21"/>
                      <w:szCs w:val="21"/>
                    </w:rPr>
                    <w:t>治理工艺</w:t>
                  </w:r>
                </w:p>
              </w:tc>
              <w:tc>
                <w:tcPr>
                  <w:tcW w:w="881" w:type="dxa"/>
                  <w:vAlign w:val="center"/>
                </w:tcPr>
                <w:p w14:paraId="3A2FB5F1">
                  <w:pPr>
                    <w:jc w:val="center"/>
                    <w:rPr>
                      <w:b/>
                      <w:bCs/>
                      <w:sz w:val="21"/>
                      <w:szCs w:val="21"/>
                    </w:rPr>
                  </w:pPr>
                  <w:r>
                    <w:rPr>
                      <w:rFonts w:hint="eastAsia"/>
                      <w:b/>
                      <w:bCs/>
                      <w:sz w:val="21"/>
                      <w:szCs w:val="21"/>
                    </w:rPr>
                    <w:t>是否可行</w:t>
                  </w:r>
                </w:p>
              </w:tc>
              <w:tc>
                <w:tcPr>
                  <w:tcW w:w="1097" w:type="dxa"/>
                  <w:vMerge w:val="continue"/>
                  <w:vAlign w:val="center"/>
                </w:tcPr>
                <w:p w14:paraId="62A82429">
                  <w:pPr>
                    <w:jc w:val="center"/>
                    <w:rPr>
                      <w:b/>
                      <w:bCs/>
                      <w:sz w:val="21"/>
                      <w:szCs w:val="21"/>
                    </w:rPr>
                  </w:pPr>
                </w:p>
              </w:tc>
              <w:tc>
                <w:tcPr>
                  <w:tcW w:w="1051" w:type="dxa"/>
                  <w:vMerge w:val="continue"/>
                  <w:vAlign w:val="center"/>
                </w:tcPr>
                <w:p w14:paraId="308A9991">
                  <w:pPr>
                    <w:jc w:val="center"/>
                    <w:rPr>
                      <w:b/>
                      <w:bCs/>
                      <w:sz w:val="21"/>
                      <w:szCs w:val="21"/>
                    </w:rPr>
                  </w:pPr>
                </w:p>
              </w:tc>
              <w:tc>
                <w:tcPr>
                  <w:tcW w:w="1082" w:type="dxa"/>
                  <w:vMerge w:val="continue"/>
                  <w:vAlign w:val="center"/>
                </w:tcPr>
                <w:p w14:paraId="4B8B3DA2">
                  <w:pPr>
                    <w:jc w:val="center"/>
                    <w:rPr>
                      <w:b/>
                      <w:bCs/>
                      <w:sz w:val="21"/>
                      <w:szCs w:val="21"/>
                    </w:rPr>
                  </w:pPr>
                </w:p>
              </w:tc>
              <w:tc>
                <w:tcPr>
                  <w:tcW w:w="1020" w:type="dxa"/>
                  <w:vMerge w:val="continue"/>
                  <w:vAlign w:val="center"/>
                </w:tcPr>
                <w:p w14:paraId="160C9C95">
                  <w:pPr>
                    <w:jc w:val="center"/>
                    <w:rPr>
                      <w:b/>
                      <w:bCs/>
                      <w:sz w:val="21"/>
                      <w:szCs w:val="21"/>
                    </w:rPr>
                  </w:pPr>
                </w:p>
              </w:tc>
            </w:tr>
            <w:tr w14:paraId="6778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552EDCFD">
                  <w:pPr>
                    <w:jc w:val="center"/>
                    <w:rPr>
                      <w:sz w:val="21"/>
                      <w:szCs w:val="21"/>
                    </w:rPr>
                  </w:pPr>
                  <w:r>
                    <w:rPr>
                      <w:rFonts w:hint="eastAsia"/>
                      <w:sz w:val="21"/>
                      <w:szCs w:val="21"/>
                    </w:rPr>
                    <w:t>生活污水</w:t>
                  </w:r>
                </w:p>
              </w:tc>
              <w:tc>
                <w:tcPr>
                  <w:tcW w:w="1359" w:type="dxa"/>
                  <w:vAlign w:val="center"/>
                </w:tcPr>
                <w:p w14:paraId="1BA030E8">
                  <w:pPr>
                    <w:jc w:val="center"/>
                    <w:rPr>
                      <w:rFonts w:hint="default" w:eastAsia="宋体"/>
                      <w:sz w:val="21"/>
                      <w:szCs w:val="21"/>
                      <w:lang w:val="en-US" w:eastAsia="zh-CN"/>
                    </w:rPr>
                  </w:pPr>
                  <w:r>
                    <w:rPr>
                      <w:rFonts w:hint="eastAsia"/>
                      <w:sz w:val="21"/>
                      <w:szCs w:val="21"/>
                    </w:rPr>
                    <w:t>pH、COD、BOD</w:t>
                  </w:r>
                  <w:r>
                    <w:rPr>
                      <w:rFonts w:hint="eastAsia"/>
                      <w:sz w:val="21"/>
                      <w:szCs w:val="21"/>
                      <w:vertAlign w:val="subscript"/>
                    </w:rPr>
                    <w:t>5</w:t>
                  </w:r>
                  <w:r>
                    <w:rPr>
                      <w:rFonts w:hint="eastAsia"/>
                      <w:sz w:val="21"/>
                      <w:szCs w:val="21"/>
                    </w:rPr>
                    <w:t>、SS、</w:t>
                  </w:r>
                  <w:r>
                    <w:rPr>
                      <w:bCs/>
                      <w:snapToGrid w:val="0"/>
                      <w:kern w:val="0"/>
                      <w:sz w:val="21"/>
                      <w:szCs w:val="21"/>
                    </w:rPr>
                    <w:t>NH</w:t>
                  </w:r>
                  <w:r>
                    <w:rPr>
                      <w:bCs/>
                      <w:snapToGrid w:val="0"/>
                      <w:kern w:val="0"/>
                      <w:sz w:val="21"/>
                      <w:szCs w:val="21"/>
                      <w:vertAlign w:val="subscript"/>
                    </w:rPr>
                    <w:t>3</w:t>
                  </w:r>
                  <w:r>
                    <w:rPr>
                      <w:bCs/>
                      <w:snapToGrid w:val="0"/>
                      <w:kern w:val="0"/>
                      <w:sz w:val="21"/>
                      <w:szCs w:val="21"/>
                    </w:rPr>
                    <w:t>-N</w:t>
                  </w:r>
                </w:p>
              </w:tc>
              <w:tc>
                <w:tcPr>
                  <w:tcW w:w="924" w:type="dxa"/>
                  <w:vAlign w:val="center"/>
                </w:tcPr>
                <w:p w14:paraId="08510A8F">
                  <w:pPr>
                    <w:jc w:val="center"/>
                    <w:rPr>
                      <w:sz w:val="21"/>
                      <w:szCs w:val="21"/>
                    </w:rPr>
                  </w:pPr>
                  <w:r>
                    <w:rPr>
                      <w:rFonts w:hint="eastAsia"/>
                      <w:sz w:val="21"/>
                      <w:szCs w:val="21"/>
                    </w:rPr>
                    <w:t>化粪池</w:t>
                  </w:r>
                </w:p>
              </w:tc>
              <w:tc>
                <w:tcPr>
                  <w:tcW w:w="881" w:type="dxa"/>
                  <w:vAlign w:val="center"/>
                </w:tcPr>
                <w:p w14:paraId="478E62C7">
                  <w:pPr>
                    <w:jc w:val="center"/>
                    <w:rPr>
                      <w:sz w:val="21"/>
                      <w:szCs w:val="21"/>
                    </w:rPr>
                  </w:pPr>
                  <w:r>
                    <w:rPr>
                      <w:rFonts w:hint="eastAsia"/>
                      <w:sz w:val="21"/>
                      <w:szCs w:val="21"/>
                    </w:rPr>
                    <w:t>是</w:t>
                  </w:r>
                </w:p>
              </w:tc>
              <w:tc>
                <w:tcPr>
                  <w:tcW w:w="1097" w:type="dxa"/>
                  <w:vAlign w:val="center"/>
                </w:tcPr>
                <w:p w14:paraId="7B63EA8D">
                  <w:pPr>
                    <w:jc w:val="center"/>
                    <w:rPr>
                      <w:rFonts w:hint="default" w:eastAsia="宋体"/>
                      <w:sz w:val="21"/>
                      <w:szCs w:val="21"/>
                      <w:lang w:val="en-US" w:eastAsia="zh-CN"/>
                    </w:rPr>
                  </w:pPr>
                  <w:r>
                    <w:rPr>
                      <w:rFonts w:hint="eastAsia" w:eastAsia="宋体"/>
                      <w:sz w:val="21"/>
                      <w:szCs w:val="21"/>
                      <w:lang w:val="en-US" w:eastAsia="zh-CN"/>
                    </w:rPr>
                    <w:t>泗县工业污水处理厂</w:t>
                  </w:r>
                </w:p>
              </w:tc>
              <w:tc>
                <w:tcPr>
                  <w:tcW w:w="1051" w:type="dxa"/>
                  <w:vAlign w:val="center"/>
                </w:tcPr>
                <w:p w14:paraId="2C9C006C">
                  <w:pPr>
                    <w:jc w:val="center"/>
                    <w:rPr>
                      <w:sz w:val="21"/>
                      <w:szCs w:val="21"/>
                    </w:rPr>
                  </w:pPr>
                  <w:r>
                    <w:rPr>
                      <w:rFonts w:hint="eastAsia"/>
                      <w:sz w:val="21"/>
                      <w:szCs w:val="21"/>
                    </w:rPr>
                    <w:t>间接排放</w:t>
                  </w:r>
                </w:p>
              </w:tc>
              <w:tc>
                <w:tcPr>
                  <w:tcW w:w="1082" w:type="dxa"/>
                  <w:vAlign w:val="center"/>
                </w:tcPr>
                <w:p w14:paraId="6A94A427">
                  <w:pPr>
                    <w:jc w:val="center"/>
                    <w:rPr>
                      <w:sz w:val="21"/>
                      <w:szCs w:val="21"/>
                    </w:rPr>
                  </w:pPr>
                  <w:r>
                    <w:rPr>
                      <w:rFonts w:hint="eastAsia"/>
                      <w:sz w:val="21"/>
                      <w:szCs w:val="21"/>
                    </w:rPr>
                    <w:t>DW001</w:t>
                  </w:r>
                </w:p>
              </w:tc>
              <w:tc>
                <w:tcPr>
                  <w:tcW w:w="1020" w:type="dxa"/>
                  <w:vAlign w:val="center"/>
                </w:tcPr>
                <w:p w14:paraId="18F895D0">
                  <w:pPr>
                    <w:jc w:val="center"/>
                    <w:rPr>
                      <w:sz w:val="21"/>
                      <w:szCs w:val="21"/>
                    </w:rPr>
                  </w:pPr>
                  <w:r>
                    <w:rPr>
                      <w:rFonts w:hint="eastAsia"/>
                      <w:sz w:val="21"/>
                      <w:szCs w:val="21"/>
                    </w:rPr>
                    <w:t>一般排放口</w:t>
                  </w:r>
                </w:p>
              </w:tc>
            </w:tr>
          </w:tbl>
          <w:p w14:paraId="6EDEE5C9">
            <w:pPr>
              <w:adjustRightInd w:val="0"/>
              <w:snapToGrid w:val="0"/>
              <w:spacing w:before="120" w:beforeLines="50"/>
              <w:jc w:val="center"/>
              <w:rPr>
                <w:b/>
              </w:rPr>
            </w:pPr>
            <w:r>
              <w:rPr>
                <w:rFonts w:hint="eastAsia"/>
                <w:b/>
              </w:rPr>
              <w:t>表4</w:t>
            </w:r>
            <w:r>
              <w:rPr>
                <w:rFonts w:hint="eastAsia"/>
                <w:b/>
                <w:lang w:val="en-US" w:eastAsia="zh-CN"/>
              </w:rPr>
              <w:t>-8</w:t>
            </w:r>
            <w:r>
              <w:rPr>
                <w:rFonts w:hint="eastAsia"/>
                <w:b/>
              </w:rPr>
              <w:t xml:space="preserve">  项目</w:t>
            </w:r>
            <w:r>
              <w:rPr>
                <w:rFonts w:hint="eastAsia"/>
                <w:b/>
                <w:lang w:val="en-US" w:eastAsia="zh-CN"/>
              </w:rPr>
              <w:t>水污染物产生及排放情况</w:t>
            </w:r>
            <w:r>
              <w:rPr>
                <w:rFonts w:hint="eastAsia"/>
                <w:b/>
              </w:rPr>
              <w:t>一览表  单位：t/a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8"/>
              <w:gridCol w:w="1039"/>
              <w:gridCol w:w="793"/>
              <w:gridCol w:w="1113"/>
              <w:gridCol w:w="827"/>
              <w:gridCol w:w="827"/>
              <w:gridCol w:w="1115"/>
              <w:gridCol w:w="791"/>
              <w:gridCol w:w="828"/>
            </w:tblGrid>
            <w:tr w14:paraId="3F090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4" w:type="dxa"/>
                  <w:vMerge w:val="restart"/>
                  <w:shd w:val="clear" w:color="auto" w:fill="auto"/>
                  <w:tcMar>
                    <w:top w:w="15" w:type="dxa"/>
                    <w:left w:w="15" w:type="dxa"/>
                    <w:right w:w="15" w:type="dxa"/>
                  </w:tcMar>
                  <w:vAlign w:val="center"/>
                </w:tcPr>
                <w:p w14:paraId="06CBC96E">
                  <w:pPr>
                    <w:widowControl/>
                    <w:jc w:val="center"/>
                    <w:textAlignment w:val="center"/>
                    <w:rPr>
                      <w:b/>
                      <w:bCs/>
                      <w:color w:val="000000"/>
                      <w:sz w:val="21"/>
                      <w:szCs w:val="21"/>
                    </w:rPr>
                  </w:pPr>
                  <w:r>
                    <w:rPr>
                      <w:b/>
                      <w:bCs/>
                      <w:color w:val="000000"/>
                      <w:kern w:val="0"/>
                      <w:sz w:val="21"/>
                      <w:szCs w:val="21"/>
                      <w:lang w:bidi="ar"/>
                    </w:rPr>
                    <w:t>污染源</w:t>
                  </w:r>
                </w:p>
              </w:tc>
              <w:tc>
                <w:tcPr>
                  <w:tcW w:w="1047" w:type="dxa"/>
                  <w:vMerge w:val="restart"/>
                  <w:shd w:val="clear" w:color="auto" w:fill="auto"/>
                  <w:tcMar>
                    <w:top w:w="15" w:type="dxa"/>
                    <w:left w:w="15" w:type="dxa"/>
                    <w:right w:w="15" w:type="dxa"/>
                  </w:tcMar>
                  <w:vAlign w:val="center"/>
                </w:tcPr>
                <w:p w14:paraId="073C9C9B">
                  <w:pPr>
                    <w:widowControl/>
                    <w:jc w:val="center"/>
                    <w:textAlignment w:val="center"/>
                    <w:rPr>
                      <w:b/>
                      <w:bCs/>
                      <w:color w:val="000000"/>
                      <w:sz w:val="21"/>
                      <w:szCs w:val="21"/>
                    </w:rPr>
                  </w:pPr>
                  <w:r>
                    <w:rPr>
                      <w:b/>
                      <w:bCs/>
                      <w:color w:val="000000"/>
                      <w:kern w:val="0"/>
                      <w:sz w:val="21"/>
                      <w:szCs w:val="21"/>
                      <w:lang w:bidi="ar"/>
                    </w:rPr>
                    <w:t>废水量（t/a）</w:t>
                  </w:r>
                </w:p>
              </w:tc>
              <w:tc>
                <w:tcPr>
                  <w:tcW w:w="799" w:type="dxa"/>
                  <w:vMerge w:val="restart"/>
                  <w:shd w:val="clear" w:color="auto" w:fill="auto"/>
                  <w:tcMar>
                    <w:top w:w="15" w:type="dxa"/>
                    <w:left w:w="15" w:type="dxa"/>
                    <w:right w:w="15" w:type="dxa"/>
                  </w:tcMar>
                  <w:vAlign w:val="center"/>
                </w:tcPr>
                <w:p w14:paraId="16737D97">
                  <w:pPr>
                    <w:widowControl/>
                    <w:jc w:val="center"/>
                    <w:textAlignment w:val="center"/>
                    <w:rPr>
                      <w:b/>
                      <w:bCs/>
                      <w:color w:val="000000"/>
                      <w:sz w:val="21"/>
                      <w:szCs w:val="21"/>
                    </w:rPr>
                  </w:pPr>
                  <w:r>
                    <w:rPr>
                      <w:b/>
                      <w:bCs/>
                      <w:color w:val="000000"/>
                      <w:kern w:val="0"/>
                      <w:sz w:val="21"/>
                      <w:szCs w:val="21"/>
                      <w:lang w:bidi="ar"/>
                    </w:rPr>
                    <w:t>污染物</w:t>
                  </w:r>
                </w:p>
              </w:tc>
              <w:tc>
                <w:tcPr>
                  <w:tcW w:w="1956" w:type="dxa"/>
                  <w:gridSpan w:val="2"/>
                  <w:shd w:val="clear" w:color="auto" w:fill="auto"/>
                  <w:tcMar>
                    <w:top w:w="15" w:type="dxa"/>
                    <w:left w:w="15" w:type="dxa"/>
                    <w:right w:w="15" w:type="dxa"/>
                  </w:tcMar>
                  <w:vAlign w:val="center"/>
                </w:tcPr>
                <w:p w14:paraId="3260445D">
                  <w:pPr>
                    <w:widowControl/>
                    <w:jc w:val="center"/>
                    <w:textAlignment w:val="center"/>
                    <w:rPr>
                      <w:b/>
                      <w:bCs/>
                      <w:color w:val="000000"/>
                      <w:sz w:val="21"/>
                      <w:szCs w:val="21"/>
                    </w:rPr>
                  </w:pPr>
                  <w:r>
                    <w:rPr>
                      <w:b/>
                      <w:bCs/>
                      <w:color w:val="000000"/>
                      <w:kern w:val="0"/>
                      <w:sz w:val="21"/>
                      <w:szCs w:val="21"/>
                      <w:lang w:bidi="ar"/>
                    </w:rPr>
                    <w:t>污染物产生量</w:t>
                  </w:r>
                </w:p>
              </w:tc>
              <w:tc>
                <w:tcPr>
                  <w:tcW w:w="834" w:type="dxa"/>
                  <w:vMerge w:val="restart"/>
                  <w:shd w:val="clear" w:color="auto" w:fill="auto"/>
                  <w:tcMar>
                    <w:top w:w="15" w:type="dxa"/>
                    <w:left w:w="15" w:type="dxa"/>
                    <w:right w:w="15" w:type="dxa"/>
                  </w:tcMar>
                  <w:vAlign w:val="center"/>
                </w:tcPr>
                <w:p w14:paraId="35CE7773">
                  <w:pPr>
                    <w:widowControl/>
                    <w:jc w:val="center"/>
                    <w:textAlignment w:val="center"/>
                    <w:rPr>
                      <w:b/>
                      <w:bCs/>
                      <w:color w:val="000000"/>
                      <w:sz w:val="21"/>
                      <w:szCs w:val="21"/>
                    </w:rPr>
                  </w:pPr>
                  <w:r>
                    <w:rPr>
                      <w:b/>
                      <w:bCs/>
                      <w:color w:val="000000"/>
                      <w:kern w:val="0"/>
                      <w:sz w:val="21"/>
                      <w:szCs w:val="21"/>
                      <w:lang w:bidi="ar"/>
                    </w:rPr>
                    <w:t>治理措施</w:t>
                  </w:r>
                </w:p>
              </w:tc>
              <w:tc>
                <w:tcPr>
                  <w:tcW w:w="1921" w:type="dxa"/>
                  <w:gridSpan w:val="2"/>
                  <w:shd w:val="clear" w:color="auto" w:fill="auto"/>
                  <w:tcMar>
                    <w:top w:w="15" w:type="dxa"/>
                    <w:left w:w="15" w:type="dxa"/>
                    <w:right w:w="15" w:type="dxa"/>
                  </w:tcMar>
                  <w:vAlign w:val="center"/>
                </w:tcPr>
                <w:p w14:paraId="7509F256">
                  <w:pPr>
                    <w:widowControl/>
                    <w:jc w:val="center"/>
                    <w:textAlignment w:val="center"/>
                    <w:rPr>
                      <w:b/>
                      <w:bCs/>
                      <w:color w:val="000000"/>
                      <w:sz w:val="21"/>
                      <w:szCs w:val="21"/>
                    </w:rPr>
                  </w:pPr>
                  <w:r>
                    <w:rPr>
                      <w:b/>
                      <w:bCs/>
                      <w:color w:val="000000"/>
                      <w:kern w:val="0"/>
                      <w:sz w:val="21"/>
                      <w:szCs w:val="21"/>
                      <w:lang w:bidi="ar"/>
                    </w:rPr>
                    <w:t>污染物排放量</w:t>
                  </w:r>
                </w:p>
              </w:tc>
              <w:tc>
                <w:tcPr>
                  <w:tcW w:w="835" w:type="dxa"/>
                  <w:vMerge w:val="restart"/>
                  <w:shd w:val="clear" w:color="auto" w:fill="auto"/>
                  <w:tcMar>
                    <w:top w:w="15" w:type="dxa"/>
                    <w:left w:w="15" w:type="dxa"/>
                    <w:right w:w="15" w:type="dxa"/>
                  </w:tcMar>
                  <w:vAlign w:val="center"/>
                </w:tcPr>
                <w:p w14:paraId="5D2D9294">
                  <w:pPr>
                    <w:widowControl/>
                    <w:jc w:val="center"/>
                    <w:textAlignment w:val="center"/>
                    <w:rPr>
                      <w:b/>
                      <w:bCs/>
                      <w:color w:val="000000"/>
                      <w:sz w:val="21"/>
                      <w:szCs w:val="21"/>
                    </w:rPr>
                  </w:pPr>
                  <w:r>
                    <w:rPr>
                      <w:b/>
                      <w:bCs/>
                      <w:color w:val="000000"/>
                      <w:kern w:val="0"/>
                      <w:sz w:val="21"/>
                      <w:szCs w:val="21"/>
                      <w:lang w:bidi="ar"/>
                    </w:rPr>
                    <w:t>去向</w:t>
                  </w:r>
                </w:p>
              </w:tc>
            </w:tr>
            <w:tr w14:paraId="5410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4" w:type="dxa"/>
                  <w:vMerge w:val="continue"/>
                  <w:shd w:val="clear" w:color="auto" w:fill="auto"/>
                  <w:tcMar>
                    <w:top w:w="15" w:type="dxa"/>
                    <w:left w:w="15" w:type="dxa"/>
                    <w:right w:w="15" w:type="dxa"/>
                  </w:tcMar>
                  <w:vAlign w:val="center"/>
                </w:tcPr>
                <w:p w14:paraId="7D91F26F">
                  <w:pPr>
                    <w:jc w:val="center"/>
                    <w:rPr>
                      <w:b/>
                      <w:bCs/>
                      <w:color w:val="000000"/>
                      <w:sz w:val="21"/>
                      <w:szCs w:val="21"/>
                    </w:rPr>
                  </w:pPr>
                </w:p>
              </w:tc>
              <w:tc>
                <w:tcPr>
                  <w:tcW w:w="1047" w:type="dxa"/>
                  <w:vMerge w:val="continue"/>
                  <w:shd w:val="clear" w:color="auto" w:fill="auto"/>
                  <w:tcMar>
                    <w:top w:w="15" w:type="dxa"/>
                    <w:left w:w="15" w:type="dxa"/>
                    <w:right w:w="15" w:type="dxa"/>
                  </w:tcMar>
                  <w:vAlign w:val="center"/>
                </w:tcPr>
                <w:p w14:paraId="0AE8F45B">
                  <w:pPr>
                    <w:jc w:val="center"/>
                    <w:rPr>
                      <w:b/>
                      <w:bCs/>
                      <w:color w:val="000000"/>
                      <w:sz w:val="21"/>
                      <w:szCs w:val="21"/>
                    </w:rPr>
                  </w:pPr>
                </w:p>
              </w:tc>
              <w:tc>
                <w:tcPr>
                  <w:tcW w:w="799" w:type="dxa"/>
                  <w:vMerge w:val="continue"/>
                  <w:shd w:val="clear" w:color="auto" w:fill="auto"/>
                  <w:tcMar>
                    <w:top w:w="15" w:type="dxa"/>
                    <w:left w:w="15" w:type="dxa"/>
                    <w:right w:w="15" w:type="dxa"/>
                  </w:tcMar>
                  <w:vAlign w:val="center"/>
                </w:tcPr>
                <w:p w14:paraId="320A04C2">
                  <w:pPr>
                    <w:jc w:val="center"/>
                    <w:rPr>
                      <w:b/>
                      <w:bCs/>
                      <w:color w:val="000000"/>
                      <w:sz w:val="21"/>
                      <w:szCs w:val="21"/>
                    </w:rPr>
                  </w:pPr>
                </w:p>
              </w:tc>
              <w:tc>
                <w:tcPr>
                  <w:tcW w:w="1122" w:type="dxa"/>
                  <w:shd w:val="clear" w:color="auto" w:fill="auto"/>
                  <w:tcMar>
                    <w:top w:w="15" w:type="dxa"/>
                    <w:left w:w="15" w:type="dxa"/>
                    <w:right w:w="15" w:type="dxa"/>
                  </w:tcMar>
                  <w:vAlign w:val="center"/>
                </w:tcPr>
                <w:p w14:paraId="098FAE46">
                  <w:pPr>
                    <w:widowControl/>
                    <w:jc w:val="center"/>
                    <w:textAlignment w:val="center"/>
                    <w:rPr>
                      <w:b/>
                      <w:bCs/>
                      <w:color w:val="000000"/>
                      <w:sz w:val="21"/>
                      <w:szCs w:val="21"/>
                    </w:rPr>
                  </w:pPr>
                  <w:r>
                    <w:rPr>
                      <w:b/>
                      <w:bCs/>
                      <w:color w:val="000000"/>
                      <w:kern w:val="0"/>
                      <w:sz w:val="21"/>
                      <w:szCs w:val="21"/>
                      <w:lang w:bidi="ar"/>
                    </w:rPr>
                    <w:t>浓度(mg/L)</w:t>
                  </w:r>
                </w:p>
              </w:tc>
              <w:tc>
                <w:tcPr>
                  <w:tcW w:w="834" w:type="dxa"/>
                  <w:shd w:val="clear" w:color="auto" w:fill="auto"/>
                  <w:tcMar>
                    <w:top w:w="15" w:type="dxa"/>
                    <w:left w:w="15" w:type="dxa"/>
                    <w:right w:w="15" w:type="dxa"/>
                  </w:tcMar>
                  <w:vAlign w:val="center"/>
                </w:tcPr>
                <w:p w14:paraId="0848B1FA">
                  <w:pPr>
                    <w:widowControl/>
                    <w:jc w:val="center"/>
                    <w:textAlignment w:val="center"/>
                    <w:rPr>
                      <w:b/>
                      <w:bCs/>
                      <w:color w:val="000000"/>
                      <w:sz w:val="21"/>
                      <w:szCs w:val="21"/>
                    </w:rPr>
                  </w:pPr>
                  <w:r>
                    <w:rPr>
                      <w:b/>
                      <w:bCs/>
                      <w:color w:val="000000"/>
                      <w:kern w:val="0"/>
                      <w:sz w:val="21"/>
                      <w:szCs w:val="21"/>
                      <w:lang w:bidi="ar"/>
                    </w:rPr>
                    <w:t>产生量(t/a)</w:t>
                  </w:r>
                </w:p>
              </w:tc>
              <w:tc>
                <w:tcPr>
                  <w:tcW w:w="834" w:type="dxa"/>
                  <w:vMerge w:val="continue"/>
                  <w:shd w:val="clear" w:color="auto" w:fill="auto"/>
                  <w:tcMar>
                    <w:top w:w="15" w:type="dxa"/>
                    <w:left w:w="15" w:type="dxa"/>
                    <w:right w:w="15" w:type="dxa"/>
                  </w:tcMar>
                  <w:vAlign w:val="center"/>
                </w:tcPr>
                <w:p w14:paraId="179A8099">
                  <w:pPr>
                    <w:jc w:val="center"/>
                    <w:rPr>
                      <w:b/>
                      <w:bCs/>
                      <w:color w:val="000000"/>
                      <w:sz w:val="21"/>
                      <w:szCs w:val="21"/>
                    </w:rPr>
                  </w:pPr>
                </w:p>
              </w:tc>
              <w:tc>
                <w:tcPr>
                  <w:tcW w:w="1124" w:type="dxa"/>
                  <w:shd w:val="clear" w:color="auto" w:fill="auto"/>
                  <w:tcMar>
                    <w:top w:w="15" w:type="dxa"/>
                    <w:left w:w="15" w:type="dxa"/>
                    <w:right w:w="15" w:type="dxa"/>
                  </w:tcMar>
                  <w:vAlign w:val="center"/>
                </w:tcPr>
                <w:p w14:paraId="47BD27EF">
                  <w:pPr>
                    <w:widowControl/>
                    <w:jc w:val="center"/>
                    <w:textAlignment w:val="center"/>
                    <w:rPr>
                      <w:b/>
                      <w:bCs/>
                      <w:color w:val="000000"/>
                      <w:sz w:val="21"/>
                      <w:szCs w:val="21"/>
                    </w:rPr>
                  </w:pPr>
                  <w:r>
                    <w:rPr>
                      <w:b/>
                      <w:bCs/>
                      <w:color w:val="000000"/>
                      <w:kern w:val="0"/>
                      <w:sz w:val="21"/>
                      <w:szCs w:val="21"/>
                      <w:lang w:bidi="ar"/>
                    </w:rPr>
                    <w:t>浓度(mg/L)</w:t>
                  </w:r>
                </w:p>
              </w:tc>
              <w:tc>
                <w:tcPr>
                  <w:tcW w:w="797" w:type="dxa"/>
                  <w:shd w:val="clear" w:color="auto" w:fill="auto"/>
                  <w:tcMar>
                    <w:top w:w="15" w:type="dxa"/>
                    <w:left w:w="15" w:type="dxa"/>
                    <w:right w:w="15" w:type="dxa"/>
                  </w:tcMar>
                  <w:vAlign w:val="center"/>
                </w:tcPr>
                <w:p w14:paraId="21A538FD">
                  <w:pPr>
                    <w:widowControl/>
                    <w:jc w:val="center"/>
                    <w:textAlignment w:val="center"/>
                    <w:rPr>
                      <w:b/>
                      <w:bCs/>
                      <w:color w:val="000000"/>
                      <w:sz w:val="21"/>
                      <w:szCs w:val="21"/>
                    </w:rPr>
                  </w:pPr>
                  <w:r>
                    <w:rPr>
                      <w:b/>
                      <w:bCs/>
                      <w:color w:val="000000"/>
                      <w:kern w:val="0"/>
                      <w:sz w:val="21"/>
                      <w:szCs w:val="21"/>
                      <w:lang w:bidi="ar"/>
                    </w:rPr>
                    <w:t>排放量（t/a）</w:t>
                  </w:r>
                </w:p>
              </w:tc>
              <w:tc>
                <w:tcPr>
                  <w:tcW w:w="835" w:type="dxa"/>
                  <w:vMerge w:val="continue"/>
                  <w:shd w:val="clear" w:color="auto" w:fill="auto"/>
                  <w:tcMar>
                    <w:top w:w="15" w:type="dxa"/>
                    <w:left w:w="15" w:type="dxa"/>
                    <w:right w:w="15" w:type="dxa"/>
                  </w:tcMar>
                  <w:vAlign w:val="center"/>
                </w:tcPr>
                <w:p w14:paraId="761A5EB1">
                  <w:pPr>
                    <w:jc w:val="center"/>
                    <w:rPr>
                      <w:b/>
                      <w:bCs/>
                      <w:color w:val="000000"/>
                      <w:sz w:val="21"/>
                      <w:szCs w:val="21"/>
                    </w:rPr>
                  </w:pPr>
                </w:p>
              </w:tc>
            </w:tr>
            <w:tr w14:paraId="784F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4" w:type="dxa"/>
                  <w:vMerge w:val="restart"/>
                  <w:shd w:val="clear" w:color="auto" w:fill="auto"/>
                  <w:tcMar>
                    <w:top w:w="15" w:type="dxa"/>
                    <w:left w:w="15" w:type="dxa"/>
                    <w:right w:w="15" w:type="dxa"/>
                  </w:tcMar>
                  <w:vAlign w:val="center"/>
                </w:tcPr>
                <w:p w14:paraId="4E0E271D">
                  <w:pPr>
                    <w:widowControl/>
                    <w:jc w:val="center"/>
                    <w:textAlignment w:val="center"/>
                    <w:rPr>
                      <w:color w:val="000000"/>
                      <w:kern w:val="0"/>
                      <w:sz w:val="21"/>
                      <w:szCs w:val="21"/>
                      <w:lang w:bidi="ar"/>
                    </w:rPr>
                  </w:pPr>
                  <w:r>
                    <w:rPr>
                      <w:color w:val="000000"/>
                      <w:kern w:val="0"/>
                      <w:sz w:val="21"/>
                      <w:szCs w:val="21"/>
                      <w:lang w:bidi="ar"/>
                    </w:rPr>
                    <w:t>生活</w:t>
                  </w:r>
                </w:p>
                <w:p w14:paraId="2B21BE5C">
                  <w:pPr>
                    <w:widowControl/>
                    <w:jc w:val="center"/>
                    <w:textAlignment w:val="center"/>
                    <w:rPr>
                      <w:color w:val="000000"/>
                      <w:sz w:val="21"/>
                      <w:szCs w:val="21"/>
                    </w:rPr>
                  </w:pPr>
                  <w:r>
                    <w:rPr>
                      <w:color w:val="000000"/>
                      <w:kern w:val="0"/>
                      <w:sz w:val="21"/>
                      <w:szCs w:val="21"/>
                      <w:lang w:bidi="ar"/>
                    </w:rPr>
                    <w:t>污水</w:t>
                  </w:r>
                </w:p>
              </w:tc>
              <w:tc>
                <w:tcPr>
                  <w:tcW w:w="1047" w:type="dxa"/>
                  <w:vMerge w:val="restart"/>
                  <w:shd w:val="clear" w:color="auto" w:fill="auto"/>
                  <w:tcMar>
                    <w:top w:w="15" w:type="dxa"/>
                    <w:left w:w="15" w:type="dxa"/>
                    <w:right w:w="15" w:type="dxa"/>
                  </w:tcMar>
                  <w:vAlign w:val="center"/>
                </w:tcPr>
                <w:p w14:paraId="318B22EE">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1008</w:t>
                  </w:r>
                </w:p>
              </w:tc>
              <w:tc>
                <w:tcPr>
                  <w:tcW w:w="799" w:type="dxa"/>
                  <w:shd w:val="clear" w:color="auto" w:fill="auto"/>
                  <w:tcMar>
                    <w:top w:w="15" w:type="dxa"/>
                    <w:left w:w="15" w:type="dxa"/>
                    <w:right w:w="15" w:type="dxa"/>
                  </w:tcMar>
                  <w:vAlign w:val="center"/>
                </w:tcPr>
                <w:p w14:paraId="36AD28E6">
                  <w:pPr>
                    <w:widowControl/>
                    <w:jc w:val="center"/>
                    <w:textAlignment w:val="center"/>
                    <w:rPr>
                      <w:color w:val="000000"/>
                      <w:sz w:val="21"/>
                      <w:szCs w:val="21"/>
                    </w:rPr>
                  </w:pPr>
                  <w:r>
                    <w:rPr>
                      <w:color w:val="000000"/>
                      <w:kern w:val="0"/>
                      <w:sz w:val="21"/>
                      <w:szCs w:val="21"/>
                      <w:lang w:bidi="ar"/>
                    </w:rPr>
                    <w:t>pH</w:t>
                  </w:r>
                </w:p>
              </w:tc>
              <w:tc>
                <w:tcPr>
                  <w:tcW w:w="1122" w:type="dxa"/>
                  <w:shd w:val="clear" w:color="auto" w:fill="auto"/>
                  <w:tcMar>
                    <w:top w:w="15" w:type="dxa"/>
                    <w:left w:w="15" w:type="dxa"/>
                    <w:right w:w="15" w:type="dxa"/>
                  </w:tcMar>
                  <w:vAlign w:val="center"/>
                </w:tcPr>
                <w:p w14:paraId="528847B7">
                  <w:pPr>
                    <w:widowControl/>
                    <w:jc w:val="center"/>
                    <w:textAlignment w:val="center"/>
                    <w:rPr>
                      <w:color w:val="000000"/>
                      <w:kern w:val="0"/>
                      <w:sz w:val="21"/>
                      <w:szCs w:val="21"/>
                      <w:lang w:bidi="ar"/>
                    </w:rPr>
                  </w:pPr>
                  <w:r>
                    <w:rPr>
                      <w:color w:val="000000"/>
                      <w:kern w:val="0"/>
                      <w:sz w:val="21"/>
                      <w:szCs w:val="21"/>
                      <w:lang w:bidi="ar"/>
                    </w:rPr>
                    <w:t>6~9</w:t>
                  </w:r>
                </w:p>
                <w:p w14:paraId="75FDC4D4">
                  <w:pPr>
                    <w:widowControl/>
                    <w:jc w:val="center"/>
                    <w:textAlignment w:val="center"/>
                    <w:rPr>
                      <w:rFonts w:hint="eastAsia" w:eastAsia="宋体"/>
                      <w:color w:val="000000"/>
                      <w:sz w:val="21"/>
                      <w:szCs w:val="21"/>
                      <w:lang w:eastAsia="zh-CN"/>
                    </w:rPr>
                  </w:pPr>
                  <w:r>
                    <w:rPr>
                      <w:rFonts w:hint="eastAsia"/>
                      <w:color w:val="000000"/>
                      <w:kern w:val="0"/>
                      <w:sz w:val="21"/>
                      <w:szCs w:val="21"/>
                      <w:lang w:eastAsia="zh-CN" w:bidi="ar"/>
                    </w:rPr>
                    <w:t>（</w:t>
                  </w:r>
                  <w:r>
                    <w:rPr>
                      <w:rFonts w:hint="eastAsia"/>
                      <w:color w:val="000000"/>
                      <w:kern w:val="0"/>
                      <w:sz w:val="21"/>
                      <w:szCs w:val="21"/>
                      <w:lang w:val="en-US" w:eastAsia="zh-CN" w:bidi="ar"/>
                    </w:rPr>
                    <w:t>无量纲</w:t>
                  </w:r>
                  <w:r>
                    <w:rPr>
                      <w:rFonts w:hint="eastAsia"/>
                      <w:color w:val="000000"/>
                      <w:kern w:val="0"/>
                      <w:sz w:val="21"/>
                      <w:szCs w:val="21"/>
                      <w:lang w:eastAsia="zh-CN" w:bidi="ar"/>
                    </w:rPr>
                    <w:t>）</w:t>
                  </w:r>
                </w:p>
              </w:tc>
              <w:tc>
                <w:tcPr>
                  <w:tcW w:w="834" w:type="dxa"/>
                  <w:shd w:val="clear" w:color="auto" w:fill="auto"/>
                  <w:tcMar>
                    <w:top w:w="15" w:type="dxa"/>
                    <w:left w:w="15" w:type="dxa"/>
                    <w:right w:w="15" w:type="dxa"/>
                  </w:tcMar>
                  <w:vAlign w:val="center"/>
                </w:tcPr>
                <w:p w14:paraId="5E56E184">
                  <w:pPr>
                    <w:widowControl/>
                    <w:jc w:val="center"/>
                    <w:textAlignment w:val="center"/>
                    <w:rPr>
                      <w:color w:val="000000"/>
                      <w:sz w:val="21"/>
                      <w:szCs w:val="21"/>
                    </w:rPr>
                  </w:pPr>
                  <w:r>
                    <w:rPr>
                      <w:color w:val="000000"/>
                      <w:kern w:val="0"/>
                      <w:sz w:val="21"/>
                      <w:szCs w:val="21"/>
                      <w:lang w:bidi="ar"/>
                    </w:rPr>
                    <w:t>/</w:t>
                  </w:r>
                </w:p>
              </w:tc>
              <w:tc>
                <w:tcPr>
                  <w:tcW w:w="834" w:type="dxa"/>
                  <w:vMerge w:val="restart"/>
                  <w:shd w:val="clear" w:color="auto" w:fill="auto"/>
                  <w:tcMar>
                    <w:top w:w="15" w:type="dxa"/>
                    <w:left w:w="15" w:type="dxa"/>
                    <w:right w:w="15" w:type="dxa"/>
                  </w:tcMar>
                  <w:vAlign w:val="center"/>
                </w:tcPr>
                <w:p w14:paraId="601F5D89">
                  <w:pPr>
                    <w:widowControl/>
                    <w:jc w:val="center"/>
                    <w:textAlignment w:val="center"/>
                    <w:rPr>
                      <w:color w:val="000000"/>
                      <w:sz w:val="21"/>
                      <w:szCs w:val="21"/>
                    </w:rPr>
                  </w:pPr>
                  <w:r>
                    <w:rPr>
                      <w:color w:val="000000"/>
                      <w:kern w:val="0"/>
                      <w:sz w:val="21"/>
                      <w:szCs w:val="21"/>
                      <w:lang w:bidi="ar"/>
                    </w:rPr>
                    <w:t>化粪池</w:t>
                  </w:r>
                </w:p>
              </w:tc>
              <w:tc>
                <w:tcPr>
                  <w:tcW w:w="1124" w:type="dxa"/>
                  <w:shd w:val="clear" w:color="auto" w:fill="auto"/>
                  <w:tcMar>
                    <w:top w:w="15" w:type="dxa"/>
                    <w:left w:w="15" w:type="dxa"/>
                    <w:right w:w="15" w:type="dxa"/>
                  </w:tcMar>
                  <w:vAlign w:val="center"/>
                </w:tcPr>
                <w:p w14:paraId="7216C142">
                  <w:pPr>
                    <w:widowControl/>
                    <w:jc w:val="center"/>
                    <w:textAlignment w:val="center"/>
                    <w:rPr>
                      <w:color w:val="000000"/>
                      <w:kern w:val="0"/>
                      <w:sz w:val="21"/>
                      <w:szCs w:val="21"/>
                      <w:lang w:bidi="ar"/>
                    </w:rPr>
                  </w:pPr>
                  <w:r>
                    <w:rPr>
                      <w:color w:val="000000"/>
                      <w:kern w:val="0"/>
                      <w:sz w:val="21"/>
                      <w:szCs w:val="21"/>
                      <w:lang w:bidi="ar"/>
                    </w:rPr>
                    <w:t>6~9</w:t>
                  </w:r>
                </w:p>
                <w:p w14:paraId="5B4977CD">
                  <w:pPr>
                    <w:widowControl/>
                    <w:jc w:val="center"/>
                    <w:textAlignment w:val="center"/>
                    <w:rPr>
                      <w:color w:val="000000"/>
                      <w:sz w:val="21"/>
                      <w:szCs w:val="21"/>
                    </w:rPr>
                  </w:pPr>
                  <w:r>
                    <w:rPr>
                      <w:rFonts w:hint="eastAsia"/>
                      <w:color w:val="000000"/>
                      <w:kern w:val="0"/>
                      <w:sz w:val="21"/>
                      <w:szCs w:val="21"/>
                      <w:lang w:eastAsia="zh-CN" w:bidi="ar"/>
                    </w:rPr>
                    <w:t>（</w:t>
                  </w:r>
                  <w:r>
                    <w:rPr>
                      <w:rFonts w:hint="eastAsia"/>
                      <w:color w:val="000000"/>
                      <w:kern w:val="0"/>
                      <w:sz w:val="21"/>
                      <w:szCs w:val="21"/>
                      <w:lang w:val="en-US" w:eastAsia="zh-CN" w:bidi="ar"/>
                    </w:rPr>
                    <w:t>无量纲</w:t>
                  </w:r>
                  <w:r>
                    <w:rPr>
                      <w:rFonts w:hint="eastAsia"/>
                      <w:color w:val="000000"/>
                      <w:kern w:val="0"/>
                      <w:sz w:val="21"/>
                      <w:szCs w:val="21"/>
                      <w:lang w:eastAsia="zh-CN" w:bidi="ar"/>
                    </w:rPr>
                    <w:t>）</w:t>
                  </w:r>
                </w:p>
              </w:tc>
              <w:tc>
                <w:tcPr>
                  <w:tcW w:w="797" w:type="dxa"/>
                  <w:shd w:val="clear" w:color="auto" w:fill="auto"/>
                  <w:tcMar>
                    <w:top w:w="15" w:type="dxa"/>
                    <w:left w:w="15" w:type="dxa"/>
                    <w:right w:w="15" w:type="dxa"/>
                  </w:tcMar>
                  <w:vAlign w:val="center"/>
                </w:tcPr>
                <w:p w14:paraId="46C22C49">
                  <w:pPr>
                    <w:jc w:val="center"/>
                    <w:rPr>
                      <w:color w:val="000000"/>
                      <w:sz w:val="21"/>
                      <w:szCs w:val="21"/>
                    </w:rPr>
                  </w:pPr>
                  <w:r>
                    <w:rPr>
                      <w:rFonts w:hint="eastAsia"/>
                      <w:color w:val="000000"/>
                      <w:sz w:val="21"/>
                      <w:szCs w:val="21"/>
                    </w:rPr>
                    <w:t>/</w:t>
                  </w:r>
                </w:p>
              </w:tc>
              <w:tc>
                <w:tcPr>
                  <w:tcW w:w="835" w:type="dxa"/>
                  <w:vMerge w:val="restart"/>
                  <w:shd w:val="clear" w:color="auto" w:fill="auto"/>
                  <w:tcMar>
                    <w:top w:w="15" w:type="dxa"/>
                    <w:left w:w="15" w:type="dxa"/>
                    <w:right w:w="15" w:type="dxa"/>
                  </w:tcMar>
                  <w:vAlign w:val="center"/>
                </w:tcPr>
                <w:p w14:paraId="722C5D86">
                  <w:pPr>
                    <w:widowControl/>
                    <w:jc w:val="center"/>
                    <w:textAlignment w:val="center"/>
                    <w:rPr>
                      <w:rFonts w:hint="default" w:eastAsia="宋体"/>
                      <w:color w:val="000000"/>
                      <w:sz w:val="21"/>
                      <w:szCs w:val="21"/>
                      <w:lang w:val="en-US" w:eastAsia="zh-CN"/>
                    </w:rPr>
                  </w:pPr>
                  <w:r>
                    <w:rPr>
                      <w:rFonts w:hint="eastAsia" w:eastAsia="宋体"/>
                      <w:sz w:val="21"/>
                      <w:szCs w:val="21"/>
                      <w:lang w:val="en-US" w:eastAsia="zh-CN"/>
                    </w:rPr>
                    <w:t>泗县工业污水处理厂进一步处理</w:t>
                  </w:r>
                </w:p>
              </w:tc>
            </w:tr>
            <w:tr w14:paraId="09DB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4" w:type="dxa"/>
                  <w:vMerge w:val="continue"/>
                  <w:shd w:val="clear" w:color="auto" w:fill="auto"/>
                  <w:tcMar>
                    <w:top w:w="15" w:type="dxa"/>
                    <w:left w:w="15" w:type="dxa"/>
                    <w:right w:w="15" w:type="dxa"/>
                  </w:tcMar>
                  <w:vAlign w:val="center"/>
                </w:tcPr>
                <w:p w14:paraId="4EBE12EA">
                  <w:pPr>
                    <w:jc w:val="center"/>
                    <w:rPr>
                      <w:color w:val="000000"/>
                      <w:sz w:val="21"/>
                      <w:szCs w:val="21"/>
                    </w:rPr>
                  </w:pPr>
                </w:p>
              </w:tc>
              <w:tc>
                <w:tcPr>
                  <w:tcW w:w="1047" w:type="dxa"/>
                  <w:vMerge w:val="continue"/>
                  <w:shd w:val="clear" w:color="auto" w:fill="auto"/>
                  <w:tcMar>
                    <w:top w:w="15" w:type="dxa"/>
                    <w:left w:w="15" w:type="dxa"/>
                    <w:right w:w="15" w:type="dxa"/>
                  </w:tcMar>
                  <w:vAlign w:val="center"/>
                </w:tcPr>
                <w:p w14:paraId="2A01A6A4">
                  <w:pPr>
                    <w:jc w:val="center"/>
                    <w:rPr>
                      <w:color w:val="000000"/>
                      <w:sz w:val="21"/>
                      <w:szCs w:val="21"/>
                    </w:rPr>
                  </w:pPr>
                </w:p>
              </w:tc>
              <w:tc>
                <w:tcPr>
                  <w:tcW w:w="799" w:type="dxa"/>
                  <w:shd w:val="clear" w:color="auto" w:fill="auto"/>
                  <w:tcMar>
                    <w:top w:w="15" w:type="dxa"/>
                    <w:left w:w="15" w:type="dxa"/>
                    <w:right w:w="15" w:type="dxa"/>
                  </w:tcMar>
                  <w:vAlign w:val="center"/>
                </w:tcPr>
                <w:p w14:paraId="0A7C55A7">
                  <w:pPr>
                    <w:widowControl/>
                    <w:jc w:val="center"/>
                    <w:textAlignment w:val="center"/>
                    <w:rPr>
                      <w:color w:val="000000"/>
                      <w:sz w:val="21"/>
                      <w:szCs w:val="21"/>
                    </w:rPr>
                  </w:pPr>
                  <w:r>
                    <w:rPr>
                      <w:color w:val="000000"/>
                      <w:kern w:val="0"/>
                      <w:sz w:val="21"/>
                      <w:szCs w:val="21"/>
                      <w:lang w:bidi="ar"/>
                    </w:rPr>
                    <w:t>COD</w:t>
                  </w:r>
                </w:p>
              </w:tc>
              <w:tc>
                <w:tcPr>
                  <w:tcW w:w="1122" w:type="dxa"/>
                  <w:shd w:val="clear" w:color="auto" w:fill="auto"/>
                  <w:tcMar>
                    <w:top w:w="15" w:type="dxa"/>
                    <w:left w:w="15" w:type="dxa"/>
                    <w:right w:w="15" w:type="dxa"/>
                  </w:tcMar>
                  <w:vAlign w:val="center"/>
                </w:tcPr>
                <w:p w14:paraId="1FE8BA18">
                  <w:pPr>
                    <w:widowControl/>
                    <w:jc w:val="center"/>
                    <w:textAlignment w:val="center"/>
                    <w:rPr>
                      <w:color w:val="000000"/>
                      <w:sz w:val="21"/>
                      <w:szCs w:val="21"/>
                    </w:rPr>
                  </w:pPr>
                  <w:r>
                    <w:rPr>
                      <w:color w:val="000000"/>
                      <w:kern w:val="0"/>
                      <w:sz w:val="21"/>
                      <w:szCs w:val="21"/>
                      <w:lang w:bidi="ar"/>
                    </w:rPr>
                    <w:t>300</w:t>
                  </w:r>
                </w:p>
              </w:tc>
              <w:tc>
                <w:tcPr>
                  <w:tcW w:w="834" w:type="dxa"/>
                  <w:shd w:val="clear" w:color="auto" w:fill="auto"/>
                  <w:tcMar>
                    <w:top w:w="15" w:type="dxa"/>
                    <w:left w:w="15" w:type="dxa"/>
                    <w:right w:w="15" w:type="dxa"/>
                  </w:tcMar>
                  <w:vAlign w:val="center"/>
                </w:tcPr>
                <w:p w14:paraId="33D30F6A">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0.302</w:t>
                  </w:r>
                </w:p>
              </w:tc>
              <w:tc>
                <w:tcPr>
                  <w:tcW w:w="834" w:type="dxa"/>
                  <w:vMerge w:val="continue"/>
                  <w:shd w:val="clear" w:color="auto" w:fill="auto"/>
                  <w:tcMar>
                    <w:top w:w="15" w:type="dxa"/>
                    <w:left w:w="15" w:type="dxa"/>
                    <w:right w:w="15" w:type="dxa"/>
                  </w:tcMar>
                  <w:vAlign w:val="center"/>
                </w:tcPr>
                <w:p w14:paraId="58A46155">
                  <w:pPr>
                    <w:jc w:val="center"/>
                    <w:rPr>
                      <w:color w:val="000000"/>
                      <w:sz w:val="21"/>
                      <w:szCs w:val="21"/>
                    </w:rPr>
                  </w:pPr>
                </w:p>
              </w:tc>
              <w:tc>
                <w:tcPr>
                  <w:tcW w:w="1124" w:type="dxa"/>
                  <w:shd w:val="clear" w:color="auto" w:fill="auto"/>
                  <w:tcMar>
                    <w:top w:w="15" w:type="dxa"/>
                    <w:left w:w="15" w:type="dxa"/>
                    <w:right w:w="15" w:type="dxa"/>
                  </w:tcMar>
                  <w:vAlign w:val="center"/>
                </w:tcPr>
                <w:p w14:paraId="3E475FFD">
                  <w:pPr>
                    <w:widowControl/>
                    <w:jc w:val="center"/>
                    <w:textAlignment w:val="center"/>
                    <w:rPr>
                      <w:rFonts w:hint="default" w:eastAsia="宋体"/>
                      <w:color w:val="000000"/>
                      <w:sz w:val="21"/>
                      <w:szCs w:val="21"/>
                      <w:lang w:val="en-US" w:eastAsia="zh-CN"/>
                    </w:rPr>
                  </w:pPr>
                  <w:r>
                    <w:rPr>
                      <w:rFonts w:hint="eastAsia" w:eastAsia="宋体"/>
                      <w:color w:val="000000"/>
                      <w:sz w:val="21"/>
                      <w:szCs w:val="21"/>
                      <w:lang w:val="en-US" w:eastAsia="zh-CN"/>
                    </w:rPr>
                    <w:t>255</w:t>
                  </w:r>
                </w:p>
              </w:tc>
              <w:tc>
                <w:tcPr>
                  <w:tcW w:w="797" w:type="dxa"/>
                  <w:shd w:val="clear" w:color="auto" w:fill="auto"/>
                  <w:tcMar>
                    <w:top w:w="15" w:type="dxa"/>
                    <w:left w:w="15" w:type="dxa"/>
                    <w:right w:w="15" w:type="dxa"/>
                  </w:tcMar>
                  <w:vAlign w:val="center"/>
                </w:tcPr>
                <w:p w14:paraId="4AC90247">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0.257</w:t>
                  </w:r>
                </w:p>
              </w:tc>
              <w:tc>
                <w:tcPr>
                  <w:tcW w:w="835" w:type="dxa"/>
                  <w:vMerge w:val="continue"/>
                  <w:shd w:val="clear" w:color="auto" w:fill="auto"/>
                  <w:tcMar>
                    <w:top w:w="15" w:type="dxa"/>
                    <w:left w:w="15" w:type="dxa"/>
                    <w:right w:w="15" w:type="dxa"/>
                  </w:tcMar>
                  <w:vAlign w:val="center"/>
                </w:tcPr>
                <w:p w14:paraId="1263759F">
                  <w:pPr>
                    <w:jc w:val="center"/>
                    <w:rPr>
                      <w:color w:val="000000"/>
                      <w:sz w:val="21"/>
                      <w:szCs w:val="21"/>
                    </w:rPr>
                  </w:pPr>
                </w:p>
              </w:tc>
            </w:tr>
            <w:tr w14:paraId="6D54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4" w:type="dxa"/>
                  <w:vMerge w:val="continue"/>
                  <w:shd w:val="clear" w:color="auto" w:fill="auto"/>
                  <w:tcMar>
                    <w:top w:w="15" w:type="dxa"/>
                    <w:left w:w="15" w:type="dxa"/>
                    <w:right w:w="15" w:type="dxa"/>
                  </w:tcMar>
                  <w:vAlign w:val="center"/>
                </w:tcPr>
                <w:p w14:paraId="552DE3D1">
                  <w:pPr>
                    <w:jc w:val="center"/>
                    <w:rPr>
                      <w:color w:val="000000"/>
                      <w:sz w:val="21"/>
                      <w:szCs w:val="21"/>
                    </w:rPr>
                  </w:pPr>
                </w:p>
              </w:tc>
              <w:tc>
                <w:tcPr>
                  <w:tcW w:w="1047" w:type="dxa"/>
                  <w:vMerge w:val="continue"/>
                  <w:shd w:val="clear" w:color="auto" w:fill="auto"/>
                  <w:tcMar>
                    <w:top w:w="15" w:type="dxa"/>
                    <w:left w:w="15" w:type="dxa"/>
                    <w:right w:w="15" w:type="dxa"/>
                  </w:tcMar>
                  <w:vAlign w:val="center"/>
                </w:tcPr>
                <w:p w14:paraId="095F446A">
                  <w:pPr>
                    <w:jc w:val="center"/>
                    <w:rPr>
                      <w:color w:val="000000"/>
                      <w:sz w:val="21"/>
                      <w:szCs w:val="21"/>
                    </w:rPr>
                  </w:pPr>
                </w:p>
              </w:tc>
              <w:tc>
                <w:tcPr>
                  <w:tcW w:w="799" w:type="dxa"/>
                  <w:shd w:val="clear" w:color="auto" w:fill="auto"/>
                  <w:tcMar>
                    <w:top w:w="15" w:type="dxa"/>
                    <w:left w:w="15" w:type="dxa"/>
                    <w:right w:w="15" w:type="dxa"/>
                  </w:tcMar>
                  <w:vAlign w:val="center"/>
                </w:tcPr>
                <w:p w14:paraId="41C5287A">
                  <w:pPr>
                    <w:widowControl/>
                    <w:jc w:val="center"/>
                    <w:textAlignment w:val="center"/>
                    <w:rPr>
                      <w:color w:val="000000"/>
                      <w:sz w:val="21"/>
                      <w:szCs w:val="21"/>
                    </w:rPr>
                  </w:pPr>
                  <w:r>
                    <w:rPr>
                      <w:color w:val="000000"/>
                      <w:kern w:val="0"/>
                      <w:sz w:val="21"/>
                      <w:szCs w:val="21"/>
                      <w:lang w:bidi="ar"/>
                    </w:rPr>
                    <w:t>BOD</w:t>
                  </w:r>
                  <w:r>
                    <w:rPr>
                      <w:color w:val="000000"/>
                      <w:kern w:val="0"/>
                      <w:sz w:val="21"/>
                      <w:szCs w:val="21"/>
                      <w:vertAlign w:val="subscript"/>
                      <w:lang w:bidi="ar"/>
                    </w:rPr>
                    <w:t>5</w:t>
                  </w:r>
                </w:p>
              </w:tc>
              <w:tc>
                <w:tcPr>
                  <w:tcW w:w="1122" w:type="dxa"/>
                  <w:shd w:val="clear" w:color="auto" w:fill="auto"/>
                  <w:tcMar>
                    <w:top w:w="15" w:type="dxa"/>
                    <w:left w:w="15" w:type="dxa"/>
                    <w:right w:w="15" w:type="dxa"/>
                  </w:tcMar>
                  <w:vAlign w:val="center"/>
                </w:tcPr>
                <w:p w14:paraId="02C3F4FA">
                  <w:pPr>
                    <w:widowControl/>
                    <w:jc w:val="center"/>
                    <w:textAlignment w:val="center"/>
                    <w:rPr>
                      <w:rFonts w:hint="default" w:eastAsia="宋体"/>
                      <w:color w:val="000000"/>
                      <w:sz w:val="21"/>
                      <w:szCs w:val="21"/>
                      <w:lang w:val="en-US" w:eastAsia="zh-CN"/>
                    </w:rPr>
                  </w:pPr>
                  <w:r>
                    <w:rPr>
                      <w:rFonts w:hint="eastAsia"/>
                      <w:color w:val="000000"/>
                      <w:kern w:val="0"/>
                      <w:sz w:val="21"/>
                      <w:szCs w:val="21"/>
                      <w:lang w:val="en-US" w:eastAsia="zh-CN" w:bidi="ar"/>
                    </w:rPr>
                    <w:t>180</w:t>
                  </w:r>
                </w:p>
              </w:tc>
              <w:tc>
                <w:tcPr>
                  <w:tcW w:w="834" w:type="dxa"/>
                  <w:shd w:val="clear" w:color="auto" w:fill="auto"/>
                  <w:tcMar>
                    <w:top w:w="15" w:type="dxa"/>
                    <w:left w:w="15" w:type="dxa"/>
                    <w:right w:w="15" w:type="dxa"/>
                  </w:tcMar>
                  <w:vAlign w:val="center"/>
                </w:tcPr>
                <w:p w14:paraId="247561FC">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0.181</w:t>
                  </w:r>
                </w:p>
              </w:tc>
              <w:tc>
                <w:tcPr>
                  <w:tcW w:w="834" w:type="dxa"/>
                  <w:vMerge w:val="continue"/>
                  <w:shd w:val="clear" w:color="auto" w:fill="auto"/>
                  <w:tcMar>
                    <w:top w:w="15" w:type="dxa"/>
                    <w:left w:w="15" w:type="dxa"/>
                    <w:right w:w="15" w:type="dxa"/>
                  </w:tcMar>
                  <w:vAlign w:val="center"/>
                </w:tcPr>
                <w:p w14:paraId="7533D0BE">
                  <w:pPr>
                    <w:jc w:val="center"/>
                    <w:rPr>
                      <w:color w:val="000000"/>
                      <w:sz w:val="21"/>
                      <w:szCs w:val="21"/>
                    </w:rPr>
                  </w:pPr>
                </w:p>
              </w:tc>
              <w:tc>
                <w:tcPr>
                  <w:tcW w:w="1124" w:type="dxa"/>
                  <w:shd w:val="clear" w:color="auto" w:fill="auto"/>
                  <w:tcMar>
                    <w:top w:w="15" w:type="dxa"/>
                    <w:left w:w="15" w:type="dxa"/>
                    <w:right w:w="15" w:type="dxa"/>
                  </w:tcMar>
                  <w:vAlign w:val="center"/>
                </w:tcPr>
                <w:p w14:paraId="2CE44748">
                  <w:pPr>
                    <w:widowControl/>
                    <w:jc w:val="center"/>
                    <w:textAlignment w:val="center"/>
                    <w:rPr>
                      <w:rFonts w:hint="default" w:eastAsia="宋体"/>
                      <w:color w:val="000000"/>
                      <w:sz w:val="21"/>
                      <w:szCs w:val="21"/>
                      <w:lang w:val="en-US" w:eastAsia="zh-CN"/>
                    </w:rPr>
                  </w:pPr>
                  <w:r>
                    <w:rPr>
                      <w:rFonts w:hint="eastAsia" w:eastAsia="宋体"/>
                      <w:color w:val="000000"/>
                      <w:sz w:val="21"/>
                      <w:szCs w:val="21"/>
                      <w:lang w:val="en-US" w:eastAsia="zh-CN"/>
                    </w:rPr>
                    <w:t>162</w:t>
                  </w:r>
                </w:p>
              </w:tc>
              <w:tc>
                <w:tcPr>
                  <w:tcW w:w="797" w:type="dxa"/>
                  <w:shd w:val="clear" w:color="auto" w:fill="auto"/>
                  <w:tcMar>
                    <w:top w:w="15" w:type="dxa"/>
                    <w:left w:w="15" w:type="dxa"/>
                    <w:right w:w="15" w:type="dxa"/>
                  </w:tcMar>
                  <w:vAlign w:val="center"/>
                </w:tcPr>
                <w:p w14:paraId="7E10692A">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0.163</w:t>
                  </w:r>
                </w:p>
              </w:tc>
              <w:tc>
                <w:tcPr>
                  <w:tcW w:w="835" w:type="dxa"/>
                  <w:vMerge w:val="continue"/>
                  <w:shd w:val="clear" w:color="auto" w:fill="auto"/>
                  <w:tcMar>
                    <w:top w:w="15" w:type="dxa"/>
                    <w:left w:w="15" w:type="dxa"/>
                    <w:right w:w="15" w:type="dxa"/>
                  </w:tcMar>
                  <w:vAlign w:val="center"/>
                </w:tcPr>
                <w:p w14:paraId="380935B8">
                  <w:pPr>
                    <w:jc w:val="center"/>
                    <w:rPr>
                      <w:color w:val="000000"/>
                      <w:sz w:val="21"/>
                      <w:szCs w:val="21"/>
                    </w:rPr>
                  </w:pPr>
                </w:p>
              </w:tc>
            </w:tr>
            <w:tr w14:paraId="400C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4" w:type="dxa"/>
                  <w:vMerge w:val="continue"/>
                  <w:shd w:val="clear" w:color="auto" w:fill="auto"/>
                  <w:tcMar>
                    <w:top w:w="15" w:type="dxa"/>
                    <w:left w:w="15" w:type="dxa"/>
                    <w:right w:w="15" w:type="dxa"/>
                  </w:tcMar>
                  <w:vAlign w:val="center"/>
                </w:tcPr>
                <w:p w14:paraId="42173416">
                  <w:pPr>
                    <w:jc w:val="center"/>
                    <w:rPr>
                      <w:color w:val="000000"/>
                      <w:sz w:val="21"/>
                      <w:szCs w:val="21"/>
                    </w:rPr>
                  </w:pPr>
                </w:p>
              </w:tc>
              <w:tc>
                <w:tcPr>
                  <w:tcW w:w="1047" w:type="dxa"/>
                  <w:vMerge w:val="continue"/>
                  <w:shd w:val="clear" w:color="auto" w:fill="auto"/>
                  <w:tcMar>
                    <w:top w:w="15" w:type="dxa"/>
                    <w:left w:w="15" w:type="dxa"/>
                    <w:right w:w="15" w:type="dxa"/>
                  </w:tcMar>
                  <w:vAlign w:val="center"/>
                </w:tcPr>
                <w:p w14:paraId="2D6C9644">
                  <w:pPr>
                    <w:jc w:val="center"/>
                    <w:rPr>
                      <w:color w:val="000000"/>
                      <w:sz w:val="21"/>
                      <w:szCs w:val="21"/>
                    </w:rPr>
                  </w:pPr>
                </w:p>
              </w:tc>
              <w:tc>
                <w:tcPr>
                  <w:tcW w:w="799" w:type="dxa"/>
                  <w:shd w:val="clear" w:color="auto" w:fill="auto"/>
                  <w:tcMar>
                    <w:top w:w="15" w:type="dxa"/>
                    <w:left w:w="15" w:type="dxa"/>
                    <w:right w:w="15" w:type="dxa"/>
                  </w:tcMar>
                  <w:vAlign w:val="center"/>
                </w:tcPr>
                <w:p w14:paraId="5053E11C">
                  <w:pPr>
                    <w:widowControl/>
                    <w:jc w:val="center"/>
                    <w:textAlignment w:val="center"/>
                    <w:rPr>
                      <w:color w:val="000000"/>
                      <w:sz w:val="21"/>
                      <w:szCs w:val="21"/>
                    </w:rPr>
                  </w:pPr>
                  <w:r>
                    <w:rPr>
                      <w:color w:val="000000"/>
                      <w:kern w:val="0"/>
                      <w:sz w:val="21"/>
                      <w:szCs w:val="21"/>
                      <w:lang w:bidi="ar"/>
                    </w:rPr>
                    <w:t>氨氮</w:t>
                  </w:r>
                </w:p>
              </w:tc>
              <w:tc>
                <w:tcPr>
                  <w:tcW w:w="1122" w:type="dxa"/>
                  <w:shd w:val="clear" w:color="auto" w:fill="auto"/>
                  <w:tcMar>
                    <w:top w:w="15" w:type="dxa"/>
                    <w:left w:w="15" w:type="dxa"/>
                    <w:right w:w="15" w:type="dxa"/>
                  </w:tcMar>
                  <w:vAlign w:val="center"/>
                </w:tcPr>
                <w:p w14:paraId="3B1D4909">
                  <w:pPr>
                    <w:widowControl/>
                    <w:jc w:val="center"/>
                    <w:textAlignment w:val="center"/>
                    <w:rPr>
                      <w:color w:val="000000"/>
                      <w:sz w:val="21"/>
                      <w:szCs w:val="21"/>
                    </w:rPr>
                  </w:pPr>
                  <w:r>
                    <w:rPr>
                      <w:color w:val="000000"/>
                      <w:kern w:val="0"/>
                      <w:sz w:val="21"/>
                      <w:szCs w:val="21"/>
                      <w:lang w:bidi="ar"/>
                    </w:rPr>
                    <w:t>25</w:t>
                  </w:r>
                </w:p>
              </w:tc>
              <w:tc>
                <w:tcPr>
                  <w:tcW w:w="834" w:type="dxa"/>
                  <w:shd w:val="clear" w:color="auto" w:fill="auto"/>
                  <w:tcMar>
                    <w:top w:w="15" w:type="dxa"/>
                    <w:left w:w="15" w:type="dxa"/>
                    <w:right w:w="15" w:type="dxa"/>
                  </w:tcMar>
                  <w:vAlign w:val="center"/>
                </w:tcPr>
                <w:p w14:paraId="44388366">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0.025</w:t>
                  </w:r>
                </w:p>
              </w:tc>
              <w:tc>
                <w:tcPr>
                  <w:tcW w:w="834" w:type="dxa"/>
                  <w:vMerge w:val="continue"/>
                  <w:shd w:val="clear" w:color="auto" w:fill="auto"/>
                  <w:tcMar>
                    <w:top w:w="15" w:type="dxa"/>
                    <w:left w:w="15" w:type="dxa"/>
                    <w:right w:w="15" w:type="dxa"/>
                  </w:tcMar>
                  <w:vAlign w:val="center"/>
                </w:tcPr>
                <w:p w14:paraId="46A466E1">
                  <w:pPr>
                    <w:jc w:val="center"/>
                    <w:rPr>
                      <w:color w:val="000000"/>
                      <w:sz w:val="21"/>
                      <w:szCs w:val="21"/>
                    </w:rPr>
                  </w:pPr>
                </w:p>
              </w:tc>
              <w:tc>
                <w:tcPr>
                  <w:tcW w:w="1124" w:type="dxa"/>
                  <w:shd w:val="clear" w:color="auto" w:fill="auto"/>
                  <w:tcMar>
                    <w:top w:w="15" w:type="dxa"/>
                    <w:left w:w="15" w:type="dxa"/>
                    <w:right w:w="15" w:type="dxa"/>
                  </w:tcMar>
                  <w:vAlign w:val="center"/>
                </w:tcPr>
                <w:p w14:paraId="7E107A6B">
                  <w:pPr>
                    <w:widowControl/>
                    <w:jc w:val="center"/>
                    <w:textAlignment w:val="center"/>
                    <w:rPr>
                      <w:rFonts w:hint="default" w:eastAsia="宋体"/>
                      <w:color w:val="000000"/>
                      <w:sz w:val="21"/>
                      <w:szCs w:val="21"/>
                      <w:lang w:val="en-US" w:eastAsia="zh-CN"/>
                    </w:rPr>
                  </w:pPr>
                  <w:r>
                    <w:rPr>
                      <w:rFonts w:hint="eastAsia" w:eastAsia="宋体"/>
                      <w:color w:val="000000"/>
                      <w:sz w:val="21"/>
                      <w:szCs w:val="21"/>
                      <w:lang w:val="en-US" w:eastAsia="zh-CN"/>
                    </w:rPr>
                    <w:t>23.8</w:t>
                  </w:r>
                </w:p>
              </w:tc>
              <w:tc>
                <w:tcPr>
                  <w:tcW w:w="797" w:type="dxa"/>
                  <w:shd w:val="clear" w:color="auto" w:fill="auto"/>
                  <w:tcMar>
                    <w:top w:w="15" w:type="dxa"/>
                    <w:left w:w="15" w:type="dxa"/>
                    <w:right w:w="15" w:type="dxa"/>
                  </w:tcMar>
                  <w:vAlign w:val="center"/>
                </w:tcPr>
                <w:p w14:paraId="4FFB511D">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0.024</w:t>
                  </w:r>
                </w:p>
              </w:tc>
              <w:tc>
                <w:tcPr>
                  <w:tcW w:w="835" w:type="dxa"/>
                  <w:vMerge w:val="continue"/>
                  <w:shd w:val="clear" w:color="auto" w:fill="auto"/>
                  <w:tcMar>
                    <w:top w:w="15" w:type="dxa"/>
                    <w:left w:w="15" w:type="dxa"/>
                    <w:right w:w="15" w:type="dxa"/>
                  </w:tcMar>
                  <w:vAlign w:val="center"/>
                </w:tcPr>
                <w:p w14:paraId="35E9C46D">
                  <w:pPr>
                    <w:jc w:val="center"/>
                    <w:rPr>
                      <w:color w:val="000000"/>
                      <w:sz w:val="21"/>
                      <w:szCs w:val="21"/>
                    </w:rPr>
                  </w:pPr>
                </w:p>
              </w:tc>
            </w:tr>
            <w:tr w14:paraId="22BD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54" w:type="dxa"/>
                  <w:vMerge w:val="continue"/>
                  <w:shd w:val="clear" w:color="auto" w:fill="auto"/>
                  <w:tcMar>
                    <w:top w:w="15" w:type="dxa"/>
                    <w:left w:w="15" w:type="dxa"/>
                    <w:right w:w="15" w:type="dxa"/>
                  </w:tcMar>
                  <w:vAlign w:val="center"/>
                </w:tcPr>
                <w:p w14:paraId="334C5521">
                  <w:pPr>
                    <w:jc w:val="center"/>
                    <w:rPr>
                      <w:color w:val="000000"/>
                      <w:sz w:val="21"/>
                      <w:szCs w:val="21"/>
                    </w:rPr>
                  </w:pPr>
                </w:p>
              </w:tc>
              <w:tc>
                <w:tcPr>
                  <w:tcW w:w="1047" w:type="dxa"/>
                  <w:vMerge w:val="continue"/>
                  <w:shd w:val="clear" w:color="auto" w:fill="auto"/>
                  <w:tcMar>
                    <w:top w:w="15" w:type="dxa"/>
                    <w:left w:w="15" w:type="dxa"/>
                    <w:right w:w="15" w:type="dxa"/>
                  </w:tcMar>
                  <w:vAlign w:val="center"/>
                </w:tcPr>
                <w:p w14:paraId="3537D514">
                  <w:pPr>
                    <w:jc w:val="center"/>
                    <w:rPr>
                      <w:color w:val="000000"/>
                      <w:sz w:val="21"/>
                      <w:szCs w:val="21"/>
                    </w:rPr>
                  </w:pPr>
                </w:p>
              </w:tc>
              <w:tc>
                <w:tcPr>
                  <w:tcW w:w="799" w:type="dxa"/>
                  <w:shd w:val="clear" w:color="auto" w:fill="auto"/>
                  <w:tcMar>
                    <w:top w:w="15" w:type="dxa"/>
                    <w:left w:w="15" w:type="dxa"/>
                    <w:right w:w="15" w:type="dxa"/>
                  </w:tcMar>
                  <w:vAlign w:val="center"/>
                </w:tcPr>
                <w:p w14:paraId="29B52196">
                  <w:pPr>
                    <w:widowControl/>
                    <w:jc w:val="center"/>
                    <w:textAlignment w:val="center"/>
                    <w:rPr>
                      <w:color w:val="000000"/>
                      <w:sz w:val="21"/>
                      <w:szCs w:val="21"/>
                    </w:rPr>
                  </w:pPr>
                  <w:r>
                    <w:rPr>
                      <w:color w:val="000000"/>
                      <w:kern w:val="0"/>
                      <w:sz w:val="21"/>
                      <w:szCs w:val="21"/>
                      <w:lang w:bidi="ar"/>
                    </w:rPr>
                    <w:t>SS</w:t>
                  </w:r>
                </w:p>
              </w:tc>
              <w:tc>
                <w:tcPr>
                  <w:tcW w:w="1122" w:type="dxa"/>
                  <w:shd w:val="clear" w:color="auto" w:fill="auto"/>
                  <w:tcMar>
                    <w:top w:w="15" w:type="dxa"/>
                    <w:left w:w="15" w:type="dxa"/>
                    <w:right w:w="15" w:type="dxa"/>
                  </w:tcMar>
                  <w:vAlign w:val="center"/>
                </w:tcPr>
                <w:p w14:paraId="2B4D135B">
                  <w:pPr>
                    <w:widowControl/>
                    <w:jc w:val="center"/>
                    <w:textAlignment w:val="center"/>
                    <w:rPr>
                      <w:color w:val="000000"/>
                      <w:sz w:val="21"/>
                      <w:szCs w:val="21"/>
                    </w:rPr>
                  </w:pPr>
                  <w:r>
                    <w:rPr>
                      <w:rFonts w:hint="eastAsia"/>
                      <w:color w:val="000000"/>
                      <w:sz w:val="21"/>
                      <w:szCs w:val="21"/>
                    </w:rPr>
                    <w:t>200</w:t>
                  </w:r>
                </w:p>
              </w:tc>
              <w:tc>
                <w:tcPr>
                  <w:tcW w:w="834" w:type="dxa"/>
                  <w:shd w:val="clear" w:color="auto" w:fill="auto"/>
                  <w:tcMar>
                    <w:top w:w="15" w:type="dxa"/>
                    <w:left w:w="15" w:type="dxa"/>
                    <w:right w:w="15" w:type="dxa"/>
                  </w:tcMar>
                  <w:vAlign w:val="center"/>
                </w:tcPr>
                <w:p w14:paraId="61A03D60">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0.202</w:t>
                  </w:r>
                </w:p>
              </w:tc>
              <w:tc>
                <w:tcPr>
                  <w:tcW w:w="834" w:type="dxa"/>
                  <w:vMerge w:val="continue"/>
                  <w:shd w:val="clear" w:color="auto" w:fill="auto"/>
                  <w:tcMar>
                    <w:top w:w="15" w:type="dxa"/>
                    <w:left w:w="15" w:type="dxa"/>
                    <w:right w:w="15" w:type="dxa"/>
                  </w:tcMar>
                  <w:vAlign w:val="center"/>
                </w:tcPr>
                <w:p w14:paraId="5B5C346D">
                  <w:pPr>
                    <w:jc w:val="center"/>
                    <w:rPr>
                      <w:color w:val="000000"/>
                      <w:sz w:val="21"/>
                      <w:szCs w:val="21"/>
                    </w:rPr>
                  </w:pPr>
                </w:p>
              </w:tc>
              <w:tc>
                <w:tcPr>
                  <w:tcW w:w="1124" w:type="dxa"/>
                  <w:shd w:val="clear" w:color="auto" w:fill="auto"/>
                  <w:tcMar>
                    <w:top w:w="15" w:type="dxa"/>
                    <w:left w:w="15" w:type="dxa"/>
                    <w:right w:w="15" w:type="dxa"/>
                  </w:tcMar>
                  <w:vAlign w:val="center"/>
                </w:tcPr>
                <w:p w14:paraId="488CF829">
                  <w:pPr>
                    <w:widowControl/>
                    <w:jc w:val="center"/>
                    <w:textAlignment w:val="center"/>
                    <w:rPr>
                      <w:rFonts w:hint="default" w:eastAsia="宋体"/>
                      <w:color w:val="000000"/>
                      <w:sz w:val="21"/>
                      <w:szCs w:val="21"/>
                      <w:lang w:val="en-US" w:eastAsia="zh-CN"/>
                    </w:rPr>
                  </w:pPr>
                  <w:r>
                    <w:rPr>
                      <w:rFonts w:hint="eastAsia" w:eastAsia="宋体"/>
                      <w:color w:val="000000"/>
                      <w:sz w:val="21"/>
                      <w:szCs w:val="21"/>
                      <w:lang w:val="en-US" w:eastAsia="zh-CN"/>
                    </w:rPr>
                    <w:t>120</w:t>
                  </w:r>
                </w:p>
              </w:tc>
              <w:tc>
                <w:tcPr>
                  <w:tcW w:w="797" w:type="dxa"/>
                  <w:shd w:val="clear" w:color="auto" w:fill="auto"/>
                  <w:tcMar>
                    <w:top w:w="15" w:type="dxa"/>
                    <w:left w:w="15" w:type="dxa"/>
                    <w:right w:w="15" w:type="dxa"/>
                  </w:tcMar>
                  <w:vAlign w:val="center"/>
                </w:tcPr>
                <w:p w14:paraId="08EE9CFF">
                  <w:pPr>
                    <w:widowControl/>
                    <w:jc w:val="center"/>
                    <w:textAlignment w:val="bottom"/>
                    <w:rPr>
                      <w:rFonts w:hint="default" w:eastAsia="宋体"/>
                      <w:color w:val="000000"/>
                      <w:sz w:val="21"/>
                      <w:szCs w:val="21"/>
                      <w:lang w:val="en-US" w:eastAsia="zh-CN"/>
                    </w:rPr>
                  </w:pPr>
                  <w:r>
                    <w:rPr>
                      <w:rFonts w:hint="eastAsia" w:eastAsia="宋体"/>
                      <w:color w:val="000000"/>
                      <w:sz w:val="21"/>
                      <w:szCs w:val="21"/>
                      <w:lang w:val="en-US" w:eastAsia="zh-CN"/>
                    </w:rPr>
                    <w:t>0.121</w:t>
                  </w:r>
                </w:p>
              </w:tc>
              <w:tc>
                <w:tcPr>
                  <w:tcW w:w="835" w:type="dxa"/>
                  <w:vMerge w:val="continue"/>
                  <w:shd w:val="clear" w:color="auto" w:fill="auto"/>
                  <w:tcMar>
                    <w:top w:w="15" w:type="dxa"/>
                    <w:left w:w="15" w:type="dxa"/>
                    <w:right w:w="15" w:type="dxa"/>
                  </w:tcMar>
                  <w:vAlign w:val="center"/>
                </w:tcPr>
                <w:p w14:paraId="7455C54E">
                  <w:pPr>
                    <w:jc w:val="center"/>
                    <w:rPr>
                      <w:color w:val="000000"/>
                      <w:sz w:val="21"/>
                      <w:szCs w:val="21"/>
                    </w:rPr>
                  </w:pPr>
                </w:p>
              </w:tc>
            </w:tr>
          </w:tbl>
          <w:p w14:paraId="23DA63F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宋体" w:hAnsi="宋体" w:eastAsia="宋体" w:cs="宋体"/>
                <w:lang w:eastAsia="zh-CN"/>
              </w:rPr>
            </w:pPr>
            <w:r>
              <w:rPr>
                <w:rFonts w:ascii="宋体" w:hAnsi="宋体" w:cs="宋体"/>
              </w:rPr>
              <w:t>项目废水</w:t>
            </w:r>
            <w:r>
              <w:rPr>
                <w:rFonts w:hint="eastAsia" w:ascii="宋体" w:hAnsi="宋体" w:cs="宋体"/>
              </w:rPr>
              <w:t>监测</w:t>
            </w:r>
            <w:r>
              <w:rPr>
                <w:rFonts w:ascii="宋体" w:hAnsi="宋体" w:cs="宋体"/>
              </w:rPr>
              <w:t>计划</w:t>
            </w:r>
            <w:r>
              <w:rPr>
                <w:rFonts w:hint="eastAsia" w:ascii="宋体" w:hAnsi="宋体" w:cs="宋体"/>
                <w:lang w:val="en-US" w:eastAsia="zh-CN"/>
              </w:rPr>
              <w:t>根据</w:t>
            </w:r>
            <w:r>
              <w:rPr>
                <w:bCs/>
                <w:color w:val="auto"/>
              </w:rPr>
              <w:t>《</w:t>
            </w:r>
            <w:r>
              <w:rPr>
                <w:rFonts w:ascii="宋体" w:hAnsi="宋体" w:cs="宋体"/>
                <w:color w:val="auto"/>
              </w:rPr>
              <w:t>排污许可证申请与核发技术规范</w:t>
            </w:r>
            <w:r>
              <w:rPr>
                <w:rFonts w:hint="eastAsia" w:ascii="宋体" w:hAnsi="宋体" w:cs="宋体"/>
                <w:color w:val="auto"/>
              </w:rPr>
              <w:t xml:space="preserve"> </w:t>
            </w:r>
            <w:r>
              <w:rPr>
                <w:rFonts w:hint="eastAsia" w:ascii="宋体" w:hAnsi="宋体" w:cs="宋体"/>
                <w:color w:val="auto"/>
                <w:lang w:val="en-US" w:eastAsia="zh-CN"/>
              </w:rPr>
              <w:t>总则</w:t>
            </w:r>
            <w:r>
              <w:rPr>
                <w:bCs/>
                <w:color w:val="auto"/>
              </w:rPr>
              <w:t>》（</w:t>
            </w:r>
            <w:r>
              <w:rPr>
                <w:bCs/>
                <w:color w:val="auto"/>
                <w:lang w:val="en-US" w:eastAsia="zh-CN"/>
              </w:rPr>
              <w:t>HJ 819-2017</w:t>
            </w:r>
            <w:r>
              <w:rPr>
                <w:bCs/>
                <w:color w:val="auto"/>
              </w:rPr>
              <w:t>）</w:t>
            </w:r>
            <w:r>
              <w:t>中废</w:t>
            </w:r>
            <w:r>
              <w:rPr>
                <w:rFonts w:ascii="宋体" w:hAnsi="宋体" w:cs="宋体"/>
              </w:rPr>
              <w:t>水自行监测计划实施</w:t>
            </w:r>
            <w:r>
              <w:rPr>
                <w:rFonts w:hint="eastAsia" w:ascii="宋体" w:hAnsi="宋体" w:cs="宋体"/>
              </w:rPr>
              <w:t>，</w:t>
            </w:r>
            <w:r>
              <w:rPr>
                <w:rFonts w:ascii="宋体" w:hAnsi="宋体" w:cs="宋体"/>
              </w:rPr>
              <w:t>项目废水监测计划参照下表</w:t>
            </w:r>
            <w:r>
              <w:rPr>
                <w:rFonts w:hint="eastAsia" w:ascii="宋体" w:hAnsi="宋体" w:cs="宋体"/>
                <w:lang w:eastAsia="zh-CN"/>
              </w:rPr>
              <w:t>。</w:t>
            </w:r>
          </w:p>
          <w:p w14:paraId="5EA1EACD">
            <w:pPr>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-9</w:t>
            </w:r>
            <w:r>
              <w:rPr>
                <w:rFonts w:hint="eastAsia"/>
                <w:b/>
                <w:bCs/>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 废</w:t>
            </w:r>
            <w:r>
              <w:rPr>
                <w:rFonts w:hint="eastAsia"/>
                <w:b/>
                <w:bCs/>
                <w:color w:val="000000" w:themeColor="text1"/>
                <w14:textFill>
                  <w14:solidFill>
                    <w14:schemeClr w14:val="tx1"/>
                  </w14:solidFill>
                </w14:textFill>
              </w:rPr>
              <w:t>水污染物监测计划</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195"/>
              <w:gridCol w:w="1843"/>
              <w:gridCol w:w="2160"/>
              <w:gridCol w:w="1427"/>
            </w:tblGrid>
            <w:tr w14:paraId="6BD6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vAlign w:val="center"/>
                </w:tcPr>
                <w:p w14:paraId="323820D9">
                  <w:pPr>
                    <w:jc w:val="center"/>
                    <w:rPr>
                      <w:b/>
                      <w:bCs/>
                      <w:sz w:val="21"/>
                      <w:szCs w:val="21"/>
                    </w:rPr>
                  </w:pPr>
                  <w:r>
                    <w:rPr>
                      <w:rFonts w:hint="eastAsia"/>
                      <w:b/>
                      <w:bCs/>
                      <w:sz w:val="21"/>
                      <w:szCs w:val="21"/>
                    </w:rPr>
                    <w:t>监测位置</w:t>
                  </w:r>
                </w:p>
              </w:tc>
              <w:tc>
                <w:tcPr>
                  <w:tcW w:w="1204" w:type="dxa"/>
                  <w:vAlign w:val="center"/>
                </w:tcPr>
                <w:p w14:paraId="53DE0299">
                  <w:pPr>
                    <w:jc w:val="center"/>
                    <w:rPr>
                      <w:b/>
                      <w:bCs/>
                      <w:sz w:val="21"/>
                      <w:szCs w:val="21"/>
                    </w:rPr>
                  </w:pPr>
                  <w:r>
                    <w:rPr>
                      <w:b/>
                      <w:bCs/>
                      <w:sz w:val="21"/>
                      <w:szCs w:val="21"/>
                    </w:rPr>
                    <w:t>监测内容</w:t>
                  </w:r>
                </w:p>
              </w:tc>
              <w:tc>
                <w:tcPr>
                  <w:tcW w:w="1857" w:type="dxa"/>
                  <w:vAlign w:val="center"/>
                </w:tcPr>
                <w:p w14:paraId="0DAF26F2">
                  <w:pPr>
                    <w:jc w:val="center"/>
                    <w:rPr>
                      <w:b/>
                      <w:bCs/>
                      <w:sz w:val="21"/>
                      <w:szCs w:val="21"/>
                    </w:rPr>
                  </w:pPr>
                  <w:r>
                    <w:rPr>
                      <w:b/>
                      <w:bCs/>
                      <w:sz w:val="21"/>
                      <w:szCs w:val="21"/>
                    </w:rPr>
                    <w:t>污染物名称</w:t>
                  </w:r>
                </w:p>
              </w:tc>
              <w:tc>
                <w:tcPr>
                  <w:tcW w:w="2177" w:type="dxa"/>
                  <w:vAlign w:val="center"/>
                </w:tcPr>
                <w:p w14:paraId="27EF21F7">
                  <w:pPr>
                    <w:jc w:val="center"/>
                    <w:rPr>
                      <w:b/>
                      <w:bCs/>
                      <w:sz w:val="21"/>
                      <w:szCs w:val="21"/>
                    </w:rPr>
                  </w:pPr>
                  <w:r>
                    <w:rPr>
                      <w:b/>
                      <w:bCs/>
                      <w:sz w:val="21"/>
                      <w:szCs w:val="21"/>
                    </w:rPr>
                    <w:t>手工监测采样方法及个数</w:t>
                  </w:r>
                </w:p>
              </w:tc>
              <w:tc>
                <w:tcPr>
                  <w:tcW w:w="1438" w:type="dxa"/>
                  <w:vAlign w:val="center"/>
                </w:tcPr>
                <w:p w14:paraId="099870A5">
                  <w:pPr>
                    <w:jc w:val="center"/>
                    <w:rPr>
                      <w:b/>
                      <w:bCs/>
                      <w:sz w:val="21"/>
                      <w:szCs w:val="21"/>
                    </w:rPr>
                  </w:pPr>
                  <w:r>
                    <w:rPr>
                      <w:b/>
                      <w:bCs/>
                      <w:sz w:val="21"/>
                      <w:szCs w:val="21"/>
                    </w:rPr>
                    <w:t>监测频次</w:t>
                  </w:r>
                </w:p>
              </w:tc>
            </w:tr>
            <w:tr w14:paraId="12FB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vAlign w:val="center"/>
                </w:tcPr>
                <w:p w14:paraId="623A8902">
                  <w:pPr>
                    <w:jc w:val="center"/>
                  </w:pPr>
                  <w:r>
                    <w:rPr>
                      <w:rFonts w:hint="eastAsia"/>
                      <w:sz w:val="22"/>
                      <w:szCs w:val="20"/>
                    </w:rPr>
                    <w:t>D</w:t>
                  </w:r>
                  <w:r>
                    <w:rPr>
                      <w:sz w:val="21"/>
                      <w:szCs w:val="21"/>
                    </w:rPr>
                    <w:t>W</w:t>
                  </w:r>
                  <w:r>
                    <w:rPr>
                      <w:rFonts w:hint="eastAsia"/>
                      <w:sz w:val="22"/>
                      <w:szCs w:val="20"/>
                    </w:rPr>
                    <w:t>001</w:t>
                  </w:r>
                </w:p>
              </w:tc>
              <w:tc>
                <w:tcPr>
                  <w:tcW w:w="1204" w:type="dxa"/>
                  <w:vAlign w:val="center"/>
                </w:tcPr>
                <w:p w14:paraId="57DAB0E3">
                  <w:pPr>
                    <w:adjustRightInd w:val="0"/>
                    <w:snapToGrid w:val="0"/>
                    <w:jc w:val="center"/>
                    <w:rPr>
                      <w:sz w:val="21"/>
                      <w:szCs w:val="21"/>
                    </w:rPr>
                  </w:pPr>
                  <w:r>
                    <w:rPr>
                      <w:sz w:val="21"/>
                      <w:szCs w:val="21"/>
                    </w:rPr>
                    <w:t>流量</w:t>
                  </w:r>
                </w:p>
              </w:tc>
              <w:tc>
                <w:tcPr>
                  <w:tcW w:w="1857" w:type="dxa"/>
                  <w:vAlign w:val="center"/>
                </w:tcPr>
                <w:p w14:paraId="760DD28F">
                  <w:pPr>
                    <w:adjustRightInd w:val="0"/>
                    <w:snapToGrid w:val="0"/>
                    <w:jc w:val="center"/>
                    <w:rPr>
                      <w:rFonts w:hint="eastAsia" w:eastAsia="宋体"/>
                      <w:lang w:eastAsia="zh-CN"/>
                    </w:rPr>
                  </w:pPr>
                  <w:r>
                    <w:rPr>
                      <w:rFonts w:hint="eastAsia"/>
                      <w:sz w:val="21"/>
                      <w:szCs w:val="21"/>
                    </w:rPr>
                    <w:t>pH</w:t>
                  </w:r>
                  <w:r>
                    <w:rPr>
                      <w:rFonts w:hint="eastAsia"/>
                      <w:sz w:val="21"/>
                      <w:szCs w:val="21"/>
                      <w:lang w:eastAsia="zh-CN"/>
                    </w:rPr>
                    <w:t>、</w:t>
                  </w:r>
                  <w:r>
                    <w:rPr>
                      <w:rFonts w:hint="eastAsia"/>
                      <w:sz w:val="21"/>
                      <w:szCs w:val="21"/>
                    </w:rPr>
                    <w:t>COD</w:t>
                  </w:r>
                  <w:r>
                    <w:rPr>
                      <w:rFonts w:hint="eastAsia"/>
                      <w:sz w:val="21"/>
                      <w:szCs w:val="21"/>
                      <w:lang w:eastAsia="zh-CN"/>
                    </w:rPr>
                    <w:t>、</w:t>
                  </w:r>
                  <w:r>
                    <w:rPr>
                      <w:rFonts w:hint="eastAsia"/>
                      <w:sz w:val="21"/>
                      <w:szCs w:val="21"/>
                    </w:rPr>
                    <w:t>SS</w:t>
                  </w:r>
                  <w:r>
                    <w:rPr>
                      <w:rFonts w:hint="eastAsia"/>
                      <w:sz w:val="21"/>
                      <w:szCs w:val="21"/>
                      <w:lang w:eastAsia="zh-CN"/>
                    </w:rPr>
                    <w:t>、</w:t>
                  </w:r>
                  <w:r>
                    <w:rPr>
                      <w:rFonts w:hint="eastAsia"/>
                      <w:sz w:val="21"/>
                      <w:szCs w:val="21"/>
                    </w:rPr>
                    <w:t>BOD</w:t>
                  </w:r>
                  <w:r>
                    <w:rPr>
                      <w:rFonts w:hint="eastAsia"/>
                      <w:sz w:val="21"/>
                      <w:szCs w:val="21"/>
                      <w:vertAlign w:val="subscript"/>
                    </w:rPr>
                    <w:t>5</w:t>
                  </w:r>
                  <w:r>
                    <w:rPr>
                      <w:rFonts w:hint="eastAsia"/>
                      <w:sz w:val="21"/>
                      <w:szCs w:val="21"/>
                      <w:lang w:eastAsia="zh-CN"/>
                    </w:rPr>
                    <w:t>、</w:t>
                  </w:r>
                  <w:r>
                    <w:rPr>
                      <w:rFonts w:hint="eastAsia"/>
                      <w:sz w:val="21"/>
                      <w:szCs w:val="21"/>
                    </w:rPr>
                    <w:t>NH</w:t>
                  </w:r>
                  <w:r>
                    <w:rPr>
                      <w:rFonts w:hint="eastAsia"/>
                      <w:sz w:val="21"/>
                      <w:szCs w:val="21"/>
                      <w:vertAlign w:val="subscript"/>
                    </w:rPr>
                    <w:t>3</w:t>
                  </w:r>
                  <w:r>
                    <w:rPr>
                      <w:rFonts w:hint="eastAsia"/>
                      <w:sz w:val="21"/>
                      <w:szCs w:val="21"/>
                    </w:rPr>
                    <w:t>-N</w:t>
                  </w:r>
                </w:p>
              </w:tc>
              <w:tc>
                <w:tcPr>
                  <w:tcW w:w="2177" w:type="dxa"/>
                  <w:vAlign w:val="center"/>
                </w:tcPr>
                <w:p w14:paraId="3949076F">
                  <w:pPr>
                    <w:adjustRightInd w:val="0"/>
                    <w:snapToGrid w:val="0"/>
                    <w:jc w:val="center"/>
                    <w:rPr>
                      <w:rFonts w:hint="eastAsia" w:eastAsia="宋体"/>
                      <w:sz w:val="21"/>
                      <w:szCs w:val="21"/>
                      <w:lang w:eastAsia="zh-CN"/>
                    </w:rPr>
                  </w:pPr>
                  <w:r>
                    <w:rPr>
                      <w:sz w:val="21"/>
                      <w:szCs w:val="21"/>
                    </w:rPr>
                    <w:t>瞬时采样至少</w:t>
                  </w:r>
                  <w:r>
                    <w:rPr>
                      <w:rFonts w:hint="eastAsia"/>
                      <w:sz w:val="21"/>
                      <w:szCs w:val="21"/>
                    </w:rPr>
                    <w:t>3</w:t>
                  </w:r>
                  <w:r>
                    <w:rPr>
                      <w:sz w:val="21"/>
                      <w:szCs w:val="21"/>
                    </w:rPr>
                    <w:t>个瞬时样</w:t>
                  </w:r>
                </w:p>
              </w:tc>
              <w:tc>
                <w:tcPr>
                  <w:tcW w:w="1438" w:type="dxa"/>
                  <w:vAlign w:val="center"/>
                </w:tcPr>
                <w:p w14:paraId="458D6878">
                  <w:pPr>
                    <w:adjustRightInd w:val="0"/>
                    <w:snapToGrid w:val="0"/>
                    <w:jc w:val="center"/>
                    <w:rPr>
                      <w:rFonts w:hint="default" w:eastAsia="宋体"/>
                      <w:sz w:val="21"/>
                      <w:szCs w:val="21"/>
                      <w:lang w:val="en-US" w:eastAsia="zh-CN"/>
                    </w:rPr>
                  </w:pPr>
                  <w:r>
                    <w:rPr>
                      <w:rFonts w:hint="eastAsia"/>
                      <w:sz w:val="21"/>
                      <w:szCs w:val="21"/>
                      <w:lang w:val="en-US" w:eastAsia="zh-CN"/>
                    </w:rPr>
                    <w:t>一年一次</w:t>
                  </w:r>
                </w:p>
              </w:tc>
            </w:tr>
          </w:tbl>
          <w:p w14:paraId="4A9D6677">
            <w:pPr>
              <w:pStyle w:val="46"/>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b/>
                <w:bCs/>
                <w:color w:val="auto"/>
              </w:rPr>
            </w:pPr>
            <w:r>
              <w:rPr>
                <w:rFonts w:hint="eastAsia"/>
                <w:b/>
                <w:bCs/>
                <w:color w:val="auto"/>
              </w:rPr>
              <w:t>废水进入</w:t>
            </w:r>
            <w:r>
              <w:rPr>
                <w:rFonts w:hint="eastAsia"/>
                <w:b/>
                <w:lang w:val="en-US" w:eastAsia="zh-CN"/>
              </w:rPr>
              <w:t>泗县工业污水处理厂</w:t>
            </w:r>
            <w:r>
              <w:rPr>
                <w:rFonts w:hint="eastAsia"/>
                <w:b/>
                <w:bCs/>
                <w:color w:val="auto"/>
              </w:rPr>
              <w:t>的可行性分析</w:t>
            </w:r>
          </w:p>
          <w:p w14:paraId="58E867C4">
            <w:pPr>
              <w:widowControl/>
              <w:spacing w:line="360" w:lineRule="auto"/>
              <w:ind w:firstLine="480" w:firstLineChars="200"/>
              <w:jc w:val="left"/>
            </w:pPr>
            <w:r>
              <w:rPr>
                <w:rFonts w:hint="eastAsia"/>
                <w:lang w:bidi="ar"/>
              </w:rPr>
              <w:t>（1）污水处理厂简介：</w:t>
            </w:r>
            <w:r>
              <w:rPr>
                <w:rFonts w:hint="eastAsia"/>
              </w:rPr>
              <w:t>泗县工业污水处理厂位于石梁河东岸、南柳路南侧，一期处理能力为2万t/d，采用“预处理+水解酸化+ AO生化工艺+深度处理+二氧化氯消毒”工艺，处理后尾水满足《城镇污水处理厂污染物排放标准》（GB18918-2002）中一级A标准后，排入石梁河。泗县工业污水处理厂一期工程于2019年底正常运行。</w:t>
            </w:r>
          </w:p>
          <w:p w14:paraId="72B312B2">
            <w:pPr>
              <w:widowControl/>
              <w:spacing w:line="360" w:lineRule="auto"/>
              <w:ind w:firstLine="480" w:firstLineChars="200"/>
              <w:jc w:val="left"/>
            </w:pPr>
            <w:r>
              <w:rPr>
                <w:rFonts w:hint="eastAsia"/>
              </w:rPr>
              <w:t>污水处理厂服务范围包括东至G343、南到新汴河、西至赤山路、北至古汴河。</w:t>
            </w:r>
          </w:p>
          <w:p w14:paraId="71D9AA83">
            <w:pPr>
              <w:widowControl/>
              <w:spacing w:line="360" w:lineRule="auto"/>
              <w:ind w:firstLine="480" w:firstLineChars="200"/>
              <w:rPr>
                <w:color w:val="000000"/>
                <w:kern w:val="0"/>
                <w:lang w:bidi="ar"/>
              </w:rPr>
            </w:pPr>
            <w:r>
              <w:t>（2）水质水量：</w:t>
            </w:r>
            <w:r>
              <w:rPr>
                <w:color w:val="000000"/>
                <w:kern w:val="0"/>
                <w:lang w:bidi="ar"/>
              </w:rPr>
              <w:t>本项目废水主要为生活污水，主要污染物为COD、BOD</w:t>
            </w:r>
            <w:r>
              <w:rPr>
                <w:color w:val="000000"/>
                <w:kern w:val="0"/>
                <w:sz w:val="24"/>
                <w:szCs w:val="24"/>
                <w:vertAlign w:val="subscript"/>
                <w:lang w:bidi="ar"/>
              </w:rPr>
              <w:t>5</w:t>
            </w:r>
            <w:r>
              <w:rPr>
                <w:color w:val="000000"/>
                <w:kern w:val="0"/>
                <w:lang w:bidi="ar"/>
              </w:rPr>
              <w:t>、NH</w:t>
            </w:r>
            <w:r>
              <w:rPr>
                <w:color w:val="000000"/>
                <w:kern w:val="0"/>
                <w:sz w:val="24"/>
                <w:szCs w:val="24"/>
                <w:vertAlign w:val="subscript"/>
                <w:lang w:bidi="ar"/>
              </w:rPr>
              <w:t>3</w:t>
            </w:r>
            <w:r>
              <w:rPr>
                <w:color w:val="000000"/>
                <w:kern w:val="0"/>
                <w:lang w:bidi="ar"/>
              </w:rPr>
              <w:t>-N、SS等，水质较简单，不含重金属等有毒有害物质。根据工程分析，本项目生活污水经化粪池处理</w:t>
            </w:r>
            <w:r>
              <w:rPr>
                <w:rFonts w:hint="eastAsia"/>
                <w:color w:val="000000"/>
                <w:kern w:val="0"/>
                <w:lang w:val="en-US" w:eastAsia="zh-CN" w:bidi="ar"/>
              </w:rPr>
              <w:t>，根据上文污水总排放口各类污染物浓度均能</w:t>
            </w:r>
            <w:r>
              <w:rPr>
                <w:color w:val="000000"/>
                <w:kern w:val="0"/>
                <w:lang w:bidi="ar"/>
              </w:rPr>
              <w:t>达到《污水综合排放标准》（GB8978-1996）表4中的三级标准及泗县工业污水处理厂接管要求。本项目</w:t>
            </w:r>
            <w:r>
              <w:rPr>
                <w:rFonts w:hint="eastAsia"/>
                <w:color w:val="000000"/>
                <w:kern w:val="0"/>
                <w:lang w:val="en-US" w:eastAsia="zh-CN" w:bidi="ar"/>
              </w:rPr>
              <w:t>排放</w:t>
            </w:r>
            <w:r>
              <w:rPr>
                <w:color w:val="000000"/>
                <w:kern w:val="0"/>
                <w:lang w:bidi="ar"/>
              </w:rPr>
              <w:t>废水量约为</w:t>
            </w:r>
            <w:r>
              <w:rPr>
                <w:rFonts w:hint="eastAsia"/>
                <w:color w:val="000000"/>
                <w:kern w:val="0"/>
                <w:lang w:val="en-US" w:eastAsia="zh-CN" w:bidi="ar"/>
              </w:rPr>
              <w:t>3.36</w:t>
            </w:r>
            <w:r>
              <w:rPr>
                <w:color w:val="000000"/>
                <w:kern w:val="0"/>
                <w:lang w:bidi="ar"/>
              </w:rPr>
              <w:t>t</w:t>
            </w:r>
            <w:r>
              <w:rPr>
                <w:rFonts w:hint="eastAsia"/>
                <w:color w:val="000000"/>
                <w:kern w:val="0"/>
                <w:lang w:val="en-US" w:eastAsia="zh-CN" w:bidi="ar"/>
              </w:rPr>
              <w:t>/d</w:t>
            </w:r>
            <w:r>
              <w:rPr>
                <w:color w:val="000000"/>
                <w:kern w:val="0"/>
                <w:lang w:bidi="ar"/>
              </w:rPr>
              <w:t>，污水处理厂一期工程设计规模为2×10</w:t>
            </w:r>
            <w:r>
              <w:rPr>
                <w:color w:val="000000"/>
                <w:kern w:val="0"/>
                <w:vertAlign w:val="superscript"/>
                <w:lang w:bidi="ar"/>
              </w:rPr>
              <w:t>4</w:t>
            </w:r>
            <w:r>
              <w:rPr>
                <w:color w:val="000000"/>
                <w:kern w:val="0"/>
                <w:lang w:bidi="ar"/>
              </w:rPr>
              <w:t>m</w:t>
            </w:r>
            <w:r>
              <w:rPr>
                <w:color w:val="000000"/>
                <w:kern w:val="0"/>
                <w:vertAlign w:val="superscript"/>
                <w:lang w:bidi="ar"/>
              </w:rPr>
              <w:t>3</w:t>
            </w:r>
            <w:r>
              <w:rPr>
                <w:color w:val="000000"/>
                <w:kern w:val="0"/>
                <w:lang w:bidi="ar"/>
              </w:rPr>
              <w:t>/d，目前污水处理厂收水量远远小于设计规模，项目</w:t>
            </w:r>
            <w:r>
              <w:rPr>
                <w:rFonts w:hint="eastAsia"/>
                <w:color w:val="000000"/>
                <w:kern w:val="0"/>
                <w:lang w:val="en-US" w:eastAsia="zh-CN" w:bidi="ar"/>
              </w:rPr>
              <w:t>废水</w:t>
            </w:r>
            <w:r>
              <w:rPr>
                <w:color w:val="000000"/>
                <w:kern w:val="0"/>
                <w:lang w:bidi="ar"/>
              </w:rPr>
              <w:t>水质较简单，污染物含量浓度较低，且废水中各污染因子浓度均满足泗县工业污水处理厂接管要求，因此本项目废水进入污水处理厂处理对污水处理厂不造成冲击。</w:t>
            </w:r>
          </w:p>
          <w:p w14:paraId="64FE3484">
            <w:pPr>
              <w:spacing w:line="360" w:lineRule="auto"/>
              <w:ind w:firstLine="480" w:firstLineChars="200"/>
              <w:rPr>
                <w:color w:val="000000"/>
                <w:kern w:val="0"/>
                <w:lang w:bidi="ar"/>
              </w:rPr>
            </w:pPr>
            <w:r>
              <w:t>（3）服务范围：</w:t>
            </w:r>
            <w:r>
              <w:rPr>
                <w:color w:val="000000"/>
                <w:kern w:val="0"/>
                <w:lang w:bidi="ar"/>
              </w:rPr>
              <w:t>本项目位于泗县经济开发区，根据泗县工业污水处理厂管网图，本项目所在位置污水管网已经建成，且在污水处理厂收水范围，废水通过污水管网进入泗县工业污水处理厂。</w:t>
            </w:r>
          </w:p>
          <w:p w14:paraId="6EE21F69">
            <w:pPr>
              <w:pStyle w:val="127"/>
              <w:rPr>
                <w:b/>
                <w:bCs/>
                <w:color w:val="000000" w:themeColor="text1"/>
                <w14:textFill>
                  <w14:solidFill>
                    <w14:schemeClr w14:val="tx1"/>
                  </w14:solidFill>
                </w14:textFill>
              </w:rPr>
            </w:pPr>
            <w:r>
              <w:t>综上分析，本项目废水进入</w:t>
            </w:r>
            <w:r>
              <w:rPr>
                <w:color w:val="000000"/>
                <w:kern w:val="0"/>
                <w:lang w:bidi="ar"/>
              </w:rPr>
              <w:t>泗县工业污水处理厂</w:t>
            </w:r>
            <w:r>
              <w:t>处理是可行的。</w:t>
            </w:r>
          </w:p>
          <w:p w14:paraId="56F3B39D">
            <w:pPr>
              <w:adjustRightInd w:val="0"/>
              <w:snapToGrid w:val="0"/>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三、噪声</w:t>
            </w:r>
          </w:p>
          <w:p w14:paraId="7E8603BE">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kern w:val="0"/>
                <w14:textFill>
                  <w14:solidFill>
                    <w14:schemeClr w14:val="tx1"/>
                  </w14:solidFill>
                </w14:textFill>
              </w:rPr>
              <w:t>1、噪声源强</w:t>
            </w:r>
          </w:p>
          <w:p w14:paraId="2548CFCC">
            <w:pPr>
              <w:pStyle w:val="92"/>
              <w:adjustRightInd w:val="0"/>
              <w:snapToGrid w:val="0"/>
              <w:spacing w:line="360" w:lineRule="auto"/>
              <w:rPr>
                <w:rFonts w:ascii="Times New Roman" w:hAnsi="Times New Roman" w:eastAsia="宋体"/>
              </w:rPr>
            </w:pPr>
            <w:r>
              <w:rPr>
                <w:rFonts w:hint="eastAsia" w:ascii="Times New Roman" w:hAnsi="Times New Roman" w:eastAsia="宋体"/>
              </w:rPr>
              <w:t>项目营运期主要噪声来源于设备运行产生的噪声，噪声源强约为</w:t>
            </w:r>
            <w:r>
              <w:rPr>
                <w:rFonts w:hint="eastAsia" w:ascii="Times New Roman" w:hAnsi="Times New Roman" w:eastAsia="宋体"/>
                <w:lang w:val="en-US" w:eastAsia="zh-CN"/>
              </w:rPr>
              <w:t>65</w:t>
            </w:r>
            <w:r>
              <w:rPr>
                <w:rFonts w:hint="eastAsia" w:ascii="Times New Roman" w:hAnsi="Times New Roman" w:eastAsia="宋体"/>
              </w:rPr>
              <w:t>~</w:t>
            </w:r>
            <w:r>
              <w:rPr>
                <w:rFonts w:hint="eastAsia" w:ascii="Times New Roman" w:hAnsi="Times New Roman" w:eastAsia="宋体"/>
                <w:lang w:val="en-US" w:eastAsia="zh-CN"/>
              </w:rPr>
              <w:t>80</w:t>
            </w:r>
            <w:r>
              <w:rPr>
                <w:rFonts w:hint="eastAsia" w:ascii="Times New Roman" w:hAnsi="Times New Roman" w:eastAsia="宋体"/>
              </w:rPr>
              <w:t>dB（A）之间，本项目对噪声较大的设备采取降噪减振措施，使厂界噪声达到《工业企业厂界环境噪声排放标准》（GB12348-2008）中3类标准详见下表。</w:t>
            </w:r>
          </w:p>
          <w:p w14:paraId="2DFC015D">
            <w:pPr>
              <w:widowControl/>
              <w:adjustRightInd w:val="0"/>
              <w:snapToGrid w:val="0"/>
              <w:ind w:firstLine="482" w:firstLineChars="200"/>
              <w:jc w:val="center"/>
              <w:rPr>
                <w:b/>
                <w:lang w:bidi="ar"/>
              </w:rPr>
            </w:pPr>
            <w:r>
              <w:rPr>
                <w:b/>
                <w:lang w:bidi="ar"/>
              </w:rPr>
              <w:t>表</w:t>
            </w:r>
            <w:r>
              <w:rPr>
                <w:rFonts w:hint="eastAsia"/>
                <w:b/>
                <w:lang w:bidi="ar"/>
              </w:rPr>
              <w:t>4</w:t>
            </w:r>
            <w:r>
              <w:rPr>
                <w:rFonts w:hint="eastAsia"/>
                <w:b/>
                <w:lang w:val="en-US" w:eastAsia="zh-CN" w:bidi="ar"/>
              </w:rPr>
              <w:t>-10</w:t>
            </w:r>
            <w:r>
              <w:rPr>
                <w:b/>
                <w:lang w:bidi="ar"/>
              </w:rPr>
              <w:t xml:space="preserve">  </w:t>
            </w:r>
            <w:r>
              <w:rPr>
                <w:rFonts w:hint="eastAsia"/>
                <w:b/>
                <w:lang w:bidi="ar"/>
              </w:rPr>
              <w:t>工业企业噪声源强调查清单（室外声源）</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5"/>
              <w:gridCol w:w="744"/>
              <w:gridCol w:w="752"/>
              <w:gridCol w:w="907"/>
              <w:gridCol w:w="715"/>
              <w:gridCol w:w="1198"/>
              <w:gridCol w:w="971"/>
              <w:gridCol w:w="1272"/>
            </w:tblGrid>
            <w:tr w14:paraId="76AE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3" w:type="pct"/>
                  <w:vMerge w:val="restart"/>
                  <w:tcMar>
                    <w:top w:w="12" w:type="dxa"/>
                    <w:left w:w="12" w:type="dxa"/>
                    <w:bottom w:w="0" w:type="dxa"/>
                    <w:right w:w="12" w:type="dxa"/>
                  </w:tcMar>
                  <w:vAlign w:val="center"/>
                </w:tcPr>
                <w:p w14:paraId="31EF57DF">
                  <w:pPr>
                    <w:adjustRightInd w:val="0"/>
                    <w:snapToGrid w:val="0"/>
                    <w:jc w:val="center"/>
                    <w:rPr>
                      <w:b/>
                      <w:sz w:val="21"/>
                      <w:szCs w:val="21"/>
                    </w:rPr>
                  </w:pPr>
                  <w:r>
                    <w:rPr>
                      <w:rFonts w:hint="eastAsia"/>
                      <w:b/>
                      <w:sz w:val="21"/>
                      <w:szCs w:val="21"/>
                    </w:rPr>
                    <w:t>声源名称</w:t>
                  </w:r>
                </w:p>
              </w:tc>
              <w:tc>
                <w:tcPr>
                  <w:tcW w:w="460" w:type="pct"/>
                  <w:vMerge w:val="restart"/>
                  <w:vAlign w:val="center"/>
                </w:tcPr>
                <w:p w14:paraId="60F0EB49">
                  <w:pPr>
                    <w:adjustRightInd w:val="0"/>
                    <w:snapToGrid w:val="0"/>
                    <w:jc w:val="center"/>
                    <w:rPr>
                      <w:b/>
                      <w:sz w:val="21"/>
                      <w:szCs w:val="21"/>
                    </w:rPr>
                  </w:pPr>
                  <w:r>
                    <w:rPr>
                      <w:rFonts w:hint="eastAsia"/>
                      <w:b/>
                      <w:sz w:val="21"/>
                      <w:szCs w:val="21"/>
                    </w:rPr>
                    <w:t>型号</w:t>
                  </w:r>
                </w:p>
              </w:tc>
              <w:tc>
                <w:tcPr>
                  <w:tcW w:w="1468" w:type="pct"/>
                  <w:gridSpan w:val="3"/>
                  <w:vAlign w:val="center"/>
                </w:tcPr>
                <w:p w14:paraId="016F0E72">
                  <w:pPr>
                    <w:adjustRightInd w:val="0"/>
                    <w:snapToGrid w:val="0"/>
                    <w:jc w:val="center"/>
                    <w:rPr>
                      <w:b/>
                      <w:sz w:val="21"/>
                      <w:szCs w:val="21"/>
                    </w:rPr>
                  </w:pPr>
                  <w:r>
                    <w:rPr>
                      <w:rFonts w:hint="eastAsia"/>
                      <w:b/>
                      <w:sz w:val="21"/>
                      <w:szCs w:val="21"/>
                    </w:rPr>
                    <w:t>空间相对位置</w:t>
                  </w:r>
                </w:p>
              </w:tc>
              <w:tc>
                <w:tcPr>
                  <w:tcW w:w="740" w:type="pct"/>
                  <w:vMerge w:val="restart"/>
                  <w:vAlign w:val="center"/>
                </w:tcPr>
                <w:p w14:paraId="49A8B234">
                  <w:pPr>
                    <w:adjustRightInd w:val="0"/>
                    <w:snapToGrid w:val="0"/>
                    <w:jc w:val="center"/>
                    <w:rPr>
                      <w:b/>
                      <w:sz w:val="21"/>
                      <w:szCs w:val="21"/>
                    </w:rPr>
                  </w:pPr>
                  <w:r>
                    <w:rPr>
                      <w:rFonts w:hint="eastAsia"/>
                      <w:b/>
                      <w:sz w:val="21"/>
                      <w:szCs w:val="21"/>
                    </w:rPr>
                    <w:t>声功率级/dB（A）</w:t>
                  </w:r>
                </w:p>
              </w:tc>
              <w:tc>
                <w:tcPr>
                  <w:tcW w:w="600" w:type="pct"/>
                  <w:vMerge w:val="restart"/>
                  <w:vAlign w:val="center"/>
                </w:tcPr>
                <w:p w14:paraId="3662DB89">
                  <w:pPr>
                    <w:adjustRightInd w:val="0"/>
                    <w:snapToGrid w:val="0"/>
                    <w:jc w:val="center"/>
                    <w:rPr>
                      <w:b/>
                      <w:sz w:val="21"/>
                      <w:szCs w:val="21"/>
                    </w:rPr>
                  </w:pPr>
                  <w:r>
                    <w:rPr>
                      <w:rFonts w:hint="eastAsia"/>
                      <w:b/>
                      <w:sz w:val="21"/>
                      <w:szCs w:val="21"/>
                    </w:rPr>
                    <w:t>声源控制措施</w:t>
                  </w:r>
                </w:p>
              </w:tc>
              <w:tc>
                <w:tcPr>
                  <w:tcW w:w="786" w:type="pct"/>
                  <w:vMerge w:val="restart"/>
                  <w:vAlign w:val="center"/>
                </w:tcPr>
                <w:p w14:paraId="391AAE5F">
                  <w:pPr>
                    <w:adjustRightInd w:val="0"/>
                    <w:snapToGrid w:val="0"/>
                    <w:jc w:val="center"/>
                    <w:rPr>
                      <w:b/>
                      <w:sz w:val="21"/>
                      <w:szCs w:val="21"/>
                    </w:rPr>
                  </w:pPr>
                  <w:r>
                    <w:rPr>
                      <w:rFonts w:hint="eastAsia"/>
                      <w:b/>
                      <w:sz w:val="21"/>
                      <w:szCs w:val="21"/>
                    </w:rPr>
                    <w:t>运行时段（h/a）</w:t>
                  </w:r>
                </w:p>
              </w:tc>
            </w:tr>
            <w:tr w14:paraId="0858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3" w:type="pct"/>
                  <w:vMerge w:val="continue"/>
                  <w:tcMar>
                    <w:top w:w="12" w:type="dxa"/>
                    <w:left w:w="12" w:type="dxa"/>
                    <w:bottom w:w="0" w:type="dxa"/>
                    <w:right w:w="12" w:type="dxa"/>
                  </w:tcMar>
                  <w:vAlign w:val="center"/>
                </w:tcPr>
                <w:p w14:paraId="46F26634">
                  <w:pPr>
                    <w:jc w:val="center"/>
                    <w:rPr>
                      <w:bCs/>
                      <w:sz w:val="21"/>
                      <w:szCs w:val="21"/>
                    </w:rPr>
                  </w:pPr>
                </w:p>
              </w:tc>
              <w:tc>
                <w:tcPr>
                  <w:tcW w:w="460" w:type="pct"/>
                  <w:vMerge w:val="continue"/>
                  <w:vAlign w:val="center"/>
                </w:tcPr>
                <w:p w14:paraId="69029068">
                  <w:pPr>
                    <w:jc w:val="center"/>
                    <w:rPr>
                      <w:bCs/>
                      <w:sz w:val="21"/>
                      <w:szCs w:val="21"/>
                    </w:rPr>
                  </w:pPr>
                </w:p>
              </w:tc>
              <w:tc>
                <w:tcPr>
                  <w:tcW w:w="465" w:type="pct"/>
                  <w:vAlign w:val="center"/>
                </w:tcPr>
                <w:p w14:paraId="04637996">
                  <w:pPr>
                    <w:jc w:val="center"/>
                    <w:rPr>
                      <w:bCs/>
                      <w:sz w:val="21"/>
                      <w:szCs w:val="21"/>
                    </w:rPr>
                  </w:pPr>
                  <w:r>
                    <w:rPr>
                      <w:rFonts w:hint="eastAsia"/>
                      <w:bCs/>
                      <w:sz w:val="21"/>
                      <w:szCs w:val="21"/>
                    </w:rPr>
                    <w:t>X</w:t>
                  </w:r>
                </w:p>
              </w:tc>
              <w:tc>
                <w:tcPr>
                  <w:tcW w:w="560" w:type="pct"/>
                  <w:vAlign w:val="center"/>
                </w:tcPr>
                <w:p w14:paraId="0C870C2D">
                  <w:pPr>
                    <w:jc w:val="center"/>
                    <w:rPr>
                      <w:bCs/>
                      <w:sz w:val="21"/>
                      <w:szCs w:val="21"/>
                    </w:rPr>
                  </w:pPr>
                  <w:r>
                    <w:rPr>
                      <w:rFonts w:hint="eastAsia"/>
                      <w:bCs/>
                      <w:sz w:val="21"/>
                      <w:szCs w:val="21"/>
                    </w:rPr>
                    <w:t>Y</w:t>
                  </w:r>
                </w:p>
              </w:tc>
              <w:tc>
                <w:tcPr>
                  <w:tcW w:w="442" w:type="pct"/>
                  <w:vAlign w:val="center"/>
                </w:tcPr>
                <w:p w14:paraId="217FEF3F">
                  <w:pPr>
                    <w:jc w:val="center"/>
                    <w:rPr>
                      <w:bCs/>
                      <w:sz w:val="21"/>
                      <w:szCs w:val="21"/>
                    </w:rPr>
                  </w:pPr>
                  <w:r>
                    <w:rPr>
                      <w:rFonts w:hint="eastAsia"/>
                      <w:bCs/>
                      <w:sz w:val="21"/>
                      <w:szCs w:val="21"/>
                    </w:rPr>
                    <w:t>Z</w:t>
                  </w:r>
                </w:p>
              </w:tc>
              <w:tc>
                <w:tcPr>
                  <w:tcW w:w="740" w:type="pct"/>
                  <w:vMerge w:val="continue"/>
                  <w:vAlign w:val="center"/>
                </w:tcPr>
                <w:p w14:paraId="6B698823">
                  <w:pPr>
                    <w:jc w:val="center"/>
                    <w:rPr>
                      <w:bCs/>
                      <w:sz w:val="21"/>
                      <w:szCs w:val="21"/>
                    </w:rPr>
                  </w:pPr>
                </w:p>
              </w:tc>
              <w:tc>
                <w:tcPr>
                  <w:tcW w:w="600" w:type="pct"/>
                  <w:vMerge w:val="continue"/>
                  <w:vAlign w:val="center"/>
                </w:tcPr>
                <w:p w14:paraId="578B6B8F">
                  <w:pPr>
                    <w:jc w:val="center"/>
                    <w:rPr>
                      <w:bCs/>
                      <w:sz w:val="21"/>
                      <w:szCs w:val="21"/>
                    </w:rPr>
                  </w:pPr>
                </w:p>
              </w:tc>
              <w:tc>
                <w:tcPr>
                  <w:tcW w:w="786" w:type="pct"/>
                  <w:vMerge w:val="continue"/>
                  <w:vAlign w:val="center"/>
                </w:tcPr>
                <w:p w14:paraId="1546DA95">
                  <w:pPr>
                    <w:jc w:val="center"/>
                    <w:rPr>
                      <w:bCs/>
                      <w:sz w:val="21"/>
                      <w:szCs w:val="21"/>
                    </w:rPr>
                  </w:pPr>
                </w:p>
              </w:tc>
            </w:tr>
            <w:tr w14:paraId="794DB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3" w:type="pct"/>
                  <w:tcMar>
                    <w:top w:w="12" w:type="dxa"/>
                    <w:left w:w="12" w:type="dxa"/>
                    <w:bottom w:w="0" w:type="dxa"/>
                    <w:right w:w="12" w:type="dxa"/>
                  </w:tcMar>
                  <w:vAlign w:val="center"/>
                </w:tcPr>
                <w:p w14:paraId="3D5BE4B4">
                  <w:pPr>
                    <w:jc w:val="center"/>
                    <w:rPr>
                      <w:rFonts w:hint="eastAsia"/>
                      <w:kern w:val="0"/>
                      <w:sz w:val="21"/>
                      <w:szCs w:val="21"/>
                      <w:lang w:val="en-US" w:eastAsia="zh-CN"/>
                    </w:rPr>
                  </w:pPr>
                  <w:r>
                    <w:rPr>
                      <w:rFonts w:hint="eastAsia"/>
                      <w:kern w:val="0"/>
                      <w:sz w:val="21"/>
                      <w:szCs w:val="21"/>
                      <w:lang w:val="en-US" w:eastAsia="zh-CN"/>
                    </w:rPr>
                    <w:t>固化排气筒风机</w:t>
                  </w:r>
                </w:p>
              </w:tc>
              <w:tc>
                <w:tcPr>
                  <w:tcW w:w="460" w:type="pct"/>
                  <w:vAlign w:val="center"/>
                </w:tcPr>
                <w:p w14:paraId="0C50A420">
                  <w:pPr>
                    <w:jc w:val="center"/>
                    <w:rPr>
                      <w:rFonts w:hint="eastAsia"/>
                      <w:bCs/>
                      <w:sz w:val="21"/>
                      <w:szCs w:val="21"/>
                    </w:rPr>
                  </w:pPr>
                  <w:r>
                    <w:rPr>
                      <w:rFonts w:hint="eastAsia"/>
                      <w:bCs/>
                      <w:sz w:val="21"/>
                      <w:szCs w:val="21"/>
                    </w:rPr>
                    <w:t>定制</w:t>
                  </w:r>
                </w:p>
              </w:tc>
              <w:tc>
                <w:tcPr>
                  <w:tcW w:w="465" w:type="pct"/>
                  <w:vAlign w:val="center"/>
                </w:tcPr>
                <w:p w14:paraId="41F89677">
                  <w:pPr>
                    <w:jc w:val="center"/>
                    <w:rPr>
                      <w:rFonts w:hint="default" w:eastAsia="宋体"/>
                      <w:bCs/>
                      <w:sz w:val="21"/>
                      <w:szCs w:val="21"/>
                      <w:lang w:val="en-US" w:eastAsia="zh-CN"/>
                    </w:rPr>
                  </w:pPr>
                  <w:r>
                    <w:rPr>
                      <w:rFonts w:hint="eastAsia" w:eastAsia="宋体"/>
                      <w:bCs/>
                      <w:sz w:val="21"/>
                      <w:szCs w:val="21"/>
                      <w:lang w:val="en-US" w:eastAsia="zh-CN"/>
                    </w:rPr>
                    <w:t>30</w:t>
                  </w:r>
                </w:p>
              </w:tc>
              <w:tc>
                <w:tcPr>
                  <w:tcW w:w="560" w:type="pct"/>
                  <w:vAlign w:val="center"/>
                </w:tcPr>
                <w:p w14:paraId="28EDD631">
                  <w:pPr>
                    <w:jc w:val="center"/>
                    <w:rPr>
                      <w:rFonts w:hint="default" w:eastAsia="宋体"/>
                      <w:bCs/>
                      <w:sz w:val="21"/>
                      <w:szCs w:val="21"/>
                      <w:lang w:val="en-US" w:eastAsia="zh-CN"/>
                    </w:rPr>
                  </w:pPr>
                  <w:r>
                    <w:rPr>
                      <w:rFonts w:hint="eastAsia" w:eastAsia="宋体"/>
                      <w:bCs/>
                      <w:sz w:val="21"/>
                      <w:szCs w:val="21"/>
                      <w:lang w:val="en-US" w:eastAsia="zh-CN"/>
                    </w:rPr>
                    <w:t>5</w:t>
                  </w:r>
                </w:p>
              </w:tc>
              <w:tc>
                <w:tcPr>
                  <w:tcW w:w="442" w:type="pct"/>
                  <w:vAlign w:val="center"/>
                </w:tcPr>
                <w:p w14:paraId="7BD9310F">
                  <w:pPr>
                    <w:jc w:val="center"/>
                    <w:rPr>
                      <w:rFonts w:hint="default" w:eastAsia="宋体"/>
                      <w:bCs/>
                      <w:sz w:val="21"/>
                      <w:szCs w:val="21"/>
                      <w:lang w:val="en-US" w:eastAsia="zh-CN"/>
                    </w:rPr>
                  </w:pPr>
                  <w:r>
                    <w:rPr>
                      <w:rFonts w:hint="eastAsia"/>
                      <w:bCs/>
                      <w:sz w:val="21"/>
                      <w:szCs w:val="21"/>
                      <w:lang w:val="en-US" w:eastAsia="zh-CN"/>
                    </w:rPr>
                    <w:t>2</w:t>
                  </w:r>
                </w:p>
              </w:tc>
              <w:tc>
                <w:tcPr>
                  <w:tcW w:w="740" w:type="pct"/>
                  <w:vAlign w:val="center"/>
                </w:tcPr>
                <w:p w14:paraId="1056F33B">
                  <w:pPr>
                    <w:widowControl/>
                    <w:adjustRightInd w:val="0"/>
                    <w:snapToGrid w:val="0"/>
                    <w:jc w:val="center"/>
                    <w:rPr>
                      <w:rFonts w:hint="default"/>
                      <w:bCs/>
                      <w:sz w:val="21"/>
                      <w:szCs w:val="21"/>
                      <w:lang w:val="en-US" w:eastAsia="zh-CN"/>
                    </w:rPr>
                  </w:pPr>
                  <w:r>
                    <w:rPr>
                      <w:rFonts w:hint="eastAsia"/>
                      <w:bCs/>
                      <w:sz w:val="21"/>
                      <w:szCs w:val="21"/>
                      <w:lang w:val="en-US" w:eastAsia="zh-CN"/>
                    </w:rPr>
                    <w:t>90</w:t>
                  </w:r>
                </w:p>
              </w:tc>
              <w:tc>
                <w:tcPr>
                  <w:tcW w:w="600" w:type="pct"/>
                  <w:vMerge w:val="restart"/>
                  <w:vAlign w:val="center"/>
                </w:tcPr>
                <w:p w14:paraId="617114B1">
                  <w:pPr>
                    <w:jc w:val="center"/>
                    <w:rPr>
                      <w:sz w:val="21"/>
                      <w:szCs w:val="21"/>
                    </w:rPr>
                  </w:pPr>
                  <w:r>
                    <w:rPr>
                      <w:color w:val="auto"/>
                      <w:sz w:val="21"/>
                      <w:szCs w:val="21"/>
                    </w:rPr>
                    <w:t>安装减振基座</w:t>
                  </w:r>
                  <w:r>
                    <w:rPr>
                      <w:rFonts w:hint="eastAsia"/>
                      <w:color w:val="auto"/>
                      <w:sz w:val="21"/>
                      <w:szCs w:val="21"/>
                      <w:lang w:eastAsia="zh-CN"/>
                    </w:rPr>
                    <w:t>、</w:t>
                  </w:r>
                  <w:r>
                    <w:rPr>
                      <w:rFonts w:hint="eastAsia"/>
                      <w:color w:val="auto"/>
                      <w:sz w:val="21"/>
                      <w:szCs w:val="21"/>
                      <w:lang w:val="en-US" w:eastAsia="zh-CN"/>
                    </w:rPr>
                    <w:t>消声器、隔声罩等措施</w:t>
                  </w:r>
                </w:p>
              </w:tc>
              <w:tc>
                <w:tcPr>
                  <w:tcW w:w="786" w:type="pct"/>
                  <w:vAlign w:val="center"/>
                </w:tcPr>
                <w:p w14:paraId="1A140B9D">
                  <w:pPr>
                    <w:jc w:val="center"/>
                    <w:rPr>
                      <w:rFonts w:hint="default" w:eastAsia="宋体"/>
                      <w:bCs/>
                      <w:sz w:val="21"/>
                      <w:szCs w:val="21"/>
                      <w:lang w:val="en-US" w:eastAsia="zh-CN"/>
                    </w:rPr>
                  </w:pPr>
                  <w:r>
                    <w:rPr>
                      <w:rFonts w:hint="eastAsia"/>
                      <w:bCs/>
                      <w:sz w:val="21"/>
                      <w:szCs w:val="21"/>
                      <w:lang w:val="en-US" w:eastAsia="zh-CN"/>
                    </w:rPr>
                    <w:t>2400</w:t>
                  </w:r>
                </w:p>
              </w:tc>
            </w:tr>
            <w:tr w14:paraId="43E7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3" w:type="pct"/>
                  <w:tcMar>
                    <w:top w:w="12" w:type="dxa"/>
                    <w:left w:w="12" w:type="dxa"/>
                    <w:bottom w:w="0" w:type="dxa"/>
                    <w:right w:w="12" w:type="dxa"/>
                  </w:tcMar>
                  <w:vAlign w:val="center"/>
                </w:tcPr>
                <w:p w14:paraId="643F1E45">
                  <w:pPr>
                    <w:jc w:val="center"/>
                    <w:rPr>
                      <w:rFonts w:hint="default"/>
                      <w:kern w:val="0"/>
                      <w:sz w:val="21"/>
                      <w:szCs w:val="21"/>
                      <w:lang w:val="en-US" w:eastAsia="zh-CN"/>
                    </w:rPr>
                  </w:pPr>
                  <w:r>
                    <w:rPr>
                      <w:rFonts w:hint="eastAsia"/>
                      <w:kern w:val="0"/>
                      <w:sz w:val="21"/>
                      <w:szCs w:val="21"/>
                      <w:lang w:val="en-US" w:eastAsia="zh-CN"/>
                    </w:rPr>
                    <w:t>注塑排气筒风机</w:t>
                  </w:r>
                </w:p>
              </w:tc>
              <w:tc>
                <w:tcPr>
                  <w:tcW w:w="460" w:type="pct"/>
                  <w:vAlign w:val="center"/>
                </w:tcPr>
                <w:p w14:paraId="50D5A77C">
                  <w:pPr>
                    <w:jc w:val="center"/>
                    <w:rPr>
                      <w:rFonts w:hint="eastAsia"/>
                      <w:bCs/>
                      <w:sz w:val="21"/>
                      <w:szCs w:val="21"/>
                    </w:rPr>
                  </w:pPr>
                  <w:r>
                    <w:rPr>
                      <w:rFonts w:hint="eastAsia"/>
                      <w:bCs/>
                      <w:sz w:val="21"/>
                      <w:szCs w:val="21"/>
                    </w:rPr>
                    <w:t>定制</w:t>
                  </w:r>
                </w:p>
              </w:tc>
              <w:tc>
                <w:tcPr>
                  <w:tcW w:w="465" w:type="pct"/>
                  <w:vAlign w:val="center"/>
                </w:tcPr>
                <w:p w14:paraId="56B33B5A">
                  <w:pPr>
                    <w:jc w:val="center"/>
                    <w:rPr>
                      <w:rFonts w:hint="default" w:eastAsia="宋体"/>
                      <w:bCs/>
                      <w:sz w:val="21"/>
                      <w:szCs w:val="21"/>
                      <w:lang w:val="en-US" w:eastAsia="zh-CN"/>
                    </w:rPr>
                  </w:pPr>
                  <w:r>
                    <w:rPr>
                      <w:rFonts w:hint="eastAsia" w:eastAsia="宋体"/>
                      <w:bCs/>
                      <w:sz w:val="21"/>
                      <w:szCs w:val="21"/>
                      <w:lang w:val="en-US" w:eastAsia="zh-CN"/>
                    </w:rPr>
                    <w:t>-40</w:t>
                  </w:r>
                </w:p>
              </w:tc>
              <w:tc>
                <w:tcPr>
                  <w:tcW w:w="560" w:type="pct"/>
                  <w:vAlign w:val="center"/>
                </w:tcPr>
                <w:p w14:paraId="4DC9D051">
                  <w:pPr>
                    <w:jc w:val="center"/>
                    <w:rPr>
                      <w:rFonts w:hint="default" w:eastAsia="宋体"/>
                      <w:bCs/>
                      <w:sz w:val="21"/>
                      <w:szCs w:val="21"/>
                      <w:lang w:val="en-US" w:eastAsia="zh-CN"/>
                    </w:rPr>
                  </w:pPr>
                  <w:r>
                    <w:rPr>
                      <w:rFonts w:hint="eastAsia" w:eastAsia="宋体"/>
                      <w:bCs/>
                      <w:sz w:val="21"/>
                      <w:szCs w:val="21"/>
                      <w:lang w:val="en-US" w:eastAsia="zh-CN"/>
                    </w:rPr>
                    <w:t>-3</w:t>
                  </w:r>
                </w:p>
              </w:tc>
              <w:tc>
                <w:tcPr>
                  <w:tcW w:w="442" w:type="pct"/>
                  <w:vAlign w:val="center"/>
                </w:tcPr>
                <w:p w14:paraId="4059886E">
                  <w:pPr>
                    <w:jc w:val="center"/>
                    <w:rPr>
                      <w:rFonts w:hint="default"/>
                      <w:bCs/>
                      <w:sz w:val="21"/>
                      <w:szCs w:val="21"/>
                      <w:lang w:val="en-US" w:eastAsia="zh-CN"/>
                    </w:rPr>
                  </w:pPr>
                  <w:r>
                    <w:rPr>
                      <w:rFonts w:hint="eastAsia"/>
                      <w:bCs/>
                      <w:sz w:val="21"/>
                      <w:szCs w:val="21"/>
                      <w:lang w:val="en-US" w:eastAsia="zh-CN"/>
                    </w:rPr>
                    <w:t>2</w:t>
                  </w:r>
                </w:p>
              </w:tc>
              <w:tc>
                <w:tcPr>
                  <w:tcW w:w="740" w:type="pct"/>
                  <w:vAlign w:val="center"/>
                </w:tcPr>
                <w:p w14:paraId="1A63CFAC">
                  <w:pPr>
                    <w:widowControl/>
                    <w:adjustRightInd w:val="0"/>
                    <w:snapToGrid w:val="0"/>
                    <w:jc w:val="center"/>
                    <w:rPr>
                      <w:rFonts w:hint="default"/>
                      <w:bCs/>
                      <w:sz w:val="21"/>
                      <w:szCs w:val="21"/>
                      <w:lang w:val="en-US" w:eastAsia="zh-CN"/>
                    </w:rPr>
                  </w:pPr>
                  <w:r>
                    <w:rPr>
                      <w:rFonts w:hint="eastAsia"/>
                      <w:bCs/>
                      <w:sz w:val="21"/>
                      <w:szCs w:val="21"/>
                      <w:lang w:val="en-US" w:eastAsia="zh-CN"/>
                    </w:rPr>
                    <w:t>90</w:t>
                  </w:r>
                </w:p>
              </w:tc>
              <w:tc>
                <w:tcPr>
                  <w:tcW w:w="600" w:type="pct"/>
                  <w:vMerge w:val="continue"/>
                  <w:vAlign w:val="center"/>
                </w:tcPr>
                <w:p w14:paraId="5C7961B3">
                  <w:pPr>
                    <w:jc w:val="center"/>
                    <w:rPr>
                      <w:sz w:val="21"/>
                      <w:szCs w:val="21"/>
                    </w:rPr>
                  </w:pPr>
                </w:p>
              </w:tc>
              <w:tc>
                <w:tcPr>
                  <w:tcW w:w="786" w:type="pct"/>
                  <w:vAlign w:val="center"/>
                </w:tcPr>
                <w:p w14:paraId="58EB92A4">
                  <w:pPr>
                    <w:jc w:val="center"/>
                    <w:rPr>
                      <w:rFonts w:hint="default"/>
                      <w:bCs/>
                      <w:sz w:val="21"/>
                      <w:szCs w:val="21"/>
                      <w:lang w:val="en-US" w:eastAsia="zh-CN"/>
                    </w:rPr>
                  </w:pPr>
                  <w:r>
                    <w:rPr>
                      <w:rFonts w:hint="eastAsia"/>
                      <w:bCs/>
                      <w:sz w:val="21"/>
                      <w:szCs w:val="21"/>
                      <w:lang w:val="en-US" w:eastAsia="zh-CN"/>
                    </w:rPr>
                    <w:t>2400</w:t>
                  </w:r>
                </w:p>
              </w:tc>
            </w:tr>
            <w:tr w14:paraId="7A63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3" w:type="pct"/>
                  <w:tcMar>
                    <w:top w:w="12" w:type="dxa"/>
                    <w:left w:w="12" w:type="dxa"/>
                    <w:bottom w:w="0" w:type="dxa"/>
                    <w:right w:w="12" w:type="dxa"/>
                  </w:tcMar>
                  <w:vAlign w:val="center"/>
                </w:tcPr>
                <w:p w14:paraId="42A99B86">
                  <w:pPr>
                    <w:jc w:val="center"/>
                    <w:rPr>
                      <w:rFonts w:hint="default"/>
                      <w:kern w:val="0"/>
                      <w:sz w:val="21"/>
                      <w:szCs w:val="21"/>
                      <w:lang w:val="en-US" w:eastAsia="zh-CN"/>
                    </w:rPr>
                  </w:pPr>
                  <w:r>
                    <w:rPr>
                      <w:rFonts w:hint="eastAsia"/>
                      <w:kern w:val="0"/>
                      <w:sz w:val="21"/>
                      <w:szCs w:val="21"/>
                      <w:lang w:val="en-US" w:eastAsia="zh-CN"/>
                    </w:rPr>
                    <w:t>下料排气筒风机</w:t>
                  </w:r>
                </w:p>
              </w:tc>
              <w:tc>
                <w:tcPr>
                  <w:tcW w:w="460" w:type="pct"/>
                  <w:vAlign w:val="center"/>
                </w:tcPr>
                <w:p w14:paraId="062C844D">
                  <w:pPr>
                    <w:jc w:val="center"/>
                    <w:rPr>
                      <w:rFonts w:hint="eastAsia"/>
                      <w:bCs/>
                      <w:sz w:val="21"/>
                      <w:szCs w:val="21"/>
                    </w:rPr>
                  </w:pPr>
                  <w:r>
                    <w:rPr>
                      <w:rFonts w:hint="eastAsia"/>
                      <w:bCs/>
                      <w:sz w:val="21"/>
                      <w:szCs w:val="21"/>
                    </w:rPr>
                    <w:t>定制</w:t>
                  </w:r>
                </w:p>
              </w:tc>
              <w:tc>
                <w:tcPr>
                  <w:tcW w:w="465" w:type="pct"/>
                  <w:vAlign w:val="center"/>
                </w:tcPr>
                <w:p w14:paraId="4099DA00">
                  <w:pPr>
                    <w:jc w:val="center"/>
                    <w:rPr>
                      <w:rFonts w:hint="default" w:eastAsia="宋体"/>
                      <w:bCs/>
                      <w:sz w:val="21"/>
                      <w:szCs w:val="21"/>
                      <w:lang w:val="en-US" w:eastAsia="zh-CN"/>
                    </w:rPr>
                  </w:pPr>
                  <w:r>
                    <w:rPr>
                      <w:rFonts w:hint="eastAsia" w:eastAsia="宋体"/>
                      <w:bCs/>
                      <w:sz w:val="21"/>
                      <w:szCs w:val="21"/>
                      <w:lang w:val="en-US" w:eastAsia="zh-CN"/>
                    </w:rPr>
                    <w:t>10</w:t>
                  </w:r>
                </w:p>
              </w:tc>
              <w:tc>
                <w:tcPr>
                  <w:tcW w:w="560" w:type="pct"/>
                  <w:vAlign w:val="center"/>
                </w:tcPr>
                <w:p w14:paraId="48DB019A">
                  <w:pPr>
                    <w:jc w:val="center"/>
                    <w:rPr>
                      <w:rFonts w:hint="default" w:eastAsia="宋体"/>
                      <w:bCs/>
                      <w:sz w:val="21"/>
                      <w:szCs w:val="21"/>
                      <w:lang w:val="en-US" w:eastAsia="zh-CN"/>
                    </w:rPr>
                  </w:pPr>
                  <w:r>
                    <w:rPr>
                      <w:rFonts w:hint="eastAsia" w:eastAsia="宋体"/>
                      <w:bCs/>
                      <w:sz w:val="21"/>
                      <w:szCs w:val="21"/>
                      <w:lang w:val="en-US" w:eastAsia="zh-CN"/>
                    </w:rPr>
                    <w:t>15</w:t>
                  </w:r>
                </w:p>
              </w:tc>
              <w:tc>
                <w:tcPr>
                  <w:tcW w:w="442" w:type="pct"/>
                  <w:vAlign w:val="center"/>
                </w:tcPr>
                <w:p w14:paraId="1D42980F">
                  <w:pPr>
                    <w:jc w:val="center"/>
                    <w:rPr>
                      <w:rFonts w:hint="eastAsia"/>
                      <w:bCs/>
                      <w:sz w:val="21"/>
                      <w:szCs w:val="21"/>
                      <w:lang w:val="en-US" w:eastAsia="zh-CN"/>
                    </w:rPr>
                  </w:pPr>
                  <w:r>
                    <w:rPr>
                      <w:rFonts w:hint="eastAsia"/>
                      <w:bCs/>
                      <w:sz w:val="21"/>
                      <w:szCs w:val="21"/>
                      <w:lang w:val="en-US" w:eastAsia="zh-CN"/>
                    </w:rPr>
                    <w:t>2</w:t>
                  </w:r>
                </w:p>
              </w:tc>
              <w:tc>
                <w:tcPr>
                  <w:tcW w:w="740" w:type="pct"/>
                  <w:vAlign w:val="center"/>
                </w:tcPr>
                <w:p w14:paraId="2597B108">
                  <w:pPr>
                    <w:widowControl/>
                    <w:adjustRightInd w:val="0"/>
                    <w:snapToGrid w:val="0"/>
                    <w:jc w:val="center"/>
                    <w:rPr>
                      <w:rFonts w:hint="eastAsia"/>
                      <w:bCs/>
                      <w:sz w:val="21"/>
                      <w:szCs w:val="21"/>
                      <w:lang w:val="en-US" w:eastAsia="zh-CN"/>
                    </w:rPr>
                  </w:pPr>
                  <w:r>
                    <w:rPr>
                      <w:rFonts w:hint="eastAsia"/>
                      <w:bCs/>
                      <w:sz w:val="21"/>
                      <w:szCs w:val="21"/>
                      <w:lang w:val="en-US" w:eastAsia="zh-CN"/>
                    </w:rPr>
                    <w:t>90</w:t>
                  </w:r>
                </w:p>
              </w:tc>
              <w:tc>
                <w:tcPr>
                  <w:tcW w:w="600" w:type="pct"/>
                  <w:vMerge w:val="continue"/>
                  <w:vAlign w:val="center"/>
                </w:tcPr>
                <w:p w14:paraId="7A793EF1">
                  <w:pPr>
                    <w:jc w:val="center"/>
                    <w:rPr>
                      <w:sz w:val="21"/>
                      <w:szCs w:val="21"/>
                    </w:rPr>
                  </w:pPr>
                </w:p>
              </w:tc>
              <w:tc>
                <w:tcPr>
                  <w:tcW w:w="786" w:type="pct"/>
                  <w:vAlign w:val="center"/>
                </w:tcPr>
                <w:p w14:paraId="2D9416AB">
                  <w:pPr>
                    <w:jc w:val="center"/>
                    <w:rPr>
                      <w:rFonts w:hint="default"/>
                      <w:bCs/>
                      <w:sz w:val="21"/>
                      <w:szCs w:val="21"/>
                      <w:lang w:val="en-US" w:eastAsia="zh-CN"/>
                    </w:rPr>
                  </w:pPr>
                  <w:r>
                    <w:rPr>
                      <w:rFonts w:hint="eastAsia"/>
                      <w:bCs/>
                      <w:sz w:val="21"/>
                      <w:szCs w:val="21"/>
                      <w:lang w:val="en-US" w:eastAsia="zh-CN"/>
                    </w:rPr>
                    <w:t>2400</w:t>
                  </w:r>
                </w:p>
              </w:tc>
            </w:tr>
          </w:tbl>
          <w:p w14:paraId="47CF26B0">
            <w:pPr>
              <w:keepNext/>
              <w:keepLines/>
              <w:adjustRightInd w:val="0"/>
              <w:snapToGrid w:val="0"/>
              <w:spacing w:line="360" w:lineRule="auto"/>
              <w:outlineLvl w:val="3"/>
              <w:rPr>
                <w:b/>
                <w:bCs/>
                <w:color w:val="000000"/>
                <w:sz w:val="24"/>
                <w:szCs w:val="24"/>
              </w:rPr>
            </w:pPr>
            <w:r>
              <w:rPr>
                <w:rFonts w:hint="eastAsia" w:ascii="宋体" w:hAnsi="宋体" w:cs="宋体"/>
                <w:bCs/>
                <w:sz w:val="21"/>
                <w:szCs w:val="21"/>
              </w:rPr>
              <w:t>注</w:t>
            </w:r>
            <w:r>
              <w:rPr>
                <w:bCs/>
                <w:sz w:val="21"/>
                <w:szCs w:val="21"/>
              </w:rPr>
              <w:t>：项目以</w:t>
            </w:r>
            <w:r>
              <w:rPr>
                <w:rFonts w:hint="eastAsia"/>
                <w:bCs/>
                <w:sz w:val="21"/>
                <w:szCs w:val="21"/>
                <w:lang w:val="en-US" w:eastAsia="zh-CN"/>
              </w:rPr>
              <w:t>生产车间</w:t>
            </w:r>
            <w:r>
              <w:rPr>
                <w:bCs/>
                <w:sz w:val="21"/>
                <w:szCs w:val="21"/>
              </w:rPr>
              <w:t>中心点为坐标原点，正东为X轴，正北为Y轴</w:t>
            </w:r>
            <w:r>
              <w:rPr>
                <w:rFonts w:hint="eastAsia"/>
                <w:bCs/>
                <w:sz w:val="21"/>
                <w:szCs w:val="21"/>
              </w:rPr>
              <w:t>，高度</w:t>
            </w:r>
            <w:r>
              <w:rPr>
                <w:bCs/>
                <w:sz w:val="21"/>
                <w:szCs w:val="21"/>
              </w:rPr>
              <w:t>为</w:t>
            </w:r>
            <w:r>
              <w:rPr>
                <w:rFonts w:hint="eastAsia"/>
                <w:bCs/>
                <w:sz w:val="21"/>
                <w:szCs w:val="21"/>
              </w:rPr>
              <w:t>Z</w:t>
            </w:r>
            <w:r>
              <w:rPr>
                <w:bCs/>
                <w:sz w:val="21"/>
                <w:szCs w:val="21"/>
              </w:rPr>
              <w:t>轴</w:t>
            </w:r>
          </w:p>
          <w:p w14:paraId="7C476462">
            <w:pPr>
              <w:pStyle w:val="29"/>
              <w:adjustRightInd w:val="0"/>
              <w:snapToGrid w:val="0"/>
              <w:spacing w:after="0"/>
              <w:ind w:left="0" w:leftChars="0" w:firstLine="0"/>
              <w:jc w:val="center"/>
              <w:rPr>
                <w:b/>
                <w:bCs/>
                <w:color w:val="000000"/>
                <w:sz w:val="24"/>
                <w:szCs w:val="24"/>
              </w:rPr>
            </w:pPr>
            <w:r>
              <w:rPr>
                <w:b/>
                <w:bCs/>
                <w:color w:val="000000"/>
                <w:sz w:val="24"/>
                <w:szCs w:val="24"/>
              </w:rPr>
              <w:t>表4</w:t>
            </w:r>
            <w:r>
              <w:rPr>
                <w:rFonts w:hint="eastAsia"/>
                <w:b/>
                <w:bCs/>
                <w:color w:val="000000"/>
                <w:sz w:val="24"/>
                <w:szCs w:val="24"/>
                <w:lang w:val="en-US" w:eastAsia="zh-CN"/>
              </w:rPr>
              <w:t>-11</w:t>
            </w:r>
            <w:r>
              <w:rPr>
                <w:rFonts w:hint="eastAsia"/>
                <w:b/>
                <w:bCs/>
                <w:color w:val="000000"/>
                <w:sz w:val="24"/>
                <w:szCs w:val="24"/>
              </w:rPr>
              <w:t xml:space="preserve"> </w:t>
            </w:r>
            <w:r>
              <w:rPr>
                <w:b/>
                <w:bCs/>
                <w:color w:val="000000"/>
                <w:sz w:val="24"/>
                <w:szCs w:val="24"/>
              </w:rPr>
              <w:t xml:space="preserve"> 噪声污染源及源强表</w:t>
            </w:r>
            <w:r>
              <w:rPr>
                <w:rFonts w:hint="eastAsia"/>
                <w:b/>
                <w:bCs/>
                <w:color w:val="000000"/>
                <w:sz w:val="24"/>
                <w:szCs w:val="24"/>
                <w:lang w:eastAsia="zh-CN"/>
              </w:rPr>
              <w:t>（</w:t>
            </w:r>
            <w:r>
              <w:rPr>
                <w:rFonts w:hint="eastAsia"/>
                <w:b/>
                <w:bCs/>
                <w:color w:val="000000"/>
                <w:sz w:val="24"/>
                <w:szCs w:val="24"/>
                <w:lang w:val="en-US" w:eastAsia="zh-CN"/>
              </w:rPr>
              <w:t>室内声源</w:t>
            </w:r>
            <w:r>
              <w:rPr>
                <w:rFonts w:hint="eastAsia"/>
                <w:b/>
                <w:bCs/>
                <w:color w:val="000000"/>
                <w:sz w:val="24"/>
                <w:szCs w:val="24"/>
                <w:lang w:eastAsia="zh-CN"/>
              </w:rPr>
              <w:t>）</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5"/>
              <w:gridCol w:w="671"/>
              <w:gridCol w:w="572"/>
              <w:gridCol w:w="594"/>
              <w:gridCol w:w="572"/>
              <w:gridCol w:w="572"/>
              <w:gridCol w:w="571"/>
              <w:gridCol w:w="572"/>
              <w:gridCol w:w="571"/>
              <w:gridCol w:w="590"/>
              <w:gridCol w:w="571"/>
              <w:gridCol w:w="590"/>
              <w:gridCol w:w="590"/>
              <w:gridCol w:w="572"/>
            </w:tblGrid>
            <w:tr w14:paraId="1825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restart"/>
                  <w:tcMar>
                    <w:top w:w="12" w:type="dxa"/>
                    <w:left w:w="12" w:type="dxa"/>
                    <w:bottom w:w="0" w:type="dxa"/>
                    <w:right w:w="12" w:type="dxa"/>
                  </w:tcMar>
                  <w:vAlign w:val="center"/>
                </w:tcPr>
                <w:p w14:paraId="0618D4D7">
                  <w:pPr>
                    <w:adjustRightInd w:val="0"/>
                    <w:snapToGrid w:val="0"/>
                    <w:jc w:val="center"/>
                    <w:rPr>
                      <w:b/>
                      <w:sz w:val="21"/>
                      <w:szCs w:val="21"/>
                    </w:rPr>
                  </w:pPr>
                  <w:r>
                    <w:rPr>
                      <w:rFonts w:hint="eastAsia"/>
                      <w:b/>
                      <w:sz w:val="21"/>
                      <w:szCs w:val="21"/>
                    </w:rPr>
                    <w:t>建筑物名称</w:t>
                  </w:r>
                </w:p>
              </w:tc>
              <w:tc>
                <w:tcPr>
                  <w:tcW w:w="415" w:type="pct"/>
                  <w:vMerge w:val="restart"/>
                  <w:vAlign w:val="center"/>
                </w:tcPr>
                <w:p w14:paraId="13B15794">
                  <w:pPr>
                    <w:adjustRightInd w:val="0"/>
                    <w:snapToGrid w:val="0"/>
                    <w:jc w:val="center"/>
                    <w:rPr>
                      <w:b/>
                      <w:sz w:val="21"/>
                      <w:szCs w:val="21"/>
                    </w:rPr>
                  </w:pPr>
                  <w:r>
                    <w:rPr>
                      <w:rFonts w:hint="eastAsia"/>
                      <w:b/>
                      <w:sz w:val="21"/>
                      <w:szCs w:val="21"/>
                    </w:rPr>
                    <w:t>声源名称</w:t>
                  </w:r>
                </w:p>
              </w:tc>
              <w:tc>
                <w:tcPr>
                  <w:tcW w:w="353" w:type="pct"/>
                  <w:vMerge w:val="restart"/>
                  <w:vAlign w:val="center"/>
                </w:tcPr>
                <w:p w14:paraId="46E47E44">
                  <w:pPr>
                    <w:adjustRightInd w:val="0"/>
                    <w:snapToGrid w:val="0"/>
                    <w:jc w:val="center"/>
                    <w:rPr>
                      <w:b/>
                      <w:sz w:val="21"/>
                      <w:szCs w:val="21"/>
                    </w:rPr>
                  </w:pPr>
                  <w:r>
                    <w:rPr>
                      <w:rFonts w:hint="eastAsia"/>
                      <w:b/>
                      <w:sz w:val="21"/>
                      <w:szCs w:val="21"/>
                    </w:rPr>
                    <w:t>数量（台）</w:t>
                  </w:r>
                </w:p>
              </w:tc>
              <w:tc>
                <w:tcPr>
                  <w:tcW w:w="367" w:type="pct"/>
                  <w:vMerge w:val="restart"/>
                  <w:vAlign w:val="center"/>
                </w:tcPr>
                <w:p w14:paraId="120DD7BE">
                  <w:pPr>
                    <w:adjustRightInd w:val="0"/>
                    <w:snapToGrid w:val="0"/>
                    <w:jc w:val="center"/>
                    <w:rPr>
                      <w:b/>
                      <w:sz w:val="21"/>
                      <w:szCs w:val="21"/>
                    </w:rPr>
                  </w:pPr>
                  <w:r>
                    <w:rPr>
                      <w:rFonts w:hint="eastAsia"/>
                      <w:b/>
                      <w:sz w:val="21"/>
                      <w:szCs w:val="21"/>
                    </w:rPr>
                    <w:t>声功率级/dB（A）</w:t>
                  </w:r>
                </w:p>
              </w:tc>
              <w:tc>
                <w:tcPr>
                  <w:tcW w:w="353" w:type="pct"/>
                  <w:vMerge w:val="restart"/>
                  <w:vAlign w:val="center"/>
                </w:tcPr>
                <w:p w14:paraId="125BB95E">
                  <w:pPr>
                    <w:adjustRightInd w:val="0"/>
                    <w:snapToGrid w:val="0"/>
                    <w:jc w:val="center"/>
                    <w:rPr>
                      <w:b/>
                      <w:sz w:val="21"/>
                      <w:szCs w:val="21"/>
                    </w:rPr>
                  </w:pPr>
                  <w:r>
                    <w:rPr>
                      <w:rFonts w:hint="eastAsia"/>
                      <w:b/>
                      <w:sz w:val="21"/>
                      <w:szCs w:val="21"/>
                    </w:rPr>
                    <w:t>声源控制措施</w:t>
                  </w:r>
                </w:p>
              </w:tc>
              <w:tc>
                <w:tcPr>
                  <w:tcW w:w="1060" w:type="pct"/>
                  <w:gridSpan w:val="3"/>
                  <w:vAlign w:val="center"/>
                </w:tcPr>
                <w:p w14:paraId="33843805">
                  <w:pPr>
                    <w:adjustRightInd w:val="0"/>
                    <w:snapToGrid w:val="0"/>
                    <w:jc w:val="center"/>
                    <w:rPr>
                      <w:b/>
                      <w:sz w:val="21"/>
                      <w:szCs w:val="21"/>
                    </w:rPr>
                  </w:pPr>
                  <w:r>
                    <w:rPr>
                      <w:rFonts w:hint="eastAsia"/>
                      <w:b/>
                      <w:sz w:val="21"/>
                      <w:szCs w:val="21"/>
                    </w:rPr>
                    <w:t>空间相对位置</w:t>
                  </w:r>
                </w:p>
              </w:tc>
              <w:tc>
                <w:tcPr>
                  <w:tcW w:w="353" w:type="pct"/>
                  <w:vMerge w:val="restart"/>
                  <w:vAlign w:val="center"/>
                </w:tcPr>
                <w:p w14:paraId="70C7B16D">
                  <w:pPr>
                    <w:adjustRightInd w:val="0"/>
                    <w:snapToGrid w:val="0"/>
                    <w:jc w:val="center"/>
                    <w:rPr>
                      <w:b/>
                      <w:sz w:val="21"/>
                      <w:szCs w:val="21"/>
                    </w:rPr>
                  </w:pPr>
                  <w:r>
                    <w:rPr>
                      <w:rFonts w:hint="eastAsia"/>
                      <w:b/>
                      <w:sz w:val="21"/>
                      <w:szCs w:val="21"/>
                    </w:rPr>
                    <w:t>距离室内边界距离/m</w:t>
                  </w:r>
                </w:p>
              </w:tc>
              <w:tc>
                <w:tcPr>
                  <w:tcW w:w="364" w:type="pct"/>
                  <w:vMerge w:val="restart"/>
                  <w:vAlign w:val="center"/>
                </w:tcPr>
                <w:p w14:paraId="56447768">
                  <w:pPr>
                    <w:adjustRightInd w:val="0"/>
                    <w:snapToGrid w:val="0"/>
                    <w:jc w:val="center"/>
                    <w:rPr>
                      <w:b/>
                      <w:sz w:val="21"/>
                      <w:szCs w:val="21"/>
                    </w:rPr>
                  </w:pPr>
                  <w:r>
                    <w:rPr>
                      <w:rFonts w:hint="eastAsia"/>
                      <w:b/>
                      <w:sz w:val="21"/>
                      <w:szCs w:val="21"/>
                    </w:rPr>
                    <w:t>室内边界声级/dB（A）</w:t>
                  </w:r>
                </w:p>
              </w:tc>
              <w:tc>
                <w:tcPr>
                  <w:tcW w:w="353" w:type="pct"/>
                  <w:vMerge w:val="restart"/>
                  <w:vAlign w:val="center"/>
                </w:tcPr>
                <w:p w14:paraId="65C11CB0">
                  <w:pPr>
                    <w:adjustRightInd w:val="0"/>
                    <w:snapToGrid w:val="0"/>
                    <w:jc w:val="center"/>
                    <w:rPr>
                      <w:b/>
                      <w:sz w:val="21"/>
                      <w:szCs w:val="21"/>
                    </w:rPr>
                  </w:pPr>
                  <w:r>
                    <w:rPr>
                      <w:rFonts w:hint="eastAsia"/>
                      <w:b/>
                      <w:sz w:val="21"/>
                      <w:szCs w:val="21"/>
                    </w:rPr>
                    <w:t>运行时段（年运行时间）</w:t>
                  </w:r>
                </w:p>
              </w:tc>
              <w:tc>
                <w:tcPr>
                  <w:tcW w:w="364" w:type="pct"/>
                  <w:vMerge w:val="restart"/>
                  <w:vAlign w:val="center"/>
                </w:tcPr>
                <w:p w14:paraId="610837CE">
                  <w:pPr>
                    <w:adjustRightInd w:val="0"/>
                    <w:snapToGrid w:val="0"/>
                    <w:jc w:val="center"/>
                    <w:rPr>
                      <w:b/>
                      <w:sz w:val="21"/>
                      <w:szCs w:val="21"/>
                    </w:rPr>
                  </w:pPr>
                  <w:r>
                    <w:rPr>
                      <w:rFonts w:hint="eastAsia"/>
                      <w:b/>
                      <w:sz w:val="21"/>
                      <w:szCs w:val="21"/>
                    </w:rPr>
                    <w:t>建筑物插入损失/dB（A）</w:t>
                  </w:r>
                </w:p>
              </w:tc>
              <w:tc>
                <w:tcPr>
                  <w:tcW w:w="718" w:type="pct"/>
                  <w:gridSpan w:val="2"/>
                  <w:vAlign w:val="center"/>
                </w:tcPr>
                <w:p w14:paraId="7D43403E">
                  <w:pPr>
                    <w:adjustRightInd w:val="0"/>
                    <w:snapToGrid w:val="0"/>
                    <w:jc w:val="center"/>
                    <w:rPr>
                      <w:b/>
                      <w:sz w:val="21"/>
                      <w:szCs w:val="21"/>
                    </w:rPr>
                  </w:pPr>
                  <w:r>
                    <w:rPr>
                      <w:rFonts w:hint="eastAsia"/>
                      <w:b/>
                      <w:sz w:val="21"/>
                      <w:szCs w:val="21"/>
                    </w:rPr>
                    <w:t>建筑物外噪声</w:t>
                  </w:r>
                </w:p>
              </w:tc>
            </w:tr>
            <w:tr w14:paraId="2D10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475B864E">
                  <w:pPr>
                    <w:jc w:val="center"/>
                    <w:rPr>
                      <w:bCs/>
                      <w:sz w:val="21"/>
                      <w:szCs w:val="21"/>
                    </w:rPr>
                  </w:pPr>
                </w:p>
              </w:tc>
              <w:tc>
                <w:tcPr>
                  <w:tcW w:w="415" w:type="pct"/>
                  <w:vMerge w:val="continue"/>
                  <w:vAlign w:val="center"/>
                </w:tcPr>
                <w:p w14:paraId="597EA145">
                  <w:pPr>
                    <w:jc w:val="center"/>
                    <w:rPr>
                      <w:bCs/>
                      <w:sz w:val="21"/>
                      <w:szCs w:val="21"/>
                    </w:rPr>
                  </w:pPr>
                </w:p>
              </w:tc>
              <w:tc>
                <w:tcPr>
                  <w:tcW w:w="353" w:type="pct"/>
                  <w:vMerge w:val="continue"/>
                  <w:vAlign w:val="center"/>
                </w:tcPr>
                <w:p w14:paraId="52CB73B7">
                  <w:pPr>
                    <w:jc w:val="center"/>
                    <w:rPr>
                      <w:bCs/>
                      <w:sz w:val="21"/>
                      <w:szCs w:val="21"/>
                    </w:rPr>
                  </w:pPr>
                </w:p>
              </w:tc>
              <w:tc>
                <w:tcPr>
                  <w:tcW w:w="367" w:type="pct"/>
                  <w:vMerge w:val="continue"/>
                  <w:vAlign w:val="center"/>
                </w:tcPr>
                <w:p w14:paraId="72F12E1E">
                  <w:pPr>
                    <w:jc w:val="center"/>
                    <w:rPr>
                      <w:bCs/>
                      <w:sz w:val="21"/>
                      <w:szCs w:val="21"/>
                    </w:rPr>
                  </w:pPr>
                </w:p>
              </w:tc>
              <w:tc>
                <w:tcPr>
                  <w:tcW w:w="353" w:type="pct"/>
                  <w:vMerge w:val="continue"/>
                  <w:vAlign w:val="center"/>
                </w:tcPr>
                <w:p w14:paraId="775F77ED">
                  <w:pPr>
                    <w:jc w:val="center"/>
                    <w:rPr>
                      <w:bCs/>
                      <w:sz w:val="21"/>
                      <w:szCs w:val="21"/>
                    </w:rPr>
                  </w:pPr>
                </w:p>
              </w:tc>
              <w:tc>
                <w:tcPr>
                  <w:tcW w:w="353" w:type="pct"/>
                  <w:vAlign w:val="center"/>
                </w:tcPr>
                <w:p w14:paraId="10B30365">
                  <w:pPr>
                    <w:jc w:val="center"/>
                    <w:rPr>
                      <w:bCs/>
                      <w:sz w:val="21"/>
                      <w:szCs w:val="21"/>
                    </w:rPr>
                  </w:pPr>
                  <w:r>
                    <w:rPr>
                      <w:rFonts w:hint="eastAsia"/>
                      <w:bCs/>
                      <w:sz w:val="21"/>
                      <w:szCs w:val="21"/>
                    </w:rPr>
                    <w:t>X</w:t>
                  </w:r>
                </w:p>
              </w:tc>
              <w:tc>
                <w:tcPr>
                  <w:tcW w:w="353" w:type="pct"/>
                  <w:vAlign w:val="center"/>
                </w:tcPr>
                <w:p w14:paraId="11A3F2F4">
                  <w:pPr>
                    <w:jc w:val="center"/>
                    <w:rPr>
                      <w:bCs/>
                      <w:sz w:val="21"/>
                      <w:szCs w:val="21"/>
                    </w:rPr>
                  </w:pPr>
                  <w:r>
                    <w:rPr>
                      <w:rFonts w:hint="eastAsia"/>
                      <w:bCs/>
                      <w:sz w:val="21"/>
                      <w:szCs w:val="21"/>
                    </w:rPr>
                    <w:t>Y</w:t>
                  </w:r>
                </w:p>
              </w:tc>
              <w:tc>
                <w:tcPr>
                  <w:tcW w:w="353" w:type="pct"/>
                  <w:vAlign w:val="center"/>
                </w:tcPr>
                <w:p w14:paraId="6106FC40">
                  <w:pPr>
                    <w:jc w:val="center"/>
                    <w:rPr>
                      <w:bCs/>
                      <w:sz w:val="21"/>
                      <w:szCs w:val="21"/>
                    </w:rPr>
                  </w:pPr>
                  <w:r>
                    <w:rPr>
                      <w:rFonts w:hint="eastAsia"/>
                      <w:bCs/>
                      <w:sz w:val="21"/>
                      <w:szCs w:val="21"/>
                    </w:rPr>
                    <w:t>Z</w:t>
                  </w:r>
                </w:p>
              </w:tc>
              <w:tc>
                <w:tcPr>
                  <w:tcW w:w="353" w:type="pct"/>
                  <w:vMerge w:val="continue"/>
                  <w:vAlign w:val="center"/>
                </w:tcPr>
                <w:p w14:paraId="70510B56">
                  <w:pPr>
                    <w:jc w:val="center"/>
                    <w:rPr>
                      <w:bCs/>
                      <w:sz w:val="21"/>
                      <w:szCs w:val="21"/>
                    </w:rPr>
                  </w:pPr>
                </w:p>
              </w:tc>
              <w:tc>
                <w:tcPr>
                  <w:tcW w:w="364" w:type="pct"/>
                  <w:vMerge w:val="continue"/>
                  <w:vAlign w:val="center"/>
                </w:tcPr>
                <w:p w14:paraId="498BA932">
                  <w:pPr>
                    <w:jc w:val="center"/>
                    <w:rPr>
                      <w:bCs/>
                      <w:sz w:val="21"/>
                      <w:szCs w:val="21"/>
                    </w:rPr>
                  </w:pPr>
                </w:p>
              </w:tc>
              <w:tc>
                <w:tcPr>
                  <w:tcW w:w="353" w:type="pct"/>
                  <w:vMerge w:val="continue"/>
                  <w:vAlign w:val="center"/>
                </w:tcPr>
                <w:p w14:paraId="6813B2DF">
                  <w:pPr>
                    <w:jc w:val="center"/>
                    <w:rPr>
                      <w:bCs/>
                      <w:sz w:val="21"/>
                      <w:szCs w:val="21"/>
                    </w:rPr>
                  </w:pPr>
                </w:p>
              </w:tc>
              <w:tc>
                <w:tcPr>
                  <w:tcW w:w="364" w:type="pct"/>
                  <w:vMerge w:val="continue"/>
                  <w:vAlign w:val="center"/>
                </w:tcPr>
                <w:p w14:paraId="1F0C9C4C">
                  <w:pPr>
                    <w:jc w:val="center"/>
                    <w:rPr>
                      <w:b/>
                      <w:sz w:val="21"/>
                      <w:szCs w:val="21"/>
                    </w:rPr>
                  </w:pPr>
                </w:p>
              </w:tc>
              <w:tc>
                <w:tcPr>
                  <w:tcW w:w="364" w:type="pct"/>
                  <w:vAlign w:val="center"/>
                </w:tcPr>
                <w:p w14:paraId="5D195B01">
                  <w:pPr>
                    <w:jc w:val="center"/>
                    <w:rPr>
                      <w:b/>
                      <w:sz w:val="21"/>
                      <w:szCs w:val="21"/>
                    </w:rPr>
                  </w:pPr>
                  <w:r>
                    <w:rPr>
                      <w:rFonts w:hint="eastAsia"/>
                      <w:b/>
                      <w:sz w:val="21"/>
                      <w:szCs w:val="21"/>
                    </w:rPr>
                    <w:t>声压级/dB（A）</w:t>
                  </w:r>
                </w:p>
              </w:tc>
              <w:tc>
                <w:tcPr>
                  <w:tcW w:w="353" w:type="pct"/>
                  <w:vAlign w:val="center"/>
                </w:tcPr>
                <w:p w14:paraId="273EAE67">
                  <w:pPr>
                    <w:jc w:val="center"/>
                    <w:rPr>
                      <w:b/>
                      <w:sz w:val="21"/>
                      <w:szCs w:val="21"/>
                    </w:rPr>
                  </w:pPr>
                  <w:r>
                    <w:rPr>
                      <w:rFonts w:hint="eastAsia"/>
                      <w:b/>
                      <w:sz w:val="21"/>
                      <w:szCs w:val="21"/>
                    </w:rPr>
                    <w:t>建筑物外距离（m）</w:t>
                  </w:r>
                </w:p>
              </w:tc>
            </w:tr>
            <w:tr w14:paraId="337B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restart"/>
                  <w:tcMar>
                    <w:top w:w="12" w:type="dxa"/>
                    <w:left w:w="12" w:type="dxa"/>
                    <w:bottom w:w="0" w:type="dxa"/>
                    <w:right w:w="12" w:type="dxa"/>
                  </w:tcMar>
                  <w:vAlign w:val="center"/>
                </w:tcPr>
                <w:p w14:paraId="5AE78613">
                  <w:pPr>
                    <w:jc w:val="center"/>
                    <w:rPr>
                      <w:rFonts w:hint="default" w:eastAsia="宋体"/>
                      <w:kern w:val="0"/>
                      <w:sz w:val="21"/>
                      <w:szCs w:val="21"/>
                      <w:lang w:val="en-US" w:eastAsia="zh-CN"/>
                    </w:rPr>
                  </w:pPr>
                  <w:r>
                    <w:rPr>
                      <w:rFonts w:hint="eastAsia" w:eastAsia="宋体"/>
                      <w:kern w:val="0"/>
                      <w:sz w:val="21"/>
                      <w:szCs w:val="21"/>
                      <w:lang w:val="en-US" w:eastAsia="zh-CN"/>
                    </w:rPr>
                    <w:t>生产车间</w:t>
                  </w:r>
                </w:p>
              </w:tc>
              <w:tc>
                <w:tcPr>
                  <w:tcW w:w="415" w:type="pct"/>
                  <w:shd w:val="clear" w:color="auto" w:fill="auto"/>
                  <w:vAlign w:val="center"/>
                </w:tcPr>
                <w:p w14:paraId="0C047B82">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激光切板机</w:t>
                  </w:r>
                </w:p>
              </w:tc>
              <w:tc>
                <w:tcPr>
                  <w:tcW w:w="353" w:type="pct"/>
                  <w:vAlign w:val="center"/>
                </w:tcPr>
                <w:p w14:paraId="34D578B3">
                  <w:pPr>
                    <w:jc w:val="center"/>
                    <w:rPr>
                      <w:rFonts w:hint="default" w:eastAsia="宋体"/>
                      <w:bCs/>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367" w:type="pct"/>
                  <w:vAlign w:val="center"/>
                </w:tcPr>
                <w:p w14:paraId="28E42283">
                  <w:pPr>
                    <w:widowControl/>
                    <w:jc w:val="center"/>
                    <w:textAlignment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76</w:t>
                  </w:r>
                </w:p>
              </w:tc>
              <w:tc>
                <w:tcPr>
                  <w:tcW w:w="353" w:type="pct"/>
                  <w:vMerge w:val="restart"/>
                  <w:vAlign w:val="center"/>
                </w:tcPr>
                <w:p w14:paraId="550EEF8F">
                  <w:pPr>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安装减振基座、厂房隔声</w:t>
                  </w:r>
                </w:p>
              </w:tc>
              <w:tc>
                <w:tcPr>
                  <w:tcW w:w="353" w:type="pct"/>
                  <w:shd w:val="clear" w:color="auto" w:fill="auto"/>
                  <w:vAlign w:val="center"/>
                </w:tcPr>
                <w:p w14:paraId="33BF24E8">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-18</w:t>
                  </w:r>
                </w:p>
              </w:tc>
              <w:tc>
                <w:tcPr>
                  <w:tcW w:w="353" w:type="pct"/>
                  <w:shd w:val="clear" w:color="auto" w:fill="auto"/>
                  <w:vAlign w:val="center"/>
                </w:tcPr>
                <w:p w14:paraId="1BD60B9B">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353" w:type="pct"/>
                  <w:shd w:val="clear" w:color="auto" w:fill="auto"/>
                  <w:vAlign w:val="center"/>
                </w:tcPr>
                <w:p w14:paraId="601BDDC7">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353" w:type="pct"/>
                  <w:vAlign w:val="center"/>
                </w:tcPr>
                <w:p w14:paraId="564A92B2">
                  <w:pPr>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1.5</w:t>
                  </w:r>
                </w:p>
              </w:tc>
              <w:tc>
                <w:tcPr>
                  <w:tcW w:w="364" w:type="pct"/>
                  <w:vAlign w:val="center"/>
                </w:tcPr>
                <w:p w14:paraId="74B1544A">
                  <w:pPr>
                    <w:widowControl/>
                    <w:jc w:val="center"/>
                    <w:textAlignment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73</w:t>
                  </w:r>
                </w:p>
              </w:tc>
              <w:tc>
                <w:tcPr>
                  <w:tcW w:w="353" w:type="pct"/>
                  <w:vAlign w:val="center"/>
                </w:tcPr>
                <w:p w14:paraId="4F1E3F4E">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105C7D98">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270758A8">
                  <w:pPr>
                    <w:widowControl/>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53</w:t>
                  </w:r>
                </w:p>
              </w:tc>
              <w:tc>
                <w:tcPr>
                  <w:tcW w:w="353" w:type="pct"/>
                  <w:vAlign w:val="center"/>
                </w:tcPr>
                <w:p w14:paraId="0BF66B75">
                  <w:pPr>
                    <w:jc w:val="center"/>
                    <w:rPr>
                      <w:bCs/>
                      <w:sz w:val="21"/>
                      <w:szCs w:val="21"/>
                    </w:rPr>
                  </w:pPr>
                  <w:r>
                    <w:rPr>
                      <w:rFonts w:hint="eastAsia"/>
                      <w:bCs/>
                      <w:sz w:val="21"/>
                      <w:szCs w:val="21"/>
                    </w:rPr>
                    <w:t>1</w:t>
                  </w:r>
                </w:p>
              </w:tc>
            </w:tr>
            <w:tr w14:paraId="6BB7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59240DBE">
                  <w:pPr>
                    <w:jc w:val="center"/>
                    <w:rPr>
                      <w:kern w:val="0"/>
                      <w:sz w:val="21"/>
                      <w:szCs w:val="21"/>
                    </w:rPr>
                  </w:pPr>
                </w:p>
              </w:tc>
              <w:tc>
                <w:tcPr>
                  <w:tcW w:w="415" w:type="pct"/>
                  <w:shd w:val="clear" w:color="auto" w:fill="auto"/>
                  <w:vAlign w:val="center"/>
                </w:tcPr>
                <w:p w14:paraId="025EF9BB">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手动切管机</w:t>
                  </w:r>
                </w:p>
              </w:tc>
              <w:tc>
                <w:tcPr>
                  <w:tcW w:w="353" w:type="pct"/>
                  <w:vAlign w:val="center"/>
                </w:tcPr>
                <w:p w14:paraId="591E4909">
                  <w:pPr>
                    <w:jc w:val="center"/>
                    <w:rPr>
                      <w:rFonts w:hint="default"/>
                      <w:bCs/>
                      <w:sz w:val="21"/>
                      <w:szCs w:val="21"/>
                      <w:lang w:val="en-US" w:eastAsia="zh-CN"/>
                    </w:rPr>
                  </w:pPr>
                  <w:r>
                    <w:rPr>
                      <w:rFonts w:hint="eastAsia" w:ascii="Times New Roman" w:hAnsi="Times New Roman" w:eastAsia="宋体" w:cs="Times New Roman"/>
                      <w:b w:val="0"/>
                      <w:bCs/>
                      <w:color w:val="auto"/>
                      <w:sz w:val="21"/>
                      <w:szCs w:val="21"/>
                      <w:lang w:val="en-US" w:eastAsia="zh-CN"/>
                    </w:rPr>
                    <w:t>4</w:t>
                  </w:r>
                </w:p>
              </w:tc>
              <w:tc>
                <w:tcPr>
                  <w:tcW w:w="367" w:type="pct"/>
                  <w:vAlign w:val="center"/>
                </w:tcPr>
                <w:p w14:paraId="604A8183">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68</w:t>
                  </w:r>
                </w:p>
              </w:tc>
              <w:tc>
                <w:tcPr>
                  <w:tcW w:w="353" w:type="pct"/>
                  <w:vMerge w:val="continue"/>
                  <w:vAlign w:val="center"/>
                </w:tcPr>
                <w:p w14:paraId="227EFA0C">
                  <w:pPr>
                    <w:jc w:val="center"/>
                    <w:rPr>
                      <w:bCs/>
                      <w:color w:val="000000" w:themeColor="text1"/>
                      <w:sz w:val="21"/>
                      <w:szCs w:val="21"/>
                      <w14:textFill>
                        <w14:solidFill>
                          <w14:schemeClr w14:val="tx1"/>
                        </w14:solidFill>
                      </w14:textFill>
                    </w:rPr>
                  </w:pPr>
                </w:p>
              </w:tc>
              <w:tc>
                <w:tcPr>
                  <w:tcW w:w="572" w:type="dxa"/>
                  <w:shd w:val="clear" w:color="auto" w:fill="auto"/>
                  <w:vAlign w:val="center"/>
                </w:tcPr>
                <w:p w14:paraId="296A5B2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-19</w:t>
                  </w:r>
                </w:p>
              </w:tc>
              <w:tc>
                <w:tcPr>
                  <w:tcW w:w="571" w:type="dxa"/>
                  <w:shd w:val="clear" w:color="auto" w:fill="auto"/>
                  <w:vAlign w:val="center"/>
                </w:tcPr>
                <w:p w14:paraId="0DE503D7">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-11</w:t>
                  </w:r>
                </w:p>
              </w:tc>
              <w:tc>
                <w:tcPr>
                  <w:tcW w:w="572" w:type="dxa"/>
                  <w:shd w:val="clear" w:color="auto" w:fill="auto"/>
                  <w:vAlign w:val="center"/>
                </w:tcPr>
                <w:p w14:paraId="7E30F4E4">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571" w:type="dxa"/>
                  <w:vAlign w:val="center"/>
                </w:tcPr>
                <w:p w14:paraId="2903798D">
                  <w:pPr>
                    <w:jc w:val="center"/>
                    <w:rPr>
                      <w:rFonts w:hint="default"/>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1.5</w:t>
                  </w:r>
                </w:p>
              </w:tc>
              <w:tc>
                <w:tcPr>
                  <w:tcW w:w="364" w:type="pct"/>
                  <w:vAlign w:val="center"/>
                </w:tcPr>
                <w:p w14:paraId="5BDA0C87">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65</w:t>
                  </w:r>
                </w:p>
              </w:tc>
              <w:tc>
                <w:tcPr>
                  <w:tcW w:w="353" w:type="pct"/>
                  <w:vAlign w:val="center"/>
                </w:tcPr>
                <w:p w14:paraId="0C39530E">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5BC7CC53">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4392FA32">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45</w:t>
                  </w:r>
                </w:p>
              </w:tc>
              <w:tc>
                <w:tcPr>
                  <w:tcW w:w="353" w:type="pct"/>
                  <w:vAlign w:val="center"/>
                </w:tcPr>
                <w:p w14:paraId="1B0E71B3">
                  <w:pPr>
                    <w:jc w:val="center"/>
                    <w:rPr>
                      <w:rFonts w:hint="eastAsia" w:eastAsia="宋体"/>
                      <w:bCs/>
                      <w:sz w:val="21"/>
                      <w:szCs w:val="21"/>
                      <w:lang w:val="en-US" w:eastAsia="zh-CN"/>
                    </w:rPr>
                  </w:pPr>
                  <w:r>
                    <w:rPr>
                      <w:rFonts w:hint="eastAsia"/>
                      <w:bCs/>
                      <w:sz w:val="21"/>
                      <w:szCs w:val="21"/>
                      <w:lang w:val="en-US" w:eastAsia="zh-CN"/>
                    </w:rPr>
                    <w:t>1</w:t>
                  </w:r>
                </w:p>
              </w:tc>
            </w:tr>
            <w:tr w14:paraId="3BFF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416D6B8E">
                  <w:pPr>
                    <w:jc w:val="center"/>
                    <w:rPr>
                      <w:kern w:val="0"/>
                      <w:sz w:val="21"/>
                      <w:szCs w:val="21"/>
                    </w:rPr>
                  </w:pPr>
                </w:p>
              </w:tc>
              <w:tc>
                <w:tcPr>
                  <w:tcW w:w="415" w:type="pct"/>
                  <w:shd w:val="clear" w:color="auto" w:fill="auto"/>
                  <w:vAlign w:val="center"/>
                </w:tcPr>
                <w:p w14:paraId="1CF23A9E">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自动切管机</w:t>
                  </w:r>
                </w:p>
              </w:tc>
              <w:tc>
                <w:tcPr>
                  <w:tcW w:w="353" w:type="pct"/>
                  <w:shd w:val="clear" w:color="auto" w:fill="auto"/>
                  <w:vAlign w:val="center"/>
                </w:tcPr>
                <w:p w14:paraId="7C6B524A">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367" w:type="pct"/>
                  <w:vAlign w:val="center"/>
                </w:tcPr>
                <w:p w14:paraId="2A9EC6A2">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68</w:t>
                  </w:r>
                </w:p>
              </w:tc>
              <w:tc>
                <w:tcPr>
                  <w:tcW w:w="353" w:type="pct"/>
                  <w:vMerge w:val="continue"/>
                  <w:vAlign w:val="center"/>
                </w:tcPr>
                <w:p w14:paraId="78801959">
                  <w:pPr>
                    <w:jc w:val="center"/>
                    <w:rPr>
                      <w:bCs/>
                      <w:color w:val="000000" w:themeColor="text1"/>
                      <w:sz w:val="21"/>
                      <w:szCs w:val="21"/>
                      <w14:textFill>
                        <w14:solidFill>
                          <w14:schemeClr w14:val="tx1"/>
                        </w14:solidFill>
                      </w14:textFill>
                    </w:rPr>
                  </w:pPr>
                </w:p>
              </w:tc>
              <w:tc>
                <w:tcPr>
                  <w:tcW w:w="572" w:type="dxa"/>
                  <w:shd w:val="clear" w:color="auto" w:fill="auto"/>
                  <w:vAlign w:val="center"/>
                </w:tcPr>
                <w:p w14:paraId="3E3132A3">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w:t>
                  </w:r>
                </w:p>
              </w:tc>
              <w:tc>
                <w:tcPr>
                  <w:tcW w:w="571" w:type="dxa"/>
                  <w:shd w:val="clear" w:color="auto" w:fill="auto"/>
                  <w:vAlign w:val="center"/>
                </w:tcPr>
                <w:p w14:paraId="1EBE8017">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572" w:type="dxa"/>
                  <w:shd w:val="clear" w:color="auto" w:fill="auto"/>
                  <w:vAlign w:val="center"/>
                </w:tcPr>
                <w:p w14:paraId="25D53F83">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571" w:type="dxa"/>
                  <w:vAlign w:val="center"/>
                </w:tcPr>
                <w:p w14:paraId="06D2CE38">
                  <w:pPr>
                    <w:jc w:val="center"/>
                    <w:rPr>
                      <w:rFonts w:hint="default"/>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1.5</w:t>
                  </w:r>
                </w:p>
              </w:tc>
              <w:tc>
                <w:tcPr>
                  <w:tcW w:w="364" w:type="pct"/>
                  <w:vAlign w:val="center"/>
                </w:tcPr>
                <w:p w14:paraId="1D2F9D81">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65</w:t>
                  </w:r>
                </w:p>
              </w:tc>
              <w:tc>
                <w:tcPr>
                  <w:tcW w:w="353" w:type="pct"/>
                  <w:vAlign w:val="center"/>
                </w:tcPr>
                <w:p w14:paraId="4D3B7FC1">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6F91139E">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6C5436B2">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45</w:t>
                  </w:r>
                </w:p>
              </w:tc>
              <w:tc>
                <w:tcPr>
                  <w:tcW w:w="353" w:type="pct"/>
                  <w:vAlign w:val="center"/>
                </w:tcPr>
                <w:p w14:paraId="6A77AA87">
                  <w:pPr>
                    <w:jc w:val="center"/>
                    <w:rPr>
                      <w:rFonts w:hint="eastAsia" w:eastAsia="宋体"/>
                      <w:bCs/>
                      <w:sz w:val="21"/>
                      <w:szCs w:val="21"/>
                      <w:lang w:val="en-US" w:eastAsia="zh-CN"/>
                    </w:rPr>
                  </w:pPr>
                  <w:r>
                    <w:rPr>
                      <w:rFonts w:hint="eastAsia"/>
                      <w:bCs/>
                      <w:sz w:val="21"/>
                      <w:szCs w:val="21"/>
                      <w:lang w:val="en-US" w:eastAsia="zh-CN"/>
                    </w:rPr>
                    <w:t>1</w:t>
                  </w:r>
                </w:p>
              </w:tc>
            </w:tr>
            <w:tr w14:paraId="3687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2FBE8E74">
                  <w:pPr>
                    <w:jc w:val="center"/>
                    <w:rPr>
                      <w:kern w:val="0"/>
                      <w:sz w:val="21"/>
                      <w:szCs w:val="21"/>
                    </w:rPr>
                  </w:pPr>
                </w:p>
              </w:tc>
              <w:tc>
                <w:tcPr>
                  <w:tcW w:w="415" w:type="pct"/>
                  <w:shd w:val="clear" w:color="auto" w:fill="auto"/>
                  <w:vAlign w:val="center"/>
                </w:tcPr>
                <w:p w14:paraId="6C3826E2">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激光切板机</w:t>
                  </w:r>
                </w:p>
              </w:tc>
              <w:tc>
                <w:tcPr>
                  <w:tcW w:w="353" w:type="pct"/>
                  <w:shd w:val="clear" w:color="auto" w:fill="auto"/>
                  <w:vAlign w:val="center"/>
                </w:tcPr>
                <w:p w14:paraId="4F7EF296">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367" w:type="pct"/>
                  <w:vAlign w:val="center"/>
                </w:tcPr>
                <w:p w14:paraId="1580FCA7">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76</w:t>
                  </w:r>
                </w:p>
              </w:tc>
              <w:tc>
                <w:tcPr>
                  <w:tcW w:w="353" w:type="pct"/>
                  <w:vMerge w:val="continue"/>
                  <w:vAlign w:val="center"/>
                </w:tcPr>
                <w:p w14:paraId="46633696">
                  <w:pPr>
                    <w:jc w:val="center"/>
                    <w:rPr>
                      <w:bCs/>
                      <w:color w:val="000000" w:themeColor="text1"/>
                      <w:sz w:val="21"/>
                      <w:szCs w:val="21"/>
                      <w14:textFill>
                        <w14:solidFill>
                          <w14:schemeClr w14:val="tx1"/>
                        </w14:solidFill>
                      </w14:textFill>
                    </w:rPr>
                  </w:pPr>
                </w:p>
              </w:tc>
              <w:tc>
                <w:tcPr>
                  <w:tcW w:w="572" w:type="dxa"/>
                  <w:shd w:val="clear" w:color="auto" w:fill="auto"/>
                  <w:vAlign w:val="center"/>
                </w:tcPr>
                <w:p w14:paraId="4CA48396">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-17</w:t>
                  </w:r>
                </w:p>
              </w:tc>
              <w:tc>
                <w:tcPr>
                  <w:tcW w:w="571" w:type="dxa"/>
                  <w:shd w:val="clear" w:color="auto" w:fill="auto"/>
                  <w:vAlign w:val="center"/>
                </w:tcPr>
                <w:p w14:paraId="43FC6C9D">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-9</w:t>
                  </w:r>
                </w:p>
              </w:tc>
              <w:tc>
                <w:tcPr>
                  <w:tcW w:w="572" w:type="dxa"/>
                  <w:shd w:val="clear" w:color="auto" w:fill="auto"/>
                  <w:vAlign w:val="center"/>
                </w:tcPr>
                <w:p w14:paraId="71B1C6DC">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571" w:type="dxa"/>
                  <w:vAlign w:val="center"/>
                </w:tcPr>
                <w:p w14:paraId="22AB3CF5">
                  <w:pPr>
                    <w:jc w:val="center"/>
                    <w:rPr>
                      <w:rFonts w:hint="default"/>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1.5</w:t>
                  </w:r>
                </w:p>
              </w:tc>
              <w:tc>
                <w:tcPr>
                  <w:tcW w:w="364" w:type="pct"/>
                  <w:vAlign w:val="center"/>
                </w:tcPr>
                <w:p w14:paraId="321FC232">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73</w:t>
                  </w:r>
                </w:p>
              </w:tc>
              <w:tc>
                <w:tcPr>
                  <w:tcW w:w="353" w:type="pct"/>
                  <w:vAlign w:val="center"/>
                </w:tcPr>
                <w:p w14:paraId="7CA8D175">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53AABF4D">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5EFB190B">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53</w:t>
                  </w:r>
                </w:p>
              </w:tc>
              <w:tc>
                <w:tcPr>
                  <w:tcW w:w="353" w:type="pct"/>
                  <w:vAlign w:val="center"/>
                </w:tcPr>
                <w:p w14:paraId="7B873F49">
                  <w:pPr>
                    <w:jc w:val="center"/>
                    <w:rPr>
                      <w:rFonts w:hint="default"/>
                      <w:bCs/>
                      <w:sz w:val="21"/>
                      <w:szCs w:val="21"/>
                      <w:lang w:val="en-US" w:eastAsia="zh-CN"/>
                    </w:rPr>
                  </w:pPr>
                  <w:r>
                    <w:rPr>
                      <w:rFonts w:hint="eastAsia"/>
                      <w:bCs/>
                      <w:sz w:val="21"/>
                      <w:szCs w:val="21"/>
                      <w:lang w:val="en-US" w:eastAsia="zh-CN"/>
                    </w:rPr>
                    <w:t>1</w:t>
                  </w:r>
                </w:p>
              </w:tc>
            </w:tr>
            <w:tr w14:paraId="49E7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0A232A3B">
                  <w:pPr>
                    <w:jc w:val="center"/>
                    <w:rPr>
                      <w:kern w:val="0"/>
                      <w:sz w:val="21"/>
                      <w:szCs w:val="21"/>
                    </w:rPr>
                  </w:pPr>
                </w:p>
              </w:tc>
              <w:tc>
                <w:tcPr>
                  <w:tcW w:w="415" w:type="pct"/>
                  <w:shd w:val="clear" w:color="auto" w:fill="auto"/>
                  <w:vAlign w:val="center"/>
                </w:tcPr>
                <w:p w14:paraId="4DA6C6A7">
                  <w:pPr>
                    <w:ind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冲床</w:t>
                  </w:r>
                </w:p>
              </w:tc>
              <w:tc>
                <w:tcPr>
                  <w:tcW w:w="353" w:type="pct"/>
                  <w:shd w:val="clear" w:color="auto" w:fill="auto"/>
                  <w:vAlign w:val="center"/>
                </w:tcPr>
                <w:p w14:paraId="5672F3E7">
                  <w:pPr>
                    <w:widowControl/>
                    <w:jc w:val="center"/>
                    <w:textAlignment w:val="center"/>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30</w:t>
                  </w:r>
                </w:p>
              </w:tc>
              <w:tc>
                <w:tcPr>
                  <w:tcW w:w="367" w:type="pct"/>
                  <w:vAlign w:val="center"/>
                </w:tcPr>
                <w:p w14:paraId="7EDD3029">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80</w:t>
                  </w:r>
                </w:p>
              </w:tc>
              <w:tc>
                <w:tcPr>
                  <w:tcW w:w="353" w:type="pct"/>
                  <w:vMerge w:val="continue"/>
                  <w:vAlign w:val="center"/>
                </w:tcPr>
                <w:p w14:paraId="3B4A09BE">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0FCAB967">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-5</w:t>
                  </w:r>
                </w:p>
              </w:tc>
              <w:tc>
                <w:tcPr>
                  <w:tcW w:w="353" w:type="pct"/>
                  <w:shd w:val="clear" w:color="auto" w:fill="auto"/>
                  <w:vAlign w:val="center"/>
                </w:tcPr>
                <w:p w14:paraId="03972631">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8</w:t>
                  </w:r>
                </w:p>
              </w:tc>
              <w:tc>
                <w:tcPr>
                  <w:tcW w:w="353" w:type="pct"/>
                  <w:shd w:val="clear" w:color="auto" w:fill="auto"/>
                  <w:vAlign w:val="center"/>
                </w:tcPr>
                <w:p w14:paraId="2AFA8694">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p>
              </w:tc>
              <w:tc>
                <w:tcPr>
                  <w:tcW w:w="353" w:type="pct"/>
                  <w:vAlign w:val="center"/>
                </w:tcPr>
                <w:p w14:paraId="06991E3B">
                  <w:pPr>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1.3</w:t>
                  </w:r>
                </w:p>
              </w:tc>
              <w:tc>
                <w:tcPr>
                  <w:tcW w:w="364" w:type="pct"/>
                  <w:vAlign w:val="center"/>
                </w:tcPr>
                <w:p w14:paraId="6A0F447C">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77</w:t>
                  </w:r>
                </w:p>
              </w:tc>
              <w:tc>
                <w:tcPr>
                  <w:tcW w:w="353" w:type="pct"/>
                  <w:vAlign w:val="center"/>
                </w:tcPr>
                <w:p w14:paraId="22CC2AA7">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30FC8595">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03D5C4B0">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57</w:t>
                  </w:r>
                </w:p>
              </w:tc>
              <w:tc>
                <w:tcPr>
                  <w:tcW w:w="353" w:type="pct"/>
                  <w:vAlign w:val="center"/>
                </w:tcPr>
                <w:p w14:paraId="016096EE">
                  <w:pPr>
                    <w:jc w:val="center"/>
                    <w:rPr>
                      <w:rFonts w:hint="eastAsia"/>
                      <w:bCs/>
                      <w:sz w:val="21"/>
                      <w:szCs w:val="21"/>
                      <w:lang w:val="en-US" w:eastAsia="zh-CN"/>
                    </w:rPr>
                  </w:pPr>
                  <w:r>
                    <w:rPr>
                      <w:rFonts w:hint="eastAsia"/>
                      <w:bCs/>
                      <w:sz w:val="21"/>
                      <w:szCs w:val="21"/>
                      <w:lang w:val="en-US" w:eastAsia="zh-CN"/>
                    </w:rPr>
                    <w:t>1</w:t>
                  </w:r>
                </w:p>
              </w:tc>
            </w:tr>
            <w:tr w14:paraId="13A1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64C50E2A">
                  <w:pPr>
                    <w:jc w:val="center"/>
                    <w:rPr>
                      <w:kern w:val="0"/>
                      <w:sz w:val="21"/>
                      <w:szCs w:val="21"/>
                    </w:rPr>
                  </w:pPr>
                </w:p>
              </w:tc>
              <w:tc>
                <w:tcPr>
                  <w:tcW w:w="415" w:type="pct"/>
                  <w:shd w:val="clear" w:color="auto" w:fill="auto"/>
                  <w:vAlign w:val="center"/>
                </w:tcPr>
                <w:p w14:paraId="3F8F8637">
                  <w:pPr>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液压机</w:t>
                  </w:r>
                </w:p>
              </w:tc>
              <w:tc>
                <w:tcPr>
                  <w:tcW w:w="353" w:type="pct"/>
                  <w:shd w:val="clear" w:color="auto" w:fill="auto"/>
                  <w:vAlign w:val="center"/>
                </w:tcPr>
                <w:p w14:paraId="1DF5C632">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w:t>
                  </w:r>
                </w:p>
              </w:tc>
              <w:tc>
                <w:tcPr>
                  <w:tcW w:w="367" w:type="pct"/>
                  <w:vAlign w:val="center"/>
                </w:tcPr>
                <w:p w14:paraId="64DA7CC8">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80</w:t>
                  </w:r>
                </w:p>
              </w:tc>
              <w:tc>
                <w:tcPr>
                  <w:tcW w:w="353" w:type="pct"/>
                  <w:vMerge w:val="continue"/>
                  <w:vAlign w:val="center"/>
                </w:tcPr>
                <w:p w14:paraId="3A1A0580">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793F69C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353" w:type="pct"/>
                  <w:shd w:val="clear" w:color="auto" w:fill="auto"/>
                  <w:vAlign w:val="center"/>
                </w:tcPr>
                <w:p w14:paraId="0FAA9966">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6</w:t>
                  </w:r>
                </w:p>
              </w:tc>
              <w:tc>
                <w:tcPr>
                  <w:tcW w:w="353" w:type="pct"/>
                  <w:shd w:val="clear" w:color="auto" w:fill="auto"/>
                  <w:vAlign w:val="center"/>
                </w:tcPr>
                <w:p w14:paraId="2D3BC61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w:t>
                  </w:r>
                </w:p>
              </w:tc>
              <w:tc>
                <w:tcPr>
                  <w:tcW w:w="353" w:type="pct"/>
                  <w:vAlign w:val="center"/>
                </w:tcPr>
                <w:p w14:paraId="4A6F44A9">
                  <w:pPr>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1.3</w:t>
                  </w:r>
                </w:p>
              </w:tc>
              <w:tc>
                <w:tcPr>
                  <w:tcW w:w="364" w:type="pct"/>
                  <w:vAlign w:val="center"/>
                </w:tcPr>
                <w:p w14:paraId="33C2D94D">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77</w:t>
                  </w:r>
                </w:p>
              </w:tc>
              <w:tc>
                <w:tcPr>
                  <w:tcW w:w="353" w:type="pct"/>
                  <w:vAlign w:val="center"/>
                </w:tcPr>
                <w:p w14:paraId="7B5B69A4">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54066C9F">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75E37081">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57</w:t>
                  </w:r>
                </w:p>
              </w:tc>
              <w:tc>
                <w:tcPr>
                  <w:tcW w:w="353" w:type="pct"/>
                  <w:vAlign w:val="center"/>
                </w:tcPr>
                <w:p w14:paraId="7399E05C">
                  <w:pPr>
                    <w:jc w:val="center"/>
                    <w:rPr>
                      <w:rFonts w:hint="eastAsia"/>
                      <w:bCs/>
                      <w:sz w:val="21"/>
                      <w:szCs w:val="21"/>
                      <w:lang w:val="en-US" w:eastAsia="zh-CN"/>
                    </w:rPr>
                  </w:pPr>
                  <w:r>
                    <w:rPr>
                      <w:rFonts w:hint="eastAsia"/>
                      <w:bCs/>
                      <w:sz w:val="21"/>
                      <w:szCs w:val="21"/>
                      <w:lang w:val="en-US" w:eastAsia="zh-CN"/>
                    </w:rPr>
                    <w:t>1</w:t>
                  </w:r>
                </w:p>
              </w:tc>
            </w:tr>
            <w:tr w14:paraId="1EA0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2B5D9976">
                  <w:pPr>
                    <w:jc w:val="center"/>
                    <w:rPr>
                      <w:kern w:val="0"/>
                      <w:sz w:val="21"/>
                      <w:szCs w:val="21"/>
                    </w:rPr>
                  </w:pPr>
                </w:p>
              </w:tc>
              <w:tc>
                <w:tcPr>
                  <w:tcW w:w="415" w:type="pct"/>
                  <w:shd w:val="clear" w:color="auto" w:fill="auto"/>
                  <w:vAlign w:val="center"/>
                </w:tcPr>
                <w:p w14:paraId="798C42D0">
                  <w:pPr>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b w:val="0"/>
                      <w:bCs/>
                      <w:color w:val="auto"/>
                      <w:sz w:val="21"/>
                      <w:szCs w:val="21"/>
                      <w:lang w:val="en-US" w:eastAsia="zh-CN"/>
                    </w:rPr>
                    <w:t>折弯机</w:t>
                  </w:r>
                </w:p>
              </w:tc>
              <w:tc>
                <w:tcPr>
                  <w:tcW w:w="353" w:type="pct"/>
                  <w:shd w:val="clear" w:color="auto" w:fill="auto"/>
                  <w:vAlign w:val="center"/>
                </w:tcPr>
                <w:p w14:paraId="0E2A0C20">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6</w:t>
                  </w:r>
                </w:p>
              </w:tc>
              <w:tc>
                <w:tcPr>
                  <w:tcW w:w="367" w:type="pct"/>
                  <w:vAlign w:val="center"/>
                </w:tcPr>
                <w:p w14:paraId="16DEC077">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74</w:t>
                  </w:r>
                </w:p>
              </w:tc>
              <w:tc>
                <w:tcPr>
                  <w:tcW w:w="353" w:type="pct"/>
                  <w:vMerge w:val="continue"/>
                  <w:vAlign w:val="center"/>
                </w:tcPr>
                <w:p w14:paraId="049DDC4A">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4C0FC68D">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w:t>
                  </w:r>
                </w:p>
              </w:tc>
              <w:tc>
                <w:tcPr>
                  <w:tcW w:w="353" w:type="pct"/>
                  <w:shd w:val="clear" w:color="auto" w:fill="auto"/>
                  <w:vAlign w:val="center"/>
                </w:tcPr>
                <w:p w14:paraId="4E1A5E46">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4</w:t>
                  </w:r>
                </w:p>
              </w:tc>
              <w:tc>
                <w:tcPr>
                  <w:tcW w:w="353" w:type="pct"/>
                  <w:shd w:val="clear" w:color="auto" w:fill="auto"/>
                  <w:vAlign w:val="center"/>
                </w:tcPr>
                <w:p w14:paraId="2CF786B4">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353" w:type="pct"/>
                  <w:vAlign w:val="center"/>
                </w:tcPr>
                <w:p w14:paraId="79B043AE">
                  <w:pPr>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1.5</w:t>
                  </w:r>
                </w:p>
              </w:tc>
              <w:tc>
                <w:tcPr>
                  <w:tcW w:w="364" w:type="pct"/>
                  <w:vAlign w:val="center"/>
                </w:tcPr>
                <w:p w14:paraId="638A558A">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71</w:t>
                  </w:r>
                </w:p>
              </w:tc>
              <w:tc>
                <w:tcPr>
                  <w:tcW w:w="353" w:type="pct"/>
                  <w:vAlign w:val="center"/>
                </w:tcPr>
                <w:p w14:paraId="0D5CC0BB">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3AB83A33">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2719752D">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51</w:t>
                  </w:r>
                </w:p>
              </w:tc>
              <w:tc>
                <w:tcPr>
                  <w:tcW w:w="353" w:type="pct"/>
                  <w:vAlign w:val="center"/>
                </w:tcPr>
                <w:p w14:paraId="726EB3F5">
                  <w:pPr>
                    <w:jc w:val="center"/>
                    <w:rPr>
                      <w:rFonts w:hint="eastAsia"/>
                      <w:bCs/>
                      <w:sz w:val="21"/>
                      <w:szCs w:val="21"/>
                      <w:lang w:val="en-US" w:eastAsia="zh-CN"/>
                    </w:rPr>
                  </w:pPr>
                  <w:r>
                    <w:rPr>
                      <w:rFonts w:hint="eastAsia"/>
                      <w:bCs/>
                      <w:sz w:val="21"/>
                      <w:szCs w:val="21"/>
                      <w:lang w:val="en-US" w:eastAsia="zh-CN"/>
                    </w:rPr>
                    <w:t>1</w:t>
                  </w:r>
                </w:p>
              </w:tc>
            </w:tr>
            <w:tr w14:paraId="1D38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6BA43F3A">
                  <w:pPr>
                    <w:jc w:val="center"/>
                    <w:rPr>
                      <w:kern w:val="0"/>
                      <w:sz w:val="21"/>
                      <w:szCs w:val="21"/>
                    </w:rPr>
                  </w:pPr>
                </w:p>
              </w:tc>
              <w:tc>
                <w:tcPr>
                  <w:tcW w:w="415" w:type="pct"/>
                  <w:shd w:val="clear" w:color="auto" w:fill="auto"/>
                  <w:vAlign w:val="center"/>
                </w:tcPr>
                <w:p w14:paraId="7434E09B">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弯管机</w:t>
                  </w:r>
                </w:p>
              </w:tc>
              <w:tc>
                <w:tcPr>
                  <w:tcW w:w="353" w:type="pct"/>
                  <w:shd w:val="clear" w:color="auto" w:fill="auto"/>
                  <w:vAlign w:val="center"/>
                </w:tcPr>
                <w:p w14:paraId="7B685AB9">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1</w:t>
                  </w:r>
                </w:p>
              </w:tc>
              <w:tc>
                <w:tcPr>
                  <w:tcW w:w="367" w:type="pct"/>
                  <w:vAlign w:val="center"/>
                </w:tcPr>
                <w:p w14:paraId="42A0748E">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74</w:t>
                  </w:r>
                </w:p>
              </w:tc>
              <w:tc>
                <w:tcPr>
                  <w:tcW w:w="353" w:type="pct"/>
                  <w:vMerge w:val="continue"/>
                  <w:vAlign w:val="center"/>
                </w:tcPr>
                <w:p w14:paraId="5AD55997">
                  <w:pPr>
                    <w:jc w:val="center"/>
                    <w:rPr>
                      <w:bCs/>
                      <w:color w:val="000000" w:themeColor="text1"/>
                      <w:sz w:val="21"/>
                      <w:szCs w:val="21"/>
                      <w14:textFill>
                        <w14:solidFill>
                          <w14:schemeClr w14:val="tx1"/>
                        </w14:solidFill>
                      </w14:textFill>
                    </w:rPr>
                  </w:pPr>
                </w:p>
              </w:tc>
              <w:tc>
                <w:tcPr>
                  <w:tcW w:w="572" w:type="dxa"/>
                  <w:shd w:val="clear" w:color="auto" w:fill="auto"/>
                  <w:vAlign w:val="center"/>
                </w:tcPr>
                <w:p w14:paraId="267F2E8A">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w:t>
                  </w:r>
                </w:p>
              </w:tc>
              <w:tc>
                <w:tcPr>
                  <w:tcW w:w="571" w:type="dxa"/>
                  <w:shd w:val="clear" w:color="auto" w:fill="auto"/>
                  <w:vAlign w:val="center"/>
                </w:tcPr>
                <w:p w14:paraId="0785E10C">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7</w:t>
                  </w:r>
                </w:p>
              </w:tc>
              <w:tc>
                <w:tcPr>
                  <w:tcW w:w="572" w:type="dxa"/>
                  <w:shd w:val="clear" w:color="auto" w:fill="auto"/>
                  <w:vAlign w:val="center"/>
                </w:tcPr>
                <w:p w14:paraId="7E052BD6">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571" w:type="dxa"/>
                  <w:vAlign w:val="center"/>
                </w:tcPr>
                <w:p w14:paraId="29CBFA76">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1.5</w:t>
                  </w:r>
                </w:p>
              </w:tc>
              <w:tc>
                <w:tcPr>
                  <w:tcW w:w="364" w:type="pct"/>
                  <w:vAlign w:val="center"/>
                </w:tcPr>
                <w:p w14:paraId="120A1CB7">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71</w:t>
                  </w:r>
                </w:p>
              </w:tc>
              <w:tc>
                <w:tcPr>
                  <w:tcW w:w="571" w:type="dxa"/>
                  <w:vAlign w:val="center"/>
                </w:tcPr>
                <w:p w14:paraId="66FB7BF2">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0DE497C1">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1CFC82AF">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51</w:t>
                  </w:r>
                </w:p>
              </w:tc>
              <w:tc>
                <w:tcPr>
                  <w:tcW w:w="353" w:type="pct"/>
                  <w:vAlign w:val="center"/>
                </w:tcPr>
                <w:p w14:paraId="13677B8F">
                  <w:pPr>
                    <w:jc w:val="center"/>
                    <w:rPr>
                      <w:rFonts w:hint="eastAsia"/>
                      <w:bCs/>
                      <w:sz w:val="21"/>
                      <w:szCs w:val="21"/>
                      <w:lang w:val="en-US" w:eastAsia="zh-CN"/>
                    </w:rPr>
                  </w:pPr>
                  <w:r>
                    <w:rPr>
                      <w:rFonts w:hint="eastAsia"/>
                      <w:bCs/>
                      <w:sz w:val="21"/>
                      <w:szCs w:val="21"/>
                      <w:lang w:val="en-US" w:eastAsia="zh-CN"/>
                    </w:rPr>
                    <w:t>1</w:t>
                  </w:r>
                </w:p>
              </w:tc>
            </w:tr>
            <w:tr w14:paraId="3CB5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22A0B145">
                  <w:pPr>
                    <w:jc w:val="center"/>
                    <w:rPr>
                      <w:kern w:val="0"/>
                      <w:sz w:val="21"/>
                      <w:szCs w:val="21"/>
                    </w:rPr>
                  </w:pPr>
                </w:p>
              </w:tc>
              <w:tc>
                <w:tcPr>
                  <w:tcW w:w="415" w:type="pct"/>
                  <w:shd w:val="clear" w:color="auto" w:fill="auto"/>
                  <w:vAlign w:val="center"/>
                </w:tcPr>
                <w:p w14:paraId="0A51CC0F">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气保焊机</w:t>
                  </w:r>
                </w:p>
              </w:tc>
              <w:tc>
                <w:tcPr>
                  <w:tcW w:w="353" w:type="pct"/>
                  <w:shd w:val="clear" w:color="auto" w:fill="auto"/>
                  <w:vAlign w:val="center"/>
                </w:tcPr>
                <w:p w14:paraId="32748598">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20</w:t>
                  </w:r>
                </w:p>
              </w:tc>
              <w:tc>
                <w:tcPr>
                  <w:tcW w:w="367" w:type="pct"/>
                  <w:vAlign w:val="center"/>
                </w:tcPr>
                <w:p w14:paraId="5F05AA1E">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65</w:t>
                  </w:r>
                </w:p>
              </w:tc>
              <w:tc>
                <w:tcPr>
                  <w:tcW w:w="353" w:type="pct"/>
                  <w:vMerge w:val="continue"/>
                  <w:vAlign w:val="center"/>
                </w:tcPr>
                <w:p w14:paraId="1CFBE3D0">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073B53F4">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353" w:type="pct"/>
                  <w:shd w:val="clear" w:color="auto" w:fill="auto"/>
                  <w:vAlign w:val="center"/>
                </w:tcPr>
                <w:p w14:paraId="670B1DCD">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8</w:t>
                  </w:r>
                </w:p>
              </w:tc>
              <w:tc>
                <w:tcPr>
                  <w:tcW w:w="353" w:type="pct"/>
                  <w:shd w:val="clear" w:color="auto" w:fill="auto"/>
                  <w:vAlign w:val="center"/>
                </w:tcPr>
                <w:p w14:paraId="288C70A4">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0.5</w:t>
                  </w:r>
                </w:p>
              </w:tc>
              <w:tc>
                <w:tcPr>
                  <w:tcW w:w="353" w:type="pct"/>
                  <w:vAlign w:val="center"/>
                </w:tcPr>
                <w:p w14:paraId="4ABDE3D5">
                  <w:pPr>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1.2</w:t>
                  </w:r>
                </w:p>
              </w:tc>
              <w:tc>
                <w:tcPr>
                  <w:tcW w:w="364" w:type="pct"/>
                  <w:vAlign w:val="center"/>
                </w:tcPr>
                <w:p w14:paraId="78D7F8DE">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62</w:t>
                  </w:r>
                </w:p>
              </w:tc>
              <w:tc>
                <w:tcPr>
                  <w:tcW w:w="571" w:type="dxa"/>
                  <w:vAlign w:val="center"/>
                </w:tcPr>
                <w:p w14:paraId="52F18EB9">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45FED368">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36113FDD">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42</w:t>
                  </w:r>
                </w:p>
              </w:tc>
              <w:tc>
                <w:tcPr>
                  <w:tcW w:w="353" w:type="pct"/>
                  <w:vAlign w:val="center"/>
                </w:tcPr>
                <w:p w14:paraId="39EBB21E">
                  <w:pPr>
                    <w:jc w:val="center"/>
                    <w:rPr>
                      <w:rFonts w:hint="eastAsia"/>
                      <w:bCs/>
                      <w:sz w:val="21"/>
                      <w:szCs w:val="21"/>
                      <w:lang w:val="en-US" w:eastAsia="zh-CN"/>
                    </w:rPr>
                  </w:pPr>
                  <w:r>
                    <w:rPr>
                      <w:rFonts w:hint="eastAsia"/>
                      <w:bCs/>
                      <w:sz w:val="21"/>
                      <w:szCs w:val="21"/>
                      <w:lang w:val="en-US" w:eastAsia="zh-CN"/>
                    </w:rPr>
                    <w:t>1</w:t>
                  </w:r>
                </w:p>
              </w:tc>
            </w:tr>
            <w:tr w14:paraId="7F9B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42FB3F02">
                  <w:pPr>
                    <w:jc w:val="center"/>
                    <w:rPr>
                      <w:kern w:val="0"/>
                      <w:sz w:val="21"/>
                      <w:szCs w:val="21"/>
                    </w:rPr>
                  </w:pPr>
                </w:p>
              </w:tc>
              <w:tc>
                <w:tcPr>
                  <w:tcW w:w="415" w:type="pct"/>
                  <w:shd w:val="clear" w:color="auto" w:fill="auto"/>
                  <w:vAlign w:val="center"/>
                </w:tcPr>
                <w:p w14:paraId="2D59DC76">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磨光机</w:t>
                  </w:r>
                </w:p>
              </w:tc>
              <w:tc>
                <w:tcPr>
                  <w:tcW w:w="353" w:type="pct"/>
                  <w:shd w:val="clear" w:color="auto" w:fill="auto"/>
                  <w:vAlign w:val="center"/>
                </w:tcPr>
                <w:p w14:paraId="178A9E9C">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5</w:t>
                  </w:r>
                </w:p>
              </w:tc>
              <w:tc>
                <w:tcPr>
                  <w:tcW w:w="367" w:type="pct"/>
                  <w:vAlign w:val="center"/>
                </w:tcPr>
                <w:p w14:paraId="0AE65D45">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76</w:t>
                  </w:r>
                </w:p>
              </w:tc>
              <w:tc>
                <w:tcPr>
                  <w:tcW w:w="353" w:type="pct"/>
                  <w:vMerge w:val="continue"/>
                  <w:vAlign w:val="center"/>
                </w:tcPr>
                <w:p w14:paraId="51989FFA">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31DE133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353" w:type="pct"/>
                  <w:shd w:val="clear" w:color="auto" w:fill="auto"/>
                  <w:vAlign w:val="center"/>
                </w:tcPr>
                <w:p w14:paraId="7FDCB52C">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353" w:type="pct"/>
                  <w:shd w:val="clear" w:color="auto" w:fill="auto"/>
                  <w:vAlign w:val="center"/>
                </w:tcPr>
                <w:p w14:paraId="4867C22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w:t>
                  </w:r>
                </w:p>
              </w:tc>
              <w:tc>
                <w:tcPr>
                  <w:tcW w:w="353" w:type="pct"/>
                  <w:vAlign w:val="center"/>
                </w:tcPr>
                <w:p w14:paraId="2A793830">
                  <w:pPr>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1.3</w:t>
                  </w:r>
                </w:p>
              </w:tc>
              <w:tc>
                <w:tcPr>
                  <w:tcW w:w="364" w:type="pct"/>
                  <w:vAlign w:val="center"/>
                </w:tcPr>
                <w:p w14:paraId="64362612">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73</w:t>
                  </w:r>
                </w:p>
              </w:tc>
              <w:tc>
                <w:tcPr>
                  <w:tcW w:w="571" w:type="dxa"/>
                  <w:vAlign w:val="center"/>
                </w:tcPr>
                <w:p w14:paraId="3705A749">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7DE506BA">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1092CF81">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53</w:t>
                  </w:r>
                </w:p>
              </w:tc>
              <w:tc>
                <w:tcPr>
                  <w:tcW w:w="353" w:type="pct"/>
                  <w:vAlign w:val="center"/>
                </w:tcPr>
                <w:p w14:paraId="1A6E70FC">
                  <w:pPr>
                    <w:jc w:val="center"/>
                    <w:rPr>
                      <w:rFonts w:hint="eastAsia"/>
                      <w:bCs/>
                      <w:sz w:val="21"/>
                      <w:szCs w:val="21"/>
                      <w:lang w:val="en-US" w:eastAsia="zh-CN"/>
                    </w:rPr>
                  </w:pPr>
                  <w:r>
                    <w:rPr>
                      <w:rFonts w:hint="eastAsia"/>
                      <w:bCs/>
                      <w:sz w:val="21"/>
                      <w:szCs w:val="21"/>
                      <w:lang w:val="en-US" w:eastAsia="zh-CN"/>
                    </w:rPr>
                    <w:t>1</w:t>
                  </w:r>
                </w:p>
              </w:tc>
            </w:tr>
            <w:tr w14:paraId="460D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34D553A2">
                  <w:pPr>
                    <w:jc w:val="center"/>
                    <w:rPr>
                      <w:kern w:val="0"/>
                      <w:sz w:val="21"/>
                      <w:szCs w:val="21"/>
                    </w:rPr>
                  </w:pPr>
                </w:p>
              </w:tc>
              <w:tc>
                <w:tcPr>
                  <w:tcW w:w="415" w:type="pct"/>
                  <w:shd w:val="clear" w:color="auto" w:fill="auto"/>
                  <w:vAlign w:val="center"/>
                </w:tcPr>
                <w:p w14:paraId="52FB6D8E">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喷塑线</w:t>
                  </w:r>
                </w:p>
              </w:tc>
              <w:tc>
                <w:tcPr>
                  <w:tcW w:w="353" w:type="pct"/>
                  <w:shd w:val="clear" w:color="auto" w:fill="auto"/>
                  <w:vAlign w:val="center"/>
                </w:tcPr>
                <w:p w14:paraId="7D3968B2">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367" w:type="pct"/>
                  <w:vAlign w:val="center"/>
                </w:tcPr>
                <w:p w14:paraId="6DDEB5FF">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78</w:t>
                  </w:r>
                </w:p>
              </w:tc>
              <w:tc>
                <w:tcPr>
                  <w:tcW w:w="353" w:type="pct"/>
                  <w:vMerge w:val="continue"/>
                  <w:vAlign w:val="center"/>
                </w:tcPr>
                <w:p w14:paraId="171499BD">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73FCF467">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w:t>
                  </w:r>
                </w:p>
              </w:tc>
              <w:tc>
                <w:tcPr>
                  <w:tcW w:w="353" w:type="pct"/>
                  <w:shd w:val="clear" w:color="auto" w:fill="auto"/>
                  <w:vAlign w:val="center"/>
                </w:tcPr>
                <w:p w14:paraId="12F205C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353" w:type="pct"/>
                  <w:shd w:val="clear" w:color="auto" w:fill="auto"/>
                  <w:vAlign w:val="center"/>
                </w:tcPr>
                <w:p w14:paraId="629D3A7D">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w:t>
                  </w:r>
                </w:p>
              </w:tc>
              <w:tc>
                <w:tcPr>
                  <w:tcW w:w="353" w:type="pct"/>
                  <w:vAlign w:val="center"/>
                </w:tcPr>
                <w:p w14:paraId="1578DA3A">
                  <w:pPr>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2</w:t>
                  </w:r>
                </w:p>
              </w:tc>
              <w:tc>
                <w:tcPr>
                  <w:tcW w:w="364" w:type="pct"/>
                  <w:vAlign w:val="center"/>
                </w:tcPr>
                <w:p w14:paraId="7BD31E80">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75</w:t>
                  </w:r>
                </w:p>
              </w:tc>
              <w:tc>
                <w:tcPr>
                  <w:tcW w:w="571" w:type="dxa"/>
                  <w:vAlign w:val="center"/>
                </w:tcPr>
                <w:p w14:paraId="4FD9D6B4">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052CB257">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0E6D4E53">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55</w:t>
                  </w:r>
                </w:p>
              </w:tc>
              <w:tc>
                <w:tcPr>
                  <w:tcW w:w="353" w:type="pct"/>
                  <w:vAlign w:val="center"/>
                </w:tcPr>
                <w:p w14:paraId="6DCA0CDD">
                  <w:pPr>
                    <w:jc w:val="center"/>
                    <w:rPr>
                      <w:rFonts w:hint="eastAsia"/>
                      <w:bCs/>
                      <w:sz w:val="21"/>
                      <w:szCs w:val="21"/>
                      <w:lang w:val="en-US" w:eastAsia="zh-CN"/>
                    </w:rPr>
                  </w:pPr>
                  <w:r>
                    <w:rPr>
                      <w:rFonts w:hint="eastAsia"/>
                      <w:bCs/>
                      <w:sz w:val="21"/>
                      <w:szCs w:val="21"/>
                      <w:lang w:val="en-US" w:eastAsia="zh-CN"/>
                    </w:rPr>
                    <w:t>1</w:t>
                  </w:r>
                </w:p>
              </w:tc>
            </w:tr>
            <w:tr w14:paraId="555B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7B40F832">
                  <w:pPr>
                    <w:jc w:val="center"/>
                    <w:rPr>
                      <w:kern w:val="0"/>
                      <w:sz w:val="21"/>
                      <w:szCs w:val="21"/>
                    </w:rPr>
                  </w:pPr>
                </w:p>
              </w:tc>
              <w:tc>
                <w:tcPr>
                  <w:tcW w:w="415" w:type="pct"/>
                  <w:shd w:val="clear" w:color="auto" w:fill="auto"/>
                  <w:vAlign w:val="center"/>
                </w:tcPr>
                <w:p w14:paraId="4A3583F1">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注塑机</w:t>
                  </w:r>
                </w:p>
              </w:tc>
              <w:tc>
                <w:tcPr>
                  <w:tcW w:w="353" w:type="pct"/>
                  <w:shd w:val="clear" w:color="auto" w:fill="auto"/>
                  <w:vAlign w:val="center"/>
                </w:tcPr>
                <w:p w14:paraId="4DD345AE">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367" w:type="pct"/>
                  <w:vAlign w:val="center"/>
                </w:tcPr>
                <w:p w14:paraId="1F8A42A3">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70</w:t>
                  </w:r>
                </w:p>
              </w:tc>
              <w:tc>
                <w:tcPr>
                  <w:tcW w:w="353" w:type="pct"/>
                  <w:vMerge w:val="continue"/>
                  <w:vAlign w:val="center"/>
                </w:tcPr>
                <w:p w14:paraId="0948CBE1">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2C173695">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-30</w:t>
                  </w:r>
                </w:p>
              </w:tc>
              <w:tc>
                <w:tcPr>
                  <w:tcW w:w="353" w:type="pct"/>
                  <w:shd w:val="clear" w:color="auto" w:fill="auto"/>
                  <w:vAlign w:val="center"/>
                </w:tcPr>
                <w:p w14:paraId="738A9A3D">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-10</w:t>
                  </w:r>
                </w:p>
              </w:tc>
              <w:tc>
                <w:tcPr>
                  <w:tcW w:w="353" w:type="pct"/>
                  <w:shd w:val="clear" w:color="auto" w:fill="auto"/>
                  <w:vAlign w:val="center"/>
                </w:tcPr>
                <w:p w14:paraId="6B02DD03">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2.5</w:t>
                  </w:r>
                </w:p>
              </w:tc>
              <w:tc>
                <w:tcPr>
                  <w:tcW w:w="353" w:type="pct"/>
                  <w:vAlign w:val="center"/>
                </w:tcPr>
                <w:p w14:paraId="650F119E">
                  <w:pPr>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2</w:t>
                  </w:r>
                </w:p>
              </w:tc>
              <w:tc>
                <w:tcPr>
                  <w:tcW w:w="364" w:type="pct"/>
                  <w:vAlign w:val="center"/>
                </w:tcPr>
                <w:p w14:paraId="16380608">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67</w:t>
                  </w:r>
                </w:p>
              </w:tc>
              <w:tc>
                <w:tcPr>
                  <w:tcW w:w="571" w:type="dxa"/>
                  <w:vAlign w:val="center"/>
                </w:tcPr>
                <w:p w14:paraId="2731202F">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36A3D0D3">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292B42B6">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47</w:t>
                  </w:r>
                </w:p>
              </w:tc>
              <w:tc>
                <w:tcPr>
                  <w:tcW w:w="353" w:type="pct"/>
                  <w:vAlign w:val="center"/>
                </w:tcPr>
                <w:p w14:paraId="75B6F850">
                  <w:pPr>
                    <w:jc w:val="center"/>
                    <w:rPr>
                      <w:rFonts w:hint="eastAsia"/>
                      <w:bCs/>
                      <w:sz w:val="21"/>
                      <w:szCs w:val="21"/>
                      <w:lang w:val="en-US" w:eastAsia="zh-CN"/>
                    </w:rPr>
                  </w:pPr>
                  <w:r>
                    <w:rPr>
                      <w:rFonts w:hint="eastAsia"/>
                      <w:bCs/>
                      <w:sz w:val="21"/>
                      <w:szCs w:val="21"/>
                      <w:lang w:val="en-US" w:eastAsia="zh-CN"/>
                    </w:rPr>
                    <w:t>1</w:t>
                  </w:r>
                </w:p>
              </w:tc>
            </w:tr>
            <w:tr w14:paraId="4DD4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0A313431">
                  <w:pPr>
                    <w:jc w:val="center"/>
                    <w:rPr>
                      <w:kern w:val="0"/>
                      <w:sz w:val="21"/>
                      <w:szCs w:val="21"/>
                    </w:rPr>
                  </w:pPr>
                </w:p>
              </w:tc>
              <w:tc>
                <w:tcPr>
                  <w:tcW w:w="415" w:type="pct"/>
                  <w:shd w:val="clear" w:color="auto" w:fill="auto"/>
                  <w:vAlign w:val="center"/>
                </w:tcPr>
                <w:p w14:paraId="0BAE3931">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搅碎机</w:t>
                  </w:r>
                </w:p>
              </w:tc>
              <w:tc>
                <w:tcPr>
                  <w:tcW w:w="353" w:type="pct"/>
                  <w:shd w:val="clear" w:color="auto" w:fill="auto"/>
                  <w:vAlign w:val="center"/>
                </w:tcPr>
                <w:p w14:paraId="49A8BD8E">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367" w:type="pct"/>
                  <w:vAlign w:val="center"/>
                </w:tcPr>
                <w:p w14:paraId="11BB357E">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75</w:t>
                  </w:r>
                </w:p>
              </w:tc>
              <w:tc>
                <w:tcPr>
                  <w:tcW w:w="353" w:type="pct"/>
                  <w:vMerge w:val="continue"/>
                  <w:vAlign w:val="center"/>
                </w:tcPr>
                <w:p w14:paraId="01EF2C6F">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4D670E15">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-30</w:t>
                  </w:r>
                </w:p>
              </w:tc>
              <w:tc>
                <w:tcPr>
                  <w:tcW w:w="353" w:type="pct"/>
                  <w:shd w:val="clear" w:color="auto" w:fill="auto"/>
                  <w:vAlign w:val="center"/>
                </w:tcPr>
                <w:p w14:paraId="1C7151CC">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0</w:t>
                  </w:r>
                </w:p>
              </w:tc>
              <w:tc>
                <w:tcPr>
                  <w:tcW w:w="353" w:type="pct"/>
                  <w:shd w:val="clear" w:color="auto" w:fill="auto"/>
                  <w:vAlign w:val="center"/>
                </w:tcPr>
                <w:p w14:paraId="706AB5BD">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1.5</w:t>
                  </w:r>
                </w:p>
              </w:tc>
              <w:tc>
                <w:tcPr>
                  <w:tcW w:w="353" w:type="pct"/>
                  <w:vAlign w:val="center"/>
                </w:tcPr>
                <w:p w14:paraId="4472B6A5">
                  <w:pPr>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1.5</w:t>
                  </w:r>
                </w:p>
              </w:tc>
              <w:tc>
                <w:tcPr>
                  <w:tcW w:w="364" w:type="pct"/>
                  <w:vAlign w:val="center"/>
                </w:tcPr>
                <w:p w14:paraId="0E7FCCA5">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72</w:t>
                  </w:r>
                </w:p>
              </w:tc>
              <w:tc>
                <w:tcPr>
                  <w:tcW w:w="571" w:type="dxa"/>
                  <w:vAlign w:val="center"/>
                </w:tcPr>
                <w:p w14:paraId="1FB49D03">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587CF09F">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20ADE461">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52</w:t>
                  </w:r>
                </w:p>
              </w:tc>
              <w:tc>
                <w:tcPr>
                  <w:tcW w:w="353" w:type="pct"/>
                  <w:vAlign w:val="center"/>
                </w:tcPr>
                <w:p w14:paraId="2DF0175B">
                  <w:pPr>
                    <w:jc w:val="center"/>
                    <w:rPr>
                      <w:rFonts w:hint="eastAsia"/>
                      <w:bCs/>
                      <w:sz w:val="21"/>
                      <w:szCs w:val="21"/>
                      <w:lang w:val="en-US" w:eastAsia="zh-CN"/>
                    </w:rPr>
                  </w:pPr>
                  <w:r>
                    <w:rPr>
                      <w:rFonts w:hint="eastAsia"/>
                      <w:bCs/>
                      <w:sz w:val="21"/>
                      <w:szCs w:val="21"/>
                      <w:lang w:val="en-US" w:eastAsia="zh-CN"/>
                    </w:rPr>
                    <w:t>1</w:t>
                  </w:r>
                </w:p>
              </w:tc>
            </w:tr>
            <w:tr w14:paraId="6529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3" w:type="pct"/>
                  <w:vMerge w:val="continue"/>
                  <w:tcMar>
                    <w:top w:w="12" w:type="dxa"/>
                    <w:left w:w="12" w:type="dxa"/>
                    <w:bottom w:w="0" w:type="dxa"/>
                    <w:right w:w="12" w:type="dxa"/>
                  </w:tcMar>
                  <w:vAlign w:val="center"/>
                </w:tcPr>
                <w:p w14:paraId="4E590D2E">
                  <w:pPr>
                    <w:jc w:val="center"/>
                    <w:rPr>
                      <w:kern w:val="0"/>
                      <w:sz w:val="21"/>
                      <w:szCs w:val="21"/>
                    </w:rPr>
                  </w:pPr>
                </w:p>
              </w:tc>
              <w:tc>
                <w:tcPr>
                  <w:tcW w:w="415" w:type="pct"/>
                  <w:shd w:val="clear" w:color="auto" w:fill="auto"/>
                  <w:vAlign w:val="center"/>
                </w:tcPr>
                <w:p w14:paraId="78A35232">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空压机</w:t>
                  </w:r>
                </w:p>
              </w:tc>
              <w:tc>
                <w:tcPr>
                  <w:tcW w:w="353" w:type="pct"/>
                  <w:shd w:val="clear" w:color="auto" w:fill="auto"/>
                  <w:vAlign w:val="center"/>
                </w:tcPr>
                <w:p w14:paraId="5F606504">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367" w:type="pct"/>
                  <w:vAlign w:val="center"/>
                </w:tcPr>
                <w:p w14:paraId="45A5F472">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78</w:t>
                  </w:r>
                </w:p>
              </w:tc>
              <w:tc>
                <w:tcPr>
                  <w:tcW w:w="353" w:type="pct"/>
                  <w:vMerge w:val="continue"/>
                  <w:vAlign w:val="center"/>
                </w:tcPr>
                <w:p w14:paraId="63B37EA2">
                  <w:pPr>
                    <w:jc w:val="center"/>
                    <w:rPr>
                      <w:bCs/>
                      <w:color w:val="000000" w:themeColor="text1"/>
                      <w:sz w:val="21"/>
                      <w:szCs w:val="21"/>
                      <w14:textFill>
                        <w14:solidFill>
                          <w14:schemeClr w14:val="tx1"/>
                        </w14:solidFill>
                      </w14:textFill>
                    </w:rPr>
                  </w:pPr>
                </w:p>
              </w:tc>
              <w:tc>
                <w:tcPr>
                  <w:tcW w:w="353" w:type="pct"/>
                  <w:shd w:val="clear" w:color="auto" w:fill="auto"/>
                  <w:vAlign w:val="center"/>
                </w:tcPr>
                <w:p w14:paraId="0B7B2E1B">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-38</w:t>
                  </w:r>
                </w:p>
              </w:tc>
              <w:tc>
                <w:tcPr>
                  <w:tcW w:w="353" w:type="pct"/>
                  <w:shd w:val="clear" w:color="auto" w:fill="auto"/>
                  <w:vAlign w:val="center"/>
                </w:tcPr>
                <w:p w14:paraId="2B0928E2">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8</w:t>
                  </w:r>
                </w:p>
              </w:tc>
              <w:tc>
                <w:tcPr>
                  <w:tcW w:w="353" w:type="pct"/>
                  <w:shd w:val="clear" w:color="auto" w:fill="auto"/>
                  <w:vAlign w:val="center"/>
                </w:tcPr>
                <w:p w14:paraId="3926932F">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1.8</w:t>
                  </w:r>
                </w:p>
              </w:tc>
              <w:tc>
                <w:tcPr>
                  <w:tcW w:w="353" w:type="pct"/>
                  <w:vAlign w:val="center"/>
                </w:tcPr>
                <w:p w14:paraId="233C8611">
                  <w:pPr>
                    <w:jc w:val="center"/>
                    <w:rPr>
                      <w:rFonts w:hint="default" w:eastAsia="宋体"/>
                      <w:bCs/>
                      <w:color w:val="000000" w:themeColor="text1"/>
                      <w:sz w:val="21"/>
                      <w:szCs w:val="21"/>
                      <w:lang w:val="en-US" w:eastAsia="zh-CN"/>
                      <w14:textFill>
                        <w14:solidFill>
                          <w14:schemeClr w14:val="tx1"/>
                        </w14:solidFill>
                      </w14:textFill>
                    </w:rPr>
                  </w:pPr>
                  <w:r>
                    <w:rPr>
                      <w:rFonts w:hint="eastAsia" w:eastAsia="宋体"/>
                      <w:bCs/>
                      <w:color w:val="000000" w:themeColor="text1"/>
                      <w:sz w:val="21"/>
                      <w:szCs w:val="21"/>
                      <w:lang w:val="en-US" w:eastAsia="zh-CN"/>
                      <w14:textFill>
                        <w14:solidFill>
                          <w14:schemeClr w14:val="tx1"/>
                        </w14:solidFill>
                      </w14:textFill>
                    </w:rPr>
                    <w:t>0.8</w:t>
                  </w:r>
                </w:p>
              </w:tc>
              <w:tc>
                <w:tcPr>
                  <w:tcW w:w="364" w:type="pct"/>
                  <w:vAlign w:val="center"/>
                </w:tcPr>
                <w:p w14:paraId="6A1CD3A8">
                  <w:pPr>
                    <w:widowControl/>
                    <w:jc w:val="center"/>
                    <w:textAlignment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75</w:t>
                  </w:r>
                </w:p>
              </w:tc>
              <w:tc>
                <w:tcPr>
                  <w:tcW w:w="571" w:type="dxa"/>
                  <w:vAlign w:val="center"/>
                </w:tcPr>
                <w:p w14:paraId="4C452CB3">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2400</w:t>
                  </w:r>
                </w:p>
              </w:tc>
              <w:tc>
                <w:tcPr>
                  <w:tcW w:w="364" w:type="pct"/>
                  <w:vAlign w:val="center"/>
                </w:tcPr>
                <w:p w14:paraId="783C2B52">
                  <w:pPr>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c>
                <w:tcPr>
                  <w:tcW w:w="364" w:type="pct"/>
                  <w:vAlign w:val="center"/>
                </w:tcPr>
                <w:p w14:paraId="4420E8BD">
                  <w:pPr>
                    <w:widowControl/>
                    <w:adjustRightInd w:val="0"/>
                    <w:snapToGrid w:val="0"/>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55</w:t>
                  </w:r>
                </w:p>
              </w:tc>
              <w:tc>
                <w:tcPr>
                  <w:tcW w:w="353" w:type="pct"/>
                  <w:vAlign w:val="center"/>
                </w:tcPr>
                <w:p w14:paraId="1B7F19E5">
                  <w:pPr>
                    <w:jc w:val="center"/>
                    <w:rPr>
                      <w:rFonts w:hint="eastAsia"/>
                      <w:bCs/>
                      <w:sz w:val="21"/>
                      <w:szCs w:val="21"/>
                      <w:lang w:val="en-US" w:eastAsia="zh-CN"/>
                    </w:rPr>
                  </w:pPr>
                  <w:r>
                    <w:rPr>
                      <w:rFonts w:hint="eastAsia"/>
                      <w:bCs/>
                      <w:sz w:val="21"/>
                      <w:szCs w:val="21"/>
                      <w:lang w:val="en-US" w:eastAsia="zh-CN"/>
                    </w:rPr>
                    <w:t>1</w:t>
                  </w:r>
                </w:p>
              </w:tc>
            </w:tr>
          </w:tbl>
          <w:p w14:paraId="5A4946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2、厂界达标情况分析</w:t>
            </w:r>
          </w:p>
          <w:p w14:paraId="6ACB3954">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根据项目的噪声排放特点，结合《环境影响评价技术导则</w:t>
            </w:r>
            <w:r>
              <w:rPr>
                <w:rFonts w:hint="eastAsia"/>
                <w:bCs/>
                <w:color w:val="000000" w:themeColor="text1"/>
                <w14:textFill>
                  <w14:solidFill>
                    <w14:schemeClr w14:val="tx1"/>
                  </w14:solidFill>
                </w14:textFill>
              </w:rPr>
              <w:t xml:space="preserve"> </w:t>
            </w:r>
            <w:r>
              <w:rPr>
                <w:bCs/>
                <w:color w:val="000000" w:themeColor="text1"/>
                <w14:textFill>
                  <w14:solidFill>
                    <w14:schemeClr w14:val="tx1"/>
                  </w14:solidFill>
                </w14:textFill>
              </w:rPr>
              <w:t>声环境》（HJ2.4-20</w:t>
            </w:r>
            <w:r>
              <w:rPr>
                <w:rFonts w:hint="eastAsia"/>
                <w:bCs/>
                <w:color w:val="000000" w:themeColor="text1"/>
                <w14:textFill>
                  <w14:solidFill>
                    <w14:schemeClr w14:val="tx1"/>
                  </w14:solidFill>
                </w14:textFill>
              </w:rPr>
              <w:t>21</w:t>
            </w:r>
            <w:r>
              <w:rPr>
                <w:bCs/>
                <w:color w:val="000000" w:themeColor="text1"/>
                <w14:textFill>
                  <w14:solidFill>
                    <w14:schemeClr w14:val="tx1"/>
                  </w14:solidFill>
                </w14:textFill>
              </w:rPr>
              <w:t>）的要求，</w:t>
            </w:r>
            <w:r>
              <w:rPr>
                <w:rFonts w:hint="eastAsia"/>
                <w:bCs/>
                <w:color w:val="000000" w:themeColor="text1"/>
                <w14:textFill>
                  <w14:solidFill>
                    <w14:schemeClr w14:val="tx1"/>
                  </w14:solidFill>
                </w14:textFill>
              </w:rPr>
              <w:t>室内声源</w:t>
            </w:r>
            <w:r>
              <w:rPr>
                <w:bCs/>
                <w:color w:val="000000" w:themeColor="text1"/>
                <w14:textFill>
                  <w14:solidFill>
                    <w14:schemeClr w14:val="tx1"/>
                  </w14:solidFill>
                </w14:textFill>
              </w:rPr>
              <w:t>预测模式采用“</w:t>
            </w:r>
            <w:r>
              <w:rPr>
                <w:rFonts w:hint="eastAsia"/>
                <w:bCs/>
                <w:color w:val="000000" w:themeColor="text1"/>
                <w14:textFill>
                  <w14:solidFill>
                    <w14:schemeClr w14:val="tx1"/>
                  </w14:solidFill>
                </w14:textFill>
              </w:rPr>
              <w:t>附录B.1</w:t>
            </w:r>
            <w:r>
              <w:rPr>
                <w:bCs/>
                <w:color w:val="000000" w:themeColor="text1"/>
                <w14:textFill>
                  <w14:solidFill>
                    <w14:schemeClr w14:val="tx1"/>
                  </w14:solidFill>
                </w14:textFill>
              </w:rPr>
              <w:t xml:space="preserve"> 工业噪声预测</w:t>
            </w:r>
            <w:r>
              <w:rPr>
                <w:rFonts w:hint="eastAsia"/>
                <w:bCs/>
                <w:color w:val="000000" w:themeColor="text1"/>
                <w14:textFill>
                  <w14:solidFill>
                    <w14:schemeClr w14:val="tx1"/>
                  </w14:solidFill>
                </w14:textFill>
              </w:rPr>
              <w:t>计算模型</w:t>
            </w:r>
            <w:r>
              <w:rPr>
                <w:bCs/>
                <w:color w:val="000000" w:themeColor="text1"/>
                <w14:textFill>
                  <w14:solidFill>
                    <w14:schemeClr w14:val="tx1"/>
                  </w14:solidFill>
                </w14:textFill>
              </w:rPr>
              <w:t>”计算模式</w:t>
            </w:r>
            <w:r>
              <w:rPr>
                <w:rFonts w:hint="eastAsia"/>
                <w:bCs/>
                <w:color w:val="000000" w:themeColor="text1"/>
                <w14:textFill>
                  <w14:solidFill>
                    <w14:schemeClr w14:val="tx1"/>
                  </w14:solidFill>
                </w14:textFill>
              </w:rPr>
              <w:t>，室外声源</w:t>
            </w:r>
            <w:r>
              <w:rPr>
                <w:bCs/>
                <w:color w:val="000000" w:themeColor="text1"/>
                <w14:textFill>
                  <w14:solidFill>
                    <w14:schemeClr w14:val="tx1"/>
                  </w14:solidFill>
                </w14:textFill>
              </w:rPr>
              <w:t>预测模式采用</w:t>
            </w:r>
            <w:r>
              <w:rPr>
                <w:rFonts w:hint="eastAsia"/>
                <w:bCs/>
                <w:color w:val="000000" w:themeColor="text1"/>
                <w14:textFill>
                  <w14:solidFill>
                    <w14:schemeClr w14:val="tx1"/>
                  </w14:solidFill>
                </w14:textFill>
              </w:rPr>
              <w:t>“附录A</w:t>
            </w:r>
            <w:r>
              <w:rPr>
                <w:bCs/>
                <w:color w:val="000000" w:themeColor="text1"/>
                <w14:textFill>
                  <w14:solidFill>
                    <w14:schemeClr w14:val="tx1"/>
                  </w14:solidFill>
                </w14:textFill>
              </w:rPr>
              <w:t xml:space="preserve"> </w:t>
            </w:r>
            <w:r>
              <w:rPr>
                <w:rFonts w:hint="eastAsia"/>
                <w:bCs/>
                <w:color w:val="000000" w:themeColor="text1"/>
                <w14:textFill>
                  <w14:solidFill>
                    <w14:schemeClr w14:val="tx1"/>
                  </w14:solidFill>
                </w14:textFill>
              </w:rPr>
              <w:t>户外声传播的衰减”户外声传播衰减的工程法</w:t>
            </w:r>
            <w:r>
              <w:rPr>
                <w:bCs/>
                <w:color w:val="000000" w:themeColor="text1"/>
                <w14:textFill>
                  <w14:solidFill>
                    <w14:schemeClr w14:val="tx1"/>
                  </w14:solidFill>
                </w14:textFill>
              </w:rPr>
              <w:t>。根据项目噪声源的特征，主要噪声源到接受点的距</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超过噪声源最大几何尺寸的2倍，各噪声源可近似作为点声源处理。</w:t>
            </w:r>
          </w:p>
          <w:p w14:paraId="42C5D881">
            <w:pPr>
              <w:spacing w:line="360" w:lineRule="auto"/>
              <w:ind w:firstLine="480" w:firstLineChars="20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（1）室外声源</w:t>
            </w:r>
          </w:p>
          <w:p w14:paraId="6B5B2EF4">
            <w:pPr>
              <w:widowControl/>
              <w:spacing w:line="360" w:lineRule="auto"/>
              <w:ind w:firstLine="480" w:firstLineChars="20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已知靠近声源某一参考位置处的声级时，单个室外的点声源在预测点产生的声级贡献值计算基本公式为：</w:t>
            </w:r>
          </w:p>
          <w:p w14:paraId="0C8F1848">
            <w:pPr>
              <w:widowControl/>
              <w:spacing w:line="360" w:lineRule="auto"/>
              <w:jc w:val="center"/>
              <w:rPr>
                <w:color w:val="000000" w:themeColor="text1"/>
                <w14:textFill>
                  <w14:solidFill>
                    <w14:schemeClr w14:val="tx1"/>
                  </w14:solidFill>
                </w14:textFill>
              </w:rPr>
            </w:pPr>
            <w:r>
              <w:rPr>
                <w:i/>
                <w:iCs/>
                <w:color w:val="000000" w:themeColor="text1"/>
                <w:kern w:val="0"/>
                <w:lang w:bidi="ar"/>
                <w14:textFill>
                  <w14:solidFill>
                    <w14:schemeClr w14:val="tx1"/>
                  </w14:solidFill>
                </w14:textFill>
              </w:rPr>
              <w:t>Lp</w:t>
            </w:r>
            <w:r>
              <w:rPr>
                <w:color w:val="000000" w:themeColor="text1"/>
                <w:kern w:val="0"/>
                <w:lang w:bidi="ar"/>
                <w14:textFill>
                  <w14:solidFill>
                    <w14:schemeClr w14:val="tx1"/>
                  </w14:solidFill>
                </w14:textFill>
              </w:rPr>
              <w:t>（</w:t>
            </w:r>
            <w:r>
              <w:rPr>
                <w:i/>
                <w:iCs/>
                <w:color w:val="000000" w:themeColor="text1"/>
                <w:kern w:val="0"/>
                <w:lang w:bidi="ar"/>
                <w14:textFill>
                  <w14:solidFill>
                    <w14:schemeClr w14:val="tx1"/>
                  </w14:solidFill>
                </w14:textFill>
              </w:rPr>
              <w:t>r</w:t>
            </w:r>
            <w:r>
              <w:rPr>
                <w:color w:val="000000" w:themeColor="text1"/>
                <w:kern w:val="0"/>
                <w:lang w:bidi="ar"/>
                <w14:textFill>
                  <w14:solidFill>
                    <w14:schemeClr w14:val="tx1"/>
                  </w14:solidFill>
                </w14:textFill>
              </w:rPr>
              <w:t>）＝</w:t>
            </w:r>
            <w:r>
              <w:rPr>
                <w:i/>
                <w:iCs/>
                <w:color w:val="000000" w:themeColor="text1"/>
                <w:kern w:val="0"/>
                <w:lang w:bidi="ar"/>
                <w14:textFill>
                  <w14:solidFill>
                    <w14:schemeClr w14:val="tx1"/>
                  </w14:solidFill>
                </w14:textFill>
              </w:rPr>
              <w:t>Lw</w:t>
            </w:r>
            <w:r>
              <w:rPr>
                <w:color w:val="000000" w:themeColor="text1"/>
                <w:kern w:val="0"/>
                <w:lang w:bidi="ar"/>
                <w14:textFill>
                  <w14:solidFill>
                    <w14:schemeClr w14:val="tx1"/>
                  </w14:solidFill>
                </w14:textFill>
              </w:rPr>
              <w:t>+</w:t>
            </w:r>
            <w:r>
              <w:rPr>
                <w:i/>
                <w:iCs/>
                <w:color w:val="000000" w:themeColor="text1"/>
                <w:kern w:val="0"/>
                <w:lang w:bidi="ar"/>
                <w14:textFill>
                  <w14:solidFill>
                    <w14:schemeClr w14:val="tx1"/>
                  </w14:solidFill>
                </w14:textFill>
              </w:rPr>
              <w:t>D</w:t>
            </w:r>
            <w:r>
              <w:rPr>
                <w:color w:val="000000" w:themeColor="text1"/>
                <w:kern w:val="0"/>
                <w:vertAlign w:val="subscript"/>
                <w:lang w:bidi="ar"/>
                <w14:textFill>
                  <w14:solidFill>
                    <w14:schemeClr w14:val="tx1"/>
                  </w14:solidFill>
                </w14:textFill>
              </w:rPr>
              <w:t>C</w:t>
            </w:r>
            <w:r>
              <w:rPr>
                <w:color w:val="000000" w:themeColor="text1"/>
                <w:kern w:val="0"/>
                <w:lang w:bidi="ar"/>
                <w14:textFill>
                  <w14:solidFill>
                    <w14:schemeClr w14:val="tx1"/>
                  </w14:solidFill>
                </w14:textFill>
              </w:rPr>
              <w:t>－（</w:t>
            </w: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div＋</w:t>
            </w: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atm＋</w:t>
            </w: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gr＋</w:t>
            </w: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bar＋</w:t>
            </w: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misc）</w:t>
            </w:r>
          </w:p>
          <w:p w14:paraId="27571AC2">
            <w:pPr>
              <w:widowControl/>
              <w:spacing w:line="360" w:lineRule="auto"/>
              <w:ind w:firstLine="480" w:firstLineChars="20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式中：</w:t>
            </w:r>
            <w:r>
              <w:rPr>
                <w:i/>
                <w:iCs/>
                <w:color w:val="000000" w:themeColor="text1"/>
                <w:kern w:val="0"/>
                <w:lang w:bidi="ar"/>
                <w14:textFill>
                  <w14:solidFill>
                    <w14:schemeClr w14:val="tx1"/>
                  </w14:solidFill>
                </w14:textFill>
              </w:rPr>
              <w:t>Lp</w:t>
            </w:r>
            <w:r>
              <w:rPr>
                <w:color w:val="000000" w:themeColor="text1"/>
                <w:kern w:val="0"/>
                <w:lang w:bidi="ar"/>
                <w14:textFill>
                  <w14:solidFill>
                    <w14:schemeClr w14:val="tx1"/>
                  </w14:solidFill>
                </w14:textFill>
              </w:rPr>
              <w:t>（</w:t>
            </w:r>
            <w:r>
              <w:rPr>
                <w:i/>
                <w:iCs/>
                <w:color w:val="000000" w:themeColor="text1"/>
                <w:kern w:val="0"/>
                <w:lang w:bidi="ar"/>
                <w14:textFill>
                  <w14:solidFill>
                    <w14:schemeClr w14:val="tx1"/>
                  </w14:solidFill>
                </w14:textFill>
              </w:rPr>
              <w:t>r</w:t>
            </w:r>
            <w:r>
              <w:rPr>
                <w:color w:val="000000" w:themeColor="text1"/>
                <w:kern w:val="0"/>
                <w:lang w:bidi="ar"/>
                <w14:textFill>
                  <w14:solidFill>
                    <w14:schemeClr w14:val="tx1"/>
                  </w14:solidFill>
                </w14:textFill>
              </w:rPr>
              <w:t xml:space="preserve">） ——预测点处声压级，dB； </w:t>
            </w:r>
          </w:p>
          <w:p w14:paraId="3AA489C0">
            <w:pPr>
              <w:widowControl/>
              <w:spacing w:line="360" w:lineRule="auto"/>
              <w:ind w:firstLine="1200" w:firstLineChars="500"/>
              <w:jc w:val="left"/>
              <w:rPr>
                <w:color w:val="000000" w:themeColor="text1"/>
                <w14:textFill>
                  <w14:solidFill>
                    <w14:schemeClr w14:val="tx1"/>
                  </w14:solidFill>
                </w14:textFill>
              </w:rPr>
            </w:pPr>
            <w:r>
              <w:rPr>
                <w:i/>
                <w:iCs/>
                <w:color w:val="000000" w:themeColor="text1"/>
                <w:kern w:val="0"/>
                <w:lang w:bidi="ar"/>
                <w14:textFill>
                  <w14:solidFill>
                    <w14:schemeClr w14:val="tx1"/>
                  </w14:solidFill>
                </w14:textFill>
              </w:rPr>
              <w:t xml:space="preserve">Lw </w:t>
            </w:r>
            <w:r>
              <w:rPr>
                <w:color w:val="000000" w:themeColor="text1"/>
                <w:kern w:val="0"/>
                <w:lang w:bidi="ar"/>
                <w14:textFill>
                  <w14:solidFill>
                    <w14:schemeClr w14:val="tx1"/>
                  </w14:solidFill>
                </w14:textFill>
              </w:rPr>
              <w:t xml:space="preserve">——由点声源产生的声功率级（A计权或倍频带），dB； </w:t>
            </w:r>
          </w:p>
          <w:p w14:paraId="1FED738A">
            <w:pPr>
              <w:widowControl/>
              <w:spacing w:line="360" w:lineRule="auto"/>
              <w:ind w:firstLine="1200" w:firstLineChars="500"/>
              <w:jc w:val="left"/>
              <w:rPr>
                <w:color w:val="000000" w:themeColor="text1"/>
                <w14:textFill>
                  <w14:solidFill>
                    <w14:schemeClr w14:val="tx1"/>
                  </w14:solidFill>
                </w14:textFill>
              </w:rPr>
            </w:pPr>
            <w:r>
              <w:rPr>
                <w:i/>
                <w:iCs/>
                <w:color w:val="000000" w:themeColor="text1"/>
                <w:kern w:val="0"/>
                <w:lang w:bidi="ar"/>
                <w14:textFill>
                  <w14:solidFill>
                    <w14:schemeClr w14:val="tx1"/>
                  </w14:solidFill>
                </w14:textFill>
              </w:rPr>
              <w:t>D</w:t>
            </w:r>
            <w:r>
              <w:rPr>
                <w:color w:val="000000" w:themeColor="text1"/>
                <w:kern w:val="0"/>
                <w:vertAlign w:val="subscript"/>
                <w:lang w:bidi="ar"/>
                <w14:textFill>
                  <w14:solidFill>
                    <w14:schemeClr w14:val="tx1"/>
                  </w14:solidFill>
                </w14:textFill>
              </w:rPr>
              <w:t>C</w:t>
            </w:r>
            <w:r>
              <w:rPr>
                <w:color w:val="000000" w:themeColor="text1"/>
                <w:kern w:val="0"/>
                <w:lang w:bidi="ar"/>
                <w14:textFill>
                  <w14:solidFill>
                    <w14:schemeClr w14:val="tx1"/>
                  </w14:solidFill>
                </w14:textFill>
              </w:rPr>
              <w:t xml:space="preserve"> ——指向性校正，它描述点声源的等效连续声压级与产生声功率级</w:t>
            </w:r>
            <w:r>
              <w:rPr>
                <w:i/>
                <w:iCs/>
                <w:color w:val="000000" w:themeColor="text1"/>
                <w:kern w:val="0"/>
                <w:lang w:bidi="ar"/>
                <w14:textFill>
                  <w14:solidFill>
                    <w14:schemeClr w14:val="tx1"/>
                  </w14:solidFill>
                </w14:textFill>
              </w:rPr>
              <w:t>Lw</w:t>
            </w:r>
            <w:r>
              <w:rPr>
                <w:color w:val="000000" w:themeColor="text1"/>
                <w:kern w:val="0"/>
                <w:lang w:bidi="ar"/>
                <w14:textFill>
                  <w14:solidFill>
                    <w14:schemeClr w14:val="tx1"/>
                  </w14:solidFill>
                </w14:textFill>
              </w:rPr>
              <w:t xml:space="preserve">的全向点声源在规定方向的声级的偏差程度，dB； </w:t>
            </w:r>
          </w:p>
          <w:p w14:paraId="2F683711">
            <w:pPr>
              <w:widowControl/>
              <w:spacing w:line="360" w:lineRule="auto"/>
              <w:ind w:firstLine="1200" w:firstLineChars="500"/>
              <w:jc w:val="left"/>
              <w:rPr>
                <w:color w:val="000000" w:themeColor="text1"/>
                <w14:textFill>
                  <w14:solidFill>
                    <w14:schemeClr w14:val="tx1"/>
                  </w14:solidFill>
                </w14:textFill>
              </w:rPr>
            </w:pP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 xml:space="preserve">div ——几何发散引起的衰减，dB； </w:t>
            </w:r>
          </w:p>
          <w:p w14:paraId="75A6A79F">
            <w:pPr>
              <w:widowControl/>
              <w:spacing w:line="360" w:lineRule="auto"/>
              <w:ind w:firstLine="1200" w:firstLineChars="500"/>
              <w:jc w:val="left"/>
              <w:rPr>
                <w:color w:val="000000" w:themeColor="text1"/>
                <w14:textFill>
                  <w14:solidFill>
                    <w14:schemeClr w14:val="tx1"/>
                  </w14:solidFill>
                </w14:textFill>
              </w:rPr>
            </w:pP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 xml:space="preserve">atm ——大气吸收引起的衰减，dB； </w:t>
            </w:r>
          </w:p>
          <w:p w14:paraId="134BA61C">
            <w:pPr>
              <w:widowControl/>
              <w:spacing w:line="360" w:lineRule="auto"/>
              <w:ind w:firstLine="1200" w:firstLineChars="500"/>
              <w:jc w:val="left"/>
              <w:rPr>
                <w:color w:val="000000" w:themeColor="text1"/>
                <w14:textFill>
                  <w14:solidFill>
                    <w14:schemeClr w14:val="tx1"/>
                  </w14:solidFill>
                </w14:textFill>
              </w:rPr>
            </w:pP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 xml:space="preserve">gr ——地面效应引起的衰减，dB； </w:t>
            </w:r>
          </w:p>
          <w:p w14:paraId="4111054A">
            <w:pPr>
              <w:widowControl/>
              <w:spacing w:line="360" w:lineRule="auto"/>
              <w:ind w:firstLine="1200" w:firstLineChars="500"/>
              <w:jc w:val="left"/>
              <w:rPr>
                <w:color w:val="000000" w:themeColor="text1"/>
                <w14:textFill>
                  <w14:solidFill>
                    <w14:schemeClr w14:val="tx1"/>
                  </w14:solidFill>
                </w14:textFill>
              </w:rPr>
            </w:pP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 xml:space="preserve">bar ——障碍物屏蔽引起的衰减，dB； </w:t>
            </w:r>
          </w:p>
          <w:p w14:paraId="540F1B4A">
            <w:pPr>
              <w:widowControl/>
              <w:spacing w:line="360" w:lineRule="auto"/>
              <w:ind w:firstLine="1200" w:firstLineChars="500"/>
              <w:jc w:val="left"/>
              <w:rPr>
                <w:bCs/>
                <w:color w:val="000000" w:themeColor="text1"/>
                <w14:textFill>
                  <w14:solidFill>
                    <w14:schemeClr w14:val="tx1"/>
                  </w14:solidFill>
                </w14:textFill>
              </w:rPr>
            </w:pPr>
            <w:r>
              <w:rPr>
                <w:i/>
                <w:iCs/>
                <w:color w:val="000000" w:themeColor="text1"/>
                <w:kern w:val="0"/>
                <w:lang w:bidi="ar"/>
                <w14:textFill>
                  <w14:solidFill>
                    <w14:schemeClr w14:val="tx1"/>
                  </w14:solidFill>
                </w14:textFill>
              </w:rPr>
              <w:t>A</w:t>
            </w:r>
            <w:r>
              <w:rPr>
                <w:color w:val="000000" w:themeColor="text1"/>
                <w:kern w:val="0"/>
                <w:lang w:bidi="ar"/>
                <w14:textFill>
                  <w14:solidFill>
                    <w14:schemeClr w14:val="tx1"/>
                  </w14:solidFill>
                </w14:textFill>
              </w:rPr>
              <w:t>misc ——其他多方面效应引起的衰减，dB</w:t>
            </w:r>
            <w:r>
              <w:rPr>
                <w:bCs/>
                <w:color w:val="000000" w:themeColor="text1"/>
                <w14:textFill>
                  <w14:solidFill>
                    <w14:schemeClr w14:val="tx1"/>
                  </w14:solidFill>
                </w14:textFill>
              </w:rPr>
              <w:t>。</w:t>
            </w:r>
          </w:p>
          <w:p w14:paraId="0EAFD7BF">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为保守起见，本次预测仅考虑声波几何发散衰减，公式简化如下：</w:t>
            </w:r>
          </w:p>
          <w:p w14:paraId="3C2BF121">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961515" cy="539750"/>
                  <wp:effectExtent l="0" t="0" r="31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961515" cy="539750"/>
                          </a:xfrm>
                          <a:prstGeom prst="rect">
                            <a:avLst/>
                          </a:prstGeom>
                          <a:noFill/>
                          <a:ln>
                            <a:noFill/>
                          </a:ln>
                        </pic:spPr>
                      </pic:pic>
                    </a:graphicData>
                  </a:graphic>
                </wp:inline>
              </w:drawing>
            </w:r>
          </w:p>
          <w:p w14:paraId="328F75F2">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（2）室内声源</w:t>
            </w:r>
          </w:p>
          <w:p w14:paraId="1653B753">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对室内噪声源采用等效室外声源声功率级法进行计算。设靠近开口处（或窗户）室内、室外某倍频带的声压级分别为Lp1和Lp2。若声源所在室内声场为近似扩散声场，则室外的倍频带声压级可按下式近似求出：</w:t>
            </w:r>
          </w:p>
          <w:p w14:paraId="52FE7303">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653540" cy="328930"/>
                  <wp:effectExtent l="0" t="0" r="571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1653540" cy="328930"/>
                          </a:xfrm>
                          <a:prstGeom prst="rect">
                            <a:avLst/>
                          </a:prstGeom>
                          <a:noFill/>
                          <a:ln>
                            <a:noFill/>
                          </a:ln>
                        </pic:spPr>
                      </pic:pic>
                    </a:graphicData>
                  </a:graphic>
                </wp:inline>
              </w:drawing>
            </w:r>
          </w:p>
          <w:p w14:paraId="0BFCB178">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式中：TL—隔墙（或窗户）倍频带的隔声量，dB（A）。</w:t>
            </w:r>
          </w:p>
          <w:p w14:paraId="4F9FCCE9">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131820" cy="1565910"/>
                  <wp:effectExtent l="0" t="0" r="508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3131820" cy="1565910"/>
                          </a:xfrm>
                          <a:prstGeom prst="rect">
                            <a:avLst/>
                          </a:prstGeom>
                          <a:noFill/>
                          <a:ln>
                            <a:noFill/>
                          </a:ln>
                        </pic:spPr>
                      </pic:pic>
                    </a:graphicData>
                  </a:graphic>
                </wp:inline>
              </w:drawing>
            </w:r>
          </w:p>
          <w:p w14:paraId="73A2A45B">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也可按照下式计算某一室内声源靠近围护结构处产生的倍频带声压级：</w:t>
            </w:r>
          </w:p>
          <w:p w14:paraId="30BAAC6E">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934845" cy="495300"/>
                  <wp:effectExtent l="0" t="0" r="5080" b="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3"/>
                          <a:stretch>
                            <a:fillRect/>
                          </a:stretch>
                        </pic:blipFill>
                        <pic:spPr>
                          <a:xfrm>
                            <a:off x="0" y="0"/>
                            <a:ext cx="1934845" cy="495300"/>
                          </a:xfrm>
                          <a:prstGeom prst="rect">
                            <a:avLst/>
                          </a:prstGeom>
                          <a:noFill/>
                          <a:ln>
                            <a:noFill/>
                          </a:ln>
                        </pic:spPr>
                      </pic:pic>
                    </a:graphicData>
                  </a:graphic>
                </wp:inline>
              </w:drawing>
            </w:r>
          </w:p>
          <w:p w14:paraId="628E2839">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式中：Q——指向性因数；通常对无指向性声源，当声源放在房间中心时，Q=1；当入在一面墙的中心时，Q=2；当放在两面墙夹角处时，Q=4；当放在三面墙夹角处时，Q=8；</w:t>
            </w:r>
          </w:p>
          <w:p w14:paraId="64465E24">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R——房间常数；R=Sα/（1−α），S为房间内表面面积，m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；α为平均吸声系数；</w:t>
            </w:r>
          </w:p>
          <w:p w14:paraId="0850F89B">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r——声源到靠近围护结构某点处的距离，m。</w:t>
            </w:r>
          </w:p>
          <w:p w14:paraId="5335A56C">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所有室内声源在围护结构处产生的i倍频带叠加声压级的计算：</w:t>
            </w:r>
          </w:p>
          <w:p w14:paraId="601B15E4">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835785" cy="518160"/>
                  <wp:effectExtent l="0" t="0" r="5080" b="190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4"/>
                          <a:stretch>
                            <a:fillRect/>
                          </a:stretch>
                        </pic:blipFill>
                        <pic:spPr>
                          <a:xfrm>
                            <a:off x="0" y="0"/>
                            <a:ext cx="1835785" cy="518160"/>
                          </a:xfrm>
                          <a:prstGeom prst="rect">
                            <a:avLst/>
                          </a:prstGeom>
                          <a:noFill/>
                          <a:ln>
                            <a:noFill/>
                          </a:ln>
                        </pic:spPr>
                      </pic:pic>
                    </a:graphicData>
                  </a:graphic>
                </wp:inline>
              </w:drawing>
            </w:r>
          </w:p>
          <w:p w14:paraId="3E5BA01A">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式中：LP1</w:t>
            </w:r>
            <w:r>
              <w:rPr>
                <w:rFonts w:hint="eastAsia"/>
                <w:bCs/>
                <w:color w:val="000000" w:themeColor="text1"/>
                <w:lang w:eastAsia="zh-CN"/>
                <w14:textFill>
                  <w14:solidFill>
                    <w14:schemeClr w14:val="tx1"/>
                  </w14:solidFill>
                </w14:textFill>
              </w:rPr>
              <w:t>，</w:t>
            </w:r>
            <w:r>
              <w:rPr>
                <w:bCs/>
                <w:color w:val="000000" w:themeColor="text1"/>
                <w14:textFill>
                  <w14:solidFill>
                    <w14:schemeClr w14:val="tx1"/>
                  </w14:solidFill>
                </w14:textFill>
              </w:rPr>
              <w:t>i（T）——靠近围护结构处室内N个声源i倍频带的叠加声压级，dB；</w:t>
            </w:r>
          </w:p>
          <w:p w14:paraId="227C8A8B">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LP1</w:t>
            </w:r>
            <w:r>
              <w:rPr>
                <w:rFonts w:hint="eastAsia"/>
                <w:bCs/>
                <w:color w:val="000000" w:themeColor="text1"/>
                <w:lang w:eastAsia="zh-CN"/>
                <w14:textFill>
                  <w14:solidFill>
                    <w14:schemeClr w14:val="tx1"/>
                  </w14:solidFill>
                </w14:textFill>
              </w:rPr>
              <w:t>，</w:t>
            </w:r>
            <w:r>
              <w:rPr>
                <w:bCs/>
                <w:color w:val="000000" w:themeColor="text1"/>
                <w14:textFill>
                  <w14:solidFill>
                    <w14:schemeClr w14:val="tx1"/>
                  </w14:solidFill>
                </w14:textFill>
              </w:rPr>
              <w:t>j——室内j声源i倍频带的声压级，dB；</w:t>
            </w:r>
          </w:p>
          <w:p w14:paraId="6CD15F57">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N——室内声源总数；</w:t>
            </w:r>
          </w:p>
          <w:p w14:paraId="5705B798">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在室内近似为扩散声场时，按下式计算出靠近室外围护结构处的声压级：</w:t>
            </w:r>
          </w:p>
          <w:p w14:paraId="0C6FEAFB">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29460" cy="321310"/>
                  <wp:effectExtent l="0" t="0" r="1270" b="63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5"/>
                          <a:stretch>
                            <a:fillRect/>
                          </a:stretch>
                        </pic:blipFill>
                        <pic:spPr>
                          <a:xfrm>
                            <a:off x="0" y="0"/>
                            <a:ext cx="2029460" cy="321310"/>
                          </a:xfrm>
                          <a:prstGeom prst="rect">
                            <a:avLst/>
                          </a:prstGeom>
                          <a:noFill/>
                          <a:ln>
                            <a:noFill/>
                          </a:ln>
                        </pic:spPr>
                      </pic:pic>
                    </a:graphicData>
                  </a:graphic>
                </wp:inline>
              </w:drawing>
            </w:r>
          </w:p>
          <w:p w14:paraId="71258F15">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式中：LP2</w:t>
            </w:r>
            <w:r>
              <w:rPr>
                <w:rFonts w:hint="eastAsia"/>
                <w:bCs/>
                <w:color w:val="000000" w:themeColor="text1"/>
                <w:lang w:eastAsia="zh-CN"/>
                <w14:textFill>
                  <w14:solidFill>
                    <w14:schemeClr w14:val="tx1"/>
                  </w14:solidFill>
                </w14:textFill>
              </w:rPr>
              <w:t>，</w:t>
            </w:r>
            <w:r>
              <w:rPr>
                <w:bCs/>
                <w:color w:val="000000" w:themeColor="text1"/>
                <w14:textFill>
                  <w14:solidFill>
                    <w14:schemeClr w14:val="tx1"/>
                  </w14:solidFill>
                </w14:textFill>
              </w:rPr>
              <w:t>i（T）——靠近围护结构处室外N个声源i倍频带的叠加声压级，dB；</w:t>
            </w:r>
          </w:p>
          <w:p w14:paraId="4E58BA82">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TLi——围护结构i倍频带的隔声量，dB；</w:t>
            </w:r>
          </w:p>
          <w:p w14:paraId="5893A82A">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将室外声源的声压级和透过面积换算成等效的室外声源，计算出中心位置于透声面积（S）处的等效声源的倍频带声功率级，见下式：</w:t>
            </w:r>
          </w:p>
          <w:p w14:paraId="3A080C14">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623695" cy="257175"/>
                  <wp:effectExtent l="0" t="0" r="2540" b="6985"/>
                  <wp:docPr id="1849508984" name="图片 184950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08984" name="图片 1849508984"/>
                          <pic:cNvPicPr>
                            <a:picLocks noChangeAspect="1"/>
                          </pic:cNvPicPr>
                        </pic:nvPicPr>
                        <pic:blipFill>
                          <a:blip r:embed="rId26"/>
                          <a:stretch>
                            <a:fillRect/>
                          </a:stretch>
                        </pic:blipFill>
                        <pic:spPr>
                          <a:xfrm>
                            <a:off x="0" y="0"/>
                            <a:ext cx="1623695" cy="257175"/>
                          </a:xfrm>
                          <a:prstGeom prst="rect">
                            <a:avLst/>
                          </a:prstGeom>
                          <a:noFill/>
                          <a:ln>
                            <a:noFill/>
                          </a:ln>
                        </pic:spPr>
                      </pic:pic>
                    </a:graphicData>
                  </a:graphic>
                </wp:inline>
              </w:drawing>
            </w:r>
          </w:p>
          <w:p w14:paraId="2F922154">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然后按室外声源预测方法计算预测点处的A声级。</w:t>
            </w:r>
          </w:p>
          <w:p w14:paraId="05D64ED5">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（3）计算总声压级</w:t>
            </w:r>
          </w:p>
          <w:p w14:paraId="7E55F11E">
            <w:pPr>
              <w:adjustRightInd w:val="0"/>
              <w:snapToGrid w:val="0"/>
              <w:spacing w:line="360" w:lineRule="auto"/>
              <w:ind w:firstLine="480" w:firstLineChars="200"/>
              <w:rPr>
                <w:bCs/>
                <w:color w:val="000000" w:themeColor="text1"/>
                <w14:textFill>
                  <w14:solidFill>
                    <w14:schemeClr w14:val="tx1"/>
                  </w14:solidFill>
                </w14:textFill>
              </w:rPr>
            </w:pPr>
            <w:r>
              <w:rPr>
                <w:rFonts w:hint="eastAsia" w:cs="宋体"/>
                <w:bCs/>
                <w:color w:val="000000" w:themeColor="text1"/>
                <w14:textFill>
                  <w14:solidFill>
                    <w14:schemeClr w14:val="tx1"/>
                  </w14:solidFill>
                </w14:textFill>
              </w:rPr>
              <w:t>①</w:t>
            </w:r>
            <w:r>
              <w:rPr>
                <w:bCs/>
                <w:color w:val="000000" w:themeColor="text1"/>
                <w14:textFill>
                  <w14:solidFill>
                    <w14:schemeClr w14:val="tx1"/>
                  </w14:solidFill>
                </w14:textFill>
              </w:rPr>
              <w:t>多声源声压级的叠加</w:t>
            </w:r>
          </w:p>
          <w:p w14:paraId="042A6211">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对两个以上多个声源同时存在时，多点源叠加计算总源强，采用如下公式：</w:t>
            </w:r>
          </w:p>
          <w:p w14:paraId="496A246C">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65705" cy="454660"/>
                  <wp:effectExtent l="0" t="0" r="2540" b="762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27"/>
                          <a:stretch>
                            <a:fillRect/>
                          </a:stretch>
                        </pic:blipFill>
                        <pic:spPr>
                          <a:xfrm>
                            <a:off x="0" y="0"/>
                            <a:ext cx="2465705" cy="454660"/>
                          </a:xfrm>
                          <a:prstGeom prst="rect">
                            <a:avLst/>
                          </a:prstGeom>
                          <a:noFill/>
                          <a:ln>
                            <a:noFill/>
                          </a:ln>
                        </pic:spPr>
                      </pic:pic>
                    </a:graphicData>
                  </a:graphic>
                </wp:inline>
              </w:drawing>
            </w:r>
          </w:p>
          <w:p w14:paraId="2D772B4C">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式中：Leqg——建设项目声源在预测点的等效声级贡献值，dB（A）；</w:t>
            </w:r>
          </w:p>
          <w:p w14:paraId="73A9CA14">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LAi——第i个室外声源在预测点产生的A声级，dB（A）；</w:t>
            </w:r>
          </w:p>
          <w:p w14:paraId="06E880C2">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LAj——第j个等效室外声源在预测点产生的A声级，dB（A）；</w:t>
            </w:r>
          </w:p>
          <w:p w14:paraId="54006DDE">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tj——在T时间内j声源工作时间，S；</w:t>
            </w:r>
          </w:p>
          <w:p w14:paraId="0D39513F">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ti——在T时间内i声源工作时间，S；</w:t>
            </w:r>
          </w:p>
          <w:p w14:paraId="44CF5CE9">
            <w:pPr>
              <w:adjustRightInd w:val="0"/>
              <w:snapToGrid w:val="0"/>
              <w:spacing w:line="360" w:lineRule="auto"/>
              <w:ind w:firstLine="1440" w:firstLineChars="600"/>
              <w:rPr>
                <w:bCs/>
                <w:color w:val="000000" w:themeColor="text1"/>
                <w14:textFill>
                  <w14:solidFill>
                    <w14:schemeClr w14:val="tx1"/>
                  </w14:solidFill>
                </w14:textFill>
              </w:rPr>
            </w:pPr>
            <w:r>
              <w:rPr>
                <w:bCs/>
                <w:color w:val="000000" w:themeColor="text1"/>
                <w14:textFill>
                  <w14:solidFill>
                    <w14:schemeClr w14:val="tx1"/>
                  </w14:solidFill>
                </w14:textFill>
              </w:rPr>
              <w:t>T——用于计算等效声级的时间，S；</w:t>
            </w:r>
          </w:p>
          <w:p w14:paraId="05A714AD">
            <w:pPr>
              <w:adjustRightInd w:val="0"/>
              <w:snapToGrid w:val="0"/>
              <w:spacing w:line="360" w:lineRule="auto"/>
              <w:ind w:firstLine="1440" w:firstLineChars="600"/>
              <w:rPr>
                <w:bCs/>
                <w:color w:val="000000" w:themeColor="text1"/>
                <w14:textFill>
                  <w14:solidFill>
                    <w14:schemeClr w14:val="tx1"/>
                  </w14:solidFill>
                </w14:textFill>
              </w:rPr>
            </w:pPr>
            <w:r>
              <w:rPr>
                <w:bCs/>
                <w:color w:val="000000" w:themeColor="text1"/>
                <w14:textFill>
                  <w14:solidFill>
                    <w14:schemeClr w14:val="tx1"/>
                  </w14:solidFill>
                </w14:textFill>
              </w:rPr>
              <w:t>N——室外声源个数；</w:t>
            </w:r>
          </w:p>
          <w:p w14:paraId="1E440886">
            <w:pPr>
              <w:adjustRightInd w:val="0"/>
              <w:snapToGrid w:val="0"/>
              <w:spacing w:line="360" w:lineRule="auto"/>
              <w:ind w:firstLine="1440" w:firstLineChars="600"/>
              <w:rPr>
                <w:bCs/>
                <w:color w:val="000000" w:themeColor="text1"/>
                <w14:textFill>
                  <w14:solidFill>
                    <w14:schemeClr w14:val="tx1"/>
                  </w14:solidFill>
                </w14:textFill>
              </w:rPr>
            </w:pPr>
            <w:r>
              <w:rPr>
                <w:bCs/>
                <w:color w:val="000000" w:themeColor="text1"/>
                <w14:textFill>
                  <w14:solidFill>
                    <w14:schemeClr w14:val="tx1"/>
                  </w14:solidFill>
                </w14:textFill>
              </w:rPr>
              <w:t>M——等效室外声源个数。</w:t>
            </w:r>
          </w:p>
          <w:p w14:paraId="457796EC">
            <w:pPr>
              <w:adjustRightInd w:val="0"/>
              <w:snapToGrid w:val="0"/>
              <w:spacing w:line="360" w:lineRule="auto"/>
              <w:ind w:firstLine="480" w:firstLineChars="200"/>
              <w:rPr>
                <w:bCs/>
                <w:color w:val="000000" w:themeColor="text1"/>
                <w14:textFill>
                  <w14:solidFill>
                    <w14:schemeClr w14:val="tx1"/>
                  </w14:solidFill>
                </w14:textFill>
              </w:rPr>
            </w:pPr>
            <w:r>
              <w:rPr>
                <w:rFonts w:hint="eastAsia" w:cs="宋体"/>
                <w:bCs/>
                <w:color w:val="000000" w:themeColor="text1"/>
                <w14:textFill>
                  <w14:solidFill>
                    <w14:schemeClr w14:val="tx1"/>
                  </w14:solidFill>
                </w14:textFill>
              </w:rPr>
              <w:t>②</w:t>
            </w:r>
            <w:r>
              <w:rPr>
                <w:bCs/>
                <w:color w:val="000000" w:themeColor="text1"/>
                <w14:textFill>
                  <w14:solidFill>
                    <w14:schemeClr w14:val="tx1"/>
                  </w14:solidFill>
                </w14:textFill>
              </w:rPr>
              <w:t>预测点的噪声预测值</w:t>
            </w:r>
          </w:p>
          <w:p w14:paraId="33AEE2F3">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为预测项目噪声源对周围声环境的影响情况，首先预测噪声源随距离的衰减，然后将噪声源产生的噪声值与区域噪声背景值叠加，即可以预测不同距离的噪声值。叠加公式为：</w:t>
            </w:r>
          </w:p>
          <w:p w14:paraId="20CE1E3E">
            <w:pPr>
              <w:adjustRightInd w:val="0"/>
              <w:snapToGrid w:val="0"/>
              <w:spacing w:line="360" w:lineRule="auto"/>
              <w:ind w:firstLine="480" w:firstLineChars="20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40890" cy="364490"/>
                  <wp:effectExtent l="0" t="0" r="6350" b="6985"/>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pic:cNvPicPr>
                            <a:picLocks noChangeAspect="1"/>
                          </pic:cNvPicPr>
                        </pic:nvPicPr>
                        <pic:blipFill>
                          <a:blip r:embed="rId28"/>
                          <a:stretch>
                            <a:fillRect/>
                          </a:stretch>
                        </pic:blipFill>
                        <pic:spPr>
                          <a:xfrm>
                            <a:off x="0" y="0"/>
                            <a:ext cx="2040890" cy="364490"/>
                          </a:xfrm>
                          <a:prstGeom prst="rect">
                            <a:avLst/>
                          </a:prstGeom>
                          <a:noFill/>
                          <a:ln>
                            <a:noFill/>
                          </a:ln>
                        </pic:spPr>
                      </pic:pic>
                    </a:graphicData>
                  </a:graphic>
                </wp:inline>
              </w:drawing>
            </w:r>
          </w:p>
          <w:p w14:paraId="068D89FE">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式中：Leq——预测等效声级，dB（A）；</w:t>
            </w:r>
          </w:p>
          <w:p w14:paraId="45C86289">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Leqg——建设项目声源在预测点的等效声级贡献值，dB（A）；</w:t>
            </w:r>
          </w:p>
          <w:p w14:paraId="52597477">
            <w:pPr>
              <w:adjustRightInd w:val="0"/>
              <w:snapToGrid w:val="0"/>
              <w:spacing w:line="360" w:lineRule="auto"/>
              <w:ind w:firstLine="1200" w:firstLineChars="500"/>
              <w:rPr>
                <w:bCs/>
                <w:color w:val="000000" w:themeColor="text1"/>
                <w14:textFill>
                  <w14:solidFill>
                    <w14:schemeClr w14:val="tx1"/>
                  </w14:solidFill>
                </w14:textFill>
              </w:rPr>
            </w:pPr>
            <w:r>
              <w:rPr>
                <w:bCs/>
                <w:color w:val="000000" w:themeColor="text1"/>
                <w14:textFill>
                  <w14:solidFill>
                    <w14:schemeClr w14:val="tx1"/>
                  </w14:solidFill>
                </w14:textFill>
              </w:rPr>
              <w:t>Leqb——预测点的背景值，dB（A）。</w:t>
            </w:r>
          </w:p>
          <w:p w14:paraId="2C4B0FAB">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（4）预测结果</w:t>
            </w:r>
          </w:p>
          <w:p w14:paraId="5F54D071">
            <w:pPr>
              <w:adjustRightInd w:val="0"/>
              <w:snapToGrid w:val="0"/>
              <w:spacing w:line="360" w:lineRule="auto"/>
              <w:ind w:firstLine="480" w:firstLineChars="200"/>
              <w:rPr>
                <w:color w:val="000000" w:themeColor="text1"/>
                <w:lang w:bidi="ar"/>
                <w14:textFill>
                  <w14:solidFill>
                    <w14:schemeClr w14:val="tx1"/>
                  </w14:solidFill>
                </w14:textFill>
              </w:rPr>
            </w:pPr>
            <w:r>
              <w:rPr>
                <w:bCs/>
                <w:color w:val="000000" w:themeColor="text1"/>
                <w14:textFill>
                  <w14:solidFill>
                    <w14:schemeClr w14:val="tx1"/>
                  </w14:solidFill>
                </w14:textFill>
              </w:rPr>
              <w:t>项目噪声预测结果见</w:t>
            </w:r>
            <w:r>
              <w:rPr>
                <w:rFonts w:hint="eastAsia"/>
                <w:bCs/>
                <w:color w:val="000000" w:themeColor="text1"/>
                <w14:textFill>
                  <w14:solidFill>
                    <w14:schemeClr w14:val="tx1"/>
                  </w14:solidFill>
                </w14:textFill>
              </w:rPr>
              <w:t>下</w:t>
            </w:r>
            <w:r>
              <w:rPr>
                <w:bCs/>
                <w:color w:val="000000" w:themeColor="text1"/>
                <w14:textFill>
                  <w14:solidFill>
                    <w14:schemeClr w14:val="tx1"/>
                  </w14:solidFill>
                </w14:textFill>
              </w:rPr>
              <w:t>表</w:t>
            </w:r>
            <w:r>
              <w:rPr>
                <w:color w:val="000000" w:themeColor="text1"/>
                <w:lang w:bidi="ar"/>
                <w14:textFill>
                  <w14:solidFill>
                    <w14:schemeClr w14:val="tx1"/>
                  </w14:solidFill>
                </w14:textFill>
              </w:rPr>
              <w:t>。</w:t>
            </w:r>
          </w:p>
          <w:p w14:paraId="0FC9D9F2">
            <w:pPr>
              <w:jc w:val="center"/>
              <w:rPr>
                <w:b/>
                <w:bCs/>
                <w:color w:val="000000" w:themeColor="text1"/>
                <w:lang w:bidi="ar"/>
                <w14:textFill>
                  <w14:solidFill>
                    <w14:schemeClr w14:val="tx1"/>
                  </w14:solidFill>
                </w14:textFill>
              </w:rPr>
            </w:pPr>
            <w:r>
              <w:rPr>
                <w:rFonts w:hint="eastAsia"/>
                <w:b/>
                <w:bCs/>
                <w:color w:val="000000" w:themeColor="text1"/>
                <w:lang w:bidi="ar"/>
                <w14:textFill>
                  <w14:solidFill>
                    <w14:schemeClr w14:val="tx1"/>
                  </w14:solidFill>
                </w14:textFill>
              </w:rPr>
              <w:t>表4</w:t>
            </w:r>
            <w:r>
              <w:rPr>
                <w:rFonts w:hint="eastAsia"/>
                <w:b/>
                <w:bCs/>
                <w:color w:val="000000" w:themeColor="text1"/>
                <w:lang w:val="en-US" w:eastAsia="zh-CN" w:bidi="ar"/>
                <w14:textFill>
                  <w14:solidFill>
                    <w14:schemeClr w14:val="tx1"/>
                  </w14:solidFill>
                </w14:textFill>
              </w:rPr>
              <w:t>-</w:t>
            </w:r>
            <w:r>
              <w:rPr>
                <w:b/>
                <w:bCs/>
                <w:color w:val="000000" w:themeColor="text1"/>
                <w:lang w:bidi="ar"/>
                <w14:textFill>
                  <w14:solidFill>
                    <w14:schemeClr w14:val="tx1"/>
                  </w14:solidFill>
                </w14:textFill>
              </w:rPr>
              <w:t>1</w:t>
            </w:r>
            <w:r>
              <w:rPr>
                <w:rFonts w:hint="eastAsia"/>
                <w:b/>
                <w:bCs/>
                <w:color w:val="000000" w:themeColor="text1"/>
                <w:lang w:val="en-US" w:eastAsia="zh-CN" w:bidi="ar"/>
                <w14:textFill>
                  <w14:solidFill>
                    <w14:schemeClr w14:val="tx1"/>
                  </w14:solidFill>
                </w14:textFill>
              </w:rPr>
              <w:t xml:space="preserve">2 </w:t>
            </w:r>
            <w:r>
              <w:rPr>
                <w:rFonts w:hint="eastAsia"/>
                <w:b/>
                <w:bCs/>
                <w:color w:val="000000" w:themeColor="text1"/>
                <w:lang w:bidi="ar"/>
                <w14:textFill>
                  <w14:solidFill>
                    <w14:schemeClr w14:val="tx1"/>
                  </w14:solidFill>
                </w14:textFill>
              </w:rPr>
              <w:t xml:space="preserve"> 环境噪声预测结果一览表  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2"/>
              <w:gridCol w:w="1157"/>
              <w:gridCol w:w="1260"/>
              <w:gridCol w:w="1202"/>
              <w:gridCol w:w="1285"/>
              <w:gridCol w:w="1139"/>
            </w:tblGrid>
            <w:tr w14:paraId="5B67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vMerge w:val="restart"/>
                  <w:vAlign w:val="center"/>
                </w:tcPr>
                <w:p w14:paraId="16A283EC">
                  <w:pPr>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位置</w:t>
                  </w:r>
                </w:p>
              </w:tc>
              <w:tc>
                <w:tcPr>
                  <w:tcW w:w="1494" w:type="pct"/>
                  <w:gridSpan w:val="2"/>
                  <w:vAlign w:val="center"/>
                </w:tcPr>
                <w:p w14:paraId="731B448E">
                  <w:pPr>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贡献值</w:t>
                  </w:r>
                </w:p>
              </w:tc>
              <w:tc>
                <w:tcPr>
                  <w:tcW w:w="1537" w:type="pct"/>
                  <w:gridSpan w:val="2"/>
                  <w:vAlign w:val="center"/>
                </w:tcPr>
                <w:p w14:paraId="6197F682">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评价标准</w:t>
                  </w:r>
                </w:p>
              </w:tc>
              <w:tc>
                <w:tcPr>
                  <w:tcW w:w="704" w:type="pct"/>
                  <w:vMerge w:val="restart"/>
                  <w:vAlign w:val="center"/>
                </w:tcPr>
                <w:p w14:paraId="26AF6EAF">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达标情况</w:t>
                  </w:r>
                </w:p>
              </w:tc>
            </w:tr>
            <w:tr w14:paraId="121C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vMerge w:val="continue"/>
                  <w:vAlign w:val="center"/>
                </w:tcPr>
                <w:p w14:paraId="41A8FFE2">
                  <w:pPr>
                    <w:adjustRightInd w:val="0"/>
                    <w:snapToGrid w:val="0"/>
                    <w:jc w:val="center"/>
                    <w:rPr>
                      <w:color w:val="000000" w:themeColor="text1"/>
                      <w:sz w:val="21"/>
                      <w:szCs w:val="21"/>
                      <w14:textFill>
                        <w14:solidFill>
                          <w14:schemeClr w14:val="tx1"/>
                        </w14:solidFill>
                      </w14:textFill>
                    </w:rPr>
                  </w:pPr>
                </w:p>
              </w:tc>
              <w:tc>
                <w:tcPr>
                  <w:tcW w:w="715" w:type="pct"/>
                  <w:vAlign w:val="center"/>
                </w:tcPr>
                <w:p w14:paraId="0C0FFCD6">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c>
                <w:tcPr>
                  <w:tcW w:w="778" w:type="pct"/>
                  <w:vAlign w:val="center"/>
                </w:tcPr>
                <w:p w14:paraId="793F60DC">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夜间</w:t>
                  </w:r>
                </w:p>
              </w:tc>
              <w:tc>
                <w:tcPr>
                  <w:tcW w:w="743" w:type="pct"/>
                  <w:vAlign w:val="center"/>
                </w:tcPr>
                <w:p w14:paraId="6C00A7FD">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昼间</w:t>
                  </w:r>
                </w:p>
              </w:tc>
              <w:tc>
                <w:tcPr>
                  <w:tcW w:w="793" w:type="pct"/>
                  <w:vAlign w:val="center"/>
                </w:tcPr>
                <w:p w14:paraId="4E43ED5C">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夜间</w:t>
                  </w:r>
                </w:p>
              </w:tc>
              <w:tc>
                <w:tcPr>
                  <w:tcW w:w="704" w:type="pct"/>
                  <w:vMerge w:val="continue"/>
                  <w:vAlign w:val="center"/>
                </w:tcPr>
                <w:p w14:paraId="549A618B">
                  <w:pPr>
                    <w:adjustRightInd w:val="0"/>
                    <w:snapToGrid w:val="0"/>
                    <w:jc w:val="center"/>
                    <w:rPr>
                      <w:color w:val="000000" w:themeColor="text1"/>
                      <w:sz w:val="21"/>
                      <w:szCs w:val="21"/>
                      <w14:textFill>
                        <w14:solidFill>
                          <w14:schemeClr w14:val="tx1"/>
                        </w14:solidFill>
                      </w14:textFill>
                    </w:rPr>
                  </w:pPr>
                </w:p>
              </w:tc>
            </w:tr>
            <w:tr w14:paraId="2B56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vAlign w:val="center"/>
                </w:tcPr>
                <w:p w14:paraId="3CA58E92">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厂界东侧</w:t>
                  </w:r>
                </w:p>
              </w:tc>
              <w:tc>
                <w:tcPr>
                  <w:tcW w:w="715" w:type="pct"/>
                  <w:vAlign w:val="center"/>
                </w:tcPr>
                <w:p w14:paraId="4DC8623F">
                  <w:pPr>
                    <w:spacing w:line="320" w:lineRule="atLeast"/>
                    <w:jc w:val="center"/>
                    <w:rPr>
                      <w:rFonts w:hint="default" w:eastAsia="黑体"/>
                      <w:bCs/>
                      <w:color w:val="000000" w:themeColor="text1"/>
                      <w:sz w:val="21"/>
                      <w:szCs w:val="21"/>
                      <w:lang w:val="en-US" w:eastAsia="zh-CN"/>
                      <w14:textFill>
                        <w14:solidFill>
                          <w14:schemeClr w14:val="tx1"/>
                        </w14:solidFill>
                      </w14:textFill>
                    </w:rPr>
                  </w:pPr>
                  <w:r>
                    <w:rPr>
                      <w:rFonts w:hint="eastAsia" w:eastAsia="黑体"/>
                      <w:bCs/>
                      <w:color w:val="000000" w:themeColor="text1"/>
                      <w:sz w:val="21"/>
                      <w:szCs w:val="21"/>
                      <w:lang w:val="en-US" w:eastAsia="zh-CN"/>
                      <w14:textFill>
                        <w14:solidFill>
                          <w14:schemeClr w14:val="tx1"/>
                        </w14:solidFill>
                      </w14:textFill>
                    </w:rPr>
                    <w:t>56.8</w:t>
                  </w:r>
                </w:p>
              </w:tc>
              <w:tc>
                <w:tcPr>
                  <w:tcW w:w="1310" w:type="dxa"/>
                  <w:vAlign w:val="center"/>
                </w:tcPr>
                <w:p w14:paraId="67385718">
                  <w:pPr>
                    <w:spacing w:line="32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43" w:type="pct"/>
                  <w:vAlign w:val="center"/>
                </w:tcPr>
                <w:p w14:paraId="1AF1DF6A">
                  <w:pPr>
                    <w:adjustRightInd w:val="0"/>
                    <w:snapToGrid w:val="0"/>
                    <w:spacing w:before="72" w:beforeLines="30"/>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6</w:t>
                  </w:r>
                  <w:r>
                    <w:rPr>
                      <w:rFonts w:hint="eastAsia" w:eastAsia="黑体"/>
                      <w:color w:val="000000" w:themeColor="text1"/>
                      <w:sz w:val="21"/>
                      <w:szCs w:val="21"/>
                      <w14:textFill>
                        <w14:solidFill>
                          <w14:schemeClr w14:val="tx1"/>
                        </w14:solidFill>
                      </w14:textFill>
                    </w:rPr>
                    <w:t>5</w:t>
                  </w:r>
                </w:p>
              </w:tc>
              <w:tc>
                <w:tcPr>
                  <w:tcW w:w="793" w:type="pct"/>
                  <w:vAlign w:val="center"/>
                </w:tcPr>
                <w:p w14:paraId="54716143">
                  <w:pPr>
                    <w:adjustRightInd w:val="0"/>
                    <w:snapToGrid w:val="0"/>
                    <w:spacing w:before="72" w:beforeLines="3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04" w:type="pct"/>
                  <w:vAlign w:val="center"/>
                </w:tcPr>
                <w:p w14:paraId="54CF8E2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57C8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vAlign w:val="center"/>
                </w:tcPr>
                <w:p w14:paraId="67FB876A">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厂界南侧</w:t>
                  </w:r>
                </w:p>
              </w:tc>
              <w:tc>
                <w:tcPr>
                  <w:tcW w:w="715" w:type="pct"/>
                  <w:vAlign w:val="center"/>
                </w:tcPr>
                <w:p w14:paraId="5018A9F8">
                  <w:pPr>
                    <w:spacing w:line="320" w:lineRule="atLeast"/>
                    <w:jc w:val="center"/>
                    <w:rPr>
                      <w:rFonts w:hint="default" w:eastAsia="黑体"/>
                      <w:bCs/>
                      <w:color w:val="000000" w:themeColor="text1"/>
                      <w:sz w:val="21"/>
                      <w:szCs w:val="21"/>
                      <w:lang w:val="en-US" w:eastAsia="zh-CN"/>
                      <w14:textFill>
                        <w14:solidFill>
                          <w14:schemeClr w14:val="tx1"/>
                        </w14:solidFill>
                      </w14:textFill>
                    </w:rPr>
                  </w:pPr>
                  <w:r>
                    <w:rPr>
                      <w:rFonts w:hint="eastAsia" w:eastAsia="黑体"/>
                      <w:bCs/>
                      <w:color w:val="000000" w:themeColor="text1"/>
                      <w:sz w:val="21"/>
                      <w:szCs w:val="21"/>
                      <w:lang w:val="en-US" w:eastAsia="zh-CN"/>
                      <w14:textFill>
                        <w14:solidFill>
                          <w14:schemeClr w14:val="tx1"/>
                        </w14:solidFill>
                      </w14:textFill>
                    </w:rPr>
                    <w:t>55.4</w:t>
                  </w:r>
                </w:p>
              </w:tc>
              <w:tc>
                <w:tcPr>
                  <w:tcW w:w="1310" w:type="dxa"/>
                  <w:vAlign w:val="center"/>
                </w:tcPr>
                <w:p w14:paraId="1E5B47FC">
                  <w:pPr>
                    <w:spacing w:line="32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43" w:type="pct"/>
                  <w:vAlign w:val="center"/>
                </w:tcPr>
                <w:p w14:paraId="033E2A09">
                  <w:pPr>
                    <w:adjustRightInd w:val="0"/>
                    <w:snapToGrid w:val="0"/>
                    <w:spacing w:before="72" w:beforeLines="30"/>
                    <w:jc w:val="center"/>
                    <w:rPr>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6</w:t>
                  </w:r>
                  <w:r>
                    <w:rPr>
                      <w:rFonts w:hint="eastAsia" w:eastAsia="黑体"/>
                      <w:color w:val="000000" w:themeColor="text1"/>
                      <w:sz w:val="21"/>
                      <w:szCs w:val="21"/>
                      <w14:textFill>
                        <w14:solidFill>
                          <w14:schemeClr w14:val="tx1"/>
                        </w14:solidFill>
                      </w14:textFill>
                    </w:rPr>
                    <w:t>5</w:t>
                  </w:r>
                </w:p>
              </w:tc>
              <w:tc>
                <w:tcPr>
                  <w:tcW w:w="793" w:type="pct"/>
                  <w:vAlign w:val="center"/>
                </w:tcPr>
                <w:p w14:paraId="38054059">
                  <w:pPr>
                    <w:adjustRightInd w:val="0"/>
                    <w:snapToGrid w:val="0"/>
                    <w:spacing w:before="72" w:beforeLines="3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04" w:type="pct"/>
                  <w:vAlign w:val="center"/>
                </w:tcPr>
                <w:p w14:paraId="519D6BFB">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3AAE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vAlign w:val="center"/>
                </w:tcPr>
                <w:p w14:paraId="4DB5115E">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厂界西侧</w:t>
                  </w:r>
                </w:p>
              </w:tc>
              <w:tc>
                <w:tcPr>
                  <w:tcW w:w="715" w:type="pct"/>
                  <w:vAlign w:val="center"/>
                </w:tcPr>
                <w:p w14:paraId="0FE0F25C">
                  <w:pPr>
                    <w:spacing w:line="320" w:lineRule="atLeast"/>
                    <w:jc w:val="center"/>
                    <w:rPr>
                      <w:rFonts w:hint="default" w:eastAsia="黑体"/>
                      <w:bCs/>
                      <w:color w:val="000000" w:themeColor="text1"/>
                      <w:sz w:val="21"/>
                      <w:szCs w:val="21"/>
                      <w:lang w:val="en-US" w:eastAsia="zh-CN"/>
                      <w14:textFill>
                        <w14:solidFill>
                          <w14:schemeClr w14:val="tx1"/>
                        </w14:solidFill>
                      </w14:textFill>
                    </w:rPr>
                  </w:pPr>
                  <w:r>
                    <w:rPr>
                      <w:rFonts w:hint="eastAsia" w:eastAsia="黑体"/>
                      <w:bCs/>
                      <w:color w:val="000000" w:themeColor="text1"/>
                      <w:sz w:val="21"/>
                      <w:szCs w:val="21"/>
                      <w:lang w:val="en-US" w:eastAsia="zh-CN"/>
                      <w14:textFill>
                        <w14:solidFill>
                          <w14:schemeClr w14:val="tx1"/>
                        </w14:solidFill>
                      </w14:textFill>
                    </w:rPr>
                    <w:t>54.3</w:t>
                  </w:r>
                </w:p>
              </w:tc>
              <w:tc>
                <w:tcPr>
                  <w:tcW w:w="1310" w:type="dxa"/>
                  <w:vAlign w:val="center"/>
                </w:tcPr>
                <w:p w14:paraId="3F2DCD1F">
                  <w:pPr>
                    <w:spacing w:line="32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43" w:type="pct"/>
                  <w:vAlign w:val="center"/>
                </w:tcPr>
                <w:p w14:paraId="11D69F05">
                  <w:pPr>
                    <w:adjustRightInd w:val="0"/>
                    <w:snapToGrid w:val="0"/>
                    <w:spacing w:before="72" w:beforeLines="30"/>
                    <w:jc w:val="center"/>
                    <w:rPr>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6</w:t>
                  </w:r>
                  <w:r>
                    <w:rPr>
                      <w:rFonts w:hint="eastAsia" w:eastAsia="黑体"/>
                      <w:color w:val="000000" w:themeColor="text1"/>
                      <w:sz w:val="21"/>
                      <w:szCs w:val="21"/>
                      <w14:textFill>
                        <w14:solidFill>
                          <w14:schemeClr w14:val="tx1"/>
                        </w14:solidFill>
                      </w14:textFill>
                    </w:rPr>
                    <w:t>5</w:t>
                  </w:r>
                </w:p>
              </w:tc>
              <w:tc>
                <w:tcPr>
                  <w:tcW w:w="793" w:type="pct"/>
                  <w:vAlign w:val="center"/>
                </w:tcPr>
                <w:p w14:paraId="1D808672">
                  <w:pPr>
                    <w:adjustRightInd w:val="0"/>
                    <w:snapToGrid w:val="0"/>
                    <w:spacing w:before="72" w:beforeLines="3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04" w:type="pct"/>
                  <w:vAlign w:val="center"/>
                </w:tcPr>
                <w:p w14:paraId="52659B6A">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4364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3" w:type="pct"/>
                  <w:vAlign w:val="center"/>
                </w:tcPr>
                <w:p w14:paraId="6BE9931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厂界北侧</w:t>
                  </w:r>
                </w:p>
              </w:tc>
              <w:tc>
                <w:tcPr>
                  <w:tcW w:w="715" w:type="pct"/>
                  <w:vAlign w:val="center"/>
                </w:tcPr>
                <w:p w14:paraId="13490057">
                  <w:pPr>
                    <w:spacing w:line="320" w:lineRule="atLeast"/>
                    <w:jc w:val="center"/>
                    <w:rPr>
                      <w:rFonts w:hint="default" w:eastAsia="黑体"/>
                      <w:bCs/>
                      <w:color w:val="000000" w:themeColor="text1"/>
                      <w:sz w:val="21"/>
                      <w:szCs w:val="21"/>
                      <w:lang w:val="en-US" w:eastAsia="zh-CN"/>
                      <w14:textFill>
                        <w14:solidFill>
                          <w14:schemeClr w14:val="tx1"/>
                        </w14:solidFill>
                      </w14:textFill>
                    </w:rPr>
                  </w:pPr>
                  <w:r>
                    <w:rPr>
                      <w:rFonts w:hint="eastAsia" w:eastAsia="黑体"/>
                      <w:bCs/>
                      <w:color w:val="000000" w:themeColor="text1"/>
                      <w:sz w:val="21"/>
                      <w:szCs w:val="21"/>
                      <w:lang w:val="en-US" w:eastAsia="zh-CN"/>
                      <w14:textFill>
                        <w14:solidFill>
                          <w14:schemeClr w14:val="tx1"/>
                        </w14:solidFill>
                      </w14:textFill>
                    </w:rPr>
                    <w:t>53.2</w:t>
                  </w:r>
                </w:p>
              </w:tc>
              <w:tc>
                <w:tcPr>
                  <w:tcW w:w="1310" w:type="dxa"/>
                  <w:vAlign w:val="center"/>
                </w:tcPr>
                <w:p w14:paraId="6872DA8D">
                  <w:pPr>
                    <w:spacing w:line="320" w:lineRule="atLeas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43" w:type="pct"/>
                  <w:vAlign w:val="center"/>
                </w:tcPr>
                <w:p w14:paraId="3159636F">
                  <w:pPr>
                    <w:adjustRightInd w:val="0"/>
                    <w:snapToGrid w:val="0"/>
                    <w:spacing w:before="72" w:beforeLines="30"/>
                    <w:jc w:val="center"/>
                    <w:rPr>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6</w:t>
                  </w:r>
                  <w:r>
                    <w:rPr>
                      <w:rFonts w:hint="eastAsia" w:eastAsia="黑体"/>
                      <w:color w:val="000000" w:themeColor="text1"/>
                      <w:sz w:val="21"/>
                      <w:szCs w:val="21"/>
                      <w14:textFill>
                        <w14:solidFill>
                          <w14:schemeClr w14:val="tx1"/>
                        </w14:solidFill>
                      </w14:textFill>
                    </w:rPr>
                    <w:t>5</w:t>
                  </w:r>
                </w:p>
              </w:tc>
              <w:tc>
                <w:tcPr>
                  <w:tcW w:w="793" w:type="pct"/>
                  <w:vAlign w:val="center"/>
                </w:tcPr>
                <w:p w14:paraId="500CF2BB">
                  <w:pPr>
                    <w:adjustRightInd w:val="0"/>
                    <w:snapToGrid w:val="0"/>
                    <w:spacing w:before="72" w:beforeLines="3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04" w:type="pct"/>
                  <w:vAlign w:val="center"/>
                </w:tcPr>
                <w:p w14:paraId="7964D657">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14:paraId="30392C9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bCs/>
                <w:snapToGrid w:val="0"/>
                <w:color w:val="000000" w:themeColor="text1"/>
                <w:kern w:val="0"/>
                <w14:textFill>
                  <w14:solidFill>
                    <w14:schemeClr w14:val="tx1"/>
                  </w14:solidFill>
                </w14:textFill>
              </w:rPr>
            </w:pPr>
            <w:r>
              <w:rPr>
                <w:rFonts w:hint="eastAsia" w:cs="Times New Roman"/>
                <w:bCs/>
                <w:color w:val="000000" w:themeColor="text1"/>
                <w:spacing w:val="0"/>
                <w:sz w:val="24"/>
                <w:szCs w:val="24"/>
                <w:lang w:val="en-US" w:eastAsia="zh-CN"/>
                <w14:textFill>
                  <w14:solidFill>
                    <w14:schemeClr w14:val="tx1"/>
                  </w14:solidFill>
                </w14:textFill>
              </w:rPr>
              <w:t>项目夜间不生产，</w:t>
            </w:r>
            <w:r>
              <w:rPr>
                <w:rFonts w:hint="default" w:ascii="Times New Roman" w:hAnsi="Times New Roman" w:eastAsia="宋体" w:cs="Times New Roman"/>
                <w:bCs/>
                <w:color w:val="000000" w:themeColor="text1"/>
                <w:spacing w:val="0"/>
                <w:sz w:val="24"/>
                <w:szCs w:val="24"/>
                <w14:textFill>
                  <w14:solidFill>
                    <w14:schemeClr w14:val="tx1"/>
                  </w14:solidFill>
                </w14:textFill>
              </w:rPr>
              <w:t>根据预测结果可知，经以上防护措施及墙体隔声和距离的自然衰减</w:t>
            </w:r>
            <w:r>
              <w:rPr>
                <w:rFonts w:hint="default" w:ascii="Times New Roman" w:hAnsi="Times New Roman" w:cs="Times New Roman"/>
                <w:bCs/>
                <w:color w:val="000000" w:themeColor="text1"/>
                <w:spacing w:val="0"/>
                <w:sz w:val="24"/>
                <w:szCs w:val="24"/>
                <w:lang w:val="en-US" w:eastAsia="zh-CN"/>
                <w14:textFill>
                  <w14:solidFill>
                    <w14:schemeClr w14:val="tx1"/>
                  </w14:solidFill>
                </w14:textFill>
              </w:rPr>
              <w:t>等措施</w:t>
            </w:r>
            <w:r>
              <w:rPr>
                <w:rFonts w:hint="default" w:ascii="Times New Roman" w:hAnsi="Times New Roman" w:eastAsia="宋体" w:cs="Times New Roman"/>
                <w:bCs/>
                <w:color w:val="000000" w:themeColor="text1"/>
                <w:spacing w:val="0"/>
                <w:sz w:val="24"/>
                <w:szCs w:val="24"/>
                <w14:textFill>
                  <w14:solidFill>
                    <w14:schemeClr w14:val="tx1"/>
                  </w14:solidFill>
                </w14:textFill>
              </w:rPr>
              <w:t>后，项目四周厂界均满足《工业企业厂界环境噪声排放标准》（GB12348-2008）中</w:t>
            </w:r>
            <w:r>
              <w:rPr>
                <w:rFonts w:hint="default" w:ascii="Times New Roman" w:hAnsi="Times New Roman" w:eastAsia="宋体" w:cs="Times New Roman"/>
                <w:bCs/>
                <w:color w:val="000000" w:themeColor="text1"/>
                <w:spacing w:val="0"/>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sz w:val="24"/>
                <w:szCs w:val="24"/>
                <w14:textFill>
                  <w14:solidFill>
                    <w14:schemeClr w14:val="tx1"/>
                  </w14:solidFill>
                </w14:textFill>
              </w:rPr>
              <w:t>类标准要求，不会对周围声环境及内部造成明显影响。</w:t>
            </w:r>
          </w:p>
          <w:p w14:paraId="627514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14:textFill>
                  <w14:solidFill>
                    <w14:schemeClr w14:val="tx1"/>
                  </w14:solidFill>
                </w14:textFill>
              </w:rPr>
            </w:pPr>
            <w:r>
              <w:rPr>
                <w:rFonts w:hint="eastAsia"/>
                <w:bCs/>
                <w:snapToGrid w:val="0"/>
                <w:color w:val="000000" w:themeColor="text1"/>
                <w:kern w:val="0"/>
                <w14:textFill>
                  <w14:solidFill>
                    <w14:schemeClr w14:val="tx1"/>
                  </w14:solidFill>
                </w14:textFill>
              </w:rPr>
              <w:t>3、</w:t>
            </w:r>
            <w:r>
              <w:rPr>
                <w:color w:val="000000" w:themeColor="text1"/>
                <w:lang w:bidi="ar"/>
                <w14:textFill>
                  <w14:solidFill>
                    <w14:schemeClr w14:val="tx1"/>
                  </w14:solidFill>
                </w14:textFill>
              </w:rPr>
              <w:t>噪声</w:t>
            </w:r>
            <w:r>
              <w:rPr>
                <w:bCs/>
                <w:snapToGrid w:val="0"/>
                <w:color w:val="000000" w:themeColor="text1"/>
                <w:kern w:val="0"/>
                <w14:textFill>
                  <w14:solidFill>
                    <w14:schemeClr w14:val="tx1"/>
                  </w14:solidFill>
                </w14:textFill>
              </w:rPr>
              <w:t>治理措施</w:t>
            </w:r>
          </w:p>
          <w:p w14:paraId="6F047730">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本项目生产设备在运行期间均会产生噪声，建设单位采取以下措施来减轻生产设备运行噪声的环境影响。</w:t>
            </w:r>
          </w:p>
          <w:p w14:paraId="3E55451F">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（1）选用低噪声设备或带隔声、消声的设备，从源头减少噪声的产生。</w:t>
            </w:r>
          </w:p>
          <w:p w14:paraId="18B84635">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（2）合理布局设备位置，使高强度的噪声设备远离项目边界。</w:t>
            </w:r>
          </w:p>
          <w:p w14:paraId="65D3ED1E">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）对噪声值高的设备采取减振、消声、隔声等措施降低噪声值。</w:t>
            </w:r>
          </w:p>
          <w:p w14:paraId="374FC20A">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4</w:t>
            </w:r>
            <w:r>
              <w:rPr>
                <w:bCs/>
                <w:color w:val="000000" w:themeColor="text1"/>
                <w14:textFill>
                  <w14:solidFill>
                    <w14:schemeClr w14:val="tx1"/>
                  </w14:solidFill>
                </w14:textFill>
              </w:rPr>
              <w:t>）定期对生产设备进行保养维修，保证生产设备维持的良好使用状态，并严格遵守生产设备的操作规范。</w:t>
            </w:r>
          </w:p>
          <w:p w14:paraId="031F98F5">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通过采取以上措施后，项目厂界满足《工业企业厂界环境噪声排放标准》（GB12348-2008）中的</w:t>
            </w:r>
            <w:r>
              <w:rPr>
                <w:rFonts w:hint="eastAsia"/>
                <w:bCs/>
                <w:color w:val="000000" w:themeColor="text1"/>
                <w:lang w:val="en-US" w:eastAsia="zh-CN"/>
                <w14:textFill>
                  <w14:solidFill>
                    <w14:schemeClr w14:val="tx1"/>
                  </w14:solidFill>
                </w14:textFill>
              </w:rPr>
              <w:t>3</w:t>
            </w:r>
            <w:r>
              <w:rPr>
                <w:bCs/>
                <w:color w:val="000000" w:themeColor="text1"/>
                <w14:textFill>
                  <w14:solidFill>
                    <w14:schemeClr w14:val="tx1"/>
                  </w14:solidFill>
                </w14:textFill>
              </w:rPr>
              <w:t>类标准限值要求，对周边区域声环境影响较小。</w:t>
            </w:r>
          </w:p>
          <w:p w14:paraId="36C47330">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r>
              <w:rPr>
                <w:color w:val="000000" w:themeColor="text1"/>
                <w:lang w:bidi="ar"/>
                <w14:textFill>
                  <w14:solidFill>
                    <w14:schemeClr w14:val="tx1"/>
                  </w14:solidFill>
                </w14:textFill>
              </w:rPr>
              <w:t>噪声</w:t>
            </w:r>
            <w:r>
              <w:rPr>
                <w:bCs/>
                <w:color w:val="000000" w:themeColor="text1"/>
                <w14:textFill>
                  <w14:solidFill>
                    <w14:schemeClr w14:val="tx1"/>
                  </w14:solidFill>
                </w14:textFill>
              </w:rPr>
              <w:t>监测计划</w:t>
            </w:r>
          </w:p>
          <w:p w14:paraId="7512626F">
            <w:pPr>
              <w:spacing w:line="360" w:lineRule="auto"/>
              <w:ind w:firstLine="48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本项目监测计划根据</w:t>
            </w:r>
            <w:r>
              <w:rPr>
                <w:rFonts w:hint="eastAsia"/>
                <w:color w:val="auto"/>
                <w:kern w:val="0"/>
                <w:sz w:val="24"/>
                <w:lang w:val="en-US" w:eastAsia="zh-CN" w:bidi="ar"/>
              </w:rPr>
              <w:t>《</w:t>
            </w:r>
            <w:r>
              <w:rPr>
                <w:rFonts w:hint="eastAsia"/>
                <w:color w:val="auto"/>
                <w:kern w:val="0"/>
                <w:sz w:val="24"/>
                <w:lang w:bidi="ar"/>
              </w:rPr>
              <w:t>排污许可证申请与核发技术规范 工业噪声</w:t>
            </w:r>
            <w:r>
              <w:rPr>
                <w:rFonts w:hint="eastAsia"/>
                <w:color w:val="auto"/>
                <w:kern w:val="0"/>
                <w:sz w:val="24"/>
                <w:lang w:val="en-US" w:eastAsia="zh-CN" w:bidi="ar"/>
              </w:rPr>
              <w:t>》</w:t>
            </w:r>
            <w:r>
              <w:rPr>
                <w:rFonts w:hint="eastAsia"/>
                <w:color w:val="auto"/>
                <w:kern w:val="0"/>
                <w:sz w:val="24"/>
                <w:lang w:bidi="ar"/>
              </w:rPr>
              <w:t xml:space="preserve">（HJ </w:t>
            </w:r>
            <w:r>
              <w:rPr>
                <w:rFonts w:hint="eastAsia"/>
                <w:color w:val="auto"/>
                <w:kern w:val="0"/>
                <w:sz w:val="24"/>
                <w:lang w:val="en-US" w:eastAsia="zh-CN" w:bidi="ar"/>
              </w:rPr>
              <w:t>1301-</w:t>
            </w:r>
            <w:r>
              <w:rPr>
                <w:rFonts w:hint="eastAsia"/>
                <w:color w:val="auto"/>
                <w:kern w:val="0"/>
                <w:sz w:val="24"/>
                <w:lang w:bidi="ar"/>
              </w:rPr>
              <w:t>202</w:t>
            </w:r>
            <w:r>
              <w:rPr>
                <w:rFonts w:hint="eastAsia"/>
                <w:color w:val="auto"/>
                <w:kern w:val="0"/>
                <w:sz w:val="24"/>
                <w:lang w:val="en-US" w:eastAsia="zh-CN" w:bidi="ar"/>
              </w:rPr>
              <w:t>3</w:t>
            </w:r>
            <w:r>
              <w:rPr>
                <w:rFonts w:hint="eastAsia"/>
                <w:color w:val="auto"/>
                <w:kern w:val="0"/>
                <w:sz w:val="24"/>
                <w:lang w:bidi="ar"/>
              </w:rPr>
              <w:t>）</w:t>
            </w:r>
            <w:r>
              <w:rPr>
                <w:rFonts w:hint="eastAsia"/>
                <w:bCs/>
                <w:color w:val="000000" w:themeColor="text1"/>
                <w14:textFill>
                  <w14:solidFill>
                    <w14:schemeClr w14:val="tx1"/>
                  </w14:solidFill>
                </w14:textFill>
              </w:rPr>
              <w:t>中相关要求，项目在投入运行后，需定期对项目污染源开展监测活动，具体如下所示。</w:t>
            </w:r>
          </w:p>
          <w:p w14:paraId="657C9B84">
            <w:pPr>
              <w:autoSpaceDE w:val="0"/>
              <w:autoSpaceDN w:val="0"/>
              <w:adjustRightInd w:val="0"/>
              <w:jc w:val="center"/>
              <w:rPr>
                <w:b/>
                <w:bCs/>
                <w:color w:val="000000" w:themeColor="text1"/>
                <w:kern w:val="0"/>
                <w:sz w:val="21"/>
                <w:szCs w:val="21"/>
                <w14:textFill>
                  <w14:solidFill>
                    <w14:schemeClr w14:val="tx1"/>
                  </w14:solidFill>
                </w14:textFill>
              </w:rPr>
            </w:pPr>
            <w:r>
              <w:rPr>
                <w:b/>
                <w:bCs/>
                <w:color w:val="000000" w:themeColor="text1"/>
                <w:kern w:val="0"/>
                <w:lang w:bidi="ar"/>
                <w14:textFill>
                  <w14:solidFill>
                    <w14:schemeClr w14:val="tx1"/>
                  </w14:solidFill>
                </w14:textFill>
              </w:rPr>
              <w:t>表4</w:t>
            </w:r>
            <w:r>
              <w:rPr>
                <w:rFonts w:hint="eastAsia"/>
                <w:b/>
                <w:bCs/>
                <w:color w:val="000000" w:themeColor="text1"/>
                <w:kern w:val="0"/>
                <w:lang w:val="en-US" w:eastAsia="zh-CN" w:bidi="ar"/>
                <w14:textFill>
                  <w14:solidFill>
                    <w14:schemeClr w14:val="tx1"/>
                  </w14:solidFill>
                </w14:textFill>
              </w:rPr>
              <w:t>-</w:t>
            </w:r>
            <w:r>
              <w:rPr>
                <w:b/>
                <w:bCs/>
                <w:color w:val="000000" w:themeColor="text1"/>
                <w:kern w:val="0"/>
                <w:lang w:bidi="ar"/>
                <w14:textFill>
                  <w14:solidFill>
                    <w14:schemeClr w14:val="tx1"/>
                  </w14:solidFill>
                </w14:textFill>
              </w:rPr>
              <w:t>1</w:t>
            </w:r>
            <w:r>
              <w:rPr>
                <w:rFonts w:hint="eastAsia"/>
                <w:b/>
                <w:bCs/>
                <w:color w:val="000000" w:themeColor="text1"/>
                <w:kern w:val="0"/>
                <w:lang w:val="en-US" w:eastAsia="zh-CN" w:bidi="ar"/>
                <w14:textFill>
                  <w14:solidFill>
                    <w14:schemeClr w14:val="tx1"/>
                  </w14:solidFill>
                </w14:textFill>
              </w:rPr>
              <w:t>3</w:t>
            </w:r>
            <w:r>
              <w:rPr>
                <w:b/>
                <w:bCs/>
                <w:color w:val="000000" w:themeColor="text1"/>
                <w:kern w:val="0"/>
                <w:lang w:bidi="ar"/>
                <w14:textFill>
                  <w14:solidFill>
                    <w14:schemeClr w14:val="tx1"/>
                  </w14:solidFill>
                </w14:textFill>
              </w:rPr>
              <w:t xml:space="preserve">  噪声监测计划表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628"/>
              <w:gridCol w:w="1233"/>
              <w:gridCol w:w="3827"/>
            </w:tblGrid>
            <w:tr w14:paraId="196F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2" w:type="dxa"/>
                  <w:vAlign w:val="center"/>
                </w:tcPr>
                <w:p w14:paraId="2361221B">
                  <w:pPr>
                    <w:pStyle w:val="84"/>
                    <w:spacing w:line="240" w:lineRule="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监测点位置</w:t>
                  </w:r>
                </w:p>
              </w:tc>
              <w:tc>
                <w:tcPr>
                  <w:tcW w:w="1598" w:type="dxa"/>
                  <w:vAlign w:val="center"/>
                </w:tcPr>
                <w:p w14:paraId="194C0BAD">
                  <w:pPr>
                    <w:pStyle w:val="84"/>
                    <w:spacing w:line="240" w:lineRule="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w:t>
                  </w:r>
                  <w:r>
                    <w:rPr>
                      <w:rFonts w:hint="eastAsia"/>
                      <w:b/>
                      <w:bCs/>
                      <w:color w:val="000000" w:themeColor="text1"/>
                      <w:sz w:val="21"/>
                      <w14:textFill>
                        <w14:solidFill>
                          <w14:schemeClr w14:val="tx1"/>
                        </w14:solidFill>
                      </w14:textFill>
                    </w:rPr>
                    <w:t>指标</w:t>
                  </w:r>
                </w:p>
              </w:tc>
              <w:tc>
                <w:tcPr>
                  <w:tcW w:w="1210" w:type="dxa"/>
                  <w:vAlign w:val="center"/>
                </w:tcPr>
                <w:p w14:paraId="15564469">
                  <w:pPr>
                    <w:pStyle w:val="84"/>
                    <w:spacing w:line="240" w:lineRule="auto"/>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监测频</w:t>
                  </w:r>
                  <w:r>
                    <w:rPr>
                      <w:rFonts w:hint="eastAsia"/>
                      <w:b/>
                      <w:bCs/>
                      <w:color w:val="000000" w:themeColor="text1"/>
                      <w:sz w:val="21"/>
                      <w14:textFill>
                        <w14:solidFill>
                          <w14:schemeClr w14:val="tx1"/>
                        </w14:solidFill>
                      </w14:textFill>
                    </w:rPr>
                    <w:t>次</w:t>
                  </w:r>
                </w:p>
              </w:tc>
              <w:tc>
                <w:tcPr>
                  <w:tcW w:w="3756" w:type="dxa"/>
                  <w:vAlign w:val="center"/>
                </w:tcPr>
                <w:p w14:paraId="29F6DEBA">
                  <w:pPr>
                    <w:pStyle w:val="84"/>
                    <w:spacing w:line="240" w:lineRule="auto"/>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执行标准</w:t>
                  </w:r>
                </w:p>
              </w:tc>
            </w:tr>
            <w:tr w14:paraId="6628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2" w:type="dxa"/>
                  <w:vAlign w:val="center"/>
                </w:tcPr>
                <w:p w14:paraId="0520171C">
                  <w:pPr>
                    <w:pStyle w:val="84"/>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厂界四周各布设一个噪声监测点</w:t>
                  </w:r>
                </w:p>
              </w:tc>
              <w:tc>
                <w:tcPr>
                  <w:tcW w:w="1598" w:type="dxa"/>
                  <w:vAlign w:val="center"/>
                </w:tcPr>
                <w:p w14:paraId="6E2D59B8">
                  <w:pPr>
                    <w:pStyle w:val="84"/>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连续等效A声级</w:t>
                  </w:r>
                </w:p>
              </w:tc>
              <w:tc>
                <w:tcPr>
                  <w:tcW w:w="1210" w:type="dxa"/>
                  <w:vAlign w:val="center"/>
                </w:tcPr>
                <w:p w14:paraId="75B4137C">
                  <w:pPr>
                    <w:pStyle w:val="84"/>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每</w:t>
                  </w:r>
                  <w:r>
                    <w:rPr>
                      <w:rFonts w:hint="eastAsia"/>
                      <w:color w:val="000000" w:themeColor="text1"/>
                      <w:sz w:val="21"/>
                      <w14:textFill>
                        <w14:solidFill>
                          <w14:schemeClr w14:val="tx1"/>
                        </w14:solidFill>
                      </w14:textFill>
                    </w:rPr>
                    <w:t>季</w:t>
                  </w:r>
                  <w:r>
                    <w:rPr>
                      <w:color w:val="000000" w:themeColor="text1"/>
                      <w:sz w:val="21"/>
                      <w14:textFill>
                        <w14:solidFill>
                          <w14:schemeClr w14:val="tx1"/>
                        </w14:solidFill>
                      </w14:textFill>
                    </w:rPr>
                    <w:t>一次</w:t>
                  </w:r>
                </w:p>
              </w:tc>
              <w:tc>
                <w:tcPr>
                  <w:tcW w:w="3756" w:type="dxa"/>
                  <w:vAlign w:val="center"/>
                </w:tcPr>
                <w:p w14:paraId="774DFF13">
                  <w:pPr>
                    <w:pStyle w:val="84"/>
                    <w:spacing w:line="240" w:lineRule="auto"/>
                    <w:rPr>
                      <w:color w:val="000000" w:themeColor="text1"/>
                      <w:sz w:val="21"/>
                      <w14:textFill>
                        <w14:solidFill>
                          <w14:schemeClr w14:val="tx1"/>
                        </w14:solidFill>
                      </w14:textFill>
                    </w:rPr>
                  </w:pPr>
                  <w:r>
                    <w:rPr>
                      <w:color w:val="000000" w:themeColor="text1"/>
                      <w:sz w:val="21"/>
                      <w14:textFill>
                        <w14:solidFill>
                          <w14:schemeClr w14:val="tx1"/>
                        </w14:solidFill>
                      </w14:textFill>
                    </w:rPr>
                    <w:t>《工业企业厂界环境噪声排放标准》（GB12348-2008）的中</w:t>
                  </w:r>
                  <w:r>
                    <w:rPr>
                      <w:rFonts w:hint="eastAsia"/>
                      <w:color w:val="000000" w:themeColor="text1"/>
                      <w:sz w:val="21"/>
                      <w14:textFill>
                        <w14:solidFill>
                          <w14:schemeClr w14:val="tx1"/>
                        </w14:solidFill>
                      </w14:textFill>
                    </w:rPr>
                    <w:t>3</w:t>
                  </w:r>
                  <w:r>
                    <w:rPr>
                      <w:color w:val="000000" w:themeColor="text1"/>
                      <w:sz w:val="21"/>
                      <w14:textFill>
                        <w14:solidFill>
                          <w14:schemeClr w14:val="tx1"/>
                        </w14:solidFill>
                      </w14:textFill>
                    </w:rPr>
                    <w:t>类标准</w:t>
                  </w:r>
                </w:p>
              </w:tc>
            </w:tr>
          </w:tbl>
          <w:p w14:paraId="469861E7">
            <w:pPr>
              <w:pStyle w:val="114"/>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四、</w:t>
            </w:r>
            <w:r>
              <w:rPr>
                <w:b/>
                <w:bCs/>
                <w:color w:val="000000" w:themeColor="text1"/>
                <w14:textFill>
                  <w14:solidFill>
                    <w14:schemeClr w14:val="tx1"/>
                  </w14:solidFill>
                </w14:textFill>
              </w:rPr>
              <w:t>固体废物</w:t>
            </w:r>
          </w:p>
          <w:p w14:paraId="40AE0D47">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本项目所产生的固体废物为生活垃圾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一般固废和危险废物</w:t>
            </w:r>
            <w:r>
              <w:rPr>
                <w:rFonts w:hint="eastAsia"/>
                <w:color w:val="000000" w:themeColor="text1"/>
                <w14:textFill>
                  <w14:solidFill>
                    <w14:schemeClr w14:val="tx1"/>
                  </w14:solidFill>
                </w14:textFill>
              </w:rPr>
              <w:t>。</w:t>
            </w:r>
          </w:p>
          <w:p w14:paraId="7EE2C150">
            <w:pPr>
              <w:pStyle w:val="12"/>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1、生活垃圾</w:t>
            </w:r>
          </w:p>
          <w:p w14:paraId="47CB083C">
            <w:pPr>
              <w:pStyle w:val="116"/>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Times New Roman" w:hAnsi="Times New Roman"/>
                <w:color w:val="000000" w:themeColor="text1"/>
                <w:position w:val="17"/>
                <w:lang w:eastAsia="zh-CN"/>
                <w14:textFill>
                  <w14:solidFill>
                    <w14:schemeClr w14:val="tx1"/>
                  </w14:solidFill>
                </w14:textFill>
              </w:rPr>
            </w:pPr>
            <w:r>
              <w:rPr>
                <w:rFonts w:ascii="Times New Roman" w:hAnsi="Times New Roman"/>
                <w:color w:val="000000" w:themeColor="text1"/>
                <w:position w:val="17"/>
                <w:lang w:eastAsia="zh-CN"/>
                <w14:textFill>
                  <w14:solidFill>
                    <w14:schemeClr w14:val="tx1"/>
                  </w14:solidFill>
                </w14:textFill>
              </w:rPr>
              <w:t>项目员工</w:t>
            </w:r>
            <w:r>
              <w:rPr>
                <w:rFonts w:hint="eastAsia" w:ascii="Times New Roman" w:hAnsi="Times New Roman"/>
                <w:color w:val="000000" w:themeColor="text1"/>
                <w:position w:val="17"/>
                <w:lang w:val="en-US" w:eastAsia="zh-CN"/>
                <w14:textFill>
                  <w14:solidFill>
                    <w14:schemeClr w14:val="tx1"/>
                  </w14:solidFill>
                </w14:textFill>
              </w:rPr>
              <w:t>60</w:t>
            </w:r>
            <w:r>
              <w:rPr>
                <w:rFonts w:ascii="Times New Roman" w:hAnsi="Times New Roman"/>
                <w:color w:val="000000" w:themeColor="text1"/>
                <w:position w:val="17"/>
                <w:lang w:eastAsia="zh-CN"/>
                <w14:textFill>
                  <w14:solidFill>
                    <w14:schemeClr w14:val="tx1"/>
                  </w14:solidFill>
                </w14:textFill>
              </w:rPr>
              <w:t>人，年工作</w:t>
            </w:r>
            <w:r>
              <w:rPr>
                <w:rFonts w:hint="eastAsia" w:ascii="Times New Roman" w:hAnsi="Times New Roman"/>
                <w:color w:val="000000" w:themeColor="text1"/>
                <w:position w:val="17"/>
                <w:lang w:val="en-US" w:eastAsia="zh-CN"/>
                <w14:textFill>
                  <w14:solidFill>
                    <w14:schemeClr w14:val="tx1"/>
                  </w14:solidFill>
                </w14:textFill>
              </w:rPr>
              <w:t>300</w:t>
            </w:r>
            <w:r>
              <w:rPr>
                <w:rFonts w:ascii="Times New Roman" w:hAnsi="Times New Roman"/>
                <w:color w:val="000000" w:themeColor="text1"/>
                <w:position w:val="17"/>
                <w:lang w:eastAsia="zh-CN"/>
                <w14:textFill>
                  <w14:solidFill>
                    <w14:schemeClr w14:val="tx1"/>
                  </w14:solidFill>
                </w14:textFill>
              </w:rPr>
              <w:t>d，生活垃圾产生量按照0.5kg/人·d计算，产生生活垃圾量</w:t>
            </w:r>
            <w:r>
              <w:rPr>
                <w:rFonts w:hint="eastAsia" w:ascii="Times New Roman" w:hAnsi="Times New Roman"/>
                <w:color w:val="000000" w:themeColor="text1"/>
                <w:position w:val="17"/>
                <w:lang w:val="en-US" w:eastAsia="zh-CN"/>
                <w14:textFill>
                  <w14:solidFill>
                    <w14:schemeClr w14:val="tx1"/>
                  </w14:solidFill>
                </w14:textFill>
              </w:rPr>
              <w:t>9</w:t>
            </w:r>
            <w:r>
              <w:rPr>
                <w:rFonts w:ascii="Times New Roman" w:hAnsi="Times New Roman"/>
                <w:color w:val="000000" w:themeColor="text1"/>
                <w:position w:val="17"/>
                <w:lang w:eastAsia="zh-CN"/>
                <w14:textFill>
                  <w14:solidFill>
                    <w14:schemeClr w14:val="tx1"/>
                  </w14:solidFill>
                </w14:textFill>
              </w:rPr>
              <w:t>t/a。由环卫部门定期清运处理</w:t>
            </w:r>
            <w:r>
              <w:rPr>
                <w:rFonts w:hint="eastAsia" w:ascii="Times New Roman" w:hAnsi="Times New Roman"/>
                <w:color w:val="000000" w:themeColor="text1"/>
                <w:position w:val="17"/>
                <w:lang w:eastAsia="zh-CN"/>
                <w14:textFill>
                  <w14:solidFill>
                    <w14:schemeClr w14:val="tx1"/>
                  </w14:solidFill>
                </w14:textFill>
              </w:rPr>
              <w:t>。</w:t>
            </w:r>
          </w:p>
          <w:p w14:paraId="48E426F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一般固废</w:t>
            </w:r>
          </w:p>
          <w:p w14:paraId="6E6048A6">
            <w:pPr>
              <w:adjustRightInd w:val="0"/>
              <w:snapToGrid w:val="0"/>
              <w:spacing w:line="360" w:lineRule="auto"/>
              <w:ind w:firstLine="480" w:firstLineChars="200"/>
            </w:pPr>
            <w:r>
              <w:rPr>
                <w:rFonts w:hint="eastAsia"/>
                <w:color w:val="000000" w:themeColor="text1"/>
                <w:kern w:val="0"/>
                <w:szCs w:val="24"/>
                <w:lang w:val="en-US" w:eastAsia="zh-CN" w:bidi="ar"/>
                <w14:textFill>
                  <w14:solidFill>
                    <w14:schemeClr w14:val="tx1"/>
                  </w14:solidFill>
                </w14:textFill>
              </w:rPr>
              <w:t>（1）废边角料：</w:t>
            </w:r>
            <w:r>
              <w:rPr>
                <w:rFonts w:hint="eastAsia" w:ascii="宋体" w:hAnsi="宋体" w:cs="宋体"/>
                <w:color w:val="000000"/>
                <w:kern w:val="0"/>
                <w:lang w:bidi="ar"/>
              </w:rPr>
              <w:t>项目</w:t>
            </w:r>
            <w:r>
              <w:rPr>
                <w:rFonts w:hint="eastAsia" w:ascii="宋体" w:hAnsi="宋体" w:cs="宋体"/>
                <w:color w:val="000000"/>
                <w:kern w:val="0"/>
                <w:lang w:val="en-US" w:eastAsia="zh-CN" w:bidi="ar"/>
              </w:rPr>
              <w:t>下料、</w:t>
            </w:r>
            <w:r>
              <w:rPr>
                <w:rFonts w:hint="eastAsia" w:ascii="宋体" w:hAnsi="宋体" w:cs="宋体"/>
                <w:color w:val="000000"/>
                <w:kern w:val="0"/>
                <w:lang w:bidi="ar"/>
              </w:rPr>
              <w:t>机加工</w:t>
            </w:r>
            <w:r>
              <w:rPr>
                <w:rFonts w:hint="eastAsia" w:ascii="宋体" w:hAnsi="宋体" w:cs="宋体"/>
                <w:color w:val="000000"/>
                <w:kern w:val="0"/>
                <w:lang w:val="en-US" w:eastAsia="zh-CN" w:bidi="ar"/>
              </w:rPr>
              <w:t>等</w:t>
            </w:r>
            <w:r>
              <w:rPr>
                <w:rFonts w:hint="eastAsia" w:ascii="宋体" w:hAnsi="宋体" w:cs="宋体"/>
                <w:color w:val="000000"/>
                <w:kern w:val="0"/>
                <w:lang w:bidi="ar"/>
              </w:rPr>
              <w:t>工序等将会产生</w:t>
            </w:r>
            <w:r>
              <w:rPr>
                <w:rFonts w:hint="eastAsia"/>
                <w:color w:val="000000" w:themeColor="text1"/>
                <w:kern w:val="0"/>
                <w:szCs w:val="24"/>
                <w:lang w:val="en-US" w:eastAsia="zh-CN" w:bidi="ar"/>
                <w14:textFill>
                  <w14:solidFill>
                    <w14:schemeClr w14:val="tx1"/>
                  </w14:solidFill>
                </w14:textFill>
              </w:rPr>
              <w:t>废边角料</w:t>
            </w:r>
            <w:r>
              <w:rPr>
                <w:rFonts w:hint="eastAsia"/>
                <w:color w:val="000000" w:themeColor="text1"/>
                <w14:textFill>
                  <w14:solidFill>
                    <w14:schemeClr w14:val="tx1"/>
                  </w14:solidFill>
                </w14:textFill>
              </w:rPr>
              <w:t>，</w:t>
            </w:r>
            <w:r>
              <w:t>产生量约</w:t>
            </w:r>
            <w:r>
              <w:rPr>
                <w:rFonts w:hint="eastAsia"/>
                <w:lang w:val="en-US" w:eastAsia="zh-CN"/>
              </w:rPr>
              <w:t>1.5</w:t>
            </w:r>
            <w:r>
              <w:t>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收集后暂存于一般固废暂存库内，统一外</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售至物资回收公司</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根据</w:t>
            </w:r>
            <w:r>
              <w:rPr>
                <w:rFonts w:hint="eastAsia"/>
                <w:color w:val="000000" w:themeColor="text1"/>
                <w:highlight w:val="none"/>
                <w14:textFill>
                  <w14:solidFill>
                    <w14:schemeClr w14:val="tx1"/>
                  </w14:solidFill>
                </w14:textFill>
              </w:rPr>
              <w:t>《固体废物分类与代码</w:t>
            </w:r>
            <w:r>
              <w:rPr>
                <w:rFonts w:hint="eastAsia"/>
                <w:color w:val="000000" w:themeColor="text1"/>
                <w:highlight w:val="none"/>
                <w:lang w:val="en-US" w:eastAsia="zh-CN"/>
                <w14:textFill>
                  <w14:solidFill>
                    <w14:schemeClr w14:val="tx1"/>
                  </w14:solidFill>
                </w14:textFill>
              </w:rPr>
              <w:t>目录</w:t>
            </w:r>
            <w:r>
              <w:rPr>
                <w:rFonts w:hint="eastAsia"/>
                <w:color w:val="000000" w:themeColor="text1"/>
                <w:highlight w:val="none"/>
                <w14:textFill>
                  <w14:solidFill>
                    <w14:schemeClr w14:val="tx1"/>
                  </w14:solidFill>
                </w14:textFill>
              </w:rPr>
              <w:t>》</w:t>
            </w:r>
            <w:r>
              <w:rPr>
                <w:rFonts w:ascii="Times New Roman" w:hAnsi="Times New Roman" w:cs="Times New Roman"/>
                <w:color w:val="auto"/>
              </w:rPr>
              <w:t>（</w:t>
            </w:r>
            <w:r>
              <w:rPr>
                <w:rFonts w:hint="eastAsia" w:ascii="Times New Roman" w:hAnsi="Times New Roman" w:cs="Times New Roman"/>
                <w:color w:val="auto"/>
              </w:rPr>
              <w:t>生态环境部办公厅2024年1月22日印发</w:t>
            </w:r>
            <w:r>
              <w:rPr>
                <w:rFonts w:ascii="Times New Roman" w:hAnsi="Times New Roman" w:cs="Times New Roman"/>
                <w:color w:val="auto"/>
              </w:rPr>
              <w:t>），</w:t>
            </w:r>
            <w:r>
              <w:rPr>
                <w:rFonts w:hint="eastAsia" w:ascii="Times New Roman" w:hAnsi="Times New Roman" w:cs="Times New Roman"/>
                <w:color w:val="auto"/>
                <w:lang w:val="en-US" w:eastAsia="zh-CN"/>
              </w:rPr>
              <w:t>固废类别为SW59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废物代码为</w:t>
            </w:r>
            <w:r>
              <w:rPr>
                <w:rFonts w:hint="eastAsia"/>
                <w:color w:val="000000" w:themeColor="text1"/>
                <w:lang w:val="en-US" w:eastAsia="zh-CN"/>
                <w14:textFill>
                  <w14:solidFill>
                    <w14:schemeClr w14:val="tx1"/>
                  </w14:solidFill>
                </w14:textFill>
              </w:rPr>
              <w:t>900-002-S17</w:t>
            </w:r>
            <w:r>
              <w:rPr>
                <w:rFonts w:hint="eastAsia"/>
                <w:color w:val="000000" w:themeColor="text1"/>
                <w14:textFill>
                  <w14:solidFill>
                    <w14:schemeClr w14:val="tx1"/>
                  </w14:solidFill>
                </w14:textFill>
              </w:rPr>
              <w:t>。</w:t>
            </w:r>
          </w:p>
          <w:p w14:paraId="61D1C836">
            <w:pPr>
              <w:spacing w:line="360" w:lineRule="auto"/>
              <w:ind w:firstLine="480" w:firstLineChars="200"/>
              <w:rPr>
                <w:rFonts w:hint="eastAsia" w:ascii="Times New Roman" w:hAnsi="Times New Roman"/>
                <w:kern w:val="0"/>
                <w:szCs w:val="24"/>
                <w:lang w:bidi="ar"/>
              </w:rPr>
            </w:pPr>
            <w:r>
              <w:rPr>
                <w:rFonts w:hint="eastAsia"/>
                <w:color w:val="000000" w:themeColor="text1"/>
                <w:kern w:val="0"/>
                <w:szCs w:val="24"/>
                <w:lang w:val="en-US" w:eastAsia="zh-CN" w:bidi="ar"/>
                <w14:textFill>
                  <w14:solidFill>
                    <w14:schemeClr w14:val="tx1"/>
                  </w14:solidFill>
                </w14:textFill>
              </w:rPr>
              <w:t>（2）焊渣：</w:t>
            </w:r>
            <w:r>
              <w:rPr>
                <w:rFonts w:hint="eastAsia" w:ascii="Times New Roman" w:hAnsi="Times New Roman" w:eastAsia="宋体" w:cs="Times New Roman"/>
                <w:color w:val="auto"/>
                <w:kern w:val="2"/>
                <w:sz w:val="24"/>
                <w:szCs w:val="24"/>
                <w:lang w:val="en-US" w:eastAsia="zh-CN" w:bidi="ar-SA"/>
              </w:rPr>
              <w:t>项目焊接时产生焊渣，根据机加工行业一般统计资料，焊渣是在焊接过程中，焊丝夹持部分使用后和清理焊缝后产生的废弃物，参照《机加工行业环境影响评价中常见污染物源强估算及污染治理》（湖北大学学报第32卷第3期）“2.4固体废物估算及处理措施”中焊渣=焊条使用量×（1/11+4%），项目实芯焊丝使用量</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t/a，焊渣产生量约为</w:t>
            </w:r>
            <w:r>
              <w:rPr>
                <w:rFonts w:hint="eastAsia" w:cs="Times New Roman"/>
                <w:color w:val="auto"/>
                <w:kern w:val="2"/>
                <w:sz w:val="24"/>
                <w:szCs w:val="24"/>
                <w:lang w:val="en-US" w:eastAsia="zh-CN" w:bidi="ar-SA"/>
              </w:rPr>
              <w:t>0.655</w:t>
            </w:r>
            <w:r>
              <w:rPr>
                <w:rFonts w:hint="eastAsia" w:ascii="Times New Roman" w:hAnsi="Times New Roman" w:eastAsia="宋体" w:cs="Times New Roman"/>
                <w:color w:val="auto"/>
                <w:kern w:val="2"/>
                <w:sz w:val="24"/>
                <w:szCs w:val="24"/>
                <w:lang w:val="en-US" w:eastAsia="zh-CN" w:bidi="ar-SA"/>
              </w:rPr>
              <w:t>t/a。</w:t>
            </w:r>
            <w:r>
              <w:rPr>
                <w:rFonts w:ascii="Times New Roman" w:hAnsi="Times New Roman" w:cs="Times New Roman"/>
                <w:color w:val="auto"/>
              </w:rPr>
              <w:t>依据</w:t>
            </w:r>
            <w:r>
              <w:rPr>
                <w:rFonts w:hint="eastAsia" w:ascii="Times New Roman" w:hAnsi="Times New Roman" w:cs="Times New Roman"/>
                <w:color w:val="auto"/>
                <w:lang w:eastAsia="zh-CN"/>
              </w:rPr>
              <w:t>《</w:t>
            </w:r>
            <w:r>
              <w:rPr>
                <w:rFonts w:hint="eastAsia" w:ascii="Times New Roman" w:hAnsi="Times New Roman" w:cs="Times New Roman"/>
                <w:color w:val="auto"/>
              </w:rPr>
              <w:t>固体废物分类与代码目录</w:t>
            </w:r>
            <w:r>
              <w:rPr>
                <w:rFonts w:hint="eastAsia" w:ascii="Times New Roman" w:hAnsi="Times New Roman" w:cs="Times New Roman"/>
                <w:color w:val="auto"/>
                <w:lang w:eastAsia="zh-CN"/>
              </w:rPr>
              <w:t>》</w:t>
            </w:r>
            <w:r>
              <w:rPr>
                <w:rFonts w:ascii="Times New Roman" w:hAnsi="Times New Roman" w:cs="Times New Roman"/>
                <w:color w:val="auto"/>
              </w:rPr>
              <w:t>（</w:t>
            </w:r>
            <w:r>
              <w:rPr>
                <w:rFonts w:hint="eastAsia" w:ascii="Times New Roman" w:hAnsi="Times New Roman" w:cs="Times New Roman"/>
                <w:color w:val="auto"/>
              </w:rPr>
              <w:t>生态环境部办公厅2024年1月22日印发</w:t>
            </w:r>
            <w:r>
              <w:rPr>
                <w:rFonts w:ascii="Times New Roman" w:hAnsi="Times New Roman" w:cs="Times New Roman"/>
                <w:color w:val="auto"/>
              </w:rPr>
              <w:t>），</w:t>
            </w:r>
            <w:r>
              <w:rPr>
                <w:rFonts w:hint="eastAsia" w:ascii="Times New Roman" w:hAnsi="Times New Roman" w:cs="Times New Roman"/>
                <w:color w:val="auto"/>
                <w:lang w:val="en-US" w:eastAsia="zh-CN"/>
              </w:rPr>
              <w:t>固废类别为SW59，</w:t>
            </w:r>
            <w:r>
              <w:rPr>
                <w:rFonts w:ascii="Times New Roman" w:hAnsi="Times New Roman" w:cs="Times New Roman"/>
                <w:color w:val="auto"/>
              </w:rPr>
              <w:t>固废代码为</w:t>
            </w:r>
            <w:r>
              <w:rPr>
                <w:rFonts w:hint="eastAsia" w:ascii="Times New Roman" w:hAnsi="Times New Roman" w:cs="Times New Roman"/>
                <w:color w:val="auto"/>
                <w:lang w:val="en-US" w:eastAsia="zh-CN"/>
              </w:rPr>
              <w:t>900-099-S59</w:t>
            </w:r>
            <w:r>
              <w:rPr>
                <w:rFonts w:hint="eastAsia" w:ascii="Times New Roman" w:hAnsi="Times New Roman" w:cs="Times New Roman"/>
                <w:color w:val="auto"/>
              </w:rPr>
              <w:t>，</w:t>
            </w:r>
            <w:r>
              <w:rPr>
                <w:rFonts w:hint="eastAsia"/>
                <w:color w:val="auto"/>
              </w:rPr>
              <w:t>收集后</w:t>
            </w:r>
            <w:r>
              <w:rPr>
                <w:rFonts w:hint="eastAsia"/>
                <w:color w:val="auto"/>
                <w:lang w:bidi="ar"/>
              </w:rPr>
              <w:t>暂存于</w:t>
            </w:r>
            <w:r>
              <w:rPr>
                <w:rFonts w:ascii="宋体" w:hAnsi="宋体" w:cs="宋体"/>
                <w:color w:val="auto"/>
              </w:rPr>
              <w:t>一般固废</w:t>
            </w:r>
            <w:r>
              <w:rPr>
                <w:bCs/>
                <w:color w:val="auto"/>
              </w:rPr>
              <w:t>暂存库内</w:t>
            </w:r>
            <w:r>
              <w:rPr>
                <w:rFonts w:hint="eastAsia"/>
                <w:color w:val="auto"/>
                <w:lang w:bidi="ar"/>
              </w:rPr>
              <w:t>，</w:t>
            </w:r>
            <w:r>
              <w:rPr>
                <w:rFonts w:hint="eastAsia"/>
                <w:color w:val="auto"/>
              </w:rPr>
              <w:t>由有</w:t>
            </w:r>
            <w:r>
              <w:rPr>
                <w:rFonts w:hint="eastAsia"/>
                <w:color w:val="auto"/>
                <w:lang w:val="en-US" w:eastAsia="zh-CN"/>
              </w:rPr>
              <w:t>相关资质</w:t>
            </w:r>
            <w:r>
              <w:rPr>
                <w:rFonts w:hint="eastAsia"/>
                <w:color w:val="auto"/>
              </w:rPr>
              <w:t>单位进行处理</w:t>
            </w:r>
            <w:r>
              <w:rPr>
                <w:rFonts w:hint="eastAsia"/>
                <w:color w:val="auto"/>
                <w:lang w:eastAsia="zh-CN"/>
              </w:rPr>
              <w:t>。</w:t>
            </w:r>
          </w:p>
          <w:p w14:paraId="60CB2884">
            <w:pPr>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金属沉渣：项目下料和打磨工序会产生金属沉渣，根据前文计算产生量为3.555t/a，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依据《固体废物分类与代码目录》（生态环境部办公厅2024年1月22日印发），固废类别为</w:t>
            </w:r>
            <w:r>
              <w:rPr>
                <w:rFonts w:hint="eastAsia" w:ascii="Times New Roman" w:hAnsi="Times New Roman" w:cs="Times New Roman"/>
                <w:color w:val="auto"/>
                <w:lang w:val="en-US" w:eastAsia="zh-CN"/>
              </w:rPr>
              <w:t>SW59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废物代码为</w:t>
            </w:r>
            <w:r>
              <w:rPr>
                <w:rFonts w:hint="eastAsia"/>
                <w:color w:val="000000" w:themeColor="text1"/>
                <w:lang w:val="en-US" w:eastAsia="zh-CN"/>
                <w14:textFill>
                  <w14:solidFill>
                    <w14:schemeClr w14:val="tx1"/>
                  </w14:solidFill>
                </w14:textFill>
              </w:rPr>
              <w:t>900-002-S17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，收集后暂存于一般固废暂存库内，统一外</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售至物资回收公司。</w:t>
            </w:r>
          </w:p>
          <w:p w14:paraId="619F7893">
            <w:pPr>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废包装材料：项目PP、配件等部分原料拆分会产生废包装材料，根据企业提供资料，产生量约为0.25t/a，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依据《固体废物分类与代码目录》（生态环境部办公厅2024年1月22日印发），固废类别为</w:t>
            </w:r>
            <w:r>
              <w:rPr>
                <w:rFonts w:hint="eastAsia" w:ascii="Times New Roman" w:hAnsi="Times New Roman" w:cs="Times New Roman"/>
                <w:color w:val="auto"/>
                <w:lang w:val="en-US" w:eastAsia="zh-CN"/>
              </w:rPr>
              <w:t>SW17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废物代码为</w:t>
            </w:r>
            <w:r>
              <w:rPr>
                <w:rFonts w:hint="eastAsia"/>
                <w:color w:val="000000" w:themeColor="text1"/>
                <w:lang w:val="en-US" w:eastAsia="zh-CN"/>
                <w14:textFill>
                  <w14:solidFill>
                    <w14:schemeClr w14:val="tx1"/>
                  </w14:solidFill>
                </w14:textFill>
              </w:rPr>
              <w:t>900-099-S17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，收集后暂存于一般固废暂存库内，统一外</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售至物资回收公司。</w:t>
            </w:r>
          </w:p>
          <w:p w14:paraId="6B401C40">
            <w:pPr>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（5）废料：项目注塑工序会产生废料，根据企业提供资料，产生量约为0.5t/a，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依据《固体废物分类与代码目录》（生态环境部办公厅2024年1月22日印发），固废类别为</w:t>
            </w:r>
            <w:r>
              <w:rPr>
                <w:rFonts w:hint="eastAsia" w:ascii="Times New Roman" w:hAnsi="Times New Roman" w:cs="Times New Roman"/>
                <w:color w:val="auto"/>
                <w:lang w:val="en-US" w:eastAsia="zh-CN"/>
              </w:rPr>
              <w:t>SW17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废物代码为</w:t>
            </w:r>
            <w:r>
              <w:rPr>
                <w:rFonts w:hint="eastAsia"/>
                <w:color w:val="000000" w:themeColor="text1"/>
                <w:lang w:val="en-US" w:eastAsia="zh-CN"/>
                <w14:textFill>
                  <w14:solidFill>
                    <w14:schemeClr w14:val="tx1"/>
                  </w14:solidFill>
                </w14:textFill>
              </w:rPr>
              <w:t>900-003-S17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，收集后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回用于生产。</w:t>
            </w:r>
          </w:p>
          <w:p w14:paraId="07B3F085">
            <w:pPr>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（6）不合格品：项目注塑工序会产生不合格品，根据企业提供资料，产生量约为0.5t/a，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依据《固体废物分类与代码目录》（生态环境部办公厅2024年1月22日印发），固废类别为</w:t>
            </w:r>
            <w:r>
              <w:rPr>
                <w:rFonts w:hint="eastAsia" w:ascii="Times New Roman" w:hAnsi="Times New Roman" w:cs="Times New Roman"/>
                <w:color w:val="auto"/>
                <w:lang w:val="en-US" w:eastAsia="zh-CN"/>
              </w:rPr>
              <w:t>SW17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废物代码为</w:t>
            </w:r>
            <w:r>
              <w:rPr>
                <w:rFonts w:hint="eastAsia"/>
                <w:color w:val="000000" w:themeColor="text1"/>
                <w:lang w:val="en-US" w:eastAsia="zh-CN"/>
                <w14:textFill>
                  <w14:solidFill>
                    <w14:schemeClr w14:val="tx1"/>
                  </w14:solidFill>
                </w14:textFill>
              </w:rPr>
              <w:t>900-003-S17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，收集后</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回用于生产。</w:t>
            </w:r>
          </w:p>
          <w:p w14:paraId="6B35B78E">
            <w:pPr>
              <w:spacing w:line="360" w:lineRule="auto"/>
              <w:ind w:firstLine="480" w:firstLineChars="20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（7）</w:t>
            </w:r>
            <w:r>
              <w:rPr>
                <w:rFonts w:hint="eastAsia" w:cs="Times New Roman"/>
                <w:color w:val="000000" w:themeColor="text1"/>
                <w:kern w:val="2"/>
                <w:sz w:val="24"/>
                <w:szCs w:val="24"/>
                <w:lang w:val="en-US" w:eastAsia="zh-CN" w:bidi="ar-SA"/>
                <w14:textFill>
                  <w14:solidFill>
                    <w14:schemeClr w14:val="tx1"/>
                  </w14:solidFill>
                </w14:textFill>
              </w:rPr>
              <w:t>滤筒收集的粉尘</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：项目喷塑工序产生的粉尘经收集后回用于生产，根据前文计算，产生量为22.344t/a，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依据《固体废物分类与代码目录》（生态环境部办公厅2024年1月22日印发），固废类别为</w:t>
            </w:r>
            <w:r>
              <w:rPr>
                <w:rFonts w:hint="eastAsia" w:ascii="Times New Roman" w:hAnsi="Times New Roman" w:cs="Times New Roman"/>
                <w:color w:val="auto"/>
                <w:lang w:val="en-US" w:eastAsia="zh-CN"/>
              </w:rPr>
              <w:t>SW17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废物代码为</w:t>
            </w:r>
            <w:r>
              <w:rPr>
                <w:rFonts w:hint="eastAsia"/>
                <w:color w:val="000000" w:themeColor="text1"/>
                <w:lang w:val="en-US" w:eastAsia="zh-CN"/>
                <w14:textFill>
                  <w14:solidFill>
                    <w14:schemeClr w14:val="tx1"/>
                  </w14:solidFill>
                </w14:textFill>
              </w:rPr>
              <w:t>900-099-S17。</w:t>
            </w:r>
          </w:p>
          <w:p w14:paraId="55EFE4C1">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8</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除尘器收集的粉尘：项目袋式除尘器会收集粉尘，根据前文计算，产生量为1.631t/a，</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依据《固体废物分类与代码目录》（生态环境部办公厅2024年1月22日印发），固废类别为</w:t>
            </w:r>
            <w:r>
              <w:rPr>
                <w:rFonts w:hint="eastAsia" w:ascii="Times New Roman" w:hAnsi="Times New Roman" w:cs="Times New Roman"/>
                <w:color w:val="auto"/>
                <w:lang w:val="en-US" w:eastAsia="zh-CN"/>
              </w:rPr>
              <w:t>SW17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废物代码为</w:t>
            </w:r>
            <w:r>
              <w:rPr>
                <w:rFonts w:hint="eastAsia"/>
                <w:color w:val="000000" w:themeColor="text1"/>
                <w:lang w:val="en-US" w:eastAsia="zh-CN"/>
                <w14:textFill>
                  <w14:solidFill>
                    <w14:schemeClr w14:val="tx1"/>
                  </w14:solidFill>
                </w14:textFill>
              </w:rPr>
              <w:t>900-099-S17。</w:t>
            </w:r>
          </w:p>
          <w:p w14:paraId="582F3891">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3、危险废物</w:t>
            </w:r>
          </w:p>
          <w:p w14:paraId="25E79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000000" w:themeColor="text1"/>
                <w:sz w:val="24"/>
                <w:szCs w:val="24"/>
                <w:lang w:val="en-US"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清洗槽清捞底渣：项目采用清洗剂对项目加工工件进行清洗，定期补充清洗剂和新鲜水，并清捞底渣，清捞底渣量为0.26t/a（含水率约30%）</w:t>
            </w:r>
            <w:r>
              <w:rPr>
                <w:rFonts w:hint="eastAsia" w:cs="Times New Roman"/>
                <w:bCs/>
                <w:color w:val="000000" w:themeColor="text1"/>
                <w:kern w:val="2"/>
                <w:sz w:val="24"/>
                <w:szCs w:val="24"/>
                <w:lang w:val="en-US" w:eastAsia="zh-CN" w:bidi="ar-SA"/>
                <w14:textFill>
                  <w14:solidFill>
                    <w14:schemeClr w14:val="tx1"/>
                  </w14:solidFill>
                </w14:textFill>
              </w:rPr>
              <w:t>。</w:t>
            </w:r>
            <w:r>
              <w:rPr>
                <w:rFonts w:hint="eastAsia"/>
                <w:color w:val="000000" w:themeColor="text1"/>
                <w:lang w:val="en-US" w:eastAsia="zh-CN"/>
                <w14:textFill>
                  <w14:solidFill>
                    <w14:schemeClr w14:val="tx1"/>
                  </w14:solidFill>
                </w14:textFill>
              </w:rPr>
              <w:t>根据</w:t>
            </w:r>
            <w:r>
              <w:rPr>
                <w:rFonts w:hint="eastAsia" w:ascii="Times New Roman" w:hAnsi="Times New Roman"/>
                <w:color w:val="000000" w:themeColor="text1"/>
                <w:sz w:val="24"/>
                <w:szCs w:val="24"/>
                <w14:textFill>
                  <w14:solidFill>
                    <w14:schemeClr w14:val="tx1"/>
                  </w14:solidFill>
                </w14:textFill>
              </w:rPr>
              <w:t>《国家危险废物名录》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年版</w:t>
            </w:r>
            <w:r>
              <w:rPr>
                <w:rFonts w:hint="eastAsia"/>
                <w:color w:val="000000" w:themeColor="text1"/>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bCs/>
                <w:color w:val="000000" w:themeColor="text1"/>
                <w:kern w:val="2"/>
                <w:sz w:val="24"/>
                <w:szCs w:val="24"/>
                <w:lang w:val="en-US" w:eastAsia="zh-CN" w:bidi="ar-SA"/>
                <w14:textFill>
                  <w14:solidFill>
                    <w14:schemeClr w14:val="tx1"/>
                  </w14:solidFill>
                </w14:textFill>
              </w:rPr>
              <w:t>产生的</w:t>
            </w:r>
            <w:r>
              <w:rPr>
                <w:rFonts w:hint="eastAsia"/>
                <w:color w:val="000000" w:themeColor="text1"/>
                <w:sz w:val="24"/>
                <w:szCs w:val="24"/>
                <w:lang w:val="en-US" w:eastAsia="zh-CN"/>
                <w14:textFill>
                  <w14:solidFill>
                    <w14:schemeClr w14:val="tx1"/>
                  </w14:solidFill>
                </w14:textFill>
              </w:rPr>
              <w:t>清捞底渣</w:t>
            </w:r>
            <w:r>
              <w:rPr>
                <w:rFonts w:hint="eastAsia" w:cs="Times New Roman"/>
                <w:bCs/>
                <w:color w:val="000000" w:themeColor="text1"/>
                <w:kern w:val="2"/>
                <w:sz w:val="24"/>
                <w:szCs w:val="24"/>
                <w:lang w:val="en-US" w:eastAsia="zh-CN" w:bidi="ar-SA"/>
                <w14:textFill>
                  <w14:solidFill>
                    <w14:schemeClr w14:val="tx1"/>
                  </w14:solidFill>
                </w14:textFill>
              </w:rPr>
              <w:t>为危险废物，危险废物</w:t>
            </w:r>
            <w:r>
              <w:rPr>
                <w:rFonts w:hint="eastAsia"/>
                <w:highlight w:val="none"/>
              </w:rPr>
              <w:t>类别为HW49，危废代码900-041-49</w:t>
            </w:r>
            <w:r>
              <w:rPr>
                <w:highlight w:val="none"/>
                <w:lang w:bidi="ar"/>
              </w:rPr>
              <w:t>，</w:t>
            </w:r>
            <w:r>
              <w:rPr>
                <w:rFonts w:hint="eastAsia" w:cs="Times New Roman"/>
                <w:bCs/>
                <w:color w:val="000000" w:themeColor="text1"/>
                <w:kern w:val="2"/>
                <w:sz w:val="24"/>
                <w:szCs w:val="24"/>
                <w:lang w:val="en-US" w:eastAsia="zh-CN" w:bidi="ar-SA"/>
                <w14:textFill>
                  <w14:solidFill>
                    <w14:schemeClr w14:val="tx1"/>
                  </w14:solidFill>
                </w14:textFill>
              </w:rPr>
              <w:t>暂存在危险废物暂存间，委托有资质单位处置。</w:t>
            </w:r>
          </w:p>
          <w:p w14:paraId="08F1F6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废清洗液：项目采用清洗剂对项目加工工件进行清洗，清洗液每半年更换一次，产生量为0.9t/a</w:t>
            </w:r>
            <w:r>
              <w:rPr>
                <w:rFonts w:hint="eastAsia" w:cs="Times New Roman"/>
                <w:bCs/>
                <w:color w:val="000000" w:themeColor="text1"/>
                <w:kern w:val="2"/>
                <w:sz w:val="24"/>
                <w:szCs w:val="24"/>
                <w:lang w:val="en-US" w:eastAsia="zh-CN" w:bidi="ar-SA"/>
                <w14:textFill>
                  <w14:solidFill>
                    <w14:schemeClr w14:val="tx1"/>
                  </w14:solidFill>
                </w14:textFill>
              </w:rPr>
              <w:t>。</w:t>
            </w:r>
            <w:r>
              <w:rPr>
                <w:rFonts w:hint="eastAsia"/>
                <w:color w:val="000000" w:themeColor="text1"/>
                <w:lang w:val="en-US" w:eastAsia="zh-CN"/>
                <w14:textFill>
                  <w14:solidFill>
                    <w14:schemeClr w14:val="tx1"/>
                  </w14:solidFill>
                </w14:textFill>
              </w:rPr>
              <w:t>根据</w:t>
            </w:r>
            <w:r>
              <w:rPr>
                <w:rFonts w:hint="eastAsia" w:ascii="Times New Roman" w:hAnsi="Times New Roman"/>
                <w:color w:val="000000" w:themeColor="text1"/>
                <w:sz w:val="24"/>
                <w:szCs w:val="24"/>
                <w14:textFill>
                  <w14:solidFill>
                    <w14:schemeClr w14:val="tx1"/>
                  </w14:solidFill>
                </w14:textFill>
              </w:rPr>
              <w:t>《国家危险废物名录》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年版</w:t>
            </w:r>
            <w:r>
              <w:rPr>
                <w:rFonts w:hint="eastAsia"/>
                <w:color w:val="000000" w:themeColor="text1"/>
                <w:lang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cs="Times New Roman"/>
                <w:bCs/>
                <w:color w:val="000000" w:themeColor="text1"/>
                <w:kern w:val="2"/>
                <w:sz w:val="24"/>
                <w:szCs w:val="24"/>
                <w:lang w:val="en-US" w:eastAsia="zh-CN" w:bidi="ar-SA"/>
                <w14:textFill>
                  <w14:solidFill>
                    <w14:schemeClr w14:val="tx1"/>
                  </w14:solidFill>
                </w14:textFill>
              </w:rPr>
              <w:t>产生的</w:t>
            </w:r>
            <w:r>
              <w:rPr>
                <w:rFonts w:hint="eastAsia"/>
                <w:color w:val="000000" w:themeColor="text1"/>
                <w:sz w:val="24"/>
                <w:szCs w:val="24"/>
                <w:lang w:val="en-US" w:eastAsia="zh-CN"/>
                <w14:textFill>
                  <w14:solidFill>
                    <w14:schemeClr w14:val="tx1"/>
                  </w14:solidFill>
                </w14:textFill>
              </w:rPr>
              <w:t>清捞底渣</w:t>
            </w:r>
            <w:r>
              <w:rPr>
                <w:rFonts w:hint="eastAsia" w:cs="Times New Roman"/>
                <w:bCs/>
                <w:color w:val="000000" w:themeColor="text1"/>
                <w:kern w:val="2"/>
                <w:sz w:val="24"/>
                <w:szCs w:val="24"/>
                <w:lang w:val="en-US" w:eastAsia="zh-CN" w:bidi="ar-SA"/>
                <w14:textFill>
                  <w14:solidFill>
                    <w14:schemeClr w14:val="tx1"/>
                  </w14:solidFill>
                </w14:textFill>
              </w:rPr>
              <w:t>为危险废物，危险废物</w:t>
            </w:r>
            <w:r>
              <w:rPr>
                <w:rFonts w:hint="eastAsia"/>
                <w:highlight w:val="none"/>
              </w:rPr>
              <w:t>类别为HW</w:t>
            </w:r>
            <w:r>
              <w:rPr>
                <w:rFonts w:hint="eastAsia"/>
                <w:highlight w:val="none"/>
                <w:lang w:val="en-US" w:eastAsia="zh-CN"/>
              </w:rPr>
              <w:t>17</w:t>
            </w:r>
            <w:r>
              <w:rPr>
                <w:rFonts w:hint="eastAsia"/>
                <w:highlight w:val="none"/>
              </w:rPr>
              <w:t>，危废代码</w:t>
            </w:r>
            <w:r>
              <w:rPr>
                <w:rFonts w:hint="eastAsia"/>
                <w:highlight w:val="none"/>
                <w:lang w:val="en-US" w:eastAsia="zh-CN"/>
              </w:rPr>
              <w:t>336</w:t>
            </w:r>
            <w:r>
              <w:rPr>
                <w:rFonts w:hint="eastAsia"/>
                <w:highlight w:val="none"/>
              </w:rPr>
              <w:t>-0</w:t>
            </w:r>
            <w:r>
              <w:rPr>
                <w:rFonts w:hint="eastAsia"/>
                <w:highlight w:val="none"/>
                <w:lang w:val="en-US" w:eastAsia="zh-CN"/>
              </w:rPr>
              <w:t>64</w:t>
            </w:r>
            <w:r>
              <w:rPr>
                <w:rFonts w:hint="eastAsia"/>
                <w:highlight w:val="none"/>
              </w:rPr>
              <w:t>-</w:t>
            </w:r>
            <w:r>
              <w:rPr>
                <w:rFonts w:hint="eastAsia"/>
                <w:highlight w:val="none"/>
                <w:lang w:val="en-US" w:eastAsia="zh-CN"/>
              </w:rPr>
              <w:t>17</w:t>
            </w:r>
            <w:r>
              <w:rPr>
                <w:highlight w:val="none"/>
                <w:lang w:bidi="ar"/>
              </w:rPr>
              <w:t>，</w:t>
            </w:r>
            <w:r>
              <w:rPr>
                <w:rFonts w:hint="eastAsia" w:cs="Times New Roman"/>
                <w:bCs/>
                <w:color w:val="000000" w:themeColor="text1"/>
                <w:kern w:val="2"/>
                <w:sz w:val="24"/>
                <w:szCs w:val="24"/>
                <w:lang w:val="en-US" w:eastAsia="zh-CN" w:bidi="ar-SA"/>
                <w14:textFill>
                  <w14:solidFill>
                    <w14:schemeClr w14:val="tx1"/>
                  </w14:solidFill>
                </w14:textFill>
              </w:rPr>
              <w:t>暂存在危险废物暂存间，委托有资质单位处置。</w:t>
            </w:r>
          </w:p>
          <w:p w14:paraId="5B1EA2F9">
            <w:pPr>
              <w:pStyle w:val="46"/>
              <w:spacing w:line="360" w:lineRule="auto"/>
              <w:ind w:firstLine="480" w:firstLineChars="200"/>
            </w:pPr>
            <w:r>
              <w:rPr>
                <w:rFonts w:hint="eastAsia"/>
                <w:color w:val="000000" w:themeColor="text1"/>
                <w:sz w:val="24"/>
                <w:szCs w:val="24"/>
                <w:lang w:val="en-US" w:eastAsia="zh-CN"/>
                <w14:textFill>
                  <w14:solidFill>
                    <w14:schemeClr w14:val="tx1"/>
                  </w14:solidFill>
                </w14:textFill>
              </w:rPr>
              <w:t>（3）废包装桶：项目清洗工序使用清洗剂会产生废包装桶，清洗剂年用1t/a，</w:t>
            </w:r>
            <w:r>
              <w:rPr>
                <w:color w:val="auto"/>
              </w:rPr>
              <w:t>单</w:t>
            </w:r>
            <w:r>
              <w:rPr>
                <w:rFonts w:hint="eastAsia"/>
              </w:rPr>
              <w:t>桶25kg，即</w:t>
            </w:r>
            <w:r>
              <w:t>每年产</w:t>
            </w:r>
            <w:r>
              <w:rPr>
                <w:color w:val="auto"/>
              </w:rPr>
              <w:t>生</w:t>
            </w:r>
            <w:r>
              <w:rPr>
                <w:rFonts w:hint="eastAsia"/>
                <w:color w:val="auto"/>
              </w:rPr>
              <w:t>约</w:t>
            </w:r>
            <w:r>
              <w:rPr>
                <w:rFonts w:hint="eastAsia"/>
                <w:color w:val="auto"/>
                <w:lang w:val="en-US" w:eastAsia="zh-CN"/>
              </w:rPr>
              <w:t>40</w:t>
            </w:r>
            <w:r>
              <w:rPr>
                <w:rFonts w:hint="eastAsia"/>
                <w:color w:val="auto"/>
              </w:rPr>
              <w:t>只</w:t>
            </w:r>
            <w:r>
              <w:rPr>
                <w:color w:val="auto"/>
              </w:rPr>
              <w:t>废</w:t>
            </w:r>
            <w:r>
              <w:t>桶</w:t>
            </w:r>
            <w:r>
              <w:rPr>
                <w:rFonts w:hint="eastAsia"/>
              </w:rPr>
              <w:t>，单只废桶</w:t>
            </w:r>
            <w:r>
              <w:t>重量为</w:t>
            </w:r>
            <w:r>
              <w:rPr>
                <w:rFonts w:hint="eastAsia"/>
              </w:rPr>
              <w:t>0.5kg</w:t>
            </w:r>
            <w:r>
              <w:rPr>
                <w:rFonts w:hint="eastAsia"/>
                <w:lang w:eastAsia="zh-CN"/>
              </w:rPr>
              <w:t>，</w:t>
            </w:r>
            <w:r>
              <w:t>故产生</w:t>
            </w:r>
            <w:r>
              <w:rPr>
                <w:rFonts w:hint="eastAsia"/>
              </w:rPr>
              <w:t>废</w:t>
            </w:r>
            <w:r>
              <w:rPr>
                <w:rFonts w:hint="eastAsia"/>
                <w:lang w:val="en-US" w:eastAsia="zh-CN"/>
              </w:rPr>
              <w:t>包装</w:t>
            </w:r>
            <w:r>
              <w:rPr>
                <w:color w:val="auto"/>
              </w:rPr>
              <w:t>桶</w:t>
            </w:r>
            <w:r>
              <w:rPr>
                <w:rFonts w:hint="eastAsia"/>
                <w:color w:val="auto"/>
              </w:rPr>
              <w:t>约0.0</w:t>
            </w:r>
            <w:r>
              <w:rPr>
                <w:rFonts w:hint="eastAsia"/>
                <w:color w:val="auto"/>
                <w:lang w:val="en-US" w:eastAsia="zh-CN"/>
              </w:rPr>
              <w:t>2</w:t>
            </w:r>
            <w:r>
              <w:rPr>
                <w:rFonts w:hint="eastAsia"/>
                <w:color w:val="auto"/>
              </w:rPr>
              <w:t>t/</w:t>
            </w:r>
            <w:r>
              <w:rPr>
                <w:color w:val="auto"/>
              </w:rPr>
              <w:t>a</w:t>
            </w:r>
            <w:r>
              <w:rPr>
                <w:rFonts w:hint="eastAsia"/>
                <w:color w:val="auto"/>
              </w:rPr>
              <w:t>，</w:t>
            </w:r>
            <w:r>
              <w:rPr>
                <w:rFonts w:hint="eastAsia"/>
              </w:rPr>
              <w:t>根据《国家危险废物名录》（202</w:t>
            </w:r>
            <w:r>
              <w:rPr>
                <w:rFonts w:hint="eastAsia"/>
                <w:lang w:val="en-US" w:eastAsia="zh-CN"/>
              </w:rPr>
              <w:t>5</w:t>
            </w:r>
            <w:r>
              <w:rPr>
                <w:rFonts w:hint="eastAsia"/>
              </w:rPr>
              <w:t>年版），</w:t>
            </w:r>
            <w:r>
              <w:rPr>
                <w:rFonts w:hint="eastAsia"/>
                <w:color w:val="000000" w:themeColor="text1"/>
                <w:sz w:val="24"/>
                <w:szCs w:val="24"/>
                <w:lang w:val="en-US" w:eastAsia="zh-CN"/>
                <w14:textFill>
                  <w14:solidFill>
                    <w14:schemeClr w14:val="tx1"/>
                  </w14:solidFill>
                </w14:textFill>
              </w:rPr>
              <w:t>废包装桶</w:t>
            </w:r>
            <w:r>
              <w:rPr>
                <w:rFonts w:hint="eastAsia"/>
              </w:rPr>
              <w:t>属于其中HW49（900-041-49）所列内容，收集后委托有危废处置资质的单位处置。</w:t>
            </w:r>
          </w:p>
          <w:p w14:paraId="28FEAFFA">
            <w:pPr>
              <w:pStyle w:val="46"/>
              <w:spacing w:line="360" w:lineRule="auto"/>
              <w:ind w:firstLine="480" w:firstLineChars="200"/>
            </w:pPr>
            <w:r>
              <w:rPr>
                <w:rFonts w:hint="eastAsia"/>
                <w:color w:val="000000" w:themeColor="text1"/>
                <w:sz w:val="24"/>
                <w:szCs w:val="24"/>
                <w:lang w:val="en-US" w:eastAsia="zh-CN"/>
                <w14:textFill>
                  <w14:solidFill>
                    <w14:schemeClr w14:val="tx1"/>
                  </w14:solidFill>
                </w14:textFill>
              </w:rPr>
              <w:t>（4）废胶及包装物：项目组装工序使用亚克力密封胶会产生废胶及包装物，根据企业提供资料，年产生量约为0.01</w:t>
            </w:r>
            <w:r>
              <w:rPr>
                <w:rFonts w:hint="eastAsia"/>
                <w:color w:val="auto"/>
              </w:rPr>
              <w:t>t/</w:t>
            </w:r>
            <w:r>
              <w:rPr>
                <w:color w:val="auto"/>
              </w:rPr>
              <w:t>a</w:t>
            </w:r>
            <w:r>
              <w:rPr>
                <w:rFonts w:hint="eastAsia"/>
                <w:color w:val="auto"/>
              </w:rPr>
              <w:t>，</w:t>
            </w:r>
            <w:r>
              <w:rPr>
                <w:rFonts w:hint="eastAsia"/>
              </w:rPr>
              <w:t>根据《国家危险废物名录》（202</w:t>
            </w:r>
            <w:r>
              <w:rPr>
                <w:rFonts w:hint="eastAsia"/>
                <w:lang w:val="en-US" w:eastAsia="zh-CN"/>
              </w:rPr>
              <w:t>5</w:t>
            </w:r>
            <w:r>
              <w:rPr>
                <w:rFonts w:hint="eastAsia"/>
              </w:rPr>
              <w:t>年版），</w:t>
            </w:r>
            <w:r>
              <w:rPr>
                <w:rFonts w:hint="eastAsia"/>
                <w:color w:val="000000" w:themeColor="text1"/>
                <w:sz w:val="24"/>
                <w:szCs w:val="24"/>
                <w:lang w:val="en-US" w:eastAsia="zh-CN"/>
                <w14:textFill>
                  <w14:solidFill>
                    <w14:schemeClr w14:val="tx1"/>
                  </w14:solidFill>
                </w14:textFill>
              </w:rPr>
              <w:t>废胶及包装物</w:t>
            </w:r>
            <w:r>
              <w:rPr>
                <w:rFonts w:hint="eastAsia"/>
              </w:rPr>
              <w:t>属于其中HW49（900-041-49）所列内容，收集后委托有危废处置资质的单位处置。</w:t>
            </w:r>
          </w:p>
          <w:p w14:paraId="451E3638">
            <w:pPr>
              <w:pStyle w:val="46"/>
              <w:spacing w:line="360" w:lineRule="auto"/>
              <w:ind w:firstLine="480" w:firstLineChars="200"/>
              <w:rPr>
                <w:rFonts w:hint="default"/>
                <w:lang w:val="en-US" w:eastAsia="zh-CN"/>
              </w:rPr>
            </w:pPr>
            <w:r>
              <w:rPr>
                <w:rFonts w:hint="eastAsia"/>
                <w:color w:val="000000" w:themeColor="text1"/>
                <w:sz w:val="24"/>
                <w:szCs w:val="24"/>
                <w:lang w:val="en-US" w:eastAsia="zh-CN"/>
                <w14:textFill>
                  <w14:solidFill>
                    <w14:schemeClr w14:val="tx1"/>
                  </w14:solidFill>
                </w14:textFill>
              </w:rPr>
              <w:t>（5）废活性炭：</w:t>
            </w:r>
            <w:r>
              <w:rPr>
                <w:rFonts w:hint="eastAsia"/>
                <w:lang w:bidi="ar"/>
              </w:rPr>
              <w:t>项目固化</w:t>
            </w:r>
            <w:r>
              <w:rPr>
                <w:rFonts w:hint="eastAsia"/>
                <w:lang w:eastAsia="zh-CN" w:bidi="ar"/>
              </w:rPr>
              <w:t>、</w:t>
            </w:r>
            <w:r>
              <w:rPr>
                <w:rFonts w:hint="eastAsia"/>
                <w:lang w:val="en-US" w:eastAsia="zh-CN" w:bidi="ar"/>
              </w:rPr>
              <w:t>注塑废气</w:t>
            </w:r>
            <w:r>
              <w:rPr>
                <w:rFonts w:hint="eastAsia"/>
                <w:lang w:bidi="ar"/>
              </w:rPr>
              <w:t>采用活性炭吸附装置进行处理，根据前文计算，</w:t>
            </w:r>
            <w:r>
              <w:rPr>
                <w:rFonts w:hint="eastAsia"/>
              </w:rPr>
              <w:t>项目</w:t>
            </w:r>
            <w:r>
              <w:t>则经由活性炭</w:t>
            </w:r>
            <w:r>
              <w:rPr>
                <w:rFonts w:hint="eastAsia"/>
              </w:rPr>
              <w:t>吸附</w:t>
            </w:r>
            <w:r>
              <w:t>的废气约</w:t>
            </w:r>
            <w:r>
              <w:rPr>
                <w:rFonts w:hint="eastAsia"/>
                <w:lang w:val="en-US" w:eastAsia="zh-CN"/>
              </w:rPr>
              <w:t>1.161</w:t>
            </w:r>
            <w:r>
              <w:t>t/a，活性炭吸附能力约为0.3t（非甲烷总烃）/t（活性炭），</w:t>
            </w:r>
            <w:r>
              <w:rPr>
                <w:rFonts w:hint="eastAsia"/>
              </w:rPr>
              <w:t>则</w:t>
            </w:r>
            <w:r>
              <w:t>使用的活性炭的量</w:t>
            </w:r>
            <w:r>
              <w:rPr>
                <w:rFonts w:hint="eastAsia"/>
                <w:lang w:val="en-US" w:eastAsia="zh-CN"/>
              </w:rPr>
              <w:t>3.87</w:t>
            </w:r>
            <w:r>
              <w:t>t/a</w:t>
            </w:r>
            <w:r>
              <w:rPr>
                <w:rFonts w:hint="eastAsia"/>
                <w:lang w:eastAsia="zh-CN" w:bidi="ar"/>
              </w:rPr>
              <w:t>，</w:t>
            </w:r>
            <w:r>
              <w:rPr>
                <w:rFonts w:hint="eastAsia"/>
              </w:rPr>
              <w:t>则项目废活性炭产生量为</w:t>
            </w:r>
            <w:r>
              <w:rPr>
                <w:rFonts w:hint="eastAsia"/>
                <w:lang w:val="en-US" w:eastAsia="zh-CN"/>
              </w:rPr>
              <w:t>5.031t/</w:t>
            </w:r>
            <w:r>
              <w:t>a</w:t>
            </w:r>
            <w:r>
              <w:rPr>
                <w:rFonts w:hint="eastAsia"/>
              </w:rPr>
              <w:t>。</w:t>
            </w:r>
            <w:r>
              <w:t>根据《国家危险废物名录》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年版</w:t>
            </w:r>
            <w:r>
              <w:rPr>
                <w:rFonts w:hint="eastAsia"/>
                <w:color w:val="000000" w:themeColor="text1"/>
                <w:lang w:eastAsia="zh-CN"/>
                <w14:textFill>
                  <w14:solidFill>
                    <w14:schemeClr w14:val="tx1"/>
                  </w14:solidFill>
                </w14:textFill>
              </w:rPr>
              <w:t>）</w:t>
            </w:r>
            <w:r>
              <w:t>，废活性炭属于危险废物，废物类别HW49，废物代码</w:t>
            </w:r>
            <w:r>
              <w:rPr>
                <w:bCs/>
              </w:rPr>
              <w:t>900-0</w:t>
            </w:r>
            <w:r>
              <w:rPr>
                <w:rFonts w:hint="eastAsia"/>
                <w:bCs/>
              </w:rPr>
              <w:t>39</w:t>
            </w:r>
            <w:r>
              <w:rPr>
                <w:bCs/>
              </w:rPr>
              <w:t>-49</w:t>
            </w:r>
            <w:r>
              <w:t>，</w:t>
            </w:r>
            <w:r>
              <w:rPr>
                <w:bCs/>
              </w:rPr>
              <w:t>经收集后放入专用的储存桶内暂存于危险废物暂存库内，由有资质单位进行处理</w:t>
            </w:r>
            <w:r>
              <w:rPr>
                <w:rFonts w:hint="eastAsia"/>
              </w:rPr>
              <w:t>。</w:t>
            </w:r>
          </w:p>
          <w:p w14:paraId="54308729">
            <w:pPr>
              <w:numPr>
                <w:ilvl w:val="0"/>
                <w:numId w:val="0"/>
              </w:numPr>
              <w:spacing w:line="360" w:lineRule="auto"/>
              <w:ind w:firstLine="480" w:firstLineChars="200"/>
              <w:rPr>
                <w:rFonts w:hint="eastAsia"/>
                <w:lang w:eastAsia="zh-CN"/>
              </w:rPr>
            </w:pPr>
            <w:r>
              <w:rPr>
                <w:rFonts w:hint="eastAsia"/>
                <w:color w:val="000000" w:themeColor="text1"/>
                <w:sz w:val="24"/>
                <w:szCs w:val="24"/>
                <w:lang w:val="en-US" w:eastAsia="zh-CN"/>
                <w14:textFill>
                  <w14:solidFill>
                    <w14:schemeClr w14:val="tx1"/>
                  </w14:solidFill>
                </w14:textFill>
              </w:rPr>
              <w:t>（6）</w:t>
            </w:r>
            <w:r>
              <w:rPr>
                <w:rFonts w:hint="eastAsia"/>
                <w:color w:val="auto"/>
              </w:rPr>
              <w:t>废</w:t>
            </w:r>
            <w:r>
              <w:rPr>
                <w:rFonts w:hint="eastAsia"/>
                <w:color w:val="auto"/>
                <w:lang w:val="en-US" w:eastAsia="zh-CN"/>
              </w:rPr>
              <w:t>切削</w:t>
            </w:r>
            <w:r>
              <w:rPr>
                <w:rFonts w:hint="eastAsia"/>
                <w:color w:val="auto"/>
              </w:rPr>
              <w:t>液：</w:t>
            </w:r>
            <w:r>
              <w:rPr>
                <w:rFonts w:hint="eastAsia"/>
              </w:rPr>
              <w:t>在</w:t>
            </w:r>
            <w:r>
              <w:rPr>
                <w:rFonts w:hint="eastAsia"/>
                <w:lang w:val="en-US" w:eastAsia="zh-CN"/>
              </w:rPr>
              <w:t>下料</w:t>
            </w:r>
            <w:r>
              <w:rPr>
                <w:rFonts w:hint="eastAsia"/>
              </w:rPr>
              <w:t>切割</w:t>
            </w:r>
            <w:r>
              <w:t>工作过程中，</w:t>
            </w:r>
            <w:r>
              <w:rPr>
                <w:rFonts w:hint="eastAsia"/>
                <w:color w:val="auto"/>
                <w:lang w:val="en-US" w:eastAsia="zh-CN"/>
              </w:rPr>
              <w:t>切削</w:t>
            </w:r>
            <w:r>
              <w:t>液会自动回收过</w:t>
            </w:r>
            <w:r>
              <w:rPr>
                <w:rFonts w:hint="eastAsia"/>
              </w:rPr>
              <w:t>滤</w:t>
            </w:r>
            <w:r>
              <w:t>利用</w:t>
            </w:r>
            <w:r>
              <w:rPr>
                <w:rFonts w:hint="eastAsia"/>
              </w:rPr>
              <w:t>，</w:t>
            </w:r>
            <w:r>
              <w:t>当过滤数次之后，不能再利用的作为危废处置。</w:t>
            </w:r>
            <w:r>
              <w:rPr>
                <w:rFonts w:hint="eastAsia"/>
              </w:rPr>
              <w:t>根据业主提供资料，</w:t>
            </w:r>
            <w:r>
              <w:rPr>
                <w:rFonts w:hint="eastAsia"/>
                <w:color w:val="auto"/>
              </w:rPr>
              <w:t>废</w:t>
            </w:r>
            <w:r>
              <w:rPr>
                <w:rFonts w:hint="eastAsia"/>
                <w:color w:val="auto"/>
                <w:lang w:val="en-US" w:eastAsia="zh-CN"/>
              </w:rPr>
              <w:t>切削</w:t>
            </w:r>
            <w:r>
              <w:rPr>
                <w:rFonts w:hint="eastAsia"/>
                <w:color w:val="auto"/>
              </w:rPr>
              <w:t>液</w:t>
            </w:r>
            <w:r>
              <w:rPr>
                <w:rFonts w:hint="eastAsia"/>
              </w:rPr>
              <w:t>产生</w:t>
            </w:r>
            <w:r>
              <w:t>量</w:t>
            </w:r>
            <w:r>
              <w:rPr>
                <w:color w:val="auto"/>
              </w:rPr>
              <w:t>为</w:t>
            </w:r>
            <w:r>
              <w:rPr>
                <w:rFonts w:hint="eastAsia"/>
                <w:color w:val="auto"/>
                <w:lang w:val="en-US" w:eastAsia="zh-CN"/>
              </w:rPr>
              <w:t>1.5</w:t>
            </w:r>
            <w:r>
              <w:rPr>
                <w:rFonts w:hint="eastAsia"/>
                <w:color w:val="auto"/>
              </w:rPr>
              <w:t>t/a。根</w:t>
            </w:r>
            <w:r>
              <w:rPr>
                <w:rFonts w:hint="eastAsia"/>
              </w:rPr>
              <w:t>据《国家危险废物名录》（202</w:t>
            </w:r>
            <w:r>
              <w:rPr>
                <w:rFonts w:hint="eastAsia"/>
                <w:lang w:val="en-US" w:eastAsia="zh-CN"/>
              </w:rPr>
              <w:t>5</w:t>
            </w:r>
            <w:r>
              <w:rPr>
                <w:rFonts w:hint="eastAsia"/>
              </w:rPr>
              <w:t>年版），废切削液属于其中HW09（900-006-09）所列内容，属于危险废物，收集后需委托有资质单位处置</w:t>
            </w:r>
            <w:r>
              <w:rPr>
                <w:rFonts w:hint="eastAsia"/>
                <w:lang w:eastAsia="zh-CN"/>
              </w:rPr>
              <w:t>。</w:t>
            </w:r>
          </w:p>
          <w:p w14:paraId="11D73593">
            <w:pPr>
              <w:numPr>
                <w:ilvl w:val="0"/>
                <w:numId w:val="0"/>
              </w:numPr>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rFonts w:hint="eastAsia"/>
                <w:lang w:eastAsia="zh-CN"/>
              </w:rPr>
              <w:t>（</w:t>
            </w:r>
            <w:r>
              <w:rPr>
                <w:rFonts w:hint="eastAsia"/>
                <w:lang w:val="en-US" w:eastAsia="zh-CN"/>
              </w:rPr>
              <w:t>7</w:t>
            </w:r>
            <w:r>
              <w:rPr>
                <w:rFonts w:hint="eastAsia"/>
                <w:lang w:eastAsia="zh-CN"/>
              </w:rPr>
              <w:t>）</w:t>
            </w:r>
            <w:r>
              <w:rPr>
                <w:rFonts w:hint="eastAsia"/>
                <w:color w:val="auto"/>
              </w:rPr>
              <w:t>废</w:t>
            </w:r>
            <w:r>
              <w:rPr>
                <w:rFonts w:hint="eastAsia"/>
                <w:color w:val="auto"/>
                <w:lang w:val="en-US" w:eastAsia="zh-CN"/>
              </w:rPr>
              <w:t>切削</w:t>
            </w:r>
            <w:r>
              <w:rPr>
                <w:rFonts w:hint="eastAsia"/>
                <w:color w:val="auto"/>
              </w:rPr>
              <w:t>液桶：</w:t>
            </w:r>
            <w:r>
              <w:rPr>
                <w:rFonts w:hint="eastAsia"/>
              </w:rPr>
              <w:t>根据业主提供</w:t>
            </w:r>
            <w:r>
              <w:t>数据</w:t>
            </w:r>
            <w:r>
              <w:rPr>
                <w:rFonts w:hint="eastAsia"/>
                <w:color w:val="auto"/>
                <w:lang w:val="en-US" w:eastAsia="zh-CN"/>
              </w:rPr>
              <w:t>切削</w:t>
            </w:r>
            <w:r>
              <w:t>液</w:t>
            </w:r>
            <w:r>
              <w:rPr>
                <w:rFonts w:hint="eastAsia"/>
              </w:rPr>
              <w:t>年</w:t>
            </w:r>
            <w:r>
              <w:rPr>
                <w:color w:val="auto"/>
              </w:rPr>
              <w:t>使用量为</w:t>
            </w:r>
            <w:r>
              <w:rPr>
                <w:rFonts w:hint="eastAsia"/>
                <w:color w:val="auto"/>
                <w:lang w:val="en-US" w:eastAsia="zh-CN"/>
              </w:rPr>
              <w:t>1</w:t>
            </w:r>
            <w:r>
              <w:rPr>
                <w:rFonts w:hint="eastAsia"/>
                <w:color w:val="auto"/>
              </w:rPr>
              <w:t>t，</w:t>
            </w:r>
            <w:r>
              <w:rPr>
                <w:color w:val="auto"/>
              </w:rPr>
              <w:t>单</w:t>
            </w:r>
            <w:r>
              <w:rPr>
                <w:rFonts w:hint="eastAsia"/>
              </w:rPr>
              <w:t>桶25kg，即</w:t>
            </w:r>
            <w:r>
              <w:t>每年产</w:t>
            </w:r>
            <w:r>
              <w:rPr>
                <w:color w:val="auto"/>
              </w:rPr>
              <w:t>生</w:t>
            </w:r>
            <w:r>
              <w:rPr>
                <w:rFonts w:hint="eastAsia"/>
                <w:color w:val="auto"/>
              </w:rPr>
              <w:t>约</w:t>
            </w:r>
            <w:r>
              <w:rPr>
                <w:rFonts w:hint="eastAsia"/>
                <w:color w:val="auto"/>
                <w:lang w:val="en-US" w:eastAsia="zh-CN"/>
              </w:rPr>
              <w:t>40</w:t>
            </w:r>
            <w:r>
              <w:rPr>
                <w:rFonts w:hint="eastAsia"/>
                <w:color w:val="auto"/>
              </w:rPr>
              <w:t>只</w:t>
            </w:r>
            <w:r>
              <w:rPr>
                <w:color w:val="auto"/>
              </w:rPr>
              <w:t>废</w:t>
            </w:r>
            <w:r>
              <w:t>桶</w:t>
            </w:r>
            <w:r>
              <w:rPr>
                <w:rFonts w:hint="eastAsia"/>
              </w:rPr>
              <w:t>，单只废桶</w:t>
            </w:r>
            <w:r>
              <w:t>重量为</w:t>
            </w:r>
            <w:r>
              <w:rPr>
                <w:rFonts w:hint="eastAsia"/>
              </w:rPr>
              <w:t>0.5kg，</w:t>
            </w:r>
            <w:r>
              <w:t>故产生</w:t>
            </w:r>
            <w:r>
              <w:rPr>
                <w:rFonts w:hint="eastAsia"/>
              </w:rPr>
              <w:t>废</w:t>
            </w:r>
            <w:r>
              <w:rPr>
                <w:rFonts w:hint="eastAsia"/>
                <w:color w:val="auto"/>
                <w:lang w:val="en-US" w:eastAsia="zh-CN"/>
              </w:rPr>
              <w:t>切削</w:t>
            </w:r>
            <w:r>
              <w:rPr>
                <w:rFonts w:hint="eastAsia"/>
                <w:color w:val="auto"/>
              </w:rPr>
              <w:t>液</w:t>
            </w:r>
            <w:r>
              <w:rPr>
                <w:color w:val="auto"/>
              </w:rPr>
              <w:t>桶</w:t>
            </w:r>
            <w:r>
              <w:rPr>
                <w:rFonts w:hint="eastAsia"/>
                <w:color w:val="auto"/>
              </w:rPr>
              <w:t>约0.0</w:t>
            </w:r>
            <w:r>
              <w:rPr>
                <w:rFonts w:hint="eastAsia"/>
                <w:color w:val="auto"/>
                <w:lang w:val="en-US" w:eastAsia="zh-CN"/>
              </w:rPr>
              <w:t>2</w:t>
            </w:r>
            <w:r>
              <w:rPr>
                <w:rFonts w:hint="eastAsia"/>
                <w:color w:val="auto"/>
              </w:rPr>
              <w:t>t/</w:t>
            </w:r>
            <w:r>
              <w:rPr>
                <w:color w:val="auto"/>
              </w:rPr>
              <w:t>a</w:t>
            </w:r>
            <w:r>
              <w:rPr>
                <w:rFonts w:hint="eastAsia"/>
                <w:color w:val="auto"/>
              </w:rPr>
              <w:t>，</w:t>
            </w:r>
            <w:r>
              <w:rPr>
                <w:rFonts w:hint="eastAsia"/>
              </w:rPr>
              <w:t>根据《国家危险废物名录》（202</w:t>
            </w:r>
            <w:r>
              <w:rPr>
                <w:rFonts w:hint="eastAsia"/>
                <w:lang w:val="en-US" w:eastAsia="zh-CN"/>
              </w:rPr>
              <w:t>5</w:t>
            </w:r>
            <w:r>
              <w:rPr>
                <w:rFonts w:hint="eastAsia"/>
              </w:rPr>
              <w:t>年版），废</w:t>
            </w:r>
            <w:r>
              <w:rPr>
                <w:rFonts w:hint="eastAsia"/>
                <w:color w:val="auto"/>
                <w:lang w:val="en-US" w:eastAsia="zh-CN"/>
              </w:rPr>
              <w:t>切削</w:t>
            </w:r>
            <w:r>
              <w:rPr>
                <w:rFonts w:hint="eastAsia"/>
                <w:color w:val="auto"/>
              </w:rPr>
              <w:t>液</w:t>
            </w:r>
            <w:r>
              <w:rPr>
                <w:rFonts w:hint="eastAsia"/>
              </w:rPr>
              <w:t>桶属于其中HW49（900-041-49）所列内容，收集后委托有危废处置资质的单位处置。</w:t>
            </w:r>
          </w:p>
          <w:p w14:paraId="57F825F9">
            <w:pPr>
              <w:pStyle w:val="46"/>
              <w:spacing w:line="360" w:lineRule="auto"/>
              <w:ind w:firstLine="480" w:firstLineChars="200"/>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lang w:eastAsia="zh-CN"/>
                <w14:textFill>
                  <w14:solidFill>
                    <w14:schemeClr w14:val="tx1"/>
                  </w14:solidFill>
                </w14:textFill>
              </w:rPr>
              <w:t>）废</w:t>
            </w:r>
            <w:r>
              <w:rPr>
                <w:rFonts w:hint="eastAsia"/>
                <w:color w:val="000000" w:themeColor="text1"/>
                <w:sz w:val="24"/>
                <w:szCs w:val="24"/>
                <w:lang w:val="en-US" w:eastAsia="zh-CN"/>
                <w14:textFill>
                  <w14:solidFill>
                    <w14:schemeClr w14:val="tx1"/>
                  </w14:solidFill>
                </w14:textFill>
              </w:rPr>
              <w:t>润滑油：</w:t>
            </w:r>
            <w:r>
              <w:rPr>
                <w:rFonts w:hint="eastAsia"/>
              </w:rPr>
              <w:t>项目</w:t>
            </w:r>
            <w:r>
              <w:rPr>
                <w:rFonts w:hint="eastAsia"/>
                <w:lang w:val="en-US" w:eastAsia="zh-CN"/>
              </w:rPr>
              <w:t>设备</w:t>
            </w:r>
            <w:r>
              <w:rPr>
                <w:rFonts w:hint="eastAsia"/>
              </w:rPr>
              <w:t>维修等更换零部件工序中会产生</w:t>
            </w:r>
            <w:r>
              <w:rPr>
                <w:rFonts w:hint="eastAsia"/>
                <w:color w:val="000000" w:themeColor="text1"/>
                <w14:textFill>
                  <w14:solidFill>
                    <w14:schemeClr w14:val="tx1"/>
                  </w14:solidFill>
                </w14:textFill>
              </w:rPr>
              <w:t>废</w:t>
            </w:r>
            <w:r>
              <w:rPr>
                <w:rFonts w:hint="eastAsia"/>
                <w:lang w:val="en-US" w:eastAsia="zh-CN" w:bidi="ar"/>
              </w:rPr>
              <w:t>润滑油</w:t>
            </w:r>
            <w:r>
              <w:rPr>
                <w:rFonts w:hint="eastAsia"/>
              </w:rPr>
              <w:t>，产生量约为0.01t/a，按照《国家危险废物名录》（202</w:t>
            </w:r>
            <w:r>
              <w:rPr>
                <w:rFonts w:hint="eastAsia"/>
                <w:lang w:val="en-US" w:eastAsia="zh-CN"/>
              </w:rPr>
              <w:t>5</w:t>
            </w:r>
            <w:r>
              <w:rPr>
                <w:rFonts w:hint="eastAsia"/>
              </w:rPr>
              <w:t>年版），</w:t>
            </w:r>
            <w:r>
              <w:rPr>
                <w:rFonts w:hint="eastAsia"/>
                <w:color w:val="000000" w:themeColor="text1"/>
                <w14:textFill>
                  <w14:solidFill>
                    <w14:schemeClr w14:val="tx1"/>
                  </w14:solidFill>
                </w14:textFill>
              </w:rPr>
              <w:t>废</w:t>
            </w:r>
            <w:r>
              <w:rPr>
                <w:rFonts w:hint="eastAsia"/>
                <w:lang w:val="en-US" w:eastAsia="zh-CN" w:bidi="ar"/>
              </w:rPr>
              <w:t>润滑油</w:t>
            </w:r>
            <w:r>
              <w:rPr>
                <w:rFonts w:hint="eastAsia"/>
              </w:rPr>
              <w:t>属于危险废物，危险废物类别为HW08废矿物油与含矿物油废物，代码：900-214-08（车辆、轮船及其它机械维修过程中产生的废发动机油、制动器油、自动变速器油、齿轮油等废润滑油），收集后交由有危废处置资质的单位进行处理。</w:t>
            </w:r>
          </w:p>
          <w:p w14:paraId="54A807CD">
            <w:pPr>
              <w:numPr>
                <w:ilvl w:val="0"/>
                <w:numId w:val="0"/>
              </w:numPr>
              <w:spacing w:line="360" w:lineRule="auto"/>
              <w:ind w:firstLine="480" w:firstLineChars="200"/>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（9）废润滑油桶：</w:t>
            </w:r>
            <w:r>
              <w:rPr>
                <w:rFonts w:hint="eastAsia"/>
                <w:color w:val="auto"/>
              </w:rPr>
              <w:t>本项目使用</w:t>
            </w:r>
            <w:r>
              <w:rPr>
                <w:rFonts w:hint="eastAsia"/>
                <w:color w:val="auto"/>
                <w:lang w:val="en-US" w:eastAsia="zh-CN"/>
              </w:rPr>
              <w:t>润滑油</w:t>
            </w:r>
            <w:r>
              <w:rPr>
                <w:rFonts w:hint="eastAsia"/>
                <w:color w:val="auto"/>
              </w:rPr>
              <w:t>会产生废油桶，</w:t>
            </w:r>
            <w:r>
              <w:rPr>
                <w:rFonts w:hint="eastAsia"/>
                <w:color w:val="000000" w:themeColor="text1"/>
                <w14:textFill>
                  <w14:solidFill>
                    <w14:schemeClr w14:val="tx1"/>
                  </w14:solidFill>
                </w14:textFill>
              </w:rPr>
              <w:t>单桶都为25kg，</w:t>
            </w:r>
            <w:r>
              <w:rPr>
                <w:rFonts w:hint="eastAsia"/>
                <w:color w:val="auto"/>
                <w:lang w:val="en-US" w:eastAsia="zh-CN"/>
              </w:rPr>
              <w:t>润滑油</w:t>
            </w:r>
            <w:r>
              <w:rPr>
                <w:rFonts w:hint="eastAsia"/>
                <w:color w:val="auto"/>
              </w:rPr>
              <w:t>年用</w:t>
            </w:r>
            <w:r>
              <w:rPr>
                <w:rFonts w:hint="eastAsia"/>
                <w:color w:val="auto"/>
                <w:lang w:val="en-US" w:eastAsia="zh-CN"/>
              </w:rPr>
              <w:t>0.5</w:t>
            </w:r>
            <w:r>
              <w:rPr>
                <w:color w:val="auto"/>
              </w:rPr>
              <w:t>t/a，</w:t>
            </w:r>
            <w:r>
              <w:rPr>
                <w:rFonts w:hint="eastAsia"/>
                <w:color w:val="000000" w:themeColor="text1"/>
                <w14:textFill>
                  <w14:solidFill>
                    <w14:schemeClr w14:val="tx1"/>
                  </w14:solidFill>
                </w14:textFill>
              </w:rPr>
              <w:t>即每年产生约</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只废油桶，单只废油桶重量为0.5kg，故产生废油桶约0.</w:t>
            </w:r>
            <w:r>
              <w:rPr>
                <w:rFonts w:hint="eastAsia"/>
                <w:color w:val="000000" w:themeColor="text1"/>
                <w:lang w:val="en-US" w:eastAsia="zh-CN"/>
                <w14:textFill>
                  <w14:solidFill>
                    <w14:schemeClr w14:val="tx1"/>
                  </w14:solidFill>
                </w14:textFill>
              </w:rPr>
              <w:t>01</w:t>
            </w:r>
            <w:r>
              <w:rPr>
                <w:rFonts w:hint="eastAsia"/>
                <w:color w:val="000000" w:themeColor="text1"/>
                <w14:textFill>
                  <w14:solidFill>
                    <w14:schemeClr w14:val="tx1"/>
                  </w14:solidFill>
                </w14:textFill>
              </w:rPr>
              <w:t>t/a，根据《国家危险废物名录》（202</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年版），废油桶属于其中HW</w:t>
            </w:r>
            <w:r>
              <w:rPr>
                <w:rFonts w:hint="eastAsia"/>
                <w:color w:val="000000" w:themeColor="text1"/>
                <w:lang w:val="en-US" w:eastAsia="zh-CN"/>
                <w14:textFill>
                  <w14:solidFill>
                    <w14:schemeClr w14:val="tx1"/>
                  </w14:solidFill>
                </w14:textFill>
              </w:rPr>
              <w:t>0</w:t>
            </w:r>
            <w:r>
              <w:rPr>
                <w:rFonts w:hint="eastAsia"/>
                <w:color w:val="000000" w:themeColor="text1"/>
                <w14:textFill>
                  <w14:solidFill>
                    <w14:schemeClr w14:val="tx1"/>
                  </w14:solidFill>
                </w14:textFill>
              </w:rPr>
              <w:t>8（900-249-08）所列内容，收集后委托有危废处置资质的</w:t>
            </w:r>
            <w:r>
              <w:rPr>
                <w:rFonts w:hint="eastAsia"/>
                <w:color w:val="000000" w:themeColor="text1"/>
                <w:lang w:val="en-US" w:eastAsia="zh-CN"/>
                <w14:textFill>
                  <w14:solidFill>
                    <w14:schemeClr w14:val="tx1"/>
                  </w14:solidFill>
                </w14:textFill>
              </w:rPr>
              <w:t>单位处置。</w:t>
            </w:r>
          </w:p>
          <w:p w14:paraId="2E6ADB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Times New Roman" w:hAnsi="Times New Roman"/>
                <w:color w:val="000000" w:themeColor="text1"/>
                <w:lang w:eastAsia="zh-CN"/>
                <w14:textFill>
                  <w14:solidFill>
                    <w14:schemeClr w14:val="tx1"/>
                  </w14:solidFill>
                </w14:textFill>
              </w:rPr>
            </w:pPr>
            <w:r>
              <w:rPr>
                <w:rFonts w:ascii="Times New Roman" w:hAnsi="Times New Roman"/>
                <w:b/>
                <w:bCs/>
                <w:color w:val="000000" w:themeColor="text1"/>
                <w:lang w:eastAsia="zh-CN"/>
                <w14:textFill>
                  <w14:solidFill>
                    <w14:schemeClr w14:val="tx1"/>
                  </w14:solidFill>
                </w14:textFill>
              </w:rPr>
              <w:t>表4</w:t>
            </w:r>
            <w:r>
              <w:rPr>
                <w:rFonts w:hint="eastAsia"/>
                <w:b/>
                <w:bCs/>
                <w:color w:val="000000" w:themeColor="text1"/>
                <w:lang w:val="en-US" w:eastAsia="zh-CN"/>
                <w14:textFill>
                  <w14:solidFill>
                    <w14:schemeClr w14:val="tx1"/>
                  </w14:solidFill>
                </w14:textFill>
              </w:rPr>
              <w:t xml:space="preserve">-14  </w:t>
            </w:r>
            <w:r>
              <w:rPr>
                <w:rFonts w:ascii="Times New Roman" w:hAnsi="Times New Roman"/>
                <w:b/>
                <w:bCs/>
                <w:color w:val="000000" w:themeColor="text1"/>
                <w:lang w:eastAsia="zh-CN"/>
                <w14:textFill>
                  <w14:solidFill>
                    <w14:schemeClr w14:val="tx1"/>
                  </w14:solidFill>
                </w14:textFill>
              </w:rPr>
              <w:t>项目固体废物产排污情况一览表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124"/>
              <w:gridCol w:w="1023"/>
              <w:gridCol w:w="1093"/>
              <w:gridCol w:w="739"/>
              <w:gridCol w:w="911"/>
              <w:gridCol w:w="1170"/>
              <w:gridCol w:w="924"/>
            </w:tblGrid>
            <w:tr w14:paraId="1509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7AF82613">
                  <w:pPr>
                    <w:jc w:val="center"/>
                    <w:rPr>
                      <w:b/>
                      <w:sz w:val="21"/>
                      <w:szCs w:val="21"/>
                    </w:rPr>
                  </w:pPr>
                  <w:r>
                    <w:rPr>
                      <w:b/>
                      <w:sz w:val="21"/>
                      <w:szCs w:val="21"/>
                      <w:lang w:bidi="ar"/>
                    </w:rPr>
                    <w:t>名称</w:t>
                  </w:r>
                </w:p>
              </w:tc>
              <w:tc>
                <w:tcPr>
                  <w:tcW w:w="1124" w:type="dxa"/>
                  <w:vAlign w:val="center"/>
                </w:tcPr>
                <w:p w14:paraId="72EA00D5">
                  <w:pPr>
                    <w:jc w:val="center"/>
                    <w:rPr>
                      <w:b/>
                      <w:sz w:val="21"/>
                      <w:szCs w:val="21"/>
                    </w:rPr>
                  </w:pPr>
                  <w:r>
                    <w:rPr>
                      <w:b/>
                      <w:sz w:val="21"/>
                      <w:szCs w:val="21"/>
                      <w:lang w:bidi="ar"/>
                    </w:rPr>
                    <w:t>类别</w:t>
                  </w:r>
                </w:p>
              </w:tc>
              <w:tc>
                <w:tcPr>
                  <w:tcW w:w="1023" w:type="dxa"/>
                  <w:vAlign w:val="center"/>
                </w:tcPr>
                <w:p w14:paraId="05125BC4">
                  <w:pPr>
                    <w:jc w:val="center"/>
                    <w:rPr>
                      <w:b/>
                      <w:sz w:val="21"/>
                      <w:szCs w:val="21"/>
                      <w:lang w:bidi="ar"/>
                    </w:rPr>
                  </w:pPr>
                  <w:r>
                    <w:rPr>
                      <w:b/>
                      <w:sz w:val="21"/>
                      <w:szCs w:val="21"/>
                      <w:lang w:bidi="ar"/>
                    </w:rPr>
                    <w:t>固体废物代码</w:t>
                  </w:r>
                </w:p>
              </w:tc>
              <w:tc>
                <w:tcPr>
                  <w:tcW w:w="1093" w:type="dxa"/>
                  <w:vAlign w:val="center"/>
                </w:tcPr>
                <w:p w14:paraId="60641839">
                  <w:pPr>
                    <w:jc w:val="center"/>
                    <w:rPr>
                      <w:b/>
                      <w:sz w:val="21"/>
                      <w:szCs w:val="21"/>
                      <w:lang w:bidi="ar"/>
                    </w:rPr>
                  </w:pPr>
                  <w:r>
                    <w:rPr>
                      <w:b/>
                      <w:sz w:val="21"/>
                      <w:szCs w:val="21"/>
                      <w:lang w:bidi="ar"/>
                    </w:rPr>
                    <w:t>产生环节</w:t>
                  </w:r>
                </w:p>
              </w:tc>
              <w:tc>
                <w:tcPr>
                  <w:tcW w:w="739" w:type="dxa"/>
                  <w:vAlign w:val="center"/>
                </w:tcPr>
                <w:p w14:paraId="028B300D">
                  <w:pPr>
                    <w:jc w:val="center"/>
                    <w:rPr>
                      <w:b/>
                      <w:sz w:val="21"/>
                      <w:szCs w:val="21"/>
                      <w:lang w:bidi="ar"/>
                    </w:rPr>
                  </w:pPr>
                  <w:r>
                    <w:rPr>
                      <w:b/>
                      <w:sz w:val="21"/>
                      <w:szCs w:val="21"/>
                      <w:lang w:bidi="ar"/>
                    </w:rPr>
                    <w:t>状态</w:t>
                  </w:r>
                </w:p>
              </w:tc>
              <w:tc>
                <w:tcPr>
                  <w:tcW w:w="911" w:type="dxa"/>
                  <w:vAlign w:val="center"/>
                </w:tcPr>
                <w:p w14:paraId="2924FEAC">
                  <w:pPr>
                    <w:jc w:val="center"/>
                    <w:rPr>
                      <w:b/>
                      <w:sz w:val="21"/>
                      <w:szCs w:val="21"/>
                    </w:rPr>
                  </w:pPr>
                  <w:r>
                    <w:rPr>
                      <w:b/>
                      <w:sz w:val="21"/>
                      <w:szCs w:val="21"/>
                      <w:lang w:bidi="ar"/>
                    </w:rPr>
                    <w:t>产生量</w:t>
                  </w:r>
                  <w:r>
                    <w:rPr>
                      <w:b/>
                      <w:bCs/>
                      <w:sz w:val="21"/>
                      <w:szCs w:val="21"/>
                      <w:lang w:bidi="ar"/>
                    </w:rPr>
                    <w:t>t/a</w:t>
                  </w:r>
                </w:p>
              </w:tc>
              <w:tc>
                <w:tcPr>
                  <w:tcW w:w="1170" w:type="dxa"/>
                  <w:vAlign w:val="center"/>
                </w:tcPr>
                <w:p w14:paraId="2E3B0EF4">
                  <w:pPr>
                    <w:jc w:val="center"/>
                    <w:rPr>
                      <w:b/>
                      <w:sz w:val="21"/>
                      <w:szCs w:val="21"/>
                    </w:rPr>
                  </w:pPr>
                  <w:r>
                    <w:rPr>
                      <w:b/>
                      <w:sz w:val="21"/>
                      <w:szCs w:val="21"/>
                      <w:lang w:bidi="ar"/>
                    </w:rPr>
                    <w:t>最终去向</w:t>
                  </w:r>
                </w:p>
              </w:tc>
              <w:tc>
                <w:tcPr>
                  <w:tcW w:w="924" w:type="dxa"/>
                  <w:vAlign w:val="center"/>
                </w:tcPr>
                <w:p w14:paraId="0029752A">
                  <w:pPr>
                    <w:jc w:val="center"/>
                    <w:rPr>
                      <w:b/>
                      <w:sz w:val="21"/>
                      <w:szCs w:val="21"/>
                      <w:lang w:bidi="ar"/>
                    </w:rPr>
                  </w:pPr>
                  <w:r>
                    <w:rPr>
                      <w:b/>
                      <w:sz w:val="21"/>
                      <w:szCs w:val="21"/>
                      <w:lang w:bidi="ar"/>
                    </w:rPr>
                    <w:t>排放量（t/a）</w:t>
                  </w:r>
                </w:p>
              </w:tc>
            </w:tr>
            <w:tr w14:paraId="0409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7F58B7DD">
                  <w:pPr>
                    <w:jc w:val="center"/>
                    <w:outlineLvl w:val="0"/>
                    <w:rPr>
                      <w:sz w:val="21"/>
                      <w:szCs w:val="21"/>
                    </w:rPr>
                  </w:pPr>
                  <w:r>
                    <w:rPr>
                      <w:sz w:val="21"/>
                      <w:szCs w:val="21"/>
                      <w:lang w:bidi="ar"/>
                    </w:rPr>
                    <w:t>生活垃圾</w:t>
                  </w:r>
                </w:p>
              </w:tc>
              <w:tc>
                <w:tcPr>
                  <w:tcW w:w="1124" w:type="dxa"/>
                  <w:vAlign w:val="center"/>
                </w:tcPr>
                <w:p w14:paraId="1E99B62C">
                  <w:pPr>
                    <w:jc w:val="center"/>
                    <w:rPr>
                      <w:sz w:val="21"/>
                      <w:szCs w:val="21"/>
                    </w:rPr>
                  </w:pPr>
                  <w:r>
                    <w:rPr>
                      <w:sz w:val="21"/>
                      <w:szCs w:val="21"/>
                    </w:rPr>
                    <w:t>/</w:t>
                  </w:r>
                </w:p>
              </w:tc>
              <w:tc>
                <w:tcPr>
                  <w:tcW w:w="1023" w:type="dxa"/>
                  <w:vAlign w:val="center"/>
                </w:tcPr>
                <w:p w14:paraId="7F7260A0">
                  <w:pPr>
                    <w:jc w:val="center"/>
                    <w:rPr>
                      <w:sz w:val="21"/>
                      <w:szCs w:val="21"/>
                      <w:lang w:bidi="ar"/>
                    </w:rPr>
                  </w:pPr>
                  <w:r>
                    <w:rPr>
                      <w:sz w:val="21"/>
                      <w:szCs w:val="21"/>
                      <w:lang w:bidi="ar"/>
                    </w:rPr>
                    <w:t>/</w:t>
                  </w:r>
                </w:p>
              </w:tc>
              <w:tc>
                <w:tcPr>
                  <w:tcW w:w="1093" w:type="dxa"/>
                  <w:vAlign w:val="center"/>
                </w:tcPr>
                <w:p w14:paraId="193A31DC">
                  <w:pPr>
                    <w:jc w:val="center"/>
                    <w:rPr>
                      <w:sz w:val="21"/>
                      <w:szCs w:val="21"/>
                      <w:lang w:bidi="ar"/>
                    </w:rPr>
                  </w:pPr>
                  <w:r>
                    <w:rPr>
                      <w:sz w:val="21"/>
                      <w:szCs w:val="21"/>
                      <w:lang w:bidi="ar"/>
                    </w:rPr>
                    <w:t>生活</w:t>
                  </w:r>
                </w:p>
              </w:tc>
              <w:tc>
                <w:tcPr>
                  <w:tcW w:w="739" w:type="dxa"/>
                  <w:vAlign w:val="center"/>
                </w:tcPr>
                <w:p w14:paraId="4A675641">
                  <w:pPr>
                    <w:jc w:val="center"/>
                    <w:rPr>
                      <w:sz w:val="21"/>
                      <w:szCs w:val="21"/>
                      <w:lang w:bidi="ar"/>
                    </w:rPr>
                  </w:pPr>
                  <w:r>
                    <w:rPr>
                      <w:sz w:val="21"/>
                      <w:szCs w:val="21"/>
                      <w:lang w:bidi="ar"/>
                    </w:rPr>
                    <w:t>固态</w:t>
                  </w:r>
                </w:p>
              </w:tc>
              <w:tc>
                <w:tcPr>
                  <w:tcW w:w="911" w:type="dxa"/>
                  <w:vAlign w:val="center"/>
                </w:tcPr>
                <w:p w14:paraId="7D23126D">
                  <w:pPr>
                    <w:jc w:val="center"/>
                    <w:rPr>
                      <w:rFonts w:hint="eastAsia" w:eastAsia="宋体"/>
                      <w:sz w:val="21"/>
                      <w:szCs w:val="21"/>
                      <w:lang w:eastAsia="zh-CN"/>
                    </w:rPr>
                  </w:pPr>
                  <w:r>
                    <w:rPr>
                      <w:rFonts w:hint="eastAsia"/>
                      <w:sz w:val="21"/>
                      <w:szCs w:val="21"/>
                      <w:lang w:val="en-US" w:eastAsia="zh-CN" w:bidi="ar"/>
                    </w:rPr>
                    <w:t>9</w:t>
                  </w:r>
                </w:p>
              </w:tc>
              <w:tc>
                <w:tcPr>
                  <w:tcW w:w="1170" w:type="dxa"/>
                  <w:vAlign w:val="center"/>
                </w:tcPr>
                <w:p w14:paraId="543BC9EC">
                  <w:pPr>
                    <w:jc w:val="center"/>
                    <w:rPr>
                      <w:sz w:val="21"/>
                      <w:szCs w:val="21"/>
                    </w:rPr>
                  </w:pPr>
                  <w:r>
                    <w:rPr>
                      <w:sz w:val="21"/>
                      <w:szCs w:val="21"/>
                      <w:lang w:bidi="ar"/>
                    </w:rPr>
                    <w:t>环卫部门清运</w:t>
                  </w:r>
                </w:p>
              </w:tc>
              <w:tc>
                <w:tcPr>
                  <w:tcW w:w="924" w:type="dxa"/>
                  <w:vAlign w:val="center"/>
                </w:tcPr>
                <w:p w14:paraId="4F978586">
                  <w:pPr>
                    <w:jc w:val="center"/>
                    <w:rPr>
                      <w:sz w:val="21"/>
                      <w:szCs w:val="21"/>
                      <w:lang w:bidi="ar"/>
                    </w:rPr>
                  </w:pPr>
                  <w:r>
                    <w:rPr>
                      <w:sz w:val="21"/>
                      <w:szCs w:val="21"/>
                      <w:lang w:bidi="ar"/>
                    </w:rPr>
                    <w:t>0</w:t>
                  </w:r>
                </w:p>
              </w:tc>
            </w:tr>
            <w:tr w14:paraId="4609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46F6CC72">
                  <w:pPr>
                    <w:jc w:val="center"/>
                    <w:outlineLvl w:val="0"/>
                    <w:rPr>
                      <w:rFonts w:hint="eastAsia" w:eastAsia="宋体"/>
                      <w:sz w:val="21"/>
                      <w:szCs w:val="21"/>
                      <w:lang w:eastAsia="zh-CN"/>
                    </w:rPr>
                  </w:pPr>
                  <w:r>
                    <w:rPr>
                      <w:rFonts w:hint="eastAsia" w:eastAsia="宋体"/>
                      <w:sz w:val="21"/>
                      <w:szCs w:val="21"/>
                      <w:lang w:val="en-US" w:eastAsia="zh-CN"/>
                    </w:rPr>
                    <w:t>废边角料</w:t>
                  </w:r>
                </w:p>
              </w:tc>
              <w:tc>
                <w:tcPr>
                  <w:tcW w:w="1124" w:type="dxa"/>
                  <w:vAlign w:val="center"/>
                </w:tcPr>
                <w:p w14:paraId="1B5ED784">
                  <w:pPr>
                    <w:jc w:val="center"/>
                    <w:rPr>
                      <w:sz w:val="21"/>
                      <w:szCs w:val="21"/>
                    </w:rPr>
                  </w:pPr>
                  <w:r>
                    <w:rPr>
                      <w:sz w:val="21"/>
                      <w:szCs w:val="21"/>
                      <w:lang w:bidi="ar"/>
                    </w:rPr>
                    <w:t>一般固废</w:t>
                  </w:r>
                </w:p>
              </w:tc>
              <w:tc>
                <w:tcPr>
                  <w:tcW w:w="1023" w:type="dxa"/>
                  <w:vAlign w:val="center"/>
                </w:tcPr>
                <w:p w14:paraId="7E9F505B">
                  <w:pPr>
                    <w:jc w:val="center"/>
                    <w:rPr>
                      <w:sz w:val="21"/>
                      <w:szCs w:val="21"/>
                      <w:lang w:bidi="ar"/>
                    </w:rPr>
                  </w:pPr>
                  <w:r>
                    <w:rPr>
                      <w:rFonts w:hint="eastAsia"/>
                      <w:sz w:val="21"/>
                      <w:szCs w:val="21"/>
                      <w:lang w:val="en-US" w:eastAsia="zh-CN" w:bidi="ar"/>
                    </w:rPr>
                    <w:t>900-002-S17</w:t>
                  </w:r>
                </w:p>
              </w:tc>
              <w:tc>
                <w:tcPr>
                  <w:tcW w:w="1093" w:type="dxa"/>
                  <w:vAlign w:val="center"/>
                </w:tcPr>
                <w:p w14:paraId="7F3847FF">
                  <w:pPr>
                    <w:jc w:val="center"/>
                    <w:rPr>
                      <w:sz w:val="21"/>
                      <w:szCs w:val="21"/>
                      <w:lang w:bidi="ar"/>
                    </w:rPr>
                  </w:pPr>
                  <w:r>
                    <w:rPr>
                      <w:rFonts w:hint="eastAsia"/>
                      <w:sz w:val="21"/>
                      <w:szCs w:val="21"/>
                      <w:lang w:val="en-US" w:eastAsia="zh-CN" w:bidi="ar"/>
                    </w:rPr>
                    <w:t>下料、</w:t>
                  </w:r>
                  <w:r>
                    <w:rPr>
                      <w:rFonts w:hint="eastAsia"/>
                      <w:sz w:val="21"/>
                      <w:szCs w:val="21"/>
                      <w:lang w:bidi="ar"/>
                    </w:rPr>
                    <w:t>机加工</w:t>
                  </w:r>
                </w:p>
              </w:tc>
              <w:tc>
                <w:tcPr>
                  <w:tcW w:w="739" w:type="dxa"/>
                  <w:vAlign w:val="center"/>
                </w:tcPr>
                <w:p w14:paraId="52918473">
                  <w:pPr>
                    <w:jc w:val="center"/>
                    <w:rPr>
                      <w:sz w:val="21"/>
                      <w:szCs w:val="21"/>
                      <w:lang w:bidi="ar"/>
                    </w:rPr>
                  </w:pPr>
                  <w:r>
                    <w:rPr>
                      <w:sz w:val="21"/>
                      <w:szCs w:val="21"/>
                      <w:lang w:bidi="ar"/>
                    </w:rPr>
                    <w:t>固态</w:t>
                  </w:r>
                </w:p>
              </w:tc>
              <w:tc>
                <w:tcPr>
                  <w:tcW w:w="911" w:type="dxa"/>
                  <w:vAlign w:val="center"/>
                </w:tcPr>
                <w:p w14:paraId="2609AE62">
                  <w:pPr>
                    <w:jc w:val="center"/>
                    <w:rPr>
                      <w:sz w:val="21"/>
                      <w:szCs w:val="21"/>
                    </w:rPr>
                  </w:pPr>
                  <w:r>
                    <w:rPr>
                      <w:rFonts w:hint="eastAsia"/>
                      <w:sz w:val="21"/>
                      <w:szCs w:val="21"/>
                      <w:lang w:val="en-US" w:eastAsia="zh-CN" w:bidi="ar"/>
                    </w:rPr>
                    <w:t>1.5</w:t>
                  </w:r>
                </w:p>
              </w:tc>
              <w:tc>
                <w:tcPr>
                  <w:tcW w:w="1170" w:type="dxa"/>
                  <w:vAlign w:val="center"/>
                </w:tcPr>
                <w:p w14:paraId="2BE40119">
                  <w:pPr>
                    <w:jc w:val="center"/>
                    <w:rPr>
                      <w:sz w:val="21"/>
                      <w:szCs w:val="21"/>
                    </w:rPr>
                  </w:pPr>
                  <w:r>
                    <w:rPr>
                      <w:sz w:val="21"/>
                      <w:szCs w:val="21"/>
                      <w:lang w:bidi="ar"/>
                    </w:rPr>
                    <w:t>集中</w:t>
                  </w:r>
                  <w:r>
                    <w:rPr>
                      <w:sz w:val="21"/>
                      <w:szCs w:val="21"/>
                    </w:rPr>
                    <w:t>收集后外售</w:t>
                  </w:r>
                </w:p>
              </w:tc>
              <w:tc>
                <w:tcPr>
                  <w:tcW w:w="924" w:type="dxa"/>
                  <w:vAlign w:val="center"/>
                </w:tcPr>
                <w:p w14:paraId="217E8705">
                  <w:pPr>
                    <w:jc w:val="center"/>
                    <w:rPr>
                      <w:sz w:val="21"/>
                      <w:szCs w:val="21"/>
                      <w:lang w:bidi="ar"/>
                    </w:rPr>
                  </w:pPr>
                  <w:r>
                    <w:rPr>
                      <w:sz w:val="21"/>
                      <w:szCs w:val="21"/>
                      <w:lang w:bidi="ar"/>
                    </w:rPr>
                    <w:t>0</w:t>
                  </w:r>
                </w:p>
              </w:tc>
            </w:tr>
            <w:tr w14:paraId="2C83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4A9E87DC">
                  <w:pPr>
                    <w:jc w:val="center"/>
                    <w:outlineLvl w:val="0"/>
                    <w:rPr>
                      <w:rFonts w:hint="eastAsia" w:eastAsia="宋体"/>
                      <w:sz w:val="21"/>
                      <w:szCs w:val="21"/>
                      <w:lang w:val="en-US" w:eastAsia="zh-CN"/>
                    </w:rPr>
                  </w:pPr>
                  <w:r>
                    <w:rPr>
                      <w:rFonts w:hint="eastAsia"/>
                      <w:sz w:val="21"/>
                      <w:szCs w:val="21"/>
                      <w:lang w:val="en-US" w:eastAsia="zh-CN"/>
                    </w:rPr>
                    <w:t>焊渣</w:t>
                  </w:r>
                </w:p>
              </w:tc>
              <w:tc>
                <w:tcPr>
                  <w:tcW w:w="1124" w:type="dxa"/>
                  <w:vAlign w:val="center"/>
                </w:tcPr>
                <w:p w14:paraId="07945692">
                  <w:pPr>
                    <w:jc w:val="center"/>
                    <w:rPr>
                      <w:sz w:val="21"/>
                      <w:szCs w:val="21"/>
                      <w:lang w:bidi="ar"/>
                    </w:rPr>
                  </w:pPr>
                  <w:r>
                    <w:rPr>
                      <w:sz w:val="21"/>
                      <w:szCs w:val="21"/>
                      <w:lang w:bidi="ar"/>
                    </w:rPr>
                    <w:t>一般固废</w:t>
                  </w:r>
                </w:p>
              </w:tc>
              <w:tc>
                <w:tcPr>
                  <w:tcW w:w="1023" w:type="dxa"/>
                  <w:vAlign w:val="center"/>
                </w:tcPr>
                <w:p w14:paraId="2245F80E">
                  <w:pPr>
                    <w:jc w:val="center"/>
                    <w:rPr>
                      <w:rFonts w:hint="default"/>
                      <w:sz w:val="21"/>
                      <w:szCs w:val="21"/>
                      <w:lang w:val="en-US" w:bidi="ar"/>
                    </w:rPr>
                  </w:pPr>
                  <w:r>
                    <w:rPr>
                      <w:rFonts w:hint="eastAsia"/>
                      <w:sz w:val="21"/>
                      <w:szCs w:val="21"/>
                      <w:lang w:val="en-US" w:eastAsia="zh-CN" w:bidi="ar"/>
                    </w:rPr>
                    <w:t>900-099-S59</w:t>
                  </w:r>
                </w:p>
              </w:tc>
              <w:tc>
                <w:tcPr>
                  <w:tcW w:w="1093" w:type="dxa"/>
                  <w:vAlign w:val="center"/>
                </w:tcPr>
                <w:p w14:paraId="5EC08982">
                  <w:pPr>
                    <w:jc w:val="center"/>
                    <w:rPr>
                      <w:rFonts w:hint="eastAsia" w:eastAsia="宋体"/>
                      <w:sz w:val="21"/>
                      <w:szCs w:val="21"/>
                      <w:lang w:val="en-US" w:eastAsia="zh-CN" w:bidi="ar"/>
                    </w:rPr>
                  </w:pPr>
                  <w:r>
                    <w:rPr>
                      <w:rFonts w:hint="eastAsia"/>
                      <w:sz w:val="21"/>
                      <w:szCs w:val="21"/>
                      <w:lang w:val="en-US" w:eastAsia="zh-CN" w:bidi="ar"/>
                    </w:rPr>
                    <w:t>焊接</w:t>
                  </w:r>
                </w:p>
              </w:tc>
              <w:tc>
                <w:tcPr>
                  <w:tcW w:w="739" w:type="dxa"/>
                  <w:vAlign w:val="center"/>
                </w:tcPr>
                <w:p w14:paraId="5F3084A9">
                  <w:pPr>
                    <w:jc w:val="center"/>
                    <w:rPr>
                      <w:sz w:val="21"/>
                      <w:szCs w:val="21"/>
                      <w:lang w:bidi="ar"/>
                    </w:rPr>
                  </w:pPr>
                  <w:r>
                    <w:rPr>
                      <w:sz w:val="21"/>
                      <w:szCs w:val="21"/>
                      <w:lang w:bidi="ar"/>
                    </w:rPr>
                    <w:t>固态</w:t>
                  </w:r>
                </w:p>
              </w:tc>
              <w:tc>
                <w:tcPr>
                  <w:tcW w:w="911" w:type="dxa"/>
                  <w:vAlign w:val="center"/>
                </w:tcPr>
                <w:p w14:paraId="585BDE9E">
                  <w:pPr>
                    <w:jc w:val="center"/>
                    <w:rPr>
                      <w:rFonts w:hint="default"/>
                      <w:sz w:val="21"/>
                      <w:szCs w:val="21"/>
                      <w:lang w:val="en-US" w:bidi="ar"/>
                    </w:rPr>
                  </w:pPr>
                  <w:r>
                    <w:rPr>
                      <w:rFonts w:hint="eastAsia"/>
                      <w:sz w:val="21"/>
                      <w:szCs w:val="21"/>
                      <w:lang w:val="en-US" w:eastAsia="zh-CN" w:bidi="ar"/>
                    </w:rPr>
                    <w:t>0.655</w:t>
                  </w:r>
                </w:p>
              </w:tc>
              <w:tc>
                <w:tcPr>
                  <w:tcW w:w="1170" w:type="dxa"/>
                  <w:vAlign w:val="center"/>
                </w:tcPr>
                <w:p w14:paraId="69D56F0E">
                  <w:pPr>
                    <w:jc w:val="center"/>
                    <w:rPr>
                      <w:sz w:val="21"/>
                      <w:szCs w:val="21"/>
                      <w:lang w:bidi="ar"/>
                    </w:rPr>
                  </w:pPr>
                  <w:r>
                    <w:rPr>
                      <w:sz w:val="21"/>
                      <w:szCs w:val="21"/>
                      <w:lang w:bidi="ar"/>
                    </w:rPr>
                    <w:t>集中</w:t>
                  </w:r>
                  <w:r>
                    <w:rPr>
                      <w:sz w:val="21"/>
                      <w:szCs w:val="21"/>
                    </w:rPr>
                    <w:t>收集后外售</w:t>
                  </w:r>
                </w:p>
              </w:tc>
              <w:tc>
                <w:tcPr>
                  <w:tcW w:w="924" w:type="dxa"/>
                  <w:vAlign w:val="center"/>
                </w:tcPr>
                <w:p w14:paraId="38674EBD">
                  <w:pPr>
                    <w:jc w:val="center"/>
                    <w:rPr>
                      <w:sz w:val="21"/>
                      <w:szCs w:val="21"/>
                      <w:lang w:bidi="ar"/>
                    </w:rPr>
                  </w:pPr>
                  <w:r>
                    <w:rPr>
                      <w:sz w:val="21"/>
                      <w:szCs w:val="21"/>
                      <w:lang w:bidi="ar"/>
                    </w:rPr>
                    <w:t>0</w:t>
                  </w:r>
                </w:p>
              </w:tc>
            </w:tr>
            <w:tr w14:paraId="29FE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3AC37915">
                  <w:pPr>
                    <w:jc w:val="center"/>
                    <w:outlineLvl w:val="0"/>
                    <w:rPr>
                      <w:rFonts w:hint="eastAsia" w:eastAsia="宋体"/>
                      <w:sz w:val="21"/>
                      <w:szCs w:val="21"/>
                      <w:lang w:eastAsia="zh-CN"/>
                    </w:rPr>
                  </w:pPr>
                  <w:r>
                    <w:rPr>
                      <w:rFonts w:hint="eastAsia"/>
                      <w:sz w:val="21"/>
                      <w:szCs w:val="21"/>
                      <w:lang w:val="en-US" w:eastAsia="zh-CN"/>
                    </w:rPr>
                    <w:t>金属沉渣</w:t>
                  </w:r>
                </w:p>
              </w:tc>
              <w:tc>
                <w:tcPr>
                  <w:tcW w:w="1124" w:type="dxa"/>
                  <w:vAlign w:val="center"/>
                </w:tcPr>
                <w:p w14:paraId="70B14894">
                  <w:pPr>
                    <w:jc w:val="center"/>
                    <w:rPr>
                      <w:sz w:val="21"/>
                      <w:szCs w:val="21"/>
                      <w:lang w:bidi="ar"/>
                    </w:rPr>
                  </w:pPr>
                  <w:r>
                    <w:rPr>
                      <w:sz w:val="21"/>
                      <w:szCs w:val="21"/>
                      <w:lang w:bidi="ar"/>
                    </w:rPr>
                    <w:t>一般固废</w:t>
                  </w:r>
                </w:p>
              </w:tc>
              <w:tc>
                <w:tcPr>
                  <w:tcW w:w="1023" w:type="dxa"/>
                  <w:vAlign w:val="center"/>
                </w:tcPr>
                <w:p w14:paraId="7D7054AE">
                  <w:pPr>
                    <w:jc w:val="center"/>
                    <w:rPr>
                      <w:sz w:val="21"/>
                      <w:szCs w:val="21"/>
                      <w:lang w:bidi="ar"/>
                    </w:rPr>
                  </w:pPr>
                  <w:r>
                    <w:rPr>
                      <w:rFonts w:hint="eastAsia"/>
                      <w:sz w:val="21"/>
                      <w:szCs w:val="21"/>
                      <w:lang w:val="en-US" w:eastAsia="zh-CN" w:bidi="ar"/>
                    </w:rPr>
                    <w:t>900-002-S17</w:t>
                  </w:r>
                </w:p>
              </w:tc>
              <w:tc>
                <w:tcPr>
                  <w:tcW w:w="1093" w:type="dxa"/>
                  <w:vAlign w:val="center"/>
                </w:tcPr>
                <w:p w14:paraId="6CB28FDE">
                  <w:pPr>
                    <w:jc w:val="center"/>
                    <w:rPr>
                      <w:rFonts w:hint="default" w:eastAsia="宋体"/>
                      <w:sz w:val="21"/>
                      <w:szCs w:val="21"/>
                      <w:lang w:val="en-US" w:eastAsia="zh-CN" w:bidi="ar"/>
                    </w:rPr>
                  </w:pPr>
                  <w:r>
                    <w:rPr>
                      <w:rFonts w:hint="eastAsia"/>
                      <w:sz w:val="21"/>
                      <w:szCs w:val="21"/>
                      <w:lang w:val="en-US" w:eastAsia="zh-CN" w:bidi="ar"/>
                    </w:rPr>
                    <w:t>下料、打磨</w:t>
                  </w:r>
                </w:p>
              </w:tc>
              <w:tc>
                <w:tcPr>
                  <w:tcW w:w="739" w:type="dxa"/>
                  <w:vAlign w:val="center"/>
                </w:tcPr>
                <w:p w14:paraId="376F4C54">
                  <w:pPr>
                    <w:jc w:val="center"/>
                    <w:rPr>
                      <w:sz w:val="21"/>
                      <w:szCs w:val="21"/>
                      <w:lang w:bidi="ar"/>
                    </w:rPr>
                  </w:pPr>
                  <w:r>
                    <w:rPr>
                      <w:sz w:val="21"/>
                      <w:szCs w:val="21"/>
                      <w:lang w:bidi="ar"/>
                    </w:rPr>
                    <w:t>固态</w:t>
                  </w:r>
                </w:p>
              </w:tc>
              <w:tc>
                <w:tcPr>
                  <w:tcW w:w="911" w:type="dxa"/>
                  <w:vAlign w:val="center"/>
                </w:tcPr>
                <w:p w14:paraId="5B3CD55C">
                  <w:pPr>
                    <w:jc w:val="center"/>
                    <w:rPr>
                      <w:rFonts w:hint="default"/>
                      <w:sz w:val="21"/>
                      <w:szCs w:val="21"/>
                      <w:lang w:val="en-US" w:bidi="ar"/>
                    </w:rPr>
                  </w:pPr>
                  <w:r>
                    <w:rPr>
                      <w:rFonts w:hint="eastAsia"/>
                      <w:sz w:val="21"/>
                      <w:szCs w:val="21"/>
                      <w:lang w:val="en-US" w:eastAsia="zh-CN" w:bidi="ar"/>
                    </w:rPr>
                    <w:t>3.555</w:t>
                  </w:r>
                </w:p>
              </w:tc>
              <w:tc>
                <w:tcPr>
                  <w:tcW w:w="1170" w:type="dxa"/>
                  <w:vAlign w:val="center"/>
                </w:tcPr>
                <w:p w14:paraId="1D831882">
                  <w:pPr>
                    <w:jc w:val="center"/>
                    <w:rPr>
                      <w:sz w:val="21"/>
                      <w:szCs w:val="21"/>
                      <w:lang w:bidi="ar"/>
                    </w:rPr>
                  </w:pPr>
                  <w:r>
                    <w:rPr>
                      <w:sz w:val="21"/>
                      <w:szCs w:val="21"/>
                      <w:lang w:bidi="ar"/>
                    </w:rPr>
                    <w:t>集中</w:t>
                  </w:r>
                  <w:r>
                    <w:rPr>
                      <w:sz w:val="21"/>
                      <w:szCs w:val="21"/>
                    </w:rPr>
                    <w:t>收集后外售</w:t>
                  </w:r>
                </w:p>
              </w:tc>
              <w:tc>
                <w:tcPr>
                  <w:tcW w:w="924" w:type="dxa"/>
                  <w:vAlign w:val="center"/>
                </w:tcPr>
                <w:p w14:paraId="379AFB9D">
                  <w:pPr>
                    <w:jc w:val="center"/>
                    <w:rPr>
                      <w:sz w:val="21"/>
                      <w:szCs w:val="21"/>
                      <w:lang w:bidi="ar"/>
                    </w:rPr>
                  </w:pPr>
                  <w:r>
                    <w:rPr>
                      <w:rFonts w:hint="eastAsia"/>
                      <w:sz w:val="21"/>
                      <w:szCs w:val="21"/>
                      <w:lang w:bidi="ar"/>
                    </w:rPr>
                    <w:t>0</w:t>
                  </w:r>
                </w:p>
              </w:tc>
            </w:tr>
            <w:tr w14:paraId="28CF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615B55A3">
                  <w:pPr>
                    <w:jc w:val="center"/>
                    <w:outlineLvl w:val="0"/>
                    <w:rPr>
                      <w:rFonts w:hint="default" w:eastAsia="宋体"/>
                      <w:sz w:val="21"/>
                      <w:szCs w:val="21"/>
                      <w:lang w:val="en-US" w:eastAsia="zh-CN"/>
                    </w:rPr>
                  </w:pPr>
                  <w:r>
                    <w:rPr>
                      <w:rFonts w:hint="eastAsia" w:eastAsia="宋体"/>
                      <w:sz w:val="21"/>
                      <w:szCs w:val="21"/>
                      <w:lang w:val="en-US" w:eastAsia="zh-CN"/>
                    </w:rPr>
                    <w:t>废包装材料</w:t>
                  </w:r>
                </w:p>
              </w:tc>
              <w:tc>
                <w:tcPr>
                  <w:tcW w:w="1124" w:type="dxa"/>
                  <w:vAlign w:val="center"/>
                </w:tcPr>
                <w:p w14:paraId="24F92EF7">
                  <w:pPr>
                    <w:jc w:val="center"/>
                    <w:rPr>
                      <w:sz w:val="21"/>
                      <w:szCs w:val="21"/>
                      <w:lang w:bidi="ar"/>
                    </w:rPr>
                  </w:pPr>
                  <w:r>
                    <w:rPr>
                      <w:sz w:val="21"/>
                      <w:szCs w:val="21"/>
                      <w:lang w:bidi="ar"/>
                    </w:rPr>
                    <w:t>一般固废</w:t>
                  </w:r>
                </w:p>
              </w:tc>
              <w:tc>
                <w:tcPr>
                  <w:tcW w:w="1023" w:type="dxa"/>
                  <w:vAlign w:val="center"/>
                </w:tcPr>
                <w:p w14:paraId="47D15F60">
                  <w:pPr>
                    <w:jc w:val="center"/>
                    <w:rPr>
                      <w:rFonts w:hint="eastAsia"/>
                      <w:sz w:val="21"/>
                      <w:szCs w:val="21"/>
                      <w:lang w:val="en-US" w:eastAsia="zh-CN" w:bidi="ar"/>
                    </w:rPr>
                  </w:pPr>
                  <w:r>
                    <w:rPr>
                      <w:rFonts w:hint="eastAsia"/>
                      <w:sz w:val="21"/>
                      <w:szCs w:val="21"/>
                      <w:lang w:val="en-US" w:eastAsia="zh-CN" w:bidi="ar"/>
                    </w:rPr>
                    <w:t>900-099-S17</w:t>
                  </w:r>
                </w:p>
              </w:tc>
              <w:tc>
                <w:tcPr>
                  <w:tcW w:w="1093" w:type="dxa"/>
                  <w:vAlign w:val="center"/>
                </w:tcPr>
                <w:p w14:paraId="2D0B0DDD">
                  <w:pPr>
                    <w:jc w:val="center"/>
                    <w:rPr>
                      <w:rFonts w:hint="default" w:eastAsia="宋体"/>
                      <w:sz w:val="21"/>
                      <w:szCs w:val="21"/>
                      <w:lang w:val="en-US" w:eastAsia="zh-CN" w:bidi="ar"/>
                    </w:rPr>
                  </w:pPr>
                  <w:r>
                    <w:rPr>
                      <w:rFonts w:hint="eastAsia" w:eastAsia="宋体"/>
                      <w:sz w:val="21"/>
                      <w:szCs w:val="21"/>
                      <w:lang w:val="en-US" w:eastAsia="zh-CN" w:bidi="ar"/>
                    </w:rPr>
                    <w:t>物料使用</w:t>
                  </w:r>
                </w:p>
              </w:tc>
              <w:tc>
                <w:tcPr>
                  <w:tcW w:w="739" w:type="dxa"/>
                  <w:vAlign w:val="center"/>
                </w:tcPr>
                <w:p w14:paraId="28C62BBD">
                  <w:pPr>
                    <w:jc w:val="center"/>
                    <w:rPr>
                      <w:sz w:val="21"/>
                      <w:szCs w:val="21"/>
                      <w:lang w:bidi="ar"/>
                    </w:rPr>
                  </w:pPr>
                  <w:r>
                    <w:rPr>
                      <w:sz w:val="21"/>
                      <w:szCs w:val="21"/>
                      <w:lang w:bidi="ar"/>
                    </w:rPr>
                    <w:t>固态</w:t>
                  </w:r>
                </w:p>
              </w:tc>
              <w:tc>
                <w:tcPr>
                  <w:tcW w:w="911" w:type="dxa"/>
                  <w:vAlign w:val="center"/>
                </w:tcPr>
                <w:p w14:paraId="29CD7709">
                  <w:pPr>
                    <w:jc w:val="center"/>
                    <w:rPr>
                      <w:rFonts w:hint="default"/>
                      <w:sz w:val="21"/>
                      <w:szCs w:val="21"/>
                      <w:lang w:val="en-US" w:eastAsia="zh-CN" w:bidi="ar"/>
                    </w:rPr>
                  </w:pPr>
                  <w:r>
                    <w:rPr>
                      <w:rFonts w:hint="eastAsia"/>
                      <w:sz w:val="21"/>
                      <w:szCs w:val="21"/>
                      <w:lang w:val="en-US" w:eastAsia="zh-CN" w:bidi="ar"/>
                    </w:rPr>
                    <w:t>0.25</w:t>
                  </w:r>
                </w:p>
              </w:tc>
              <w:tc>
                <w:tcPr>
                  <w:tcW w:w="1170" w:type="dxa"/>
                  <w:shd w:val="clear" w:color="auto" w:fill="auto"/>
                  <w:vAlign w:val="center"/>
                </w:tcPr>
                <w:p w14:paraId="2E571DB9">
                  <w:pPr>
                    <w:jc w:val="center"/>
                    <w:rPr>
                      <w:rFonts w:ascii="Times New Roman" w:hAnsi="Times New Roman" w:eastAsia="宋体" w:cs="Times New Roman"/>
                      <w:kern w:val="2"/>
                      <w:sz w:val="21"/>
                      <w:szCs w:val="21"/>
                      <w:lang w:val="en-US" w:eastAsia="zh-CN" w:bidi="ar"/>
                    </w:rPr>
                  </w:pPr>
                  <w:r>
                    <w:rPr>
                      <w:sz w:val="21"/>
                      <w:szCs w:val="21"/>
                      <w:lang w:bidi="ar"/>
                    </w:rPr>
                    <w:t>集中</w:t>
                  </w:r>
                  <w:r>
                    <w:rPr>
                      <w:sz w:val="21"/>
                      <w:szCs w:val="21"/>
                    </w:rPr>
                    <w:t>收集后外售</w:t>
                  </w:r>
                </w:p>
              </w:tc>
              <w:tc>
                <w:tcPr>
                  <w:tcW w:w="924" w:type="dxa"/>
                  <w:vAlign w:val="center"/>
                </w:tcPr>
                <w:p w14:paraId="6F4032C3">
                  <w:pPr>
                    <w:jc w:val="center"/>
                    <w:rPr>
                      <w:rFonts w:hint="eastAsia" w:eastAsia="宋体"/>
                      <w:sz w:val="21"/>
                      <w:szCs w:val="21"/>
                      <w:lang w:val="en-US" w:eastAsia="zh-CN" w:bidi="ar"/>
                    </w:rPr>
                  </w:pPr>
                  <w:r>
                    <w:rPr>
                      <w:rFonts w:hint="eastAsia"/>
                      <w:sz w:val="21"/>
                      <w:szCs w:val="21"/>
                      <w:lang w:val="en-US" w:eastAsia="zh-CN" w:bidi="ar"/>
                    </w:rPr>
                    <w:t>0</w:t>
                  </w:r>
                </w:p>
              </w:tc>
            </w:tr>
            <w:tr w14:paraId="4191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09581C79">
                  <w:pPr>
                    <w:jc w:val="center"/>
                    <w:outlineLvl w:val="0"/>
                    <w:rPr>
                      <w:rFonts w:hint="default"/>
                      <w:sz w:val="21"/>
                      <w:szCs w:val="21"/>
                      <w:lang w:val="en-US" w:eastAsia="zh-CN"/>
                    </w:rPr>
                  </w:pPr>
                  <w:r>
                    <w:rPr>
                      <w:rFonts w:hint="eastAsia"/>
                      <w:sz w:val="21"/>
                      <w:szCs w:val="21"/>
                      <w:lang w:val="en-US" w:eastAsia="zh-CN"/>
                    </w:rPr>
                    <w:t>废料</w:t>
                  </w:r>
                </w:p>
              </w:tc>
              <w:tc>
                <w:tcPr>
                  <w:tcW w:w="1124" w:type="dxa"/>
                  <w:vAlign w:val="center"/>
                </w:tcPr>
                <w:p w14:paraId="4FE0D167">
                  <w:pPr>
                    <w:jc w:val="center"/>
                    <w:rPr>
                      <w:sz w:val="21"/>
                      <w:szCs w:val="21"/>
                      <w:lang w:bidi="ar"/>
                    </w:rPr>
                  </w:pPr>
                  <w:r>
                    <w:rPr>
                      <w:sz w:val="21"/>
                      <w:szCs w:val="21"/>
                      <w:lang w:bidi="ar"/>
                    </w:rPr>
                    <w:t>一般固废</w:t>
                  </w:r>
                </w:p>
              </w:tc>
              <w:tc>
                <w:tcPr>
                  <w:tcW w:w="1023" w:type="dxa"/>
                  <w:vAlign w:val="center"/>
                </w:tcPr>
                <w:p w14:paraId="4FC231B7">
                  <w:pPr>
                    <w:jc w:val="center"/>
                    <w:rPr>
                      <w:rFonts w:hint="eastAsia"/>
                      <w:sz w:val="21"/>
                      <w:szCs w:val="21"/>
                      <w:lang w:val="en-US" w:eastAsia="zh-CN" w:bidi="ar"/>
                    </w:rPr>
                  </w:pPr>
                  <w:r>
                    <w:rPr>
                      <w:rFonts w:hint="eastAsia"/>
                      <w:sz w:val="21"/>
                      <w:szCs w:val="21"/>
                      <w:lang w:val="en-US" w:eastAsia="zh-CN" w:bidi="ar"/>
                    </w:rPr>
                    <w:t>900-003-S17</w:t>
                  </w:r>
                </w:p>
              </w:tc>
              <w:tc>
                <w:tcPr>
                  <w:tcW w:w="1093" w:type="dxa"/>
                  <w:vAlign w:val="center"/>
                </w:tcPr>
                <w:p w14:paraId="74216AF3">
                  <w:pPr>
                    <w:jc w:val="center"/>
                    <w:rPr>
                      <w:rFonts w:hint="default"/>
                      <w:sz w:val="21"/>
                      <w:szCs w:val="21"/>
                      <w:lang w:val="en-US" w:eastAsia="zh-CN" w:bidi="ar"/>
                    </w:rPr>
                  </w:pPr>
                  <w:r>
                    <w:rPr>
                      <w:rFonts w:hint="eastAsia"/>
                      <w:sz w:val="21"/>
                      <w:szCs w:val="21"/>
                      <w:lang w:val="en-US" w:eastAsia="zh-CN" w:bidi="ar"/>
                    </w:rPr>
                    <w:t>注塑</w:t>
                  </w:r>
                </w:p>
              </w:tc>
              <w:tc>
                <w:tcPr>
                  <w:tcW w:w="739" w:type="dxa"/>
                  <w:vAlign w:val="center"/>
                </w:tcPr>
                <w:p w14:paraId="56CAF8B2">
                  <w:pPr>
                    <w:jc w:val="center"/>
                    <w:rPr>
                      <w:sz w:val="21"/>
                      <w:szCs w:val="21"/>
                      <w:lang w:bidi="ar"/>
                    </w:rPr>
                  </w:pPr>
                  <w:r>
                    <w:rPr>
                      <w:sz w:val="21"/>
                      <w:szCs w:val="21"/>
                      <w:lang w:bidi="ar"/>
                    </w:rPr>
                    <w:t>固态</w:t>
                  </w:r>
                </w:p>
              </w:tc>
              <w:tc>
                <w:tcPr>
                  <w:tcW w:w="911" w:type="dxa"/>
                  <w:vAlign w:val="center"/>
                </w:tcPr>
                <w:p w14:paraId="2D649510">
                  <w:pPr>
                    <w:jc w:val="center"/>
                    <w:rPr>
                      <w:rFonts w:hint="default"/>
                      <w:sz w:val="21"/>
                      <w:szCs w:val="21"/>
                      <w:lang w:val="en-US" w:eastAsia="zh-CN" w:bidi="ar"/>
                    </w:rPr>
                  </w:pPr>
                  <w:r>
                    <w:rPr>
                      <w:rFonts w:hint="eastAsia"/>
                      <w:sz w:val="21"/>
                      <w:szCs w:val="21"/>
                      <w:lang w:val="en-US" w:eastAsia="zh-CN" w:bidi="ar"/>
                    </w:rPr>
                    <w:t>0.5</w:t>
                  </w:r>
                </w:p>
              </w:tc>
              <w:tc>
                <w:tcPr>
                  <w:tcW w:w="1170" w:type="dxa"/>
                  <w:vAlign w:val="center"/>
                </w:tcPr>
                <w:p w14:paraId="59D7E967">
                  <w:pPr>
                    <w:jc w:val="center"/>
                    <w:rPr>
                      <w:rFonts w:hint="eastAsia" w:eastAsia="宋体"/>
                      <w:sz w:val="21"/>
                      <w:szCs w:val="21"/>
                      <w:lang w:val="en-US" w:eastAsia="zh-CN" w:bidi="ar"/>
                    </w:rPr>
                  </w:pPr>
                  <w:r>
                    <w:rPr>
                      <w:sz w:val="21"/>
                      <w:szCs w:val="21"/>
                      <w:lang w:bidi="ar"/>
                    </w:rPr>
                    <w:t>集中</w:t>
                  </w:r>
                  <w:r>
                    <w:rPr>
                      <w:sz w:val="21"/>
                      <w:szCs w:val="21"/>
                    </w:rPr>
                    <w:t>收集后</w:t>
                  </w:r>
                  <w:r>
                    <w:rPr>
                      <w:rFonts w:hint="eastAsia"/>
                      <w:sz w:val="21"/>
                      <w:szCs w:val="21"/>
                      <w:lang w:val="en-US" w:eastAsia="zh-CN"/>
                    </w:rPr>
                    <w:t>回用于生产</w:t>
                  </w:r>
                </w:p>
              </w:tc>
              <w:tc>
                <w:tcPr>
                  <w:tcW w:w="924" w:type="dxa"/>
                  <w:vAlign w:val="center"/>
                </w:tcPr>
                <w:p w14:paraId="37F3889A">
                  <w:pPr>
                    <w:jc w:val="center"/>
                    <w:rPr>
                      <w:rFonts w:hint="eastAsia"/>
                      <w:sz w:val="21"/>
                      <w:szCs w:val="21"/>
                      <w:lang w:bidi="ar"/>
                    </w:rPr>
                  </w:pPr>
                  <w:r>
                    <w:rPr>
                      <w:sz w:val="21"/>
                      <w:szCs w:val="21"/>
                      <w:lang w:bidi="ar"/>
                    </w:rPr>
                    <w:t>0</w:t>
                  </w:r>
                </w:p>
              </w:tc>
            </w:tr>
            <w:tr w14:paraId="3512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5D9ACE2E">
                  <w:pPr>
                    <w:jc w:val="center"/>
                    <w:outlineLvl w:val="0"/>
                    <w:rPr>
                      <w:rFonts w:hint="default"/>
                      <w:sz w:val="21"/>
                      <w:szCs w:val="21"/>
                      <w:lang w:val="en-US" w:eastAsia="zh-CN"/>
                    </w:rPr>
                  </w:pPr>
                  <w:r>
                    <w:rPr>
                      <w:rFonts w:hint="eastAsia"/>
                      <w:sz w:val="21"/>
                      <w:szCs w:val="21"/>
                      <w:lang w:val="en-US" w:eastAsia="zh-CN"/>
                    </w:rPr>
                    <w:t>塑料不合格品</w:t>
                  </w:r>
                </w:p>
              </w:tc>
              <w:tc>
                <w:tcPr>
                  <w:tcW w:w="1124" w:type="dxa"/>
                  <w:vAlign w:val="center"/>
                </w:tcPr>
                <w:p w14:paraId="06F9C07E">
                  <w:pPr>
                    <w:jc w:val="center"/>
                    <w:rPr>
                      <w:sz w:val="21"/>
                      <w:szCs w:val="21"/>
                      <w:lang w:bidi="ar"/>
                    </w:rPr>
                  </w:pPr>
                  <w:r>
                    <w:rPr>
                      <w:sz w:val="21"/>
                      <w:szCs w:val="21"/>
                      <w:lang w:bidi="ar"/>
                    </w:rPr>
                    <w:t>一般固废</w:t>
                  </w:r>
                </w:p>
              </w:tc>
              <w:tc>
                <w:tcPr>
                  <w:tcW w:w="1023" w:type="dxa"/>
                  <w:vAlign w:val="center"/>
                </w:tcPr>
                <w:p w14:paraId="2DB2BC59">
                  <w:pPr>
                    <w:jc w:val="center"/>
                    <w:rPr>
                      <w:rFonts w:hint="eastAsia"/>
                      <w:sz w:val="21"/>
                      <w:szCs w:val="21"/>
                      <w:lang w:val="en-US" w:eastAsia="zh-CN" w:bidi="ar"/>
                    </w:rPr>
                  </w:pPr>
                  <w:r>
                    <w:rPr>
                      <w:rFonts w:hint="eastAsia"/>
                      <w:sz w:val="21"/>
                      <w:szCs w:val="21"/>
                      <w:lang w:val="en-US" w:eastAsia="zh-CN" w:bidi="ar"/>
                    </w:rPr>
                    <w:t>900-003-S17</w:t>
                  </w:r>
                </w:p>
              </w:tc>
              <w:tc>
                <w:tcPr>
                  <w:tcW w:w="1093" w:type="dxa"/>
                  <w:vAlign w:val="center"/>
                </w:tcPr>
                <w:p w14:paraId="1692636D">
                  <w:pPr>
                    <w:jc w:val="center"/>
                    <w:rPr>
                      <w:rFonts w:hint="default"/>
                      <w:sz w:val="21"/>
                      <w:szCs w:val="21"/>
                      <w:lang w:val="en-US" w:eastAsia="zh-CN" w:bidi="ar"/>
                    </w:rPr>
                  </w:pPr>
                  <w:r>
                    <w:rPr>
                      <w:rFonts w:hint="eastAsia"/>
                      <w:sz w:val="21"/>
                      <w:szCs w:val="21"/>
                      <w:lang w:val="en-US" w:eastAsia="zh-CN" w:bidi="ar"/>
                    </w:rPr>
                    <w:t>注塑</w:t>
                  </w:r>
                </w:p>
              </w:tc>
              <w:tc>
                <w:tcPr>
                  <w:tcW w:w="739" w:type="dxa"/>
                  <w:vAlign w:val="center"/>
                </w:tcPr>
                <w:p w14:paraId="6C48D314">
                  <w:pPr>
                    <w:jc w:val="center"/>
                    <w:rPr>
                      <w:sz w:val="21"/>
                      <w:szCs w:val="21"/>
                      <w:lang w:bidi="ar"/>
                    </w:rPr>
                  </w:pPr>
                  <w:r>
                    <w:rPr>
                      <w:sz w:val="21"/>
                      <w:szCs w:val="21"/>
                      <w:lang w:bidi="ar"/>
                    </w:rPr>
                    <w:t>固态</w:t>
                  </w:r>
                </w:p>
              </w:tc>
              <w:tc>
                <w:tcPr>
                  <w:tcW w:w="911" w:type="dxa"/>
                  <w:vAlign w:val="center"/>
                </w:tcPr>
                <w:p w14:paraId="2A341DAA">
                  <w:pPr>
                    <w:jc w:val="center"/>
                    <w:rPr>
                      <w:rFonts w:hint="eastAsia"/>
                      <w:sz w:val="21"/>
                      <w:szCs w:val="21"/>
                      <w:lang w:val="en-US" w:eastAsia="zh-CN" w:bidi="ar"/>
                    </w:rPr>
                  </w:pPr>
                  <w:r>
                    <w:rPr>
                      <w:rFonts w:hint="eastAsia"/>
                      <w:sz w:val="21"/>
                      <w:szCs w:val="21"/>
                      <w:lang w:val="en-US" w:eastAsia="zh-CN" w:bidi="ar"/>
                    </w:rPr>
                    <w:t>0.5</w:t>
                  </w:r>
                </w:p>
              </w:tc>
              <w:tc>
                <w:tcPr>
                  <w:tcW w:w="1170" w:type="dxa"/>
                  <w:vAlign w:val="center"/>
                </w:tcPr>
                <w:p w14:paraId="17B884DE">
                  <w:pPr>
                    <w:jc w:val="center"/>
                    <w:rPr>
                      <w:sz w:val="21"/>
                      <w:szCs w:val="21"/>
                      <w:lang w:bidi="ar"/>
                    </w:rPr>
                  </w:pPr>
                  <w:r>
                    <w:rPr>
                      <w:sz w:val="21"/>
                      <w:szCs w:val="21"/>
                      <w:lang w:bidi="ar"/>
                    </w:rPr>
                    <w:t>集中</w:t>
                  </w:r>
                  <w:r>
                    <w:rPr>
                      <w:sz w:val="21"/>
                      <w:szCs w:val="21"/>
                    </w:rPr>
                    <w:t>收集后</w:t>
                  </w:r>
                  <w:r>
                    <w:rPr>
                      <w:rFonts w:hint="eastAsia"/>
                      <w:sz w:val="21"/>
                      <w:szCs w:val="21"/>
                      <w:lang w:val="en-US" w:eastAsia="zh-CN"/>
                    </w:rPr>
                    <w:t>回用于生产</w:t>
                  </w:r>
                </w:p>
              </w:tc>
              <w:tc>
                <w:tcPr>
                  <w:tcW w:w="924" w:type="dxa"/>
                  <w:vAlign w:val="center"/>
                </w:tcPr>
                <w:p w14:paraId="39C3D110">
                  <w:pPr>
                    <w:jc w:val="center"/>
                    <w:rPr>
                      <w:rFonts w:hint="eastAsia"/>
                      <w:sz w:val="21"/>
                      <w:szCs w:val="21"/>
                      <w:lang w:bidi="ar"/>
                    </w:rPr>
                  </w:pPr>
                  <w:r>
                    <w:rPr>
                      <w:sz w:val="21"/>
                      <w:szCs w:val="21"/>
                      <w:lang w:bidi="ar"/>
                    </w:rPr>
                    <w:t>0</w:t>
                  </w:r>
                </w:p>
              </w:tc>
            </w:tr>
            <w:tr w14:paraId="1015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505EC4ED">
                  <w:pPr>
                    <w:jc w:val="center"/>
                    <w:outlineLvl w:val="0"/>
                    <w:rPr>
                      <w:rFonts w:hint="eastAsia"/>
                      <w:sz w:val="21"/>
                      <w:szCs w:val="21"/>
                      <w:lang w:val="en-US" w:eastAsia="zh-CN"/>
                    </w:rPr>
                  </w:pPr>
                  <w:r>
                    <w:rPr>
                      <w:rFonts w:hint="eastAsia"/>
                      <w:sz w:val="21"/>
                      <w:szCs w:val="21"/>
                      <w:lang w:val="en-US" w:eastAsia="zh-CN"/>
                    </w:rPr>
                    <w:t>滤筒收集的粉尘</w:t>
                  </w:r>
                </w:p>
              </w:tc>
              <w:tc>
                <w:tcPr>
                  <w:tcW w:w="1124" w:type="dxa"/>
                  <w:shd w:val="clear" w:color="auto" w:fill="auto"/>
                  <w:vAlign w:val="center"/>
                </w:tcPr>
                <w:p w14:paraId="70CDAE3A">
                  <w:pPr>
                    <w:jc w:val="center"/>
                    <w:rPr>
                      <w:rFonts w:ascii="Times New Roman" w:hAnsi="Times New Roman" w:eastAsia="宋体" w:cs="Times New Roman"/>
                      <w:kern w:val="2"/>
                      <w:sz w:val="21"/>
                      <w:szCs w:val="21"/>
                      <w:lang w:val="en-US" w:eastAsia="zh-CN" w:bidi="ar"/>
                    </w:rPr>
                  </w:pPr>
                  <w:r>
                    <w:rPr>
                      <w:sz w:val="21"/>
                      <w:szCs w:val="21"/>
                      <w:lang w:bidi="ar"/>
                    </w:rPr>
                    <w:t>一般固废</w:t>
                  </w:r>
                </w:p>
              </w:tc>
              <w:tc>
                <w:tcPr>
                  <w:tcW w:w="1023" w:type="dxa"/>
                  <w:vAlign w:val="center"/>
                </w:tcPr>
                <w:p w14:paraId="7F20A612">
                  <w:pPr>
                    <w:jc w:val="center"/>
                    <w:rPr>
                      <w:rFonts w:hint="eastAsia"/>
                      <w:sz w:val="21"/>
                      <w:szCs w:val="21"/>
                      <w:lang w:val="en-US" w:eastAsia="zh-CN" w:bidi="ar"/>
                    </w:rPr>
                  </w:pPr>
                  <w:r>
                    <w:rPr>
                      <w:rFonts w:hint="eastAsia"/>
                      <w:color w:val="000000" w:themeColor="text1"/>
                      <w:sz w:val="21"/>
                      <w:szCs w:val="21"/>
                      <w:lang w:val="en-US" w:eastAsia="zh-CN"/>
                      <w14:textFill>
                        <w14:solidFill>
                          <w14:schemeClr w14:val="tx1"/>
                        </w14:solidFill>
                      </w14:textFill>
                    </w:rPr>
                    <w:t>900-099-S17</w:t>
                  </w:r>
                </w:p>
              </w:tc>
              <w:tc>
                <w:tcPr>
                  <w:tcW w:w="1093" w:type="dxa"/>
                  <w:vAlign w:val="center"/>
                </w:tcPr>
                <w:p w14:paraId="1DA28FF8">
                  <w:pPr>
                    <w:jc w:val="center"/>
                    <w:rPr>
                      <w:rFonts w:hint="default"/>
                      <w:sz w:val="21"/>
                      <w:szCs w:val="21"/>
                      <w:lang w:val="en-US" w:eastAsia="zh-CN" w:bidi="ar"/>
                    </w:rPr>
                  </w:pPr>
                  <w:r>
                    <w:rPr>
                      <w:rFonts w:hint="eastAsia"/>
                      <w:sz w:val="21"/>
                      <w:szCs w:val="21"/>
                      <w:lang w:val="en-US" w:eastAsia="zh-CN" w:bidi="ar"/>
                    </w:rPr>
                    <w:t>废气处理</w:t>
                  </w:r>
                </w:p>
              </w:tc>
              <w:tc>
                <w:tcPr>
                  <w:tcW w:w="739" w:type="dxa"/>
                  <w:shd w:val="clear" w:color="auto" w:fill="auto"/>
                  <w:vAlign w:val="center"/>
                </w:tcPr>
                <w:p w14:paraId="43EC98C5">
                  <w:pPr>
                    <w:jc w:val="center"/>
                    <w:rPr>
                      <w:rFonts w:ascii="Times New Roman" w:hAnsi="Times New Roman" w:eastAsia="宋体" w:cs="Times New Roman"/>
                      <w:kern w:val="2"/>
                      <w:sz w:val="21"/>
                      <w:szCs w:val="21"/>
                      <w:lang w:val="en-US" w:eastAsia="zh-CN" w:bidi="ar"/>
                    </w:rPr>
                  </w:pPr>
                  <w:r>
                    <w:rPr>
                      <w:sz w:val="21"/>
                      <w:szCs w:val="21"/>
                      <w:lang w:bidi="ar"/>
                    </w:rPr>
                    <w:t>固态</w:t>
                  </w:r>
                </w:p>
              </w:tc>
              <w:tc>
                <w:tcPr>
                  <w:tcW w:w="911" w:type="dxa"/>
                  <w:vAlign w:val="center"/>
                </w:tcPr>
                <w:p w14:paraId="78C0112D">
                  <w:pPr>
                    <w:jc w:val="center"/>
                    <w:rPr>
                      <w:rFonts w:hint="default"/>
                      <w:sz w:val="21"/>
                      <w:szCs w:val="21"/>
                      <w:lang w:val="en-US" w:eastAsia="zh-CN" w:bidi="ar"/>
                    </w:rPr>
                  </w:pPr>
                  <w:r>
                    <w:rPr>
                      <w:rFonts w:hint="eastAsia"/>
                      <w:sz w:val="21"/>
                      <w:szCs w:val="21"/>
                      <w:lang w:val="en-US" w:eastAsia="zh-CN" w:bidi="ar"/>
                    </w:rPr>
                    <w:t>22.344</w:t>
                  </w:r>
                </w:p>
              </w:tc>
              <w:tc>
                <w:tcPr>
                  <w:tcW w:w="1170" w:type="dxa"/>
                  <w:shd w:val="clear" w:color="auto" w:fill="auto"/>
                  <w:vAlign w:val="center"/>
                </w:tcPr>
                <w:p w14:paraId="70A349DD">
                  <w:pPr>
                    <w:jc w:val="center"/>
                    <w:rPr>
                      <w:rFonts w:ascii="Times New Roman" w:hAnsi="Times New Roman" w:eastAsia="宋体" w:cs="Times New Roman"/>
                      <w:kern w:val="2"/>
                      <w:sz w:val="21"/>
                      <w:szCs w:val="21"/>
                      <w:lang w:val="en-US" w:eastAsia="zh-CN" w:bidi="ar"/>
                    </w:rPr>
                  </w:pPr>
                  <w:r>
                    <w:rPr>
                      <w:sz w:val="21"/>
                      <w:szCs w:val="21"/>
                      <w:lang w:bidi="ar"/>
                    </w:rPr>
                    <w:t>集中</w:t>
                  </w:r>
                  <w:r>
                    <w:rPr>
                      <w:sz w:val="21"/>
                      <w:szCs w:val="21"/>
                    </w:rPr>
                    <w:t>收集后</w:t>
                  </w:r>
                  <w:r>
                    <w:rPr>
                      <w:rFonts w:hint="eastAsia"/>
                      <w:sz w:val="21"/>
                      <w:szCs w:val="21"/>
                      <w:lang w:val="en-US" w:eastAsia="zh-CN"/>
                    </w:rPr>
                    <w:t>回用于生产</w:t>
                  </w:r>
                </w:p>
              </w:tc>
              <w:tc>
                <w:tcPr>
                  <w:tcW w:w="924" w:type="dxa"/>
                  <w:vAlign w:val="center"/>
                </w:tcPr>
                <w:p w14:paraId="7E9BBBB0">
                  <w:pPr>
                    <w:jc w:val="center"/>
                    <w:rPr>
                      <w:rFonts w:hint="eastAsia" w:eastAsia="宋体"/>
                      <w:sz w:val="21"/>
                      <w:szCs w:val="21"/>
                      <w:lang w:val="en-US" w:eastAsia="zh-CN" w:bidi="ar"/>
                    </w:rPr>
                  </w:pPr>
                  <w:r>
                    <w:rPr>
                      <w:rFonts w:hint="eastAsia"/>
                      <w:sz w:val="21"/>
                      <w:szCs w:val="21"/>
                      <w:lang w:val="en-US" w:eastAsia="zh-CN" w:bidi="ar"/>
                    </w:rPr>
                    <w:t>0</w:t>
                  </w:r>
                </w:p>
              </w:tc>
            </w:tr>
            <w:tr w14:paraId="6002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45C1FFB0">
                  <w:pPr>
                    <w:jc w:val="center"/>
                    <w:outlineLvl w:val="0"/>
                    <w:rPr>
                      <w:rFonts w:hint="default"/>
                      <w:sz w:val="21"/>
                      <w:szCs w:val="21"/>
                      <w:lang w:val="en-US" w:eastAsia="zh-CN"/>
                    </w:rPr>
                  </w:pPr>
                  <w:r>
                    <w:rPr>
                      <w:rFonts w:hint="eastAsia"/>
                      <w:sz w:val="21"/>
                      <w:szCs w:val="21"/>
                      <w:lang w:val="en-US" w:eastAsia="zh-CN"/>
                    </w:rPr>
                    <w:t>除尘器收集的粉尘</w:t>
                  </w:r>
                </w:p>
              </w:tc>
              <w:tc>
                <w:tcPr>
                  <w:tcW w:w="1124" w:type="dxa"/>
                  <w:shd w:val="clear" w:color="auto" w:fill="auto"/>
                  <w:vAlign w:val="center"/>
                </w:tcPr>
                <w:p w14:paraId="522387F4">
                  <w:pPr>
                    <w:jc w:val="center"/>
                    <w:rPr>
                      <w:rFonts w:ascii="Times New Roman" w:hAnsi="Times New Roman" w:eastAsia="宋体" w:cs="Times New Roman"/>
                      <w:kern w:val="2"/>
                      <w:sz w:val="21"/>
                      <w:szCs w:val="21"/>
                      <w:lang w:val="en-US" w:eastAsia="zh-CN" w:bidi="ar"/>
                    </w:rPr>
                  </w:pPr>
                  <w:r>
                    <w:rPr>
                      <w:sz w:val="21"/>
                      <w:szCs w:val="21"/>
                      <w:lang w:bidi="ar"/>
                    </w:rPr>
                    <w:t>一般固废</w:t>
                  </w:r>
                </w:p>
              </w:tc>
              <w:tc>
                <w:tcPr>
                  <w:tcW w:w="1023" w:type="dxa"/>
                  <w:shd w:val="clear" w:color="auto" w:fill="auto"/>
                  <w:vAlign w:val="center"/>
                </w:tcPr>
                <w:p w14:paraId="1AA27355">
                  <w:pPr>
                    <w:jc w:val="center"/>
                    <w:rPr>
                      <w:rFonts w:hint="eastAsia" w:ascii="Times New Roman" w:hAnsi="Times New Roman" w:eastAsia="宋体" w:cs="Times New Roman"/>
                      <w:kern w:val="2"/>
                      <w:sz w:val="21"/>
                      <w:szCs w:val="21"/>
                      <w:lang w:val="en-US" w:eastAsia="zh-CN" w:bidi="ar"/>
                    </w:rPr>
                  </w:pPr>
                  <w:r>
                    <w:rPr>
                      <w:rFonts w:hint="eastAsia"/>
                      <w:color w:val="000000" w:themeColor="text1"/>
                      <w:sz w:val="21"/>
                      <w:szCs w:val="21"/>
                      <w:lang w:val="en-US" w:eastAsia="zh-CN"/>
                      <w14:textFill>
                        <w14:solidFill>
                          <w14:schemeClr w14:val="tx1"/>
                        </w14:solidFill>
                      </w14:textFill>
                    </w:rPr>
                    <w:t>900-099-S17</w:t>
                  </w:r>
                </w:p>
              </w:tc>
              <w:tc>
                <w:tcPr>
                  <w:tcW w:w="1093" w:type="dxa"/>
                  <w:shd w:val="clear" w:color="auto" w:fill="auto"/>
                  <w:vAlign w:val="center"/>
                </w:tcPr>
                <w:p w14:paraId="0E79E049">
                  <w:pPr>
                    <w:jc w:val="center"/>
                    <w:rPr>
                      <w:rFonts w:hint="eastAsia" w:ascii="Times New Roman" w:hAnsi="Times New Roman" w:eastAsia="宋体" w:cs="Times New Roman"/>
                      <w:kern w:val="2"/>
                      <w:sz w:val="21"/>
                      <w:szCs w:val="21"/>
                      <w:lang w:val="en-US" w:eastAsia="zh-CN" w:bidi="ar"/>
                    </w:rPr>
                  </w:pPr>
                  <w:r>
                    <w:rPr>
                      <w:rFonts w:hint="eastAsia"/>
                      <w:sz w:val="21"/>
                      <w:szCs w:val="21"/>
                      <w:lang w:val="en-US" w:eastAsia="zh-CN" w:bidi="ar"/>
                    </w:rPr>
                    <w:t>废气处理</w:t>
                  </w:r>
                </w:p>
              </w:tc>
              <w:tc>
                <w:tcPr>
                  <w:tcW w:w="739" w:type="dxa"/>
                  <w:shd w:val="clear" w:color="auto" w:fill="auto"/>
                  <w:vAlign w:val="center"/>
                </w:tcPr>
                <w:p w14:paraId="039B9637">
                  <w:pPr>
                    <w:jc w:val="center"/>
                    <w:rPr>
                      <w:rFonts w:ascii="Times New Roman" w:hAnsi="Times New Roman" w:eastAsia="宋体" w:cs="Times New Roman"/>
                      <w:kern w:val="2"/>
                      <w:sz w:val="21"/>
                      <w:szCs w:val="21"/>
                      <w:lang w:val="en-US" w:eastAsia="zh-CN" w:bidi="ar"/>
                    </w:rPr>
                  </w:pPr>
                  <w:r>
                    <w:rPr>
                      <w:sz w:val="21"/>
                      <w:szCs w:val="21"/>
                      <w:lang w:bidi="ar"/>
                    </w:rPr>
                    <w:t>固态</w:t>
                  </w:r>
                </w:p>
              </w:tc>
              <w:tc>
                <w:tcPr>
                  <w:tcW w:w="911" w:type="dxa"/>
                  <w:vAlign w:val="center"/>
                </w:tcPr>
                <w:p w14:paraId="3495630D">
                  <w:pPr>
                    <w:jc w:val="center"/>
                    <w:rPr>
                      <w:rFonts w:hint="default"/>
                      <w:sz w:val="21"/>
                      <w:szCs w:val="21"/>
                      <w:lang w:val="en-US" w:eastAsia="zh-CN" w:bidi="ar"/>
                    </w:rPr>
                  </w:pPr>
                  <w:r>
                    <w:rPr>
                      <w:rFonts w:hint="eastAsia"/>
                      <w:sz w:val="21"/>
                      <w:szCs w:val="21"/>
                      <w:lang w:val="en-US" w:eastAsia="zh-CN" w:bidi="ar"/>
                    </w:rPr>
                    <w:t>1.631</w:t>
                  </w:r>
                </w:p>
              </w:tc>
              <w:tc>
                <w:tcPr>
                  <w:tcW w:w="1170" w:type="dxa"/>
                  <w:shd w:val="clear" w:color="auto" w:fill="auto"/>
                  <w:vAlign w:val="center"/>
                </w:tcPr>
                <w:p w14:paraId="5D9B2C32">
                  <w:pPr>
                    <w:jc w:val="center"/>
                    <w:rPr>
                      <w:rFonts w:ascii="Times New Roman" w:hAnsi="Times New Roman" w:eastAsia="宋体" w:cs="Times New Roman"/>
                      <w:kern w:val="2"/>
                      <w:sz w:val="21"/>
                      <w:szCs w:val="21"/>
                      <w:lang w:val="en-US" w:eastAsia="zh-CN" w:bidi="ar"/>
                    </w:rPr>
                  </w:pPr>
                  <w:r>
                    <w:rPr>
                      <w:sz w:val="21"/>
                      <w:szCs w:val="21"/>
                      <w:lang w:bidi="ar"/>
                    </w:rPr>
                    <w:t>集中</w:t>
                  </w:r>
                  <w:r>
                    <w:rPr>
                      <w:sz w:val="21"/>
                      <w:szCs w:val="21"/>
                    </w:rPr>
                    <w:t>收集后外售</w:t>
                  </w:r>
                </w:p>
              </w:tc>
              <w:tc>
                <w:tcPr>
                  <w:tcW w:w="924" w:type="dxa"/>
                  <w:vAlign w:val="center"/>
                </w:tcPr>
                <w:p w14:paraId="6F3BD066">
                  <w:pPr>
                    <w:jc w:val="center"/>
                    <w:rPr>
                      <w:rFonts w:hint="eastAsia" w:eastAsia="宋体"/>
                      <w:sz w:val="21"/>
                      <w:szCs w:val="21"/>
                      <w:lang w:val="en-US" w:eastAsia="zh-CN" w:bidi="ar"/>
                    </w:rPr>
                  </w:pPr>
                  <w:r>
                    <w:rPr>
                      <w:rFonts w:hint="eastAsia"/>
                      <w:sz w:val="21"/>
                      <w:szCs w:val="21"/>
                      <w:lang w:val="en-US" w:eastAsia="zh-CN" w:bidi="ar"/>
                    </w:rPr>
                    <w:t>0</w:t>
                  </w:r>
                </w:p>
              </w:tc>
            </w:tr>
            <w:tr w14:paraId="1FA0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4E624644">
                  <w:pPr>
                    <w:jc w:val="center"/>
                    <w:outlineLvl w:val="0"/>
                    <w:rPr>
                      <w:sz w:val="21"/>
                      <w:szCs w:val="21"/>
                    </w:rPr>
                  </w:pPr>
                  <w:r>
                    <w:rPr>
                      <w:rFonts w:hint="eastAsia"/>
                      <w:color w:val="000000" w:themeColor="text1"/>
                      <w:sz w:val="21"/>
                      <w:szCs w:val="21"/>
                      <w:lang w:val="en-US" w:eastAsia="zh-CN"/>
                      <w14:textFill>
                        <w14:solidFill>
                          <w14:schemeClr w14:val="tx1"/>
                        </w14:solidFill>
                      </w14:textFill>
                    </w:rPr>
                    <w:t>清洗槽清捞底渣</w:t>
                  </w:r>
                </w:p>
              </w:tc>
              <w:tc>
                <w:tcPr>
                  <w:tcW w:w="1124" w:type="dxa"/>
                  <w:vAlign w:val="center"/>
                </w:tcPr>
                <w:p w14:paraId="36BEDD62">
                  <w:pPr>
                    <w:jc w:val="center"/>
                    <w:rPr>
                      <w:sz w:val="21"/>
                      <w:szCs w:val="21"/>
                      <w:lang w:bidi="ar"/>
                    </w:rPr>
                  </w:pPr>
                  <w:r>
                    <w:rPr>
                      <w:sz w:val="21"/>
                      <w:szCs w:val="21"/>
                      <w:lang w:bidi="ar"/>
                    </w:rPr>
                    <w:t>危险废物</w:t>
                  </w:r>
                </w:p>
              </w:tc>
              <w:tc>
                <w:tcPr>
                  <w:tcW w:w="1023" w:type="dxa"/>
                  <w:vAlign w:val="center"/>
                </w:tcPr>
                <w:p w14:paraId="018FA063">
                  <w:pPr>
                    <w:jc w:val="center"/>
                    <w:rPr>
                      <w:sz w:val="21"/>
                      <w:szCs w:val="21"/>
                      <w:lang w:bidi="ar"/>
                    </w:rPr>
                  </w:pPr>
                  <w:r>
                    <w:rPr>
                      <w:rFonts w:hint="eastAsia"/>
                      <w:sz w:val="21"/>
                      <w:szCs w:val="21"/>
                      <w:highlight w:val="none"/>
                    </w:rPr>
                    <w:t>900-041-49</w:t>
                  </w:r>
                </w:p>
              </w:tc>
              <w:tc>
                <w:tcPr>
                  <w:tcW w:w="1093" w:type="dxa"/>
                  <w:vAlign w:val="center"/>
                </w:tcPr>
                <w:p w14:paraId="4E484533">
                  <w:pPr>
                    <w:jc w:val="center"/>
                    <w:rPr>
                      <w:rFonts w:hint="eastAsia" w:eastAsia="宋体"/>
                      <w:sz w:val="21"/>
                      <w:szCs w:val="21"/>
                      <w:lang w:eastAsia="zh-CN" w:bidi="ar"/>
                    </w:rPr>
                  </w:pPr>
                  <w:r>
                    <w:rPr>
                      <w:rFonts w:hint="eastAsia"/>
                      <w:sz w:val="21"/>
                      <w:szCs w:val="21"/>
                      <w:lang w:val="en-US" w:eastAsia="zh-CN" w:bidi="ar"/>
                    </w:rPr>
                    <w:t>清洗</w:t>
                  </w:r>
                </w:p>
              </w:tc>
              <w:tc>
                <w:tcPr>
                  <w:tcW w:w="739" w:type="dxa"/>
                  <w:vAlign w:val="center"/>
                </w:tcPr>
                <w:p w14:paraId="6BE28316">
                  <w:pPr>
                    <w:jc w:val="center"/>
                    <w:rPr>
                      <w:sz w:val="21"/>
                      <w:szCs w:val="21"/>
                      <w:lang w:bidi="ar"/>
                    </w:rPr>
                  </w:pPr>
                  <w:r>
                    <w:rPr>
                      <w:rFonts w:hint="eastAsia"/>
                      <w:sz w:val="21"/>
                      <w:szCs w:val="21"/>
                      <w:lang w:val="en-US" w:eastAsia="zh-CN" w:bidi="ar"/>
                    </w:rPr>
                    <w:t>固</w:t>
                  </w:r>
                  <w:r>
                    <w:rPr>
                      <w:rFonts w:hint="eastAsia"/>
                      <w:sz w:val="21"/>
                      <w:szCs w:val="21"/>
                      <w:lang w:bidi="ar"/>
                    </w:rPr>
                    <w:t>液</w:t>
                  </w:r>
                  <w:r>
                    <w:rPr>
                      <w:sz w:val="21"/>
                      <w:szCs w:val="21"/>
                      <w:lang w:bidi="ar"/>
                    </w:rPr>
                    <w:t>态</w:t>
                  </w:r>
                </w:p>
              </w:tc>
              <w:tc>
                <w:tcPr>
                  <w:tcW w:w="911" w:type="dxa"/>
                  <w:vAlign w:val="center"/>
                </w:tcPr>
                <w:p w14:paraId="5623691D">
                  <w:pPr>
                    <w:jc w:val="center"/>
                    <w:rPr>
                      <w:rFonts w:hint="default" w:eastAsia="宋体"/>
                      <w:sz w:val="21"/>
                      <w:szCs w:val="21"/>
                      <w:lang w:val="en-US" w:eastAsia="zh-CN" w:bidi="ar"/>
                    </w:rPr>
                  </w:pPr>
                  <w:r>
                    <w:rPr>
                      <w:rFonts w:hint="eastAsia"/>
                      <w:sz w:val="21"/>
                      <w:szCs w:val="21"/>
                      <w:lang w:val="en-US" w:eastAsia="zh-CN" w:bidi="ar"/>
                    </w:rPr>
                    <w:t>0.26</w:t>
                  </w:r>
                </w:p>
              </w:tc>
              <w:tc>
                <w:tcPr>
                  <w:tcW w:w="1170" w:type="dxa"/>
                  <w:vMerge w:val="restart"/>
                  <w:vAlign w:val="center"/>
                </w:tcPr>
                <w:p w14:paraId="3088D9B7">
                  <w:pPr>
                    <w:jc w:val="center"/>
                    <w:rPr>
                      <w:sz w:val="21"/>
                      <w:szCs w:val="21"/>
                      <w:lang w:bidi="ar"/>
                    </w:rPr>
                  </w:pPr>
                  <w:r>
                    <w:rPr>
                      <w:sz w:val="21"/>
                      <w:szCs w:val="21"/>
                      <w:lang w:bidi="ar"/>
                    </w:rPr>
                    <w:t>暂存在危废暂存间，由有资质单位处理</w:t>
                  </w:r>
                </w:p>
              </w:tc>
              <w:tc>
                <w:tcPr>
                  <w:tcW w:w="924" w:type="dxa"/>
                  <w:vAlign w:val="center"/>
                </w:tcPr>
                <w:p w14:paraId="606BF1B7">
                  <w:pPr>
                    <w:jc w:val="center"/>
                    <w:rPr>
                      <w:sz w:val="21"/>
                      <w:szCs w:val="21"/>
                      <w:lang w:bidi="ar"/>
                    </w:rPr>
                  </w:pPr>
                  <w:r>
                    <w:rPr>
                      <w:sz w:val="21"/>
                      <w:szCs w:val="21"/>
                      <w:lang w:bidi="ar"/>
                    </w:rPr>
                    <w:t>0</w:t>
                  </w:r>
                </w:p>
              </w:tc>
            </w:tr>
            <w:tr w14:paraId="421F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2A0C0C0D">
                  <w:pPr>
                    <w:jc w:val="center"/>
                    <w:outlineLvl w:val="0"/>
                    <w:rPr>
                      <w:sz w:val="21"/>
                      <w:szCs w:val="21"/>
                    </w:rPr>
                  </w:pPr>
                  <w:r>
                    <w:rPr>
                      <w:rFonts w:hint="eastAsia"/>
                      <w:color w:val="000000" w:themeColor="text1"/>
                      <w:sz w:val="21"/>
                      <w:szCs w:val="21"/>
                      <w:lang w:val="en-US" w:eastAsia="zh-CN"/>
                      <w14:textFill>
                        <w14:solidFill>
                          <w14:schemeClr w14:val="tx1"/>
                        </w14:solidFill>
                      </w14:textFill>
                    </w:rPr>
                    <w:t>废清洗液</w:t>
                  </w:r>
                </w:p>
              </w:tc>
              <w:tc>
                <w:tcPr>
                  <w:tcW w:w="1124" w:type="dxa"/>
                  <w:vAlign w:val="center"/>
                </w:tcPr>
                <w:p w14:paraId="0DFA1100">
                  <w:pPr>
                    <w:jc w:val="center"/>
                    <w:rPr>
                      <w:sz w:val="21"/>
                      <w:szCs w:val="21"/>
                      <w:lang w:bidi="ar"/>
                    </w:rPr>
                  </w:pPr>
                  <w:r>
                    <w:rPr>
                      <w:sz w:val="21"/>
                      <w:szCs w:val="21"/>
                      <w:lang w:bidi="ar"/>
                    </w:rPr>
                    <w:t>危险废物</w:t>
                  </w:r>
                </w:p>
              </w:tc>
              <w:tc>
                <w:tcPr>
                  <w:tcW w:w="1023" w:type="dxa"/>
                  <w:vAlign w:val="center"/>
                </w:tcPr>
                <w:p w14:paraId="29A80BFD">
                  <w:pPr>
                    <w:jc w:val="center"/>
                    <w:rPr>
                      <w:sz w:val="21"/>
                      <w:szCs w:val="21"/>
                      <w:lang w:bidi="ar"/>
                    </w:rPr>
                  </w:pPr>
                  <w:r>
                    <w:rPr>
                      <w:rFonts w:hint="eastAsia"/>
                      <w:sz w:val="21"/>
                      <w:szCs w:val="21"/>
                      <w:highlight w:val="none"/>
                      <w:lang w:val="en-US" w:eastAsia="zh-CN"/>
                    </w:rPr>
                    <w:t>336</w:t>
                  </w:r>
                  <w:r>
                    <w:rPr>
                      <w:rFonts w:hint="eastAsia"/>
                      <w:sz w:val="21"/>
                      <w:szCs w:val="21"/>
                      <w:highlight w:val="none"/>
                    </w:rPr>
                    <w:t>-0</w:t>
                  </w:r>
                  <w:r>
                    <w:rPr>
                      <w:rFonts w:hint="eastAsia"/>
                      <w:sz w:val="21"/>
                      <w:szCs w:val="21"/>
                      <w:highlight w:val="none"/>
                      <w:lang w:val="en-US" w:eastAsia="zh-CN"/>
                    </w:rPr>
                    <w:t>64</w:t>
                  </w:r>
                  <w:r>
                    <w:rPr>
                      <w:rFonts w:hint="eastAsia"/>
                      <w:sz w:val="21"/>
                      <w:szCs w:val="21"/>
                      <w:highlight w:val="none"/>
                    </w:rPr>
                    <w:t>-</w:t>
                  </w:r>
                  <w:r>
                    <w:rPr>
                      <w:rFonts w:hint="eastAsia"/>
                      <w:sz w:val="21"/>
                      <w:szCs w:val="21"/>
                      <w:highlight w:val="none"/>
                      <w:lang w:val="en-US" w:eastAsia="zh-CN"/>
                    </w:rPr>
                    <w:t>17</w:t>
                  </w:r>
                </w:p>
              </w:tc>
              <w:tc>
                <w:tcPr>
                  <w:tcW w:w="1093" w:type="dxa"/>
                  <w:vAlign w:val="center"/>
                </w:tcPr>
                <w:p w14:paraId="028DCC85">
                  <w:pPr>
                    <w:jc w:val="center"/>
                    <w:rPr>
                      <w:sz w:val="21"/>
                      <w:szCs w:val="21"/>
                      <w:lang w:bidi="ar"/>
                    </w:rPr>
                  </w:pPr>
                  <w:r>
                    <w:rPr>
                      <w:rFonts w:hint="eastAsia"/>
                      <w:sz w:val="21"/>
                      <w:szCs w:val="21"/>
                      <w:lang w:val="en-US" w:eastAsia="zh-CN" w:bidi="ar"/>
                    </w:rPr>
                    <w:t>清洗</w:t>
                  </w:r>
                </w:p>
              </w:tc>
              <w:tc>
                <w:tcPr>
                  <w:tcW w:w="739" w:type="dxa"/>
                  <w:vAlign w:val="center"/>
                </w:tcPr>
                <w:p w14:paraId="4D5908E3">
                  <w:pPr>
                    <w:jc w:val="center"/>
                    <w:rPr>
                      <w:sz w:val="21"/>
                      <w:szCs w:val="21"/>
                      <w:lang w:bidi="ar"/>
                    </w:rPr>
                  </w:pPr>
                  <w:r>
                    <w:rPr>
                      <w:rFonts w:hint="eastAsia"/>
                      <w:sz w:val="21"/>
                      <w:szCs w:val="21"/>
                      <w:lang w:bidi="ar"/>
                    </w:rPr>
                    <w:t>液</w:t>
                  </w:r>
                  <w:r>
                    <w:rPr>
                      <w:sz w:val="21"/>
                      <w:szCs w:val="21"/>
                      <w:lang w:bidi="ar"/>
                    </w:rPr>
                    <w:t>态</w:t>
                  </w:r>
                </w:p>
              </w:tc>
              <w:tc>
                <w:tcPr>
                  <w:tcW w:w="911" w:type="dxa"/>
                  <w:vAlign w:val="center"/>
                </w:tcPr>
                <w:p w14:paraId="2259F8BE">
                  <w:pPr>
                    <w:jc w:val="center"/>
                    <w:rPr>
                      <w:rFonts w:hint="default" w:eastAsia="宋体"/>
                      <w:sz w:val="21"/>
                      <w:szCs w:val="21"/>
                      <w:lang w:val="en-US" w:eastAsia="zh-CN" w:bidi="ar"/>
                    </w:rPr>
                  </w:pPr>
                  <w:r>
                    <w:rPr>
                      <w:rFonts w:hint="eastAsia"/>
                      <w:sz w:val="21"/>
                      <w:szCs w:val="21"/>
                      <w:lang w:val="en-US" w:eastAsia="zh-CN" w:bidi="ar"/>
                    </w:rPr>
                    <w:t>0.9</w:t>
                  </w:r>
                </w:p>
              </w:tc>
              <w:tc>
                <w:tcPr>
                  <w:tcW w:w="1170" w:type="dxa"/>
                  <w:vMerge w:val="continue"/>
                  <w:vAlign w:val="center"/>
                </w:tcPr>
                <w:p w14:paraId="545E968E">
                  <w:pPr>
                    <w:jc w:val="center"/>
                    <w:rPr>
                      <w:sz w:val="21"/>
                      <w:szCs w:val="21"/>
                      <w:lang w:bidi="ar"/>
                    </w:rPr>
                  </w:pPr>
                </w:p>
              </w:tc>
              <w:tc>
                <w:tcPr>
                  <w:tcW w:w="924" w:type="dxa"/>
                  <w:vAlign w:val="center"/>
                </w:tcPr>
                <w:p w14:paraId="1FAF77A2">
                  <w:pPr>
                    <w:jc w:val="center"/>
                    <w:rPr>
                      <w:sz w:val="21"/>
                      <w:szCs w:val="21"/>
                      <w:lang w:bidi="ar"/>
                    </w:rPr>
                  </w:pPr>
                  <w:r>
                    <w:rPr>
                      <w:sz w:val="21"/>
                      <w:szCs w:val="21"/>
                      <w:lang w:bidi="ar"/>
                    </w:rPr>
                    <w:t>0</w:t>
                  </w:r>
                </w:p>
              </w:tc>
            </w:tr>
            <w:tr w14:paraId="6584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34CF9472">
                  <w:pPr>
                    <w:jc w:val="center"/>
                    <w:outlineLvl w:val="0"/>
                    <w:rPr>
                      <w:rFonts w:hint="eastAsia" w:eastAsia="宋体"/>
                      <w:sz w:val="21"/>
                      <w:szCs w:val="21"/>
                      <w:lang w:val="en-US" w:eastAsia="zh-CN"/>
                    </w:rPr>
                  </w:pPr>
                  <w:r>
                    <w:rPr>
                      <w:rFonts w:hint="eastAsia"/>
                      <w:color w:val="000000" w:themeColor="text1"/>
                      <w:sz w:val="21"/>
                      <w:szCs w:val="21"/>
                      <w:lang w:val="en-US" w:eastAsia="zh-CN"/>
                      <w14:textFill>
                        <w14:solidFill>
                          <w14:schemeClr w14:val="tx1"/>
                        </w14:solidFill>
                      </w14:textFill>
                    </w:rPr>
                    <w:t>废包装桶</w:t>
                  </w:r>
                </w:p>
              </w:tc>
              <w:tc>
                <w:tcPr>
                  <w:tcW w:w="1124" w:type="dxa"/>
                  <w:vAlign w:val="center"/>
                </w:tcPr>
                <w:p w14:paraId="566B911B">
                  <w:pPr>
                    <w:jc w:val="center"/>
                    <w:rPr>
                      <w:sz w:val="21"/>
                      <w:szCs w:val="21"/>
                      <w:lang w:bidi="ar"/>
                    </w:rPr>
                  </w:pPr>
                  <w:r>
                    <w:rPr>
                      <w:sz w:val="21"/>
                      <w:szCs w:val="21"/>
                      <w:lang w:bidi="ar"/>
                    </w:rPr>
                    <w:t>危险废物</w:t>
                  </w:r>
                </w:p>
              </w:tc>
              <w:tc>
                <w:tcPr>
                  <w:tcW w:w="1023" w:type="dxa"/>
                  <w:vAlign w:val="center"/>
                </w:tcPr>
                <w:p w14:paraId="2BB067E7">
                  <w:pPr>
                    <w:jc w:val="center"/>
                    <w:rPr>
                      <w:sz w:val="21"/>
                      <w:szCs w:val="21"/>
                      <w:lang w:bidi="ar"/>
                    </w:rPr>
                  </w:pPr>
                  <w:r>
                    <w:rPr>
                      <w:rFonts w:hint="eastAsia"/>
                      <w:sz w:val="21"/>
                      <w:szCs w:val="21"/>
                    </w:rPr>
                    <w:t>900-041-49</w:t>
                  </w:r>
                </w:p>
              </w:tc>
              <w:tc>
                <w:tcPr>
                  <w:tcW w:w="1093" w:type="dxa"/>
                  <w:vAlign w:val="center"/>
                </w:tcPr>
                <w:p w14:paraId="34F468F0">
                  <w:pPr>
                    <w:jc w:val="center"/>
                    <w:rPr>
                      <w:rFonts w:hint="eastAsia" w:eastAsia="宋体"/>
                      <w:sz w:val="21"/>
                      <w:szCs w:val="21"/>
                      <w:lang w:eastAsia="zh-CN" w:bidi="ar"/>
                    </w:rPr>
                  </w:pPr>
                  <w:r>
                    <w:rPr>
                      <w:rFonts w:hint="eastAsia"/>
                      <w:sz w:val="21"/>
                      <w:szCs w:val="21"/>
                      <w:lang w:val="en-US" w:eastAsia="zh-CN" w:bidi="ar"/>
                    </w:rPr>
                    <w:t>物料使用</w:t>
                  </w:r>
                </w:p>
              </w:tc>
              <w:tc>
                <w:tcPr>
                  <w:tcW w:w="739" w:type="dxa"/>
                  <w:vAlign w:val="center"/>
                </w:tcPr>
                <w:p w14:paraId="6522CBF7">
                  <w:pPr>
                    <w:jc w:val="center"/>
                    <w:rPr>
                      <w:sz w:val="21"/>
                      <w:szCs w:val="21"/>
                      <w:lang w:bidi="ar"/>
                    </w:rPr>
                  </w:pPr>
                  <w:r>
                    <w:rPr>
                      <w:sz w:val="21"/>
                      <w:szCs w:val="21"/>
                      <w:lang w:bidi="ar"/>
                    </w:rPr>
                    <w:t>固态</w:t>
                  </w:r>
                </w:p>
              </w:tc>
              <w:tc>
                <w:tcPr>
                  <w:tcW w:w="911" w:type="dxa"/>
                  <w:vAlign w:val="center"/>
                </w:tcPr>
                <w:p w14:paraId="689C60FE">
                  <w:pPr>
                    <w:jc w:val="center"/>
                    <w:rPr>
                      <w:rFonts w:hint="default" w:eastAsia="宋体"/>
                      <w:sz w:val="21"/>
                      <w:szCs w:val="21"/>
                      <w:lang w:val="en-US" w:eastAsia="zh-CN" w:bidi="ar"/>
                    </w:rPr>
                  </w:pPr>
                  <w:r>
                    <w:rPr>
                      <w:rFonts w:hint="eastAsia"/>
                      <w:sz w:val="21"/>
                      <w:szCs w:val="21"/>
                      <w:lang w:val="en-US" w:eastAsia="zh-CN" w:bidi="ar"/>
                    </w:rPr>
                    <w:t>0.02</w:t>
                  </w:r>
                </w:p>
              </w:tc>
              <w:tc>
                <w:tcPr>
                  <w:tcW w:w="1170" w:type="dxa"/>
                  <w:vMerge w:val="continue"/>
                  <w:vAlign w:val="center"/>
                </w:tcPr>
                <w:p w14:paraId="2DB29B14">
                  <w:pPr>
                    <w:jc w:val="center"/>
                    <w:rPr>
                      <w:sz w:val="21"/>
                      <w:szCs w:val="21"/>
                      <w:lang w:bidi="ar"/>
                    </w:rPr>
                  </w:pPr>
                </w:p>
              </w:tc>
              <w:tc>
                <w:tcPr>
                  <w:tcW w:w="924" w:type="dxa"/>
                  <w:vAlign w:val="center"/>
                </w:tcPr>
                <w:p w14:paraId="10992051">
                  <w:pPr>
                    <w:jc w:val="center"/>
                    <w:rPr>
                      <w:sz w:val="21"/>
                      <w:szCs w:val="21"/>
                      <w:lang w:bidi="ar"/>
                    </w:rPr>
                  </w:pPr>
                  <w:r>
                    <w:rPr>
                      <w:sz w:val="21"/>
                      <w:szCs w:val="21"/>
                      <w:lang w:bidi="ar"/>
                    </w:rPr>
                    <w:t>0</w:t>
                  </w:r>
                </w:p>
              </w:tc>
            </w:tr>
            <w:tr w14:paraId="5718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6E73F69E">
                  <w:pPr>
                    <w:jc w:val="center"/>
                    <w:outlineLvl w:val="0"/>
                    <w:rPr>
                      <w:sz w:val="21"/>
                      <w:szCs w:val="21"/>
                    </w:rPr>
                  </w:pPr>
                  <w:r>
                    <w:rPr>
                      <w:rFonts w:hint="eastAsia"/>
                      <w:color w:val="000000" w:themeColor="text1"/>
                      <w:sz w:val="21"/>
                      <w:szCs w:val="21"/>
                      <w:lang w:val="en-US" w:eastAsia="zh-CN"/>
                      <w14:textFill>
                        <w14:solidFill>
                          <w14:schemeClr w14:val="tx1"/>
                        </w14:solidFill>
                      </w14:textFill>
                    </w:rPr>
                    <w:t>废胶及包装物</w:t>
                  </w:r>
                </w:p>
              </w:tc>
              <w:tc>
                <w:tcPr>
                  <w:tcW w:w="1124" w:type="dxa"/>
                  <w:vAlign w:val="center"/>
                </w:tcPr>
                <w:p w14:paraId="6B5A6003">
                  <w:pPr>
                    <w:jc w:val="center"/>
                    <w:rPr>
                      <w:sz w:val="21"/>
                      <w:szCs w:val="21"/>
                      <w:lang w:bidi="ar"/>
                    </w:rPr>
                  </w:pPr>
                  <w:r>
                    <w:rPr>
                      <w:color w:val="000000" w:themeColor="text1"/>
                      <w:sz w:val="21"/>
                      <w:szCs w:val="21"/>
                      <w:lang w:bidi="ar"/>
                      <w14:textFill>
                        <w14:solidFill>
                          <w14:schemeClr w14:val="tx1"/>
                        </w14:solidFill>
                      </w14:textFill>
                    </w:rPr>
                    <w:t>危险废物</w:t>
                  </w:r>
                </w:p>
              </w:tc>
              <w:tc>
                <w:tcPr>
                  <w:tcW w:w="1023" w:type="dxa"/>
                  <w:vAlign w:val="center"/>
                </w:tcPr>
                <w:p w14:paraId="1D31AF14">
                  <w:pPr>
                    <w:jc w:val="center"/>
                    <w:rPr>
                      <w:sz w:val="21"/>
                      <w:szCs w:val="21"/>
                      <w:lang w:bidi="ar"/>
                    </w:rPr>
                  </w:pPr>
                  <w:r>
                    <w:rPr>
                      <w:rFonts w:hint="eastAsia"/>
                      <w:sz w:val="21"/>
                      <w:szCs w:val="21"/>
                    </w:rPr>
                    <w:t>900-041-49</w:t>
                  </w:r>
                </w:p>
              </w:tc>
              <w:tc>
                <w:tcPr>
                  <w:tcW w:w="1093" w:type="dxa"/>
                  <w:vAlign w:val="center"/>
                </w:tcPr>
                <w:p w14:paraId="0E11817B">
                  <w:pPr>
                    <w:jc w:val="center"/>
                    <w:rPr>
                      <w:rFonts w:hint="eastAsia" w:eastAsia="宋体"/>
                      <w:sz w:val="21"/>
                      <w:szCs w:val="21"/>
                      <w:lang w:val="en-US" w:eastAsia="zh-CN" w:bidi="ar"/>
                    </w:rPr>
                  </w:pPr>
                  <w:r>
                    <w:rPr>
                      <w:rFonts w:hint="eastAsia"/>
                      <w:sz w:val="21"/>
                      <w:szCs w:val="21"/>
                      <w:lang w:val="en-US" w:eastAsia="zh-CN" w:bidi="ar"/>
                    </w:rPr>
                    <w:t>密封</w:t>
                  </w:r>
                </w:p>
              </w:tc>
              <w:tc>
                <w:tcPr>
                  <w:tcW w:w="739" w:type="dxa"/>
                  <w:vAlign w:val="center"/>
                </w:tcPr>
                <w:p w14:paraId="7DDDC1B8">
                  <w:pPr>
                    <w:jc w:val="center"/>
                    <w:rPr>
                      <w:sz w:val="21"/>
                      <w:szCs w:val="21"/>
                      <w:lang w:bidi="ar"/>
                    </w:rPr>
                  </w:pPr>
                  <w:r>
                    <w:rPr>
                      <w:sz w:val="21"/>
                      <w:szCs w:val="21"/>
                      <w:lang w:bidi="ar"/>
                    </w:rPr>
                    <w:t>固态</w:t>
                  </w:r>
                </w:p>
              </w:tc>
              <w:tc>
                <w:tcPr>
                  <w:tcW w:w="911" w:type="dxa"/>
                  <w:vAlign w:val="center"/>
                </w:tcPr>
                <w:p w14:paraId="51D9B5B3">
                  <w:pPr>
                    <w:jc w:val="center"/>
                    <w:rPr>
                      <w:sz w:val="21"/>
                      <w:szCs w:val="21"/>
                      <w:lang w:bidi="ar"/>
                    </w:rPr>
                  </w:pPr>
                  <w:r>
                    <w:rPr>
                      <w:sz w:val="21"/>
                      <w:szCs w:val="21"/>
                      <w:lang w:bidi="ar"/>
                    </w:rPr>
                    <w:t>0.</w:t>
                  </w:r>
                  <w:r>
                    <w:rPr>
                      <w:rFonts w:hint="eastAsia"/>
                      <w:sz w:val="21"/>
                      <w:szCs w:val="21"/>
                      <w:lang w:val="en-US" w:eastAsia="zh-CN" w:bidi="ar"/>
                    </w:rPr>
                    <w:t>01</w:t>
                  </w:r>
                </w:p>
              </w:tc>
              <w:tc>
                <w:tcPr>
                  <w:tcW w:w="1170" w:type="dxa"/>
                  <w:vMerge w:val="continue"/>
                  <w:vAlign w:val="center"/>
                </w:tcPr>
                <w:p w14:paraId="23CB1B92">
                  <w:pPr>
                    <w:jc w:val="center"/>
                    <w:rPr>
                      <w:sz w:val="21"/>
                      <w:szCs w:val="21"/>
                      <w:lang w:bidi="ar"/>
                    </w:rPr>
                  </w:pPr>
                </w:p>
              </w:tc>
              <w:tc>
                <w:tcPr>
                  <w:tcW w:w="924" w:type="dxa"/>
                  <w:vAlign w:val="center"/>
                </w:tcPr>
                <w:p w14:paraId="3D2E949A">
                  <w:pPr>
                    <w:jc w:val="center"/>
                    <w:rPr>
                      <w:sz w:val="21"/>
                      <w:szCs w:val="21"/>
                      <w:lang w:bidi="ar"/>
                    </w:rPr>
                  </w:pPr>
                  <w:r>
                    <w:rPr>
                      <w:rFonts w:hint="eastAsia"/>
                      <w:sz w:val="21"/>
                      <w:szCs w:val="21"/>
                      <w:lang w:bidi="ar"/>
                    </w:rPr>
                    <w:t>0</w:t>
                  </w:r>
                </w:p>
              </w:tc>
            </w:tr>
            <w:tr w14:paraId="2171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6979BB4D">
                  <w:pPr>
                    <w:jc w:val="center"/>
                    <w:outlineLvl w:val="0"/>
                    <w:rPr>
                      <w:sz w:val="21"/>
                      <w:szCs w:val="21"/>
                    </w:rPr>
                  </w:pPr>
                  <w:r>
                    <w:rPr>
                      <w:rFonts w:hint="eastAsia"/>
                      <w:sz w:val="21"/>
                      <w:szCs w:val="21"/>
                    </w:rPr>
                    <w:t>废活性炭</w:t>
                  </w:r>
                </w:p>
              </w:tc>
              <w:tc>
                <w:tcPr>
                  <w:tcW w:w="1124" w:type="dxa"/>
                  <w:vAlign w:val="center"/>
                </w:tcPr>
                <w:p w14:paraId="6C1269ED">
                  <w:pPr>
                    <w:jc w:val="center"/>
                    <w:rPr>
                      <w:sz w:val="21"/>
                      <w:szCs w:val="21"/>
                      <w:lang w:bidi="ar"/>
                    </w:rPr>
                  </w:pPr>
                  <w:r>
                    <w:rPr>
                      <w:sz w:val="21"/>
                      <w:szCs w:val="21"/>
                      <w:lang w:bidi="ar"/>
                    </w:rPr>
                    <w:t>危险废物</w:t>
                  </w:r>
                </w:p>
              </w:tc>
              <w:tc>
                <w:tcPr>
                  <w:tcW w:w="1023" w:type="dxa"/>
                  <w:vAlign w:val="center"/>
                </w:tcPr>
                <w:p w14:paraId="4B1AC7E7">
                  <w:pPr>
                    <w:jc w:val="center"/>
                    <w:rPr>
                      <w:sz w:val="21"/>
                      <w:szCs w:val="21"/>
                      <w:lang w:bidi="ar"/>
                    </w:rPr>
                  </w:pPr>
                  <w:r>
                    <w:rPr>
                      <w:bCs/>
                      <w:sz w:val="21"/>
                      <w:szCs w:val="21"/>
                    </w:rPr>
                    <w:t>900-0</w:t>
                  </w:r>
                  <w:r>
                    <w:rPr>
                      <w:rFonts w:hint="eastAsia"/>
                      <w:bCs/>
                      <w:sz w:val="21"/>
                      <w:szCs w:val="21"/>
                    </w:rPr>
                    <w:t>39</w:t>
                  </w:r>
                  <w:r>
                    <w:rPr>
                      <w:bCs/>
                      <w:sz w:val="21"/>
                      <w:szCs w:val="21"/>
                    </w:rPr>
                    <w:t>-49</w:t>
                  </w:r>
                </w:p>
              </w:tc>
              <w:tc>
                <w:tcPr>
                  <w:tcW w:w="1093" w:type="dxa"/>
                  <w:vAlign w:val="center"/>
                </w:tcPr>
                <w:p w14:paraId="4EAE5B00">
                  <w:pPr>
                    <w:jc w:val="center"/>
                    <w:rPr>
                      <w:sz w:val="21"/>
                      <w:szCs w:val="21"/>
                      <w:lang w:bidi="ar"/>
                    </w:rPr>
                  </w:pPr>
                  <w:r>
                    <w:rPr>
                      <w:rFonts w:hint="eastAsia"/>
                      <w:sz w:val="21"/>
                      <w:szCs w:val="21"/>
                      <w:lang w:bidi="ar"/>
                    </w:rPr>
                    <w:t>废气处理</w:t>
                  </w:r>
                </w:p>
              </w:tc>
              <w:tc>
                <w:tcPr>
                  <w:tcW w:w="739" w:type="dxa"/>
                  <w:vAlign w:val="center"/>
                </w:tcPr>
                <w:p w14:paraId="5BF29BCB">
                  <w:pPr>
                    <w:jc w:val="center"/>
                    <w:rPr>
                      <w:sz w:val="21"/>
                      <w:szCs w:val="21"/>
                      <w:lang w:bidi="ar"/>
                    </w:rPr>
                  </w:pPr>
                  <w:r>
                    <w:rPr>
                      <w:sz w:val="21"/>
                      <w:szCs w:val="21"/>
                      <w:lang w:bidi="ar"/>
                    </w:rPr>
                    <w:t>固态</w:t>
                  </w:r>
                </w:p>
              </w:tc>
              <w:tc>
                <w:tcPr>
                  <w:tcW w:w="911" w:type="dxa"/>
                  <w:vAlign w:val="center"/>
                </w:tcPr>
                <w:p w14:paraId="47927798">
                  <w:pPr>
                    <w:jc w:val="center"/>
                    <w:rPr>
                      <w:rFonts w:hint="default"/>
                      <w:sz w:val="21"/>
                      <w:szCs w:val="21"/>
                      <w:lang w:val="en-US" w:bidi="ar"/>
                    </w:rPr>
                  </w:pPr>
                  <w:r>
                    <w:rPr>
                      <w:rFonts w:hint="eastAsia"/>
                      <w:sz w:val="21"/>
                      <w:szCs w:val="21"/>
                      <w:lang w:val="en-US" w:eastAsia="zh-CN" w:bidi="ar"/>
                    </w:rPr>
                    <w:t>5.031</w:t>
                  </w:r>
                </w:p>
              </w:tc>
              <w:tc>
                <w:tcPr>
                  <w:tcW w:w="1170" w:type="dxa"/>
                  <w:vMerge w:val="continue"/>
                  <w:vAlign w:val="center"/>
                </w:tcPr>
                <w:p w14:paraId="4C2C202C">
                  <w:pPr>
                    <w:jc w:val="center"/>
                    <w:rPr>
                      <w:sz w:val="21"/>
                      <w:szCs w:val="21"/>
                      <w:lang w:bidi="ar"/>
                    </w:rPr>
                  </w:pPr>
                </w:p>
              </w:tc>
              <w:tc>
                <w:tcPr>
                  <w:tcW w:w="924" w:type="dxa"/>
                  <w:vAlign w:val="center"/>
                </w:tcPr>
                <w:p w14:paraId="2BD92EF5">
                  <w:pPr>
                    <w:jc w:val="center"/>
                    <w:rPr>
                      <w:sz w:val="21"/>
                      <w:szCs w:val="21"/>
                      <w:lang w:bidi="ar"/>
                    </w:rPr>
                  </w:pPr>
                  <w:r>
                    <w:rPr>
                      <w:rFonts w:hint="eastAsia"/>
                      <w:sz w:val="21"/>
                      <w:szCs w:val="21"/>
                      <w:lang w:bidi="ar"/>
                    </w:rPr>
                    <w:t>0</w:t>
                  </w:r>
                </w:p>
              </w:tc>
            </w:tr>
            <w:tr w14:paraId="27D7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vAlign w:val="center"/>
                </w:tcPr>
                <w:p w14:paraId="3E9E9EB5">
                  <w:pPr>
                    <w:jc w:val="center"/>
                    <w:outlineLvl w:val="0"/>
                    <w:rPr>
                      <w:rFonts w:hint="eastAsia"/>
                      <w:sz w:val="21"/>
                      <w:szCs w:val="21"/>
                    </w:rPr>
                  </w:pPr>
                  <w:r>
                    <w:rPr>
                      <w:rFonts w:hint="eastAsia"/>
                      <w:sz w:val="21"/>
                      <w:szCs w:val="21"/>
                    </w:rPr>
                    <w:t>废</w:t>
                  </w:r>
                  <w:r>
                    <w:rPr>
                      <w:rFonts w:hint="eastAsia"/>
                      <w:sz w:val="21"/>
                      <w:szCs w:val="21"/>
                      <w:lang w:val="en-US" w:eastAsia="zh-CN"/>
                    </w:rPr>
                    <w:t>切削</w:t>
                  </w:r>
                  <w:r>
                    <w:rPr>
                      <w:rFonts w:hint="eastAsia"/>
                      <w:sz w:val="21"/>
                      <w:szCs w:val="21"/>
                    </w:rPr>
                    <w:t>液</w:t>
                  </w:r>
                </w:p>
              </w:tc>
              <w:tc>
                <w:tcPr>
                  <w:tcW w:w="1124" w:type="dxa"/>
                  <w:vAlign w:val="center"/>
                </w:tcPr>
                <w:p w14:paraId="624E3ECE">
                  <w:pPr>
                    <w:jc w:val="center"/>
                    <w:rPr>
                      <w:sz w:val="21"/>
                      <w:szCs w:val="21"/>
                      <w:lang w:bidi="ar"/>
                    </w:rPr>
                  </w:pPr>
                  <w:r>
                    <w:rPr>
                      <w:sz w:val="21"/>
                      <w:szCs w:val="21"/>
                      <w:lang w:bidi="ar"/>
                    </w:rPr>
                    <w:t>危险废物</w:t>
                  </w:r>
                </w:p>
              </w:tc>
              <w:tc>
                <w:tcPr>
                  <w:tcW w:w="1023" w:type="dxa"/>
                  <w:vAlign w:val="center"/>
                </w:tcPr>
                <w:p w14:paraId="2DFF5837">
                  <w:pPr>
                    <w:jc w:val="center"/>
                    <w:rPr>
                      <w:bCs/>
                      <w:sz w:val="21"/>
                      <w:szCs w:val="21"/>
                    </w:rPr>
                  </w:pPr>
                  <w:r>
                    <w:rPr>
                      <w:rFonts w:hint="eastAsia"/>
                      <w:sz w:val="21"/>
                      <w:szCs w:val="21"/>
                    </w:rPr>
                    <w:t>900-006-09</w:t>
                  </w:r>
                </w:p>
              </w:tc>
              <w:tc>
                <w:tcPr>
                  <w:tcW w:w="1093" w:type="dxa"/>
                  <w:vAlign w:val="center"/>
                </w:tcPr>
                <w:p w14:paraId="71AA5DE4">
                  <w:pPr>
                    <w:jc w:val="center"/>
                    <w:rPr>
                      <w:rFonts w:hint="eastAsia" w:eastAsia="宋体"/>
                      <w:sz w:val="21"/>
                      <w:szCs w:val="21"/>
                      <w:lang w:val="en-US" w:eastAsia="zh-CN" w:bidi="ar"/>
                    </w:rPr>
                  </w:pPr>
                  <w:r>
                    <w:rPr>
                      <w:rFonts w:hint="eastAsia"/>
                      <w:sz w:val="21"/>
                      <w:szCs w:val="21"/>
                      <w:lang w:val="en-US" w:eastAsia="zh-CN" w:bidi="ar"/>
                    </w:rPr>
                    <w:t>机加工</w:t>
                  </w:r>
                </w:p>
              </w:tc>
              <w:tc>
                <w:tcPr>
                  <w:tcW w:w="739" w:type="dxa"/>
                  <w:vAlign w:val="center"/>
                </w:tcPr>
                <w:p w14:paraId="099CFA5F">
                  <w:pPr>
                    <w:jc w:val="center"/>
                    <w:rPr>
                      <w:sz w:val="21"/>
                      <w:szCs w:val="21"/>
                      <w:lang w:bidi="ar"/>
                    </w:rPr>
                  </w:pPr>
                  <w:r>
                    <w:rPr>
                      <w:rFonts w:hint="eastAsia"/>
                      <w:sz w:val="21"/>
                      <w:szCs w:val="21"/>
                      <w:lang w:bidi="ar"/>
                    </w:rPr>
                    <w:t>液</w:t>
                  </w:r>
                  <w:r>
                    <w:rPr>
                      <w:sz w:val="21"/>
                      <w:szCs w:val="21"/>
                      <w:lang w:bidi="ar"/>
                    </w:rPr>
                    <w:t>态</w:t>
                  </w:r>
                </w:p>
              </w:tc>
              <w:tc>
                <w:tcPr>
                  <w:tcW w:w="911" w:type="dxa"/>
                  <w:vAlign w:val="center"/>
                </w:tcPr>
                <w:p w14:paraId="09783C50">
                  <w:pPr>
                    <w:jc w:val="center"/>
                    <w:rPr>
                      <w:rFonts w:hint="default"/>
                      <w:sz w:val="21"/>
                      <w:szCs w:val="21"/>
                      <w:lang w:val="en-US" w:eastAsia="zh-CN" w:bidi="ar"/>
                    </w:rPr>
                  </w:pPr>
                  <w:r>
                    <w:rPr>
                      <w:rFonts w:hint="eastAsia"/>
                      <w:sz w:val="21"/>
                      <w:szCs w:val="21"/>
                      <w:lang w:val="en-US" w:eastAsia="zh-CN" w:bidi="ar"/>
                    </w:rPr>
                    <w:t>1.5</w:t>
                  </w:r>
                </w:p>
              </w:tc>
              <w:tc>
                <w:tcPr>
                  <w:tcW w:w="1170" w:type="dxa"/>
                  <w:vMerge w:val="continue"/>
                  <w:vAlign w:val="center"/>
                </w:tcPr>
                <w:p w14:paraId="4D303A40">
                  <w:pPr>
                    <w:jc w:val="center"/>
                    <w:rPr>
                      <w:sz w:val="21"/>
                      <w:szCs w:val="21"/>
                      <w:lang w:bidi="ar"/>
                    </w:rPr>
                  </w:pPr>
                </w:p>
              </w:tc>
              <w:tc>
                <w:tcPr>
                  <w:tcW w:w="924" w:type="dxa"/>
                  <w:vAlign w:val="center"/>
                </w:tcPr>
                <w:p w14:paraId="0EF2E737">
                  <w:pPr>
                    <w:jc w:val="center"/>
                    <w:rPr>
                      <w:rFonts w:hint="eastAsia" w:eastAsia="宋体"/>
                      <w:sz w:val="21"/>
                      <w:szCs w:val="21"/>
                      <w:lang w:val="en-US" w:eastAsia="zh-CN" w:bidi="ar"/>
                    </w:rPr>
                  </w:pPr>
                  <w:r>
                    <w:rPr>
                      <w:rFonts w:hint="eastAsia"/>
                      <w:sz w:val="21"/>
                      <w:szCs w:val="21"/>
                      <w:lang w:val="en-US" w:eastAsia="zh-CN" w:bidi="ar"/>
                    </w:rPr>
                    <w:t>0</w:t>
                  </w:r>
                </w:p>
              </w:tc>
            </w:tr>
            <w:tr w14:paraId="7699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shd w:val="clear" w:color="auto" w:fill="auto"/>
                  <w:vAlign w:val="center"/>
                </w:tcPr>
                <w:p w14:paraId="66FE2581">
                  <w:pPr>
                    <w:jc w:val="center"/>
                    <w:outlineLvl w:val="0"/>
                    <w:rPr>
                      <w:rFonts w:hint="eastAsia" w:ascii="Times New Roman" w:hAnsi="Times New Roman" w:eastAsia="宋体" w:cs="Times New Roman"/>
                      <w:kern w:val="2"/>
                      <w:sz w:val="21"/>
                      <w:szCs w:val="21"/>
                      <w:lang w:val="en-US" w:eastAsia="zh-CN" w:bidi="ar-SA"/>
                    </w:rPr>
                  </w:pPr>
                  <w:r>
                    <w:rPr>
                      <w:rFonts w:hint="eastAsia"/>
                      <w:sz w:val="21"/>
                      <w:szCs w:val="21"/>
                    </w:rPr>
                    <w:t>废</w:t>
                  </w:r>
                  <w:r>
                    <w:rPr>
                      <w:rFonts w:hint="eastAsia"/>
                      <w:sz w:val="21"/>
                      <w:szCs w:val="21"/>
                      <w:lang w:val="en-US" w:eastAsia="zh-CN"/>
                    </w:rPr>
                    <w:t>切削</w:t>
                  </w:r>
                  <w:r>
                    <w:rPr>
                      <w:rFonts w:hint="eastAsia"/>
                      <w:sz w:val="21"/>
                      <w:szCs w:val="21"/>
                    </w:rPr>
                    <w:t>液</w:t>
                  </w:r>
                  <w:r>
                    <w:rPr>
                      <w:rFonts w:hint="eastAsia"/>
                      <w:sz w:val="21"/>
                      <w:szCs w:val="21"/>
                      <w:lang w:val="en-US" w:eastAsia="zh-CN"/>
                    </w:rPr>
                    <w:t>桶</w:t>
                  </w:r>
                </w:p>
              </w:tc>
              <w:tc>
                <w:tcPr>
                  <w:tcW w:w="1124" w:type="dxa"/>
                  <w:vAlign w:val="center"/>
                </w:tcPr>
                <w:p w14:paraId="5AD3940F">
                  <w:pPr>
                    <w:jc w:val="center"/>
                    <w:rPr>
                      <w:sz w:val="21"/>
                      <w:szCs w:val="21"/>
                      <w:lang w:bidi="ar"/>
                    </w:rPr>
                  </w:pPr>
                  <w:r>
                    <w:rPr>
                      <w:sz w:val="21"/>
                      <w:szCs w:val="21"/>
                      <w:lang w:bidi="ar"/>
                    </w:rPr>
                    <w:t>危险废物</w:t>
                  </w:r>
                </w:p>
              </w:tc>
              <w:tc>
                <w:tcPr>
                  <w:tcW w:w="1023" w:type="dxa"/>
                  <w:vAlign w:val="center"/>
                </w:tcPr>
                <w:p w14:paraId="52848184">
                  <w:pPr>
                    <w:jc w:val="center"/>
                    <w:rPr>
                      <w:bCs/>
                      <w:sz w:val="21"/>
                      <w:szCs w:val="21"/>
                    </w:rPr>
                  </w:pPr>
                  <w:r>
                    <w:rPr>
                      <w:rFonts w:hint="eastAsia"/>
                      <w:sz w:val="21"/>
                      <w:szCs w:val="21"/>
                    </w:rPr>
                    <w:t>900-041-49</w:t>
                  </w:r>
                </w:p>
              </w:tc>
              <w:tc>
                <w:tcPr>
                  <w:tcW w:w="1093" w:type="dxa"/>
                  <w:vAlign w:val="center"/>
                </w:tcPr>
                <w:p w14:paraId="4377FE03">
                  <w:pPr>
                    <w:jc w:val="center"/>
                    <w:rPr>
                      <w:rFonts w:hint="eastAsia" w:eastAsia="宋体"/>
                      <w:sz w:val="21"/>
                      <w:szCs w:val="21"/>
                      <w:lang w:val="en-US" w:eastAsia="zh-CN" w:bidi="ar"/>
                    </w:rPr>
                  </w:pPr>
                  <w:r>
                    <w:rPr>
                      <w:rFonts w:hint="eastAsia"/>
                      <w:sz w:val="21"/>
                      <w:szCs w:val="21"/>
                      <w:lang w:val="en-US" w:eastAsia="zh-CN" w:bidi="ar"/>
                    </w:rPr>
                    <w:t>物料使用</w:t>
                  </w:r>
                </w:p>
              </w:tc>
              <w:tc>
                <w:tcPr>
                  <w:tcW w:w="739" w:type="dxa"/>
                  <w:vAlign w:val="center"/>
                </w:tcPr>
                <w:p w14:paraId="69506DDA">
                  <w:pPr>
                    <w:jc w:val="center"/>
                    <w:rPr>
                      <w:sz w:val="21"/>
                      <w:szCs w:val="21"/>
                      <w:lang w:bidi="ar"/>
                    </w:rPr>
                  </w:pPr>
                  <w:r>
                    <w:rPr>
                      <w:sz w:val="21"/>
                      <w:szCs w:val="21"/>
                      <w:lang w:bidi="ar"/>
                    </w:rPr>
                    <w:t>固态</w:t>
                  </w:r>
                </w:p>
              </w:tc>
              <w:tc>
                <w:tcPr>
                  <w:tcW w:w="911" w:type="dxa"/>
                  <w:vAlign w:val="center"/>
                </w:tcPr>
                <w:p w14:paraId="732D9963">
                  <w:pPr>
                    <w:jc w:val="center"/>
                    <w:rPr>
                      <w:rFonts w:hint="default"/>
                      <w:sz w:val="21"/>
                      <w:szCs w:val="21"/>
                      <w:lang w:val="en-US" w:eastAsia="zh-CN" w:bidi="ar"/>
                    </w:rPr>
                  </w:pPr>
                  <w:r>
                    <w:rPr>
                      <w:rFonts w:hint="eastAsia"/>
                      <w:sz w:val="21"/>
                      <w:szCs w:val="21"/>
                      <w:lang w:val="en-US" w:eastAsia="zh-CN" w:bidi="ar"/>
                    </w:rPr>
                    <w:t>0.02</w:t>
                  </w:r>
                </w:p>
              </w:tc>
              <w:tc>
                <w:tcPr>
                  <w:tcW w:w="1170" w:type="dxa"/>
                  <w:vMerge w:val="continue"/>
                  <w:vAlign w:val="center"/>
                </w:tcPr>
                <w:p w14:paraId="381C9C5A">
                  <w:pPr>
                    <w:jc w:val="center"/>
                    <w:rPr>
                      <w:sz w:val="21"/>
                      <w:szCs w:val="21"/>
                      <w:lang w:bidi="ar"/>
                    </w:rPr>
                  </w:pPr>
                </w:p>
              </w:tc>
              <w:tc>
                <w:tcPr>
                  <w:tcW w:w="924" w:type="dxa"/>
                  <w:vAlign w:val="center"/>
                </w:tcPr>
                <w:p w14:paraId="15640C29">
                  <w:pPr>
                    <w:jc w:val="center"/>
                    <w:rPr>
                      <w:rFonts w:hint="eastAsia" w:eastAsia="宋体"/>
                      <w:sz w:val="21"/>
                      <w:szCs w:val="21"/>
                      <w:lang w:val="en-US" w:eastAsia="zh-CN" w:bidi="ar"/>
                    </w:rPr>
                  </w:pPr>
                  <w:r>
                    <w:rPr>
                      <w:rFonts w:hint="eastAsia"/>
                      <w:sz w:val="21"/>
                      <w:szCs w:val="21"/>
                      <w:lang w:val="en-US" w:eastAsia="zh-CN" w:bidi="ar"/>
                    </w:rPr>
                    <w:t>0</w:t>
                  </w:r>
                </w:p>
              </w:tc>
            </w:tr>
            <w:tr w14:paraId="1DB8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shd w:val="clear" w:color="auto" w:fill="auto"/>
                  <w:vAlign w:val="center"/>
                </w:tcPr>
                <w:p w14:paraId="74A62E00">
                  <w:pPr>
                    <w:jc w:val="center"/>
                    <w:outlineLvl w:val="0"/>
                    <w:rPr>
                      <w:rFonts w:hint="eastAsia" w:eastAsia="宋体"/>
                      <w:sz w:val="21"/>
                      <w:szCs w:val="21"/>
                      <w:lang w:val="en-US" w:eastAsia="zh-CN"/>
                    </w:rPr>
                  </w:pPr>
                  <w:r>
                    <w:rPr>
                      <w:rFonts w:hint="eastAsia"/>
                      <w:sz w:val="21"/>
                      <w:szCs w:val="21"/>
                      <w:lang w:val="en-US" w:eastAsia="zh-CN"/>
                    </w:rPr>
                    <w:t>废润滑油</w:t>
                  </w:r>
                </w:p>
              </w:tc>
              <w:tc>
                <w:tcPr>
                  <w:tcW w:w="1124" w:type="dxa"/>
                  <w:vAlign w:val="center"/>
                </w:tcPr>
                <w:p w14:paraId="38A3C209">
                  <w:pPr>
                    <w:jc w:val="center"/>
                    <w:rPr>
                      <w:sz w:val="21"/>
                      <w:szCs w:val="21"/>
                      <w:lang w:bidi="ar"/>
                    </w:rPr>
                  </w:pPr>
                  <w:r>
                    <w:rPr>
                      <w:sz w:val="21"/>
                      <w:szCs w:val="21"/>
                      <w:lang w:bidi="ar"/>
                    </w:rPr>
                    <w:t>危险废物</w:t>
                  </w:r>
                </w:p>
              </w:tc>
              <w:tc>
                <w:tcPr>
                  <w:tcW w:w="1023" w:type="dxa"/>
                  <w:vAlign w:val="center"/>
                </w:tcPr>
                <w:p w14:paraId="161C891E">
                  <w:pPr>
                    <w:jc w:val="center"/>
                    <w:rPr>
                      <w:bCs/>
                      <w:sz w:val="21"/>
                      <w:szCs w:val="21"/>
                    </w:rPr>
                  </w:pPr>
                  <w:r>
                    <w:rPr>
                      <w:rFonts w:hint="eastAsia"/>
                      <w:sz w:val="21"/>
                      <w:szCs w:val="21"/>
                    </w:rPr>
                    <w:t>900-214-08</w:t>
                  </w:r>
                </w:p>
              </w:tc>
              <w:tc>
                <w:tcPr>
                  <w:tcW w:w="1093" w:type="dxa"/>
                  <w:vAlign w:val="center"/>
                </w:tcPr>
                <w:p w14:paraId="2109521D">
                  <w:pPr>
                    <w:jc w:val="center"/>
                    <w:rPr>
                      <w:rFonts w:hint="default" w:eastAsia="宋体"/>
                      <w:sz w:val="21"/>
                      <w:szCs w:val="21"/>
                      <w:lang w:val="en-US" w:eastAsia="zh-CN" w:bidi="ar"/>
                    </w:rPr>
                  </w:pPr>
                  <w:r>
                    <w:rPr>
                      <w:rFonts w:hint="eastAsia"/>
                      <w:sz w:val="21"/>
                      <w:szCs w:val="21"/>
                      <w:lang w:val="en-US" w:eastAsia="zh-CN" w:bidi="ar"/>
                    </w:rPr>
                    <w:t>设备保养</w:t>
                  </w:r>
                </w:p>
              </w:tc>
              <w:tc>
                <w:tcPr>
                  <w:tcW w:w="739" w:type="dxa"/>
                  <w:vAlign w:val="center"/>
                </w:tcPr>
                <w:p w14:paraId="243DB523">
                  <w:pPr>
                    <w:jc w:val="center"/>
                    <w:rPr>
                      <w:sz w:val="21"/>
                      <w:szCs w:val="21"/>
                      <w:lang w:bidi="ar"/>
                    </w:rPr>
                  </w:pPr>
                  <w:r>
                    <w:rPr>
                      <w:rFonts w:hint="eastAsia"/>
                      <w:sz w:val="21"/>
                      <w:szCs w:val="21"/>
                      <w:lang w:bidi="ar"/>
                    </w:rPr>
                    <w:t>液</w:t>
                  </w:r>
                  <w:r>
                    <w:rPr>
                      <w:sz w:val="21"/>
                      <w:szCs w:val="21"/>
                      <w:lang w:bidi="ar"/>
                    </w:rPr>
                    <w:t>态</w:t>
                  </w:r>
                </w:p>
              </w:tc>
              <w:tc>
                <w:tcPr>
                  <w:tcW w:w="911" w:type="dxa"/>
                  <w:vAlign w:val="center"/>
                </w:tcPr>
                <w:p w14:paraId="36215E00">
                  <w:pPr>
                    <w:jc w:val="center"/>
                    <w:rPr>
                      <w:rFonts w:hint="default"/>
                      <w:sz w:val="21"/>
                      <w:szCs w:val="21"/>
                      <w:lang w:val="en-US" w:eastAsia="zh-CN" w:bidi="ar"/>
                    </w:rPr>
                  </w:pPr>
                  <w:r>
                    <w:rPr>
                      <w:rFonts w:hint="eastAsia"/>
                      <w:sz w:val="21"/>
                      <w:szCs w:val="21"/>
                      <w:lang w:val="en-US" w:eastAsia="zh-CN" w:bidi="ar"/>
                    </w:rPr>
                    <w:t>0.01</w:t>
                  </w:r>
                </w:p>
              </w:tc>
              <w:tc>
                <w:tcPr>
                  <w:tcW w:w="1170" w:type="dxa"/>
                  <w:vMerge w:val="continue"/>
                  <w:vAlign w:val="center"/>
                </w:tcPr>
                <w:p w14:paraId="21014F6C">
                  <w:pPr>
                    <w:jc w:val="center"/>
                    <w:rPr>
                      <w:sz w:val="21"/>
                      <w:szCs w:val="21"/>
                      <w:lang w:bidi="ar"/>
                    </w:rPr>
                  </w:pPr>
                </w:p>
              </w:tc>
              <w:tc>
                <w:tcPr>
                  <w:tcW w:w="924" w:type="dxa"/>
                  <w:vAlign w:val="center"/>
                </w:tcPr>
                <w:p w14:paraId="2AB273CF">
                  <w:pPr>
                    <w:jc w:val="center"/>
                    <w:rPr>
                      <w:rFonts w:hint="eastAsia" w:eastAsia="宋体"/>
                      <w:sz w:val="21"/>
                      <w:szCs w:val="21"/>
                      <w:lang w:val="en-US" w:eastAsia="zh-CN" w:bidi="ar"/>
                    </w:rPr>
                  </w:pPr>
                  <w:r>
                    <w:rPr>
                      <w:rFonts w:hint="eastAsia"/>
                      <w:sz w:val="21"/>
                      <w:szCs w:val="21"/>
                      <w:lang w:val="en-US" w:eastAsia="zh-CN" w:bidi="ar"/>
                    </w:rPr>
                    <w:t>0</w:t>
                  </w:r>
                </w:p>
              </w:tc>
            </w:tr>
            <w:tr w14:paraId="06FE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9" w:type="dxa"/>
                  <w:shd w:val="clear" w:color="auto" w:fill="auto"/>
                  <w:vAlign w:val="center"/>
                </w:tcPr>
                <w:p w14:paraId="6979BC5F">
                  <w:pPr>
                    <w:jc w:val="center"/>
                    <w:outlineLvl w:val="0"/>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废润滑油桶</w:t>
                  </w:r>
                </w:p>
              </w:tc>
              <w:tc>
                <w:tcPr>
                  <w:tcW w:w="1124" w:type="dxa"/>
                  <w:vAlign w:val="center"/>
                </w:tcPr>
                <w:p w14:paraId="0897B248">
                  <w:pPr>
                    <w:jc w:val="center"/>
                    <w:rPr>
                      <w:sz w:val="21"/>
                      <w:szCs w:val="21"/>
                      <w:lang w:bidi="ar"/>
                    </w:rPr>
                  </w:pPr>
                  <w:r>
                    <w:rPr>
                      <w:sz w:val="21"/>
                      <w:szCs w:val="21"/>
                      <w:lang w:bidi="ar"/>
                    </w:rPr>
                    <w:t>危险废物</w:t>
                  </w:r>
                </w:p>
              </w:tc>
              <w:tc>
                <w:tcPr>
                  <w:tcW w:w="1023" w:type="dxa"/>
                  <w:vAlign w:val="center"/>
                </w:tcPr>
                <w:p w14:paraId="384B2376">
                  <w:pPr>
                    <w:jc w:val="center"/>
                    <w:rPr>
                      <w:bCs/>
                      <w:sz w:val="21"/>
                      <w:szCs w:val="21"/>
                    </w:rPr>
                  </w:pPr>
                  <w:r>
                    <w:rPr>
                      <w:rFonts w:hint="eastAsia"/>
                      <w:color w:val="000000" w:themeColor="text1"/>
                      <w:sz w:val="21"/>
                      <w:szCs w:val="21"/>
                      <w14:textFill>
                        <w14:solidFill>
                          <w14:schemeClr w14:val="tx1"/>
                        </w14:solidFill>
                      </w14:textFill>
                    </w:rPr>
                    <w:t>900-249-08</w:t>
                  </w:r>
                </w:p>
              </w:tc>
              <w:tc>
                <w:tcPr>
                  <w:tcW w:w="1093" w:type="dxa"/>
                  <w:vAlign w:val="center"/>
                </w:tcPr>
                <w:p w14:paraId="2A57D243">
                  <w:pPr>
                    <w:jc w:val="center"/>
                    <w:rPr>
                      <w:rFonts w:hint="eastAsia"/>
                      <w:sz w:val="21"/>
                      <w:szCs w:val="21"/>
                      <w:lang w:bidi="ar"/>
                    </w:rPr>
                  </w:pPr>
                  <w:r>
                    <w:rPr>
                      <w:rFonts w:hint="eastAsia"/>
                      <w:sz w:val="21"/>
                      <w:szCs w:val="21"/>
                      <w:lang w:val="en-US" w:eastAsia="zh-CN" w:bidi="ar"/>
                    </w:rPr>
                    <w:t>物料使用</w:t>
                  </w:r>
                </w:p>
              </w:tc>
              <w:tc>
                <w:tcPr>
                  <w:tcW w:w="739" w:type="dxa"/>
                  <w:vAlign w:val="center"/>
                </w:tcPr>
                <w:p w14:paraId="47DBB50D">
                  <w:pPr>
                    <w:jc w:val="center"/>
                    <w:rPr>
                      <w:sz w:val="21"/>
                      <w:szCs w:val="21"/>
                      <w:lang w:bidi="ar"/>
                    </w:rPr>
                  </w:pPr>
                  <w:r>
                    <w:rPr>
                      <w:sz w:val="21"/>
                      <w:szCs w:val="21"/>
                      <w:lang w:bidi="ar"/>
                    </w:rPr>
                    <w:t>固态</w:t>
                  </w:r>
                </w:p>
              </w:tc>
              <w:tc>
                <w:tcPr>
                  <w:tcW w:w="911" w:type="dxa"/>
                  <w:vAlign w:val="center"/>
                </w:tcPr>
                <w:p w14:paraId="7B5ED35F">
                  <w:pPr>
                    <w:jc w:val="center"/>
                    <w:rPr>
                      <w:rFonts w:hint="default"/>
                      <w:sz w:val="21"/>
                      <w:szCs w:val="21"/>
                      <w:lang w:val="en-US" w:eastAsia="zh-CN" w:bidi="ar"/>
                    </w:rPr>
                  </w:pPr>
                  <w:r>
                    <w:rPr>
                      <w:rFonts w:hint="eastAsia"/>
                      <w:sz w:val="21"/>
                      <w:szCs w:val="21"/>
                      <w:lang w:val="en-US" w:eastAsia="zh-CN" w:bidi="ar"/>
                    </w:rPr>
                    <w:t>0.01</w:t>
                  </w:r>
                </w:p>
              </w:tc>
              <w:tc>
                <w:tcPr>
                  <w:tcW w:w="1170" w:type="dxa"/>
                  <w:vMerge w:val="continue"/>
                  <w:vAlign w:val="center"/>
                </w:tcPr>
                <w:p w14:paraId="337BCEAB">
                  <w:pPr>
                    <w:jc w:val="center"/>
                    <w:rPr>
                      <w:sz w:val="21"/>
                      <w:szCs w:val="21"/>
                      <w:lang w:bidi="ar"/>
                    </w:rPr>
                  </w:pPr>
                </w:p>
              </w:tc>
              <w:tc>
                <w:tcPr>
                  <w:tcW w:w="924" w:type="dxa"/>
                  <w:vAlign w:val="center"/>
                </w:tcPr>
                <w:p w14:paraId="20FCEE2B">
                  <w:pPr>
                    <w:jc w:val="center"/>
                    <w:rPr>
                      <w:rFonts w:hint="eastAsia" w:eastAsia="宋体"/>
                      <w:sz w:val="21"/>
                      <w:szCs w:val="21"/>
                      <w:lang w:val="en-US" w:eastAsia="zh-CN" w:bidi="ar"/>
                    </w:rPr>
                  </w:pPr>
                  <w:r>
                    <w:rPr>
                      <w:rFonts w:hint="eastAsia"/>
                      <w:sz w:val="21"/>
                      <w:szCs w:val="21"/>
                      <w:lang w:val="en-US" w:eastAsia="zh-CN" w:bidi="ar"/>
                    </w:rPr>
                    <w:t>0</w:t>
                  </w:r>
                </w:p>
              </w:tc>
            </w:tr>
          </w:tbl>
          <w:p w14:paraId="67B46A84">
            <w:pPr>
              <w:pStyle w:val="116"/>
              <w:keepNext w:val="0"/>
              <w:keepLines w:val="0"/>
              <w:pageBreakBefore w:val="0"/>
              <w:widowControl/>
              <w:kinsoku w:val="0"/>
              <w:wordWrap/>
              <w:overflowPunct/>
              <w:topLinePunct w:val="0"/>
              <w:autoSpaceDE w:val="0"/>
              <w:autoSpaceDN w:val="0"/>
              <w:bidi w:val="0"/>
              <w:adjustRightInd w:val="0"/>
              <w:snapToGrid w:val="0"/>
              <w:spacing w:before="157" w:beforeLines="50"/>
              <w:jc w:val="center"/>
              <w:textAlignment w:val="baseline"/>
              <w:rPr>
                <w:rFonts w:ascii="Times New Roman" w:hAnsi="Times New Roman"/>
                <w:color w:val="000000" w:themeColor="text1"/>
                <w:lang w:eastAsia="zh-CN"/>
                <w14:textFill>
                  <w14:solidFill>
                    <w14:schemeClr w14:val="tx1"/>
                  </w14:solidFill>
                </w14:textFill>
              </w:rPr>
            </w:pPr>
            <w:r>
              <w:rPr>
                <w:rFonts w:ascii="Times New Roman" w:hAnsi="Times New Roman"/>
                <w:b/>
                <w:bCs/>
                <w:color w:val="000000" w:themeColor="text1"/>
                <w:lang w:eastAsia="zh-CN"/>
                <w14:textFill>
                  <w14:solidFill>
                    <w14:schemeClr w14:val="tx1"/>
                  </w14:solidFill>
                </w14:textFill>
              </w:rPr>
              <w:t>表4</w:t>
            </w:r>
            <w:r>
              <w:rPr>
                <w:rFonts w:hint="eastAsia" w:ascii="Times New Roman" w:hAnsi="Times New Roman"/>
                <w:b/>
                <w:bCs/>
                <w:color w:val="000000" w:themeColor="text1"/>
                <w:lang w:val="en-US" w:eastAsia="zh-CN"/>
                <w14:textFill>
                  <w14:solidFill>
                    <w14:schemeClr w14:val="tx1"/>
                  </w14:solidFill>
                </w14:textFill>
              </w:rPr>
              <w:t>-</w:t>
            </w:r>
            <w:r>
              <w:rPr>
                <w:rFonts w:ascii="Times New Roman" w:hAnsi="Times New Roman"/>
                <w:b/>
                <w:bCs/>
                <w:color w:val="000000" w:themeColor="text1"/>
                <w:lang w:eastAsia="zh-CN"/>
                <w14:textFill>
                  <w14:solidFill>
                    <w14:schemeClr w14:val="tx1"/>
                  </w14:solidFill>
                </w14:textFill>
              </w:rPr>
              <w:t>1</w:t>
            </w:r>
            <w:r>
              <w:rPr>
                <w:rFonts w:hint="eastAsia" w:ascii="Times New Roman" w:hAnsi="Times New Roman"/>
                <w:b/>
                <w:bCs/>
                <w:color w:val="000000" w:themeColor="text1"/>
                <w:lang w:val="en-US" w:eastAsia="zh-CN"/>
                <w14:textFill>
                  <w14:solidFill>
                    <w14:schemeClr w14:val="tx1"/>
                  </w14:solidFill>
                </w14:textFill>
              </w:rPr>
              <w:t xml:space="preserve">5  </w:t>
            </w:r>
            <w:r>
              <w:rPr>
                <w:rFonts w:ascii="Times New Roman" w:hAnsi="Times New Roman"/>
                <w:b/>
                <w:bCs/>
                <w:color w:val="000000" w:themeColor="text1"/>
                <w:lang w:eastAsia="zh-CN"/>
                <w14:textFill>
                  <w14:solidFill>
                    <w14:schemeClr w14:val="tx1"/>
                  </w14:solidFill>
                </w14:textFill>
              </w:rPr>
              <w:t>项目危险废物产生及处置统计一览表</w:t>
            </w:r>
          </w:p>
          <w:tbl>
            <w:tblPr>
              <w:tblStyle w:val="30"/>
              <w:tblW w:w="8095" w:type="dxa"/>
              <w:jc w:val="center"/>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132"/>
              <w:gridCol w:w="1385"/>
              <w:gridCol w:w="1033"/>
              <w:gridCol w:w="714"/>
              <w:gridCol w:w="911"/>
              <w:gridCol w:w="687"/>
              <w:gridCol w:w="1002"/>
            </w:tblGrid>
            <w:tr w14:paraId="5AA8F3B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2023394D">
                  <w:pPr>
                    <w:jc w:val="center"/>
                    <w:outlineLvl w:val="0"/>
                    <w:rPr>
                      <w:b/>
                      <w:sz w:val="21"/>
                      <w:szCs w:val="21"/>
                    </w:rPr>
                  </w:pPr>
                  <w:r>
                    <w:rPr>
                      <w:b/>
                      <w:sz w:val="21"/>
                      <w:szCs w:val="21"/>
                      <w:lang w:bidi="ar"/>
                    </w:rPr>
                    <w:t>危险废物名称</w:t>
                  </w:r>
                </w:p>
              </w:tc>
              <w:tc>
                <w:tcPr>
                  <w:tcW w:w="1132" w:type="dxa"/>
                  <w:tcBorders>
                    <w:top w:val="single" w:color="auto" w:sz="4" w:space="0"/>
                    <w:left w:val="single" w:color="auto" w:sz="4" w:space="0"/>
                    <w:bottom w:val="single" w:color="auto" w:sz="4" w:space="0"/>
                    <w:right w:val="single" w:color="auto" w:sz="4" w:space="0"/>
                  </w:tcBorders>
                  <w:vAlign w:val="center"/>
                </w:tcPr>
                <w:p w14:paraId="04236A8C">
                  <w:pPr>
                    <w:jc w:val="center"/>
                    <w:outlineLvl w:val="0"/>
                    <w:rPr>
                      <w:b/>
                      <w:sz w:val="21"/>
                      <w:szCs w:val="21"/>
                    </w:rPr>
                  </w:pPr>
                  <w:r>
                    <w:rPr>
                      <w:b/>
                      <w:sz w:val="21"/>
                      <w:szCs w:val="21"/>
                      <w:lang w:bidi="ar"/>
                    </w:rPr>
                    <w:t>危险废物类别</w:t>
                  </w:r>
                </w:p>
              </w:tc>
              <w:tc>
                <w:tcPr>
                  <w:tcW w:w="1385" w:type="dxa"/>
                  <w:tcBorders>
                    <w:top w:val="single" w:color="auto" w:sz="4" w:space="0"/>
                    <w:left w:val="single" w:color="auto" w:sz="4" w:space="0"/>
                    <w:bottom w:val="single" w:color="auto" w:sz="4" w:space="0"/>
                    <w:right w:val="single" w:color="auto" w:sz="4" w:space="0"/>
                  </w:tcBorders>
                  <w:vAlign w:val="center"/>
                </w:tcPr>
                <w:p w14:paraId="389EFE5A">
                  <w:pPr>
                    <w:jc w:val="center"/>
                    <w:outlineLvl w:val="0"/>
                    <w:rPr>
                      <w:b/>
                      <w:sz w:val="21"/>
                      <w:szCs w:val="21"/>
                    </w:rPr>
                  </w:pPr>
                  <w:r>
                    <w:rPr>
                      <w:b/>
                      <w:sz w:val="21"/>
                      <w:szCs w:val="21"/>
                      <w:lang w:bidi="ar"/>
                    </w:rPr>
                    <w:t>危险废物代码</w:t>
                  </w:r>
                </w:p>
              </w:tc>
              <w:tc>
                <w:tcPr>
                  <w:tcW w:w="1033" w:type="dxa"/>
                  <w:tcBorders>
                    <w:top w:val="single" w:color="auto" w:sz="4" w:space="0"/>
                    <w:left w:val="single" w:color="auto" w:sz="4" w:space="0"/>
                    <w:bottom w:val="single" w:color="auto" w:sz="4" w:space="0"/>
                    <w:right w:val="single" w:color="auto" w:sz="4" w:space="0"/>
                  </w:tcBorders>
                  <w:vAlign w:val="center"/>
                </w:tcPr>
                <w:p w14:paraId="48EA6C7D">
                  <w:pPr>
                    <w:jc w:val="center"/>
                    <w:outlineLvl w:val="0"/>
                    <w:rPr>
                      <w:rFonts w:hint="default" w:eastAsia="宋体"/>
                      <w:b/>
                      <w:sz w:val="21"/>
                      <w:szCs w:val="21"/>
                      <w:lang w:val="en-US" w:eastAsia="zh-CN"/>
                    </w:rPr>
                  </w:pPr>
                  <w:r>
                    <w:rPr>
                      <w:b/>
                      <w:sz w:val="21"/>
                      <w:szCs w:val="21"/>
                      <w:lang w:bidi="ar"/>
                    </w:rPr>
                    <w:t>产生量</w:t>
                  </w:r>
                  <w:r>
                    <w:rPr>
                      <w:rFonts w:hint="eastAsia"/>
                      <w:b/>
                      <w:sz w:val="21"/>
                      <w:szCs w:val="21"/>
                      <w:lang w:val="en-US" w:eastAsia="zh-CN" w:bidi="ar"/>
                    </w:rPr>
                    <w:t>t/a</w:t>
                  </w:r>
                </w:p>
              </w:tc>
              <w:tc>
                <w:tcPr>
                  <w:tcW w:w="714" w:type="dxa"/>
                  <w:tcBorders>
                    <w:top w:val="single" w:color="auto" w:sz="4" w:space="0"/>
                    <w:left w:val="single" w:color="auto" w:sz="4" w:space="0"/>
                    <w:bottom w:val="single" w:color="auto" w:sz="4" w:space="0"/>
                    <w:right w:val="single" w:color="auto" w:sz="4" w:space="0"/>
                  </w:tcBorders>
                  <w:vAlign w:val="center"/>
                </w:tcPr>
                <w:p w14:paraId="655589B8">
                  <w:pPr>
                    <w:jc w:val="center"/>
                    <w:outlineLvl w:val="0"/>
                    <w:rPr>
                      <w:b/>
                      <w:sz w:val="21"/>
                      <w:szCs w:val="21"/>
                    </w:rPr>
                  </w:pPr>
                  <w:r>
                    <w:rPr>
                      <w:b/>
                      <w:sz w:val="21"/>
                      <w:szCs w:val="21"/>
                    </w:rPr>
                    <w:t>形态</w:t>
                  </w:r>
                </w:p>
              </w:tc>
              <w:tc>
                <w:tcPr>
                  <w:tcW w:w="911" w:type="dxa"/>
                  <w:tcBorders>
                    <w:top w:val="single" w:color="auto" w:sz="4" w:space="0"/>
                    <w:left w:val="single" w:color="auto" w:sz="4" w:space="0"/>
                    <w:bottom w:val="single" w:color="auto" w:sz="4" w:space="0"/>
                    <w:right w:val="single" w:color="auto" w:sz="4" w:space="0"/>
                  </w:tcBorders>
                  <w:vAlign w:val="center"/>
                </w:tcPr>
                <w:p w14:paraId="10A283C3">
                  <w:pPr>
                    <w:jc w:val="center"/>
                    <w:outlineLvl w:val="0"/>
                    <w:rPr>
                      <w:b/>
                      <w:sz w:val="21"/>
                      <w:szCs w:val="21"/>
                    </w:rPr>
                  </w:pPr>
                  <w:r>
                    <w:rPr>
                      <w:b/>
                      <w:sz w:val="21"/>
                      <w:szCs w:val="21"/>
                      <w:lang w:bidi="ar"/>
                    </w:rPr>
                    <w:t>产废周期</w:t>
                  </w:r>
                </w:p>
              </w:tc>
              <w:tc>
                <w:tcPr>
                  <w:tcW w:w="687" w:type="dxa"/>
                  <w:tcBorders>
                    <w:top w:val="single" w:color="auto" w:sz="4" w:space="0"/>
                    <w:left w:val="nil"/>
                    <w:bottom w:val="single" w:color="auto" w:sz="4" w:space="0"/>
                    <w:right w:val="single" w:color="auto" w:sz="4" w:space="0"/>
                  </w:tcBorders>
                  <w:vAlign w:val="center"/>
                </w:tcPr>
                <w:p w14:paraId="4983117A">
                  <w:pPr>
                    <w:jc w:val="center"/>
                    <w:outlineLvl w:val="0"/>
                    <w:rPr>
                      <w:b/>
                      <w:sz w:val="21"/>
                      <w:szCs w:val="21"/>
                    </w:rPr>
                  </w:pPr>
                  <w:r>
                    <w:rPr>
                      <w:b/>
                      <w:sz w:val="21"/>
                      <w:szCs w:val="21"/>
                    </w:rPr>
                    <w:t>危险特性</w:t>
                  </w:r>
                </w:p>
              </w:tc>
              <w:tc>
                <w:tcPr>
                  <w:tcW w:w="1002" w:type="dxa"/>
                  <w:tcBorders>
                    <w:top w:val="single" w:color="auto" w:sz="4" w:space="0"/>
                    <w:left w:val="nil"/>
                    <w:bottom w:val="single" w:color="auto" w:sz="4" w:space="0"/>
                    <w:right w:val="single" w:color="auto" w:sz="4" w:space="0"/>
                  </w:tcBorders>
                  <w:vAlign w:val="center"/>
                </w:tcPr>
                <w:p w14:paraId="3AC2B4B1">
                  <w:pPr>
                    <w:jc w:val="center"/>
                    <w:outlineLvl w:val="0"/>
                    <w:rPr>
                      <w:b/>
                      <w:sz w:val="21"/>
                      <w:szCs w:val="21"/>
                      <w:lang w:bidi="ar"/>
                    </w:rPr>
                  </w:pPr>
                  <w:r>
                    <w:rPr>
                      <w:b/>
                      <w:sz w:val="21"/>
                      <w:szCs w:val="21"/>
                      <w:lang w:bidi="ar"/>
                    </w:rPr>
                    <w:t>污染防治措施</w:t>
                  </w:r>
                </w:p>
              </w:tc>
            </w:tr>
            <w:tr w14:paraId="54B4C293">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1B4A1D9B">
                  <w:pPr>
                    <w:jc w:val="center"/>
                    <w:outlineLvl w:val="0"/>
                    <w:rPr>
                      <w:sz w:val="21"/>
                      <w:szCs w:val="21"/>
                    </w:rPr>
                  </w:pPr>
                  <w:r>
                    <w:rPr>
                      <w:rFonts w:hint="eastAsia"/>
                      <w:color w:val="000000" w:themeColor="text1"/>
                      <w:sz w:val="21"/>
                      <w:szCs w:val="21"/>
                      <w:lang w:val="en-US" w:eastAsia="zh-CN"/>
                      <w14:textFill>
                        <w14:solidFill>
                          <w14:schemeClr w14:val="tx1"/>
                        </w14:solidFill>
                      </w14:textFill>
                    </w:rPr>
                    <w:t>清洗槽清捞底渣</w:t>
                  </w:r>
                </w:p>
              </w:tc>
              <w:tc>
                <w:tcPr>
                  <w:tcW w:w="1132" w:type="dxa"/>
                  <w:tcBorders>
                    <w:top w:val="single" w:color="auto" w:sz="4" w:space="0"/>
                    <w:left w:val="single" w:color="auto" w:sz="4" w:space="0"/>
                    <w:bottom w:val="single" w:color="auto" w:sz="4" w:space="0"/>
                    <w:right w:val="single" w:color="auto" w:sz="4" w:space="0"/>
                  </w:tcBorders>
                  <w:vAlign w:val="center"/>
                </w:tcPr>
                <w:p w14:paraId="684D233D">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49</w:t>
                  </w:r>
                </w:p>
              </w:tc>
              <w:tc>
                <w:tcPr>
                  <w:tcW w:w="1385" w:type="dxa"/>
                  <w:tcBorders>
                    <w:top w:val="single" w:color="auto" w:sz="4" w:space="0"/>
                    <w:left w:val="single" w:color="auto" w:sz="4" w:space="0"/>
                    <w:bottom w:val="single" w:color="auto" w:sz="4" w:space="0"/>
                    <w:right w:val="single" w:color="auto" w:sz="4" w:space="0"/>
                  </w:tcBorders>
                  <w:vAlign w:val="center"/>
                </w:tcPr>
                <w:p w14:paraId="13858BE1">
                  <w:pPr>
                    <w:jc w:val="center"/>
                    <w:rPr>
                      <w:sz w:val="21"/>
                      <w:szCs w:val="21"/>
                    </w:rPr>
                  </w:pPr>
                  <w:r>
                    <w:rPr>
                      <w:rFonts w:hint="eastAsia"/>
                      <w:sz w:val="21"/>
                      <w:szCs w:val="21"/>
                      <w:highlight w:val="none"/>
                    </w:rPr>
                    <w:t>900-041-49</w:t>
                  </w:r>
                </w:p>
              </w:tc>
              <w:tc>
                <w:tcPr>
                  <w:tcW w:w="1033" w:type="dxa"/>
                  <w:tcBorders>
                    <w:top w:val="single" w:color="auto" w:sz="4" w:space="0"/>
                    <w:left w:val="single" w:color="auto" w:sz="4" w:space="0"/>
                    <w:bottom w:val="single" w:color="auto" w:sz="4" w:space="0"/>
                    <w:right w:val="single" w:color="auto" w:sz="4" w:space="0"/>
                  </w:tcBorders>
                  <w:vAlign w:val="center"/>
                </w:tcPr>
                <w:p w14:paraId="2889FB62">
                  <w:pPr>
                    <w:jc w:val="center"/>
                    <w:rPr>
                      <w:sz w:val="21"/>
                      <w:szCs w:val="21"/>
                      <w:lang w:bidi="ar"/>
                    </w:rPr>
                  </w:pPr>
                  <w:r>
                    <w:rPr>
                      <w:rFonts w:hint="eastAsia"/>
                      <w:sz w:val="21"/>
                      <w:szCs w:val="21"/>
                      <w:lang w:val="en-US" w:eastAsia="zh-CN" w:bidi="ar"/>
                    </w:rPr>
                    <w:t>0.26</w:t>
                  </w:r>
                </w:p>
              </w:tc>
              <w:tc>
                <w:tcPr>
                  <w:tcW w:w="714" w:type="dxa"/>
                  <w:tcBorders>
                    <w:top w:val="single" w:color="auto" w:sz="4" w:space="0"/>
                    <w:left w:val="single" w:color="auto" w:sz="4" w:space="0"/>
                    <w:bottom w:val="single" w:color="auto" w:sz="4" w:space="0"/>
                    <w:right w:val="single" w:color="auto" w:sz="4" w:space="0"/>
                  </w:tcBorders>
                  <w:vAlign w:val="center"/>
                </w:tcPr>
                <w:p w14:paraId="24472BA3">
                  <w:pPr>
                    <w:jc w:val="center"/>
                    <w:rPr>
                      <w:sz w:val="21"/>
                      <w:szCs w:val="21"/>
                      <w:lang w:bidi="ar"/>
                    </w:rPr>
                  </w:pPr>
                  <w:r>
                    <w:rPr>
                      <w:rFonts w:hint="eastAsia"/>
                      <w:sz w:val="21"/>
                      <w:szCs w:val="21"/>
                      <w:lang w:val="en-US" w:eastAsia="zh-CN" w:bidi="ar"/>
                    </w:rPr>
                    <w:t>固</w:t>
                  </w:r>
                  <w:r>
                    <w:rPr>
                      <w:rFonts w:hint="eastAsia"/>
                      <w:sz w:val="21"/>
                      <w:szCs w:val="21"/>
                      <w:lang w:bidi="ar"/>
                    </w:rPr>
                    <w:t>液</w:t>
                  </w:r>
                  <w:r>
                    <w:rPr>
                      <w:sz w:val="21"/>
                      <w:szCs w:val="21"/>
                      <w:lang w:bidi="ar"/>
                    </w:rPr>
                    <w:t>态</w:t>
                  </w:r>
                </w:p>
              </w:tc>
              <w:tc>
                <w:tcPr>
                  <w:tcW w:w="911" w:type="dxa"/>
                  <w:tcBorders>
                    <w:top w:val="single" w:color="auto" w:sz="4" w:space="0"/>
                    <w:left w:val="single" w:color="auto" w:sz="4" w:space="0"/>
                    <w:bottom w:val="single" w:color="auto" w:sz="4" w:space="0"/>
                    <w:right w:val="single" w:color="auto" w:sz="4" w:space="0"/>
                  </w:tcBorders>
                  <w:vAlign w:val="center"/>
                </w:tcPr>
                <w:p w14:paraId="5A4C9553">
                  <w:pPr>
                    <w:jc w:val="center"/>
                    <w:rPr>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3542C3C0">
                  <w:pPr>
                    <w:jc w:val="center"/>
                    <w:outlineLvl w:val="0"/>
                    <w:rPr>
                      <w:sz w:val="21"/>
                      <w:szCs w:val="21"/>
                      <w:lang w:bidi="ar"/>
                    </w:rPr>
                  </w:pPr>
                  <w:r>
                    <w:rPr>
                      <w:rFonts w:hint="eastAsia"/>
                      <w:sz w:val="21"/>
                      <w:szCs w:val="21"/>
                      <w:lang w:bidi="ar"/>
                    </w:rPr>
                    <w:t>T/In</w:t>
                  </w:r>
                </w:p>
              </w:tc>
              <w:tc>
                <w:tcPr>
                  <w:tcW w:w="1002" w:type="dxa"/>
                  <w:vMerge w:val="restart"/>
                  <w:tcBorders>
                    <w:top w:val="single" w:color="auto" w:sz="4" w:space="0"/>
                    <w:left w:val="nil"/>
                    <w:right w:val="single" w:color="auto" w:sz="4" w:space="0"/>
                  </w:tcBorders>
                  <w:vAlign w:val="center"/>
                </w:tcPr>
                <w:p w14:paraId="4AFB51DB">
                  <w:pPr>
                    <w:jc w:val="center"/>
                    <w:outlineLvl w:val="0"/>
                    <w:rPr>
                      <w:sz w:val="21"/>
                      <w:szCs w:val="21"/>
                      <w:lang w:bidi="ar"/>
                    </w:rPr>
                  </w:pPr>
                  <w:r>
                    <w:rPr>
                      <w:sz w:val="21"/>
                      <w:szCs w:val="21"/>
                      <w:lang w:bidi="ar"/>
                    </w:rPr>
                    <w:t>暂存在危废暂存间，由有资质单位处理</w:t>
                  </w:r>
                </w:p>
              </w:tc>
            </w:tr>
            <w:tr w14:paraId="35C7B3B5">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18221F74">
                  <w:pPr>
                    <w:jc w:val="center"/>
                    <w:outlineLvl w:val="0"/>
                    <w:rPr>
                      <w:sz w:val="21"/>
                      <w:szCs w:val="21"/>
                    </w:rPr>
                  </w:pPr>
                  <w:r>
                    <w:rPr>
                      <w:rFonts w:hint="eastAsia"/>
                      <w:color w:val="000000" w:themeColor="text1"/>
                      <w:sz w:val="21"/>
                      <w:szCs w:val="21"/>
                      <w:lang w:val="en-US" w:eastAsia="zh-CN"/>
                      <w14:textFill>
                        <w14:solidFill>
                          <w14:schemeClr w14:val="tx1"/>
                        </w14:solidFill>
                      </w14:textFill>
                    </w:rPr>
                    <w:t>废清洗液</w:t>
                  </w:r>
                </w:p>
              </w:tc>
              <w:tc>
                <w:tcPr>
                  <w:tcW w:w="1132" w:type="dxa"/>
                  <w:tcBorders>
                    <w:top w:val="single" w:color="auto" w:sz="4" w:space="0"/>
                    <w:left w:val="single" w:color="auto" w:sz="4" w:space="0"/>
                    <w:bottom w:val="single" w:color="auto" w:sz="4" w:space="0"/>
                    <w:right w:val="single" w:color="auto" w:sz="4" w:space="0"/>
                  </w:tcBorders>
                  <w:vAlign w:val="center"/>
                </w:tcPr>
                <w:p w14:paraId="0BD8ECF6">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17</w:t>
                  </w:r>
                </w:p>
              </w:tc>
              <w:tc>
                <w:tcPr>
                  <w:tcW w:w="1385" w:type="dxa"/>
                  <w:tcBorders>
                    <w:top w:val="single" w:color="auto" w:sz="4" w:space="0"/>
                    <w:left w:val="single" w:color="auto" w:sz="4" w:space="0"/>
                    <w:bottom w:val="single" w:color="auto" w:sz="4" w:space="0"/>
                    <w:right w:val="single" w:color="auto" w:sz="4" w:space="0"/>
                  </w:tcBorders>
                  <w:vAlign w:val="center"/>
                </w:tcPr>
                <w:p w14:paraId="20DE22C3">
                  <w:pPr>
                    <w:jc w:val="center"/>
                    <w:rPr>
                      <w:sz w:val="21"/>
                      <w:szCs w:val="21"/>
                    </w:rPr>
                  </w:pPr>
                  <w:r>
                    <w:rPr>
                      <w:rFonts w:hint="eastAsia"/>
                      <w:sz w:val="21"/>
                      <w:szCs w:val="21"/>
                      <w:highlight w:val="none"/>
                      <w:lang w:val="en-US" w:eastAsia="zh-CN"/>
                    </w:rPr>
                    <w:t>336</w:t>
                  </w:r>
                  <w:r>
                    <w:rPr>
                      <w:rFonts w:hint="eastAsia"/>
                      <w:sz w:val="21"/>
                      <w:szCs w:val="21"/>
                      <w:highlight w:val="none"/>
                    </w:rPr>
                    <w:t>-0</w:t>
                  </w:r>
                  <w:r>
                    <w:rPr>
                      <w:rFonts w:hint="eastAsia"/>
                      <w:sz w:val="21"/>
                      <w:szCs w:val="21"/>
                      <w:highlight w:val="none"/>
                      <w:lang w:val="en-US" w:eastAsia="zh-CN"/>
                    </w:rPr>
                    <w:t>64</w:t>
                  </w:r>
                  <w:r>
                    <w:rPr>
                      <w:rFonts w:hint="eastAsia"/>
                      <w:sz w:val="21"/>
                      <w:szCs w:val="21"/>
                      <w:highlight w:val="none"/>
                    </w:rPr>
                    <w:t>-</w:t>
                  </w:r>
                  <w:r>
                    <w:rPr>
                      <w:rFonts w:hint="eastAsia"/>
                      <w:sz w:val="21"/>
                      <w:szCs w:val="21"/>
                      <w:highlight w:val="none"/>
                      <w:lang w:val="en-US" w:eastAsia="zh-CN"/>
                    </w:rPr>
                    <w:t>17</w:t>
                  </w:r>
                </w:p>
              </w:tc>
              <w:tc>
                <w:tcPr>
                  <w:tcW w:w="1033" w:type="dxa"/>
                  <w:tcBorders>
                    <w:top w:val="single" w:color="auto" w:sz="4" w:space="0"/>
                    <w:left w:val="single" w:color="auto" w:sz="4" w:space="0"/>
                    <w:bottom w:val="single" w:color="auto" w:sz="4" w:space="0"/>
                    <w:right w:val="single" w:color="auto" w:sz="4" w:space="0"/>
                  </w:tcBorders>
                  <w:vAlign w:val="center"/>
                </w:tcPr>
                <w:p w14:paraId="25B5C149">
                  <w:pPr>
                    <w:jc w:val="center"/>
                    <w:rPr>
                      <w:sz w:val="21"/>
                      <w:szCs w:val="21"/>
                      <w:lang w:bidi="ar"/>
                    </w:rPr>
                  </w:pPr>
                  <w:r>
                    <w:rPr>
                      <w:rFonts w:hint="eastAsia"/>
                      <w:sz w:val="21"/>
                      <w:szCs w:val="21"/>
                      <w:lang w:val="en-US" w:eastAsia="zh-CN" w:bidi="ar"/>
                    </w:rPr>
                    <w:t>0.9</w:t>
                  </w:r>
                </w:p>
              </w:tc>
              <w:tc>
                <w:tcPr>
                  <w:tcW w:w="714" w:type="dxa"/>
                  <w:tcBorders>
                    <w:top w:val="single" w:color="auto" w:sz="4" w:space="0"/>
                    <w:left w:val="single" w:color="auto" w:sz="4" w:space="0"/>
                    <w:bottom w:val="single" w:color="auto" w:sz="4" w:space="0"/>
                    <w:right w:val="single" w:color="auto" w:sz="4" w:space="0"/>
                  </w:tcBorders>
                  <w:vAlign w:val="center"/>
                </w:tcPr>
                <w:p w14:paraId="78A6DF3C">
                  <w:pPr>
                    <w:jc w:val="center"/>
                    <w:rPr>
                      <w:sz w:val="21"/>
                      <w:szCs w:val="21"/>
                      <w:lang w:bidi="ar"/>
                    </w:rPr>
                  </w:pPr>
                  <w:r>
                    <w:rPr>
                      <w:rFonts w:hint="eastAsia"/>
                      <w:sz w:val="21"/>
                      <w:szCs w:val="21"/>
                      <w:lang w:bidi="ar"/>
                    </w:rPr>
                    <w:t>液</w:t>
                  </w:r>
                  <w:r>
                    <w:rPr>
                      <w:sz w:val="21"/>
                      <w:szCs w:val="21"/>
                      <w:lang w:bidi="ar"/>
                    </w:rPr>
                    <w:t>态</w:t>
                  </w:r>
                </w:p>
              </w:tc>
              <w:tc>
                <w:tcPr>
                  <w:tcW w:w="911" w:type="dxa"/>
                  <w:tcBorders>
                    <w:top w:val="single" w:color="auto" w:sz="4" w:space="0"/>
                    <w:left w:val="single" w:color="auto" w:sz="4" w:space="0"/>
                    <w:bottom w:val="single" w:color="auto" w:sz="4" w:space="0"/>
                    <w:right w:val="single" w:color="auto" w:sz="4" w:space="0"/>
                  </w:tcBorders>
                  <w:vAlign w:val="center"/>
                </w:tcPr>
                <w:p w14:paraId="217FCD1A">
                  <w:pPr>
                    <w:jc w:val="center"/>
                    <w:rPr>
                      <w:sz w:val="21"/>
                      <w:szCs w:val="21"/>
                    </w:rPr>
                  </w:pPr>
                  <w:r>
                    <w:rPr>
                      <w:rFonts w:hint="eastAsia"/>
                      <w:sz w:val="21"/>
                      <w:szCs w:val="21"/>
                      <w:lang w:val="en-US" w:eastAsia="zh-CN"/>
                    </w:rPr>
                    <w:t>6</w:t>
                  </w:r>
                  <w:r>
                    <w:rPr>
                      <w:rFonts w:hint="eastAsia"/>
                      <w:sz w:val="21"/>
                      <w:szCs w:val="21"/>
                    </w:rPr>
                    <w:t>个月</w:t>
                  </w:r>
                </w:p>
              </w:tc>
              <w:tc>
                <w:tcPr>
                  <w:tcW w:w="687" w:type="dxa"/>
                  <w:tcBorders>
                    <w:top w:val="single" w:color="auto" w:sz="4" w:space="0"/>
                    <w:left w:val="nil"/>
                    <w:bottom w:val="single" w:color="auto" w:sz="4" w:space="0"/>
                    <w:right w:val="single" w:color="auto" w:sz="4" w:space="0"/>
                  </w:tcBorders>
                  <w:vAlign w:val="center"/>
                </w:tcPr>
                <w:p w14:paraId="59791DC8">
                  <w:pPr>
                    <w:jc w:val="center"/>
                    <w:outlineLvl w:val="0"/>
                    <w:rPr>
                      <w:rFonts w:hint="default" w:eastAsia="宋体"/>
                      <w:sz w:val="21"/>
                      <w:szCs w:val="21"/>
                      <w:lang w:val="en-US" w:eastAsia="zh-CN" w:bidi="ar"/>
                    </w:rPr>
                  </w:pPr>
                  <w:r>
                    <w:rPr>
                      <w:rFonts w:hint="eastAsia"/>
                      <w:sz w:val="21"/>
                      <w:szCs w:val="21"/>
                      <w:lang w:val="en-US" w:eastAsia="zh-CN" w:bidi="ar"/>
                    </w:rPr>
                    <w:t>T/C</w:t>
                  </w:r>
                </w:p>
              </w:tc>
              <w:tc>
                <w:tcPr>
                  <w:tcW w:w="1002" w:type="dxa"/>
                  <w:vMerge w:val="continue"/>
                  <w:tcBorders>
                    <w:left w:val="nil"/>
                    <w:right w:val="single" w:color="auto" w:sz="4" w:space="0"/>
                  </w:tcBorders>
                  <w:vAlign w:val="center"/>
                </w:tcPr>
                <w:p w14:paraId="3025CE2F">
                  <w:pPr>
                    <w:jc w:val="center"/>
                    <w:outlineLvl w:val="0"/>
                    <w:rPr>
                      <w:sz w:val="21"/>
                      <w:szCs w:val="21"/>
                      <w:lang w:bidi="ar"/>
                    </w:rPr>
                  </w:pPr>
                </w:p>
              </w:tc>
            </w:tr>
            <w:tr w14:paraId="18A9EF4E">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19F74B3A">
                  <w:pPr>
                    <w:jc w:val="center"/>
                    <w:outlineLvl w:val="0"/>
                    <w:rPr>
                      <w:rFonts w:hint="eastAsia" w:eastAsia="宋体"/>
                      <w:sz w:val="21"/>
                      <w:szCs w:val="21"/>
                      <w:lang w:val="en-US" w:eastAsia="zh-CN"/>
                    </w:rPr>
                  </w:pPr>
                  <w:r>
                    <w:rPr>
                      <w:rFonts w:hint="eastAsia"/>
                      <w:color w:val="000000" w:themeColor="text1"/>
                      <w:sz w:val="21"/>
                      <w:szCs w:val="21"/>
                      <w:lang w:val="en-US" w:eastAsia="zh-CN"/>
                      <w14:textFill>
                        <w14:solidFill>
                          <w14:schemeClr w14:val="tx1"/>
                        </w14:solidFill>
                      </w14:textFill>
                    </w:rPr>
                    <w:t>废包装桶</w:t>
                  </w:r>
                </w:p>
              </w:tc>
              <w:tc>
                <w:tcPr>
                  <w:tcW w:w="1132" w:type="dxa"/>
                  <w:tcBorders>
                    <w:top w:val="single" w:color="auto" w:sz="4" w:space="0"/>
                    <w:left w:val="single" w:color="auto" w:sz="4" w:space="0"/>
                    <w:bottom w:val="single" w:color="auto" w:sz="4" w:space="0"/>
                    <w:right w:val="single" w:color="auto" w:sz="4" w:space="0"/>
                  </w:tcBorders>
                  <w:vAlign w:val="center"/>
                </w:tcPr>
                <w:p w14:paraId="76412E40">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49</w:t>
                  </w:r>
                </w:p>
              </w:tc>
              <w:tc>
                <w:tcPr>
                  <w:tcW w:w="1385" w:type="dxa"/>
                  <w:tcBorders>
                    <w:top w:val="single" w:color="auto" w:sz="4" w:space="0"/>
                    <w:left w:val="single" w:color="auto" w:sz="4" w:space="0"/>
                    <w:bottom w:val="single" w:color="auto" w:sz="4" w:space="0"/>
                    <w:right w:val="single" w:color="auto" w:sz="4" w:space="0"/>
                  </w:tcBorders>
                  <w:vAlign w:val="center"/>
                </w:tcPr>
                <w:p w14:paraId="1008ADE1">
                  <w:pPr>
                    <w:jc w:val="center"/>
                    <w:rPr>
                      <w:sz w:val="21"/>
                      <w:szCs w:val="21"/>
                    </w:rPr>
                  </w:pPr>
                  <w:r>
                    <w:rPr>
                      <w:rFonts w:hint="eastAsia"/>
                      <w:sz w:val="21"/>
                      <w:szCs w:val="21"/>
                    </w:rPr>
                    <w:t>900-041-49</w:t>
                  </w:r>
                </w:p>
              </w:tc>
              <w:tc>
                <w:tcPr>
                  <w:tcW w:w="1033" w:type="dxa"/>
                  <w:tcBorders>
                    <w:top w:val="single" w:color="auto" w:sz="4" w:space="0"/>
                    <w:left w:val="single" w:color="auto" w:sz="4" w:space="0"/>
                    <w:bottom w:val="single" w:color="auto" w:sz="4" w:space="0"/>
                    <w:right w:val="single" w:color="auto" w:sz="4" w:space="0"/>
                  </w:tcBorders>
                  <w:vAlign w:val="center"/>
                </w:tcPr>
                <w:p w14:paraId="1FA2035F">
                  <w:pPr>
                    <w:jc w:val="center"/>
                    <w:rPr>
                      <w:sz w:val="21"/>
                      <w:szCs w:val="21"/>
                      <w:lang w:bidi="ar"/>
                    </w:rPr>
                  </w:pPr>
                  <w:r>
                    <w:rPr>
                      <w:rFonts w:hint="eastAsia"/>
                      <w:sz w:val="21"/>
                      <w:szCs w:val="21"/>
                      <w:lang w:val="en-US" w:eastAsia="zh-CN" w:bidi="ar"/>
                    </w:rPr>
                    <w:t>0.02</w:t>
                  </w:r>
                </w:p>
              </w:tc>
              <w:tc>
                <w:tcPr>
                  <w:tcW w:w="714" w:type="dxa"/>
                  <w:tcBorders>
                    <w:top w:val="single" w:color="auto" w:sz="4" w:space="0"/>
                    <w:left w:val="single" w:color="auto" w:sz="4" w:space="0"/>
                    <w:bottom w:val="single" w:color="auto" w:sz="4" w:space="0"/>
                    <w:right w:val="single" w:color="auto" w:sz="4" w:space="0"/>
                  </w:tcBorders>
                  <w:vAlign w:val="center"/>
                </w:tcPr>
                <w:p w14:paraId="1920AA8A">
                  <w:pPr>
                    <w:jc w:val="center"/>
                    <w:rPr>
                      <w:sz w:val="21"/>
                      <w:szCs w:val="21"/>
                      <w:lang w:bidi="ar"/>
                    </w:rPr>
                  </w:pPr>
                  <w:r>
                    <w:rPr>
                      <w:sz w:val="21"/>
                      <w:szCs w:val="21"/>
                      <w:lang w:bidi="ar"/>
                    </w:rPr>
                    <w:t>固态</w:t>
                  </w:r>
                </w:p>
              </w:tc>
              <w:tc>
                <w:tcPr>
                  <w:tcW w:w="911" w:type="dxa"/>
                  <w:tcBorders>
                    <w:top w:val="single" w:color="auto" w:sz="4" w:space="0"/>
                    <w:left w:val="single" w:color="auto" w:sz="4" w:space="0"/>
                    <w:bottom w:val="single" w:color="auto" w:sz="4" w:space="0"/>
                    <w:right w:val="single" w:color="auto" w:sz="4" w:space="0"/>
                  </w:tcBorders>
                  <w:vAlign w:val="center"/>
                </w:tcPr>
                <w:p w14:paraId="2852E48F">
                  <w:pPr>
                    <w:jc w:val="center"/>
                    <w:rPr>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74F6475D">
                  <w:pPr>
                    <w:jc w:val="center"/>
                    <w:outlineLvl w:val="0"/>
                    <w:rPr>
                      <w:sz w:val="21"/>
                      <w:szCs w:val="21"/>
                      <w:lang w:bidi="ar"/>
                    </w:rPr>
                  </w:pPr>
                  <w:r>
                    <w:rPr>
                      <w:rFonts w:hint="eastAsia"/>
                      <w:sz w:val="21"/>
                      <w:szCs w:val="21"/>
                      <w:lang w:bidi="ar"/>
                    </w:rPr>
                    <w:t>T/In</w:t>
                  </w:r>
                </w:p>
              </w:tc>
              <w:tc>
                <w:tcPr>
                  <w:tcW w:w="1002" w:type="dxa"/>
                  <w:vMerge w:val="continue"/>
                  <w:tcBorders>
                    <w:left w:val="nil"/>
                    <w:right w:val="single" w:color="auto" w:sz="4" w:space="0"/>
                  </w:tcBorders>
                  <w:vAlign w:val="center"/>
                </w:tcPr>
                <w:p w14:paraId="7A274E5B">
                  <w:pPr>
                    <w:jc w:val="center"/>
                    <w:outlineLvl w:val="0"/>
                    <w:rPr>
                      <w:sz w:val="21"/>
                      <w:szCs w:val="21"/>
                      <w:lang w:bidi="ar"/>
                    </w:rPr>
                  </w:pPr>
                </w:p>
              </w:tc>
            </w:tr>
            <w:tr w14:paraId="56F2EC3F">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6F0D27BA">
                  <w:pPr>
                    <w:jc w:val="center"/>
                    <w:outlineLvl w:val="0"/>
                    <w:rPr>
                      <w:sz w:val="21"/>
                      <w:szCs w:val="21"/>
                    </w:rPr>
                  </w:pPr>
                  <w:r>
                    <w:rPr>
                      <w:rFonts w:hint="eastAsia"/>
                      <w:color w:val="000000" w:themeColor="text1"/>
                      <w:sz w:val="21"/>
                      <w:szCs w:val="21"/>
                      <w:lang w:val="en-US" w:eastAsia="zh-CN"/>
                      <w14:textFill>
                        <w14:solidFill>
                          <w14:schemeClr w14:val="tx1"/>
                        </w14:solidFill>
                      </w14:textFill>
                    </w:rPr>
                    <w:t>废胶及包装物</w:t>
                  </w:r>
                </w:p>
              </w:tc>
              <w:tc>
                <w:tcPr>
                  <w:tcW w:w="1132" w:type="dxa"/>
                  <w:tcBorders>
                    <w:top w:val="single" w:color="auto" w:sz="4" w:space="0"/>
                    <w:left w:val="single" w:color="auto" w:sz="4" w:space="0"/>
                    <w:bottom w:val="single" w:color="auto" w:sz="4" w:space="0"/>
                    <w:right w:val="single" w:color="auto" w:sz="4" w:space="0"/>
                  </w:tcBorders>
                  <w:vAlign w:val="center"/>
                </w:tcPr>
                <w:p w14:paraId="7EFABF09">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49</w:t>
                  </w:r>
                </w:p>
              </w:tc>
              <w:tc>
                <w:tcPr>
                  <w:tcW w:w="1385" w:type="dxa"/>
                  <w:tcBorders>
                    <w:top w:val="single" w:color="auto" w:sz="4" w:space="0"/>
                    <w:left w:val="single" w:color="auto" w:sz="4" w:space="0"/>
                    <w:bottom w:val="single" w:color="auto" w:sz="4" w:space="0"/>
                    <w:right w:val="single" w:color="auto" w:sz="4" w:space="0"/>
                  </w:tcBorders>
                  <w:vAlign w:val="center"/>
                </w:tcPr>
                <w:p w14:paraId="29B04481">
                  <w:pPr>
                    <w:jc w:val="center"/>
                    <w:rPr>
                      <w:sz w:val="21"/>
                      <w:szCs w:val="21"/>
                    </w:rPr>
                  </w:pPr>
                  <w:r>
                    <w:rPr>
                      <w:rFonts w:hint="eastAsia"/>
                      <w:sz w:val="21"/>
                      <w:szCs w:val="21"/>
                    </w:rPr>
                    <w:t>900-041-49</w:t>
                  </w:r>
                </w:p>
              </w:tc>
              <w:tc>
                <w:tcPr>
                  <w:tcW w:w="1033" w:type="dxa"/>
                  <w:tcBorders>
                    <w:top w:val="single" w:color="auto" w:sz="4" w:space="0"/>
                    <w:left w:val="single" w:color="auto" w:sz="4" w:space="0"/>
                    <w:bottom w:val="single" w:color="auto" w:sz="4" w:space="0"/>
                    <w:right w:val="single" w:color="auto" w:sz="4" w:space="0"/>
                  </w:tcBorders>
                  <w:vAlign w:val="center"/>
                </w:tcPr>
                <w:p w14:paraId="76ED5C87">
                  <w:pPr>
                    <w:jc w:val="center"/>
                    <w:rPr>
                      <w:sz w:val="21"/>
                      <w:szCs w:val="21"/>
                      <w:lang w:bidi="ar"/>
                    </w:rPr>
                  </w:pPr>
                  <w:r>
                    <w:rPr>
                      <w:sz w:val="21"/>
                      <w:szCs w:val="21"/>
                      <w:lang w:bidi="ar"/>
                    </w:rPr>
                    <w:t>0.</w:t>
                  </w:r>
                  <w:r>
                    <w:rPr>
                      <w:rFonts w:hint="eastAsia"/>
                      <w:sz w:val="21"/>
                      <w:szCs w:val="21"/>
                      <w:lang w:val="en-US" w:eastAsia="zh-CN" w:bidi="ar"/>
                    </w:rPr>
                    <w:t>01</w:t>
                  </w:r>
                </w:p>
              </w:tc>
              <w:tc>
                <w:tcPr>
                  <w:tcW w:w="714" w:type="dxa"/>
                  <w:tcBorders>
                    <w:top w:val="single" w:color="auto" w:sz="4" w:space="0"/>
                    <w:left w:val="single" w:color="auto" w:sz="4" w:space="0"/>
                    <w:bottom w:val="single" w:color="auto" w:sz="4" w:space="0"/>
                    <w:right w:val="single" w:color="auto" w:sz="4" w:space="0"/>
                  </w:tcBorders>
                  <w:vAlign w:val="center"/>
                </w:tcPr>
                <w:p w14:paraId="78C9F835">
                  <w:pPr>
                    <w:jc w:val="center"/>
                    <w:rPr>
                      <w:sz w:val="21"/>
                      <w:szCs w:val="21"/>
                      <w:lang w:bidi="ar"/>
                    </w:rPr>
                  </w:pPr>
                  <w:r>
                    <w:rPr>
                      <w:sz w:val="21"/>
                      <w:szCs w:val="21"/>
                      <w:lang w:bidi="ar"/>
                    </w:rPr>
                    <w:t>固态</w:t>
                  </w:r>
                </w:p>
              </w:tc>
              <w:tc>
                <w:tcPr>
                  <w:tcW w:w="911" w:type="dxa"/>
                  <w:tcBorders>
                    <w:top w:val="single" w:color="auto" w:sz="4" w:space="0"/>
                    <w:left w:val="single" w:color="auto" w:sz="4" w:space="0"/>
                    <w:bottom w:val="single" w:color="auto" w:sz="4" w:space="0"/>
                    <w:right w:val="single" w:color="auto" w:sz="4" w:space="0"/>
                  </w:tcBorders>
                  <w:vAlign w:val="center"/>
                </w:tcPr>
                <w:p w14:paraId="2114378F">
                  <w:pPr>
                    <w:jc w:val="center"/>
                    <w:rPr>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7CE6CC99">
                  <w:pPr>
                    <w:jc w:val="center"/>
                    <w:outlineLvl w:val="0"/>
                    <w:rPr>
                      <w:sz w:val="21"/>
                      <w:szCs w:val="21"/>
                      <w:lang w:bidi="ar"/>
                    </w:rPr>
                  </w:pPr>
                  <w:r>
                    <w:rPr>
                      <w:rFonts w:hint="eastAsia"/>
                      <w:sz w:val="21"/>
                      <w:szCs w:val="21"/>
                      <w:lang w:bidi="ar"/>
                    </w:rPr>
                    <w:t>T/In</w:t>
                  </w:r>
                </w:p>
              </w:tc>
              <w:tc>
                <w:tcPr>
                  <w:tcW w:w="1002" w:type="dxa"/>
                  <w:vMerge w:val="continue"/>
                  <w:tcBorders>
                    <w:left w:val="nil"/>
                    <w:right w:val="single" w:color="auto" w:sz="4" w:space="0"/>
                  </w:tcBorders>
                  <w:vAlign w:val="center"/>
                </w:tcPr>
                <w:p w14:paraId="6FFA0E91">
                  <w:pPr>
                    <w:jc w:val="center"/>
                    <w:outlineLvl w:val="0"/>
                    <w:rPr>
                      <w:sz w:val="21"/>
                      <w:szCs w:val="21"/>
                      <w:lang w:bidi="ar"/>
                    </w:rPr>
                  </w:pPr>
                </w:p>
              </w:tc>
            </w:tr>
            <w:tr w14:paraId="11F1045A">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6B6A094F">
                  <w:pPr>
                    <w:jc w:val="center"/>
                    <w:outlineLvl w:val="0"/>
                    <w:rPr>
                      <w:sz w:val="21"/>
                      <w:szCs w:val="21"/>
                    </w:rPr>
                  </w:pPr>
                  <w:r>
                    <w:rPr>
                      <w:rFonts w:hint="eastAsia"/>
                      <w:sz w:val="21"/>
                      <w:szCs w:val="21"/>
                    </w:rPr>
                    <w:t>废活性炭</w:t>
                  </w:r>
                </w:p>
              </w:tc>
              <w:tc>
                <w:tcPr>
                  <w:tcW w:w="1132" w:type="dxa"/>
                  <w:tcBorders>
                    <w:top w:val="single" w:color="auto" w:sz="4" w:space="0"/>
                    <w:left w:val="single" w:color="auto" w:sz="4" w:space="0"/>
                    <w:bottom w:val="single" w:color="auto" w:sz="4" w:space="0"/>
                    <w:right w:val="single" w:color="auto" w:sz="4" w:space="0"/>
                  </w:tcBorders>
                  <w:vAlign w:val="center"/>
                </w:tcPr>
                <w:p w14:paraId="4EA23784">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49</w:t>
                  </w:r>
                </w:p>
              </w:tc>
              <w:tc>
                <w:tcPr>
                  <w:tcW w:w="1385" w:type="dxa"/>
                  <w:tcBorders>
                    <w:top w:val="single" w:color="auto" w:sz="4" w:space="0"/>
                    <w:left w:val="single" w:color="auto" w:sz="4" w:space="0"/>
                    <w:bottom w:val="single" w:color="auto" w:sz="4" w:space="0"/>
                    <w:right w:val="single" w:color="auto" w:sz="4" w:space="0"/>
                  </w:tcBorders>
                  <w:vAlign w:val="center"/>
                </w:tcPr>
                <w:p w14:paraId="45EFF47F">
                  <w:pPr>
                    <w:jc w:val="center"/>
                    <w:rPr>
                      <w:sz w:val="21"/>
                      <w:szCs w:val="21"/>
                    </w:rPr>
                  </w:pPr>
                  <w:r>
                    <w:rPr>
                      <w:bCs/>
                      <w:sz w:val="21"/>
                      <w:szCs w:val="21"/>
                    </w:rPr>
                    <w:t>900-0</w:t>
                  </w:r>
                  <w:r>
                    <w:rPr>
                      <w:rFonts w:hint="eastAsia"/>
                      <w:bCs/>
                      <w:sz w:val="21"/>
                      <w:szCs w:val="21"/>
                    </w:rPr>
                    <w:t>39</w:t>
                  </w:r>
                  <w:r>
                    <w:rPr>
                      <w:bCs/>
                      <w:sz w:val="21"/>
                      <w:szCs w:val="21"/>
                    </w:rPr>
                    <w:t>-49</w:t>
                  </w:r>
                </w:p>
              </w:tc>
              <w:tc>
                <w:tcPr>
                  <w:tcW w:w="1033" w:type="dxa"/>
                  <w:tcBorders>
                    <w:top w:val="single" w:color="auto" w:sz="4" w:space="0"/>
                    <w:left w:val="single" w:color="auto" w:sz="4" w:space="0"/>
                    <w:bottom w:val="single" w:color="auto" w:sz="4" w:space="0"/>
                    <w:right w:val="single" w:color="auto" w:sz="4" w:space="0"/>
                  </w:tcBorders>
                  <w:vAlign w:val="center"/>
                </w:tcPr>
                <w:p w14:paraId="34CAA556">
                  <w:pPr>
                    <w:jc w:val="center"/>
                    <w:rPr>
                      <w:sz w:val="21"/>
                      <w:szCs w:val="21"/>
                      <w:lang w:bidi="ar"/>
                    </w:rPr>
                  </w:pPr>
                  <w:r>
                    <w:rPr>
                      <w:rFonts w:hint="eastAsia"/>
                      <w:sz w:val="21"/>
                      <w:szCs w:val="21"/>
                      <w:lang w:val="en-US" w:eastAsia="zh-CN" w:bidi="ar"/>
                    </w:rPr>
                    <w:t>5.031</w:t>
                  </w:r>
                </w:p>
              </w:tc>
              <w:tc>
                <w:tcPr>
                  <w:tcW w:w="714" w:type="dxa"/>
                  <w:tcBorders>
                    <w:top w:val="single" w:color="auto" w:sz="4" w:space="0"/>
                    <w:left w:val="single" w:color="auto" w:sz="4" w:space="0"/>
                    <w:bottom w:val="single" w:color="auto" w:sz="4" w:space="0"/>
                    <w:right w:val="single" w:color="auto" w:sz="4" w:space="0"/>
                  </w:tcBorders>
                  <w:vAlign w:val="center"/>
                </w:tcPr>
                <w:p w14:paraId="54300D2D">
                  <w:pPr>
                    <w:jc w:val="center"/>
                    <w:rPr>
                      <w:sz w:val="21"/>
                      <w:szCs w:val="21"/>
                      <w:lang w:bidi="ar"/>
                    </w:rPr>
                  </w:pPr>
                  <w:r>
                    <w:rPr>
                      <w:sz w:val="21"/>
                      <w:szCs w:val="21"/>
                      <w:lang w:bidi="ar"/>
                    </w:rPr>
                    <w:t>固态</w:t>
                  </w:r>
                </w:p>
              </w:tc>
              <w:tc>
                <w:tcPr>
                  <w:tcW w:w="911" w:type="dxa"/>
                  <w:tcBorders>
                    <w:top w:val="single" w:color="auto" w:sz="4" w:space="0"/>
                    <w:left w:val="single" w:color="auto" w:sz="4" w:space="0"/>
                    <w:bottom w:val="single" w:color="auto" w:sz="4" w:space="0"/>
                    <w:right w:val="single" w:color="auto" w:sz="4" w:space="0"/>
                  </w:tcBorders>
                  <w:vAlign w:val="center"/>
                </w:tcPr>
                <w:p w14:paraId="09CB7141">
                  <w:pPr>
                    <w:jc w:val="center"/>
                    <w:rPr>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5ECFDB6C">
                  <w:pPr>
                    <w:jc w:val="center"/>
                    <w:outlineLvl w:val="0"/>
                    <w:rPr>
                      <w:rFonts w:hint="eastAsia" w:eastAsia="宋体"/>
                      <w:sz w:val="21"/>
                      <w:szCs w:val="21"/>
                      <w:lang w:val="en-US" w:eastAsia="zh-CN" w:bidi="ar"/>
                    </w:rPr>
                  </w:pPr>
                  <w:r>
                    <w:rPr>
                      <w:rFonts w:hint="eastAsia"/>
                      <w:sz w:val="21"/>
                      <w:szCs w:val="21"/>
                      <w:lang w:val="en-US" w:eastAsia="zh-CN" w:bidi="ar"/>
                    </w:rPr>
                    <w:t>T</w:t>
                  </w:r>
                </w:p>
              </w:tc>
              <w:tc>
                <w:tcPr>
                  <w:tcW w:w="1002" w:type="dxa"/>
                  <w:vMerge w:val="continue"/>
                  <w:tcBorders>
                    <w:left w:val="nil"/>
                    <w:right w:val="single" w:color="auto" w:sz="4" w:space="0"/>
                  </w:tcBorders>
                  <w:vAlign w:val="center"/>
                </w:tcPr>
                <w:p w14:paraId="45F4D2CF">
                  <w:pPr>
                    <w:jc w:val="center"/>
                    <w:outlineLvl w:val="0"/>
                    <w:rPr>
                      <w:sz w:val="21"/>
                      <w:szCs w:val="21"/>
                      <w:lang w:bidi="ar"/>
                    </w:rPr>
                  </w:pPr>
                </w:p>
              </w:tc>
            </w:tr>
            <w:tr w14:paraId="77F9D9D2">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251BDEC5">
                  <w:pPr>
                    <w:jc w:val="center"/>
                    <w:outlineLvl w:val="0"/>
                    <w:rPr>
                      <w:sz w:val="21"/>
                      <w:szCs w:val="21"/>
                    </w:rPr>
                  </w:pPr>
                  <w:r>
                    <w:rPr>
                      <w:rFonts w:hint="eastAsia"/>
                      <w:sz w:val="21"/>
                      <w:szCs w:val="21"/>
                    </w:rPr>
                    <w:t>废</w:t>
                  </w:r>
                  <w:r>
                    <w:rPr>
                      <w:rFonts w:hint="eastAsia"/>
                      <w:sz w:val="21"/>
                      <w:szCs w:val="21"/>
                      <w:lang w:val="en-US" w:eastAsia="zh-CN"/>
                    </w:rPr>
                    <w:t>切削</w:t>
                  </w:r>
                  <w:r>
                    <w:rPr>
                      <w:rFonts w:hint="eastAsia"/>
                      <w:sz w:val="21"/>
                      <w:szCs w:val="21"/>
                    </w:rPr>
                    <w:t>液</w:t>
                  </w:r>
                </w:p>
              </w:tc>
              <w:tc>
                <w:tcPr>
                  <w:tcW w:w="1132" w:type="dxa"/>
                  <w:tcBorders>
                    <w:top w:val="single" w:color="auto" w:sz="4" w:space="0"/>
                    <w:left w:val="single" w:color="auto" w:sz="4" w:space="0"/>
                    <w:bottom w:val="single" w:color="auto" w:sz="4" w:space="0"/>
                    <w:right w:val="single" w:color="auto" w:sz="4" w:space="0"/>
                  </w:tcBorders>
                  <w:vAlign w:val="center"/>
                </w:tcPr>
                <w:p w14:paraId="4F7F111F">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09</w:t>
                  </w:r>
                </w:p>
              </w:tc>
              <w:tc>
                <w:tcPr>
                  <w:tcW w:w="1385" w:type="dxa"/>
                  <w:tcBorders>
                    <w:top w:val="single" w:color="auto" w:sz="4" w:space="0"/>
                    <w:left w:val="single" w:color="auto" w:sz="4" w:space="0"/>
                    <w:bottom w:val="single" w:color="auto" w:sz="4" w:space="0"/>
                    <w:right w:val="single" w:color="auto" w:sz="4" w:space="0"/>
                  </w:tcBorders>
                  <w:vAlign w:val="center"/>
                </w:tcPr>
                <w:p w14:paraId="444A0A9D">
                  <w:pPr>
                    <w:jc w:val="center"/>
                    <w:rPr>
                      <w:bCs/>
                      <w:sz w:val="21"/>
                      <w:szCs w:val="21"/>
                    </w:rPr>
                  </w:pPr>
                  <w:r>
                    <w:rPr>
                      <w:rFonts w:hint="eastAsia"/>
                      <w:sz w:val="21"/>
                      <w:szCs w:val="21"/>
                    </w:rPr>
                    <w:t>900-006-09</w:t>
                  </w:r>
                </w:p>
              </w:tc>
              <w:tc>
                <w:tcPr>
                  <w:tcW w:w="1033" w:type="dxa"/>
                  <w:tcBorders>
                    <w:top w:val="single" w:color="auto" w:sz="4" w:space="0"/>
                    <w:left w:val="single" w:color="auto" w:sz="4" w:space="0"/>
                    <w:bottom w:val="single" w:color="auto" w:sz="4" w:space="0"/>
                    <w:right w:val="single" w:color="auto" w:sz="4" w:space="0"/>
                  </w:tcBorders>
                  <w:vAlign w:val="center"/>
                </w:tcPr>
                <w:p w14:paraId="7593F0CF">
                  <w:pPr>
                    <w:jc w:val="center"/>
                    <w:rPr>
                      <w:rFonts w:hint="eastAsia"/>
                      <w:sz w:val="21"/>
                      <w:szCs w:val="21"/>
                      <w:lang w:val="en-US" w:eastAsia="zh-CN" w:bidi="ar"/>
                    </w:rPr>
                  </w:pPr>
                  <w:r>
                    <w:rPr>
                      <w:rFonts w:hint="eastAsia"/>
                      <w:sz w:val="21"/>
                      <w:szCs w:val="21"/>
                      <w:lang w:val="en-US" w:eastAsia="zh-CN" w:bidi="ar"/>
                    </w:rPr>
                    <w:t>1.5</w:t>
                  </w:r>
                </w:p>
              </w:tc>
              <w:tc>
                <w:tcPr>
                  <w:tcW w:w="714" w:type="dxa"/>
                  <w:tcBorders>
                    <w:top w:val="single" w:color="auto" w:sz="4" w:space="0"/>
                    <w:left w:val="single" w:color="auto" w:sz="4" w:space="0"/>
                    <w:bottom w:val="single" w:color="auto" w:sz="4" w:space="0"/>
                    <w:right w:val="single" w:color="auto" w:sz="4" w:space="0"/>
                  </w:tcBorders>
                  <w:vAlign w:val="center"/>
                </w:tcPr>
                <w:p w14:paraId="39DAE4AB">
                  <w:pPr>
                    <w:jc w:val="center"/>
                    <w:rPr>
                      <w:sz w:val="21"/>
                      <w:szCs w:val="21"/>
                      <w:lang w:bidi="ar"/>
                    </w:rPr>
                  </w:pPr>
                  <w:r>
                    <w:rPr>
                      <w:rFonts w:hint="eastAsia"/>
                      <w:sz w:val="21"/>
                      <w:szCs w:val="21"/>
                      <w:lang w:bidi="ar"/>
                    </w:rPr>
                    <w:t>液</w:t>
                  </w:r>
                  <w:r>
                    <w:rPr>
                      <w:sz w:val="21"/>
                      <w:szCs w:val="21"/>
                      <w:lang w:bidi="ar"/>
                    </w:rPr>
                    <w:t>态</w:t>
                  </w:r>
                </w:p>
              </w:tc>
              <w:tc>
                <w:tcPr>
                  <w:tcW w:w="911" w:type="dxa"/>
                  <w:tcBorders>
                    <w:top w:val="single" w:color="auto" w:sz="4" w:space="0"/>
                    <w:left w:val="single" w:color="auto" w:sz="4" w:space="0"/>
                    <w:bottom w:val="single" w:color="auto" w:sz="4" w:space="0"/>
                    <w:right w:val="single" w:color="auto" w:sz="4" w:space="0"/>
                  </w:tcBorders>
                  <w:vAlign w:val="center"/>
                </w:tcPr>
                <w:p w14:paraId="63951E4A">
                  <w:pPr>
                    <w:jc w:val="center"/>
                    <w:rPr>
                      <w:rFonts w:hint="eastAsia"/>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0E371511">
                  <w:pPr>
                    <w:jc w:val="center"/>
                    <w:outlineLvl w:val="0"/>
                    <w:rPr>
                      <w:rFonts w:hint="eastAsia" w:eastAsia="宋体"/>
                      <w:sz w:val="21"/>
                      <w:szCs w:val="21"/>
                      <w:lang w:val="en-US" w:eastAsia="zh-CN" w:bidi="ar"/>
                    </w:rPr>
                  </w:pPr>
                  <w:r>
                    <w:rPr>
                      <w:rFonts w:hint="eastAsia"/>
                      <w:sz w:val="21"/>
                      <w:szCs w:val="21"/>
                      <w:lang w:val="en-US" w:eastAsia="zh-CN" w:bidi="ar"/>
                    </w:rPr>
                    <w:t>T</w:t>
                  </w:r>
                </w:p>
              </w:tc>
              <w:tc>
                <w:tcPr>
                  <w:tcW w:w="1002" w:type="dxa"/>
                  <w:vMerge w:val="continue"/>
                  <w:tcBorders>
                    <w:left w:val="nil"/>
                    <w:right w:val="single" w:color="auto" w:sz="4" w:space="0"/>
                  </w:tcBorders>
                  <w:vAlign w:val="center"/>
                </w:tcPr>
                <w:p w14:paraId="4E9DB532">
                  <w:pPr>
                    <w:jc w:val="center"/>
                    <w:outlineLvl w:val="0"/>
                    <w:rPr>
                      <w:sz w:val="21"/>
                      <w:szCs w:val="21"/>
                      <w:lang w:bidi="ar"/>
                    </w:rPr>
                  </w:pPr>
                </w:p>
              </w:tc>
            </w:tr>
            <w:tr w14:paraId="22C4CB60">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365C2EED">
                  <w:pPr>
                    <w:jc w:val="center"/>
                    <w:outlineLvl w:val="0"/>
                    <w:rPr>
                      <w:sz w:val="21"/>
                      <w:szCs w:val="21"/>
                    </w:rPr>
                  </w:pPr>
                  <w:r>
                    <w:rPr>
                      <w:rFonts w:hint="eastAsia"/>
                      <w:sz w:val="21"/>
                      <w:szCs w:val="21"/>
                    </w:rPr>
                    <w:t>废</w:t>
                  </w:r>
                  <w:r>
                    <w:rPr>
                      <w:rFonts w:hint="eastAsia"/>
                      <w:sz w:val="21"/>
                      <w:szCs w:val="21"/>
                      <w:lang w:val="en-US" w:eastAsia="zh-CN"/>
                    </w:rPr>
                    <w:t>切削</w:t>
                  </w:r>
                  <w:r>
                    <w:rPr>
                      <w:rFonts w:hint="eastAsia"/>
                      <w:sz w:val="21"/>
                      <w:szCs w:val="21"/>
                    </w:rPr>
                    <w:t>液</w:t>
                  </w:r>
                  <w:r>
                    <w:rPr>
                      <w:rFonts w:hint="eastAsia"/>
                      <w:sz w:val="21"/>
                      <w:szCs w:val="21"/>
                      <w:lang w:val="en-US" w:eastAsia="zh-CN"/>
                    </w:rPr>
                    <w:t>桶</w:t>
                  </w:r>
                </w:p>
              </w:tc>
              <w:tc>
                <w:tcPr>
                  <w:tcW w:w="1132" w:type="dxa"/>
                  <w:tcBorders>
                    <w:top w:val="single" w:color="auto" w:sz="4" w:space="0"/>
                    <w:left w:val="single" w:color="auto" w:sz="4" w:space="0"/>
                    <w:bottom w:val="single" w:color="auto" w:sz="4" w:space="0"/>
                    <w:right w:val="single" w:color="auto" w:sz="4" w:space="0"/>
                  </w:tcBorders>
                  <w:vAlign w:val="center"/>
                </w:tcPr>
                <w:p w14:paraId="052D4BFB">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49</w:t>
                  </w:r>
                </w:p>
              </w:tc>
              <w:tc>
                <w:tcPr>
                  <w:tcW w:w="1385" w:type="dxa"/>
                  <w:tcBorders>
                    <w:top w:val="single" w:color="auto" w:sz="4" w:space="0"/>
                    <w:left w:val="single" w:color="auto" w:sz="4" w:space="0"/>
                    <w:bottom w:val="single" w:color="auto" w:sz="4" w:space="0"/>
                    <w:right w:val="single" w:color="auto" w:sz="4" w:space="0"/>
                  </w:tcBorders>
                  <w:vAlign w:val="center"/>
                </w:tcPr>
                <w:p w14:paraId="47DD04DA">
                  <w:pPr>
                    <w:jc w:val="center"/>
                    <w:rPr>
                      <w:bCs/>
                      <w:sz w:val="21"/>
                      <w:szCs w:val="21"/>
                    </w:rPr>
                  </w:pPr>
                  <w:r>
                    <w:rPr>
                      <w:rFonts w:hint="eastAsia"/>
                      <w:sz w:val="21"/>
                      <w:szCs w:val="21"/>
                    </w:rPr>
                    <w:t>900-041-49</w:t>
                  </w:r>
                </w:p>
              </w:tc>
              <w:tc>
                <w:tcPr>
                  <w:tcW w:w="1033" w:type="dxa"/>
                  <w:tcBorders>
                    <w:top w:val="single" w:color="auto" w:sz="4" w:space="0"/>
                    <w:left w:val="single" w:color="auto" w:sz="4" w:space="0"/>
                    <w:bottom w:val="single" w:color="auto" w:sz="4" w:space="0"/>
                    <w:right w:val="single" w:color="auto" w:sz="4" w:space="0"/>
                  </w:tcBorders>
                  <w:vAlign w:val="center"/>
                </w:tcPr>
                <w:p w14:paraId="2063449A">
                  <w:pPr>
                    <w:jc w:val="center"/>
                    <w:rPr>
                      <w:rFonts w:hint="eastAsia"/>
                      <w:sz w:val="21"/>
                      <w:szCs w:val="21"/>
                      <w:lang w:val="en-US" w:eastAsia="zh-CN" w:bidi="ar"/>
                    </w:rPr>
                  </w:pPr>
                  <w:r>
                    <w:rPr>
                      <w:rFonts w:hint="eastAsia"/>
                      <w:sz w:val="21"/>
                      <w:szCs w:val="21"/>
                      <w:lang w:val="en-US" w:eastAsia="zh-CN" w:bidi="ar"/>
                    </w:rPr>
                    <w:t>0.02</w:t>
                  </w:r>
                </w:p>
              </w:tc>
              <w:tc>
                <w:tcPr>
                  <w:tcW w:w="714" w:type="dxa"/>
                  <w:tcBorders>
                    <w:top w:val="single" w:color="auto" w:sz="4" w:space="0"/>
                    <w:left w:val="single" w:color="auto" w:sz="4" w:space="0"/>
                    <w:bottom w:val="single" w:color="auto" w:sz="4" w:space="0"/>
                    <w:right w:val="single" w:color="auto" w:sz="4" w:space="0"/>
                  </w:tcBorders>
                  <w:vAlign w:val="center"/>
                </w:tcPr>
                <w:p w14:paraId="4B2D7E3D">
                  <w:pPr>
                    <w:jc w:val="center"/>
                    <w:rPr>
                      <w:sz w:val="21"/>
                      <w:szCs w:val="21"/>
                      <w:lang w:bidi="ar"/>
                    </w:rPr>
                  </w:pPr>
                  <w:r>
                    <w:rPr>
                      <w:sz w:val="21"/>
                      <w:szCs w:val="21"/>
                      <w:lang w:bidi="ar"/>
                    </w:rPr>
                    <w:t>固态</w:t>
                  </w:r>
                </w:p>
              </w:tc>
              <w:tc>
                <w:tcPr>
                  <w:tcW w:w="911" w:type="dxa"/>
                  <w:tcBorders>
                    <w:top w:val="single" w:color="auto" w:sz="4" w:space="0"/>
                    <w:left w:val="single" w:color="auto" w:sz="4" w:space="0"/>
                    <w:bottom w:val="single" w:color="auto" w:sz="4" w:space="0"/>
                    <w:right w:val="single" w:color="auto" w:sz="4" w:space="0"/>
                  </w:tcBorders>
                  <w:vAlign w:val="center"/>
                </w:tcPr>
                <w:p w14:paraId="68DD7EB6">
                  <w:pPr>
                    <w:jc w:val="center"/>
                    <w:rPr>
                      <w:rFonts w:hint="eastAsia"/>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464ED8DE">
                  <w:pPr>
                    <w:jc w:val="center"/>
                    <w:outlineLvl w:val="0"/>
                    <w:rPr>
                      <w:rFonts w:hint="eastAsia"/>
                      <w:sz w:val="21"/>
                      <w:szCs w:val="21"/>
                      <w:lang w:bidi="ar"/>
                    </w:rPr>
                  </w:pPr>
                  <w:r>
                    <w:rPr>
                      <w:rFonts w:hint="eastAsia"/>
                      <w:sz w:val="21"/>
                      <w:szCs w:val="21"/>
                      <w:lang w:bidi="ar"/>
                    </w:rPr>
                    <w:t>T/In</w:t>
                  </w:r>
                </w:p>
              </w:tc>
              <w:tc>
                <w:tcPr>
                  <w:tcW w:w="1002" w:type="dxa"/>
                  <w:vMerge w:val="continue"/>
                  <w:tcBorders>
                    <w:left w:val="nil"/>
                    <w:right w:val="single" w:color="auto" w:sz="4" w:space="0"/>
                  </w:tcBorders>
                  <w:vAlign w:val="center"/>
                </w:tcPr>
                <w:p w14:paraId="451C59C7">
                  <w:pPr>
                    <w:jc w:val="center"/>
                    <w:outlineLvl w:val="0"/>
                    <w:rPr>
                      <w:sz w:val="21"/>
                      <w:szCs w:val="21"/>
                      <w:lang w:bidi="ar"/>
                    </w:rPr>
                  </w:pPr>
                </w:p>
              </w:tc>
            </w:tr>
            <w:tr w14:paraId="1BFFCF71">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0970BA58">
                  <w:pPr>
                    <w:jc w:val="center"/>
                    <w:outlineLvl w:val="0"/>
                    <w:rPr>
                      <w:sz w:val="21"/>
                      <w:szCs w:val="21"/>
                    </w:rPr>
                  </w:pPr>
                  <w:r>
                    <w:rPr>
                      <w:rFonts w:hint="eastAsia"/>
                      <w:sz w:val="21"/>
                      <w:szCs w:val="21"/>
                      <w:lang w:val="en-US" w:eastAsia="zh-CN"/>
                    </w:rPr>
                    <w:t>废润滑油</w:t>
                  </w:r>
                </w:p>
              </w:tc>
              <w:tc>
                <w:tcPr>
                  <w:tcW w:w="1132" w:type="dxa"/>
                  <w:tcBorders>
                    <w:top w:val="single" w:color="auto" w:sz="4" w:space="0"/>
                    <w:left w:val="single" w:color="auto" w:sz="4" w:space="0"/>
                    <w:bottom w:val="single" w:color="auto" w:sz="4" w:space="0"/>
                    <w:right w:val="single" w:color="auto" w:sz="4" w:space="0"/>
                  </w:tcBorders>
                  <w:vAlign w:val="center"/>
                </w:tcPr>
                <w:p w14:paraId="0C7391E1">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08</w:t>
                  </w:r>
                </w:p>
              </w:tc>
              <w:tc>
                <w:tcPr>
                  <w:tcW w:w="1385" w:type="dxa"/>
                  <w:tcBorders>
                    <w:top w:val="single" w:color="auto" w:sz="4" w:space="0"/>
                    <w:left w:val="single" w:color="auto" w:sz="4" w:space="0"/>
                    <w:bottom w:val="single" w:color="auto" w:sz="4" w:space="0"/>
                    <w:right w:val="single" w:color="auto" w:sz="4" w:space="0"/>
                  </w:tcBorders>
                  <w:vAlign w:val="center"/>
                </w:tcPr>
                <w:p w14:paraId="5ED07E9C">
                  <w:pPr>
                    <w:jc w:val="center"/>
                    <w:rPr>
                      <w:bCs/>
                      <w:sz w:val="21"/>
                      <w:szCs w:val="21"/>
                    </w:rPr>
                  </w:pPr>
                  <w:r>
                    <w:rPr>
                      <w:rFonts w:hint="eastAsia"/>
                      <w:sz w:val="21"/>
                      <w:szCs w:val="21"/>
                    </w:rPr>
                    <w:t>900-214-08</w:t>
                  </w:r>
                </w:p>
              </w:tc>
              <w:tc>
                <w:tcPr>
                  <w:tcW w:w="1033" w:type="dxa"/>
                  <w:tcBorders>
                    <w:top w:val="single" w:color="auto" w:sz="4" w:space="0"/>
                    <w:left w:val="single" w:color="auto" w:sz="4" w:space="0"/>
                    <w:bottom w:val="single" w:color="auto" w:sz="4" w:space="0"/>
                    <w:right w:val="single" w:color="auto" w:sz="4" w:space="0"/>
                  </w:tcBorders>
                  <w:vAlign w:val="center"/>
                </w:tcPr>
                <w:p w14:paraId="2F5C03C3">
                  <w:pPr>
                    <w:jc w:val="center"/>
                    <w:rPr>
                      <w:rFonts w:hint="eastAsia"/>
                      <w:sz w:val="21"/>
                      <w:szCs w:val="21"/>
                      <w:lang w:val="en-US" w:eastAsia="zh-CN" w:bidi="ar"/>
                    </w:rPr>
                  </w:pPr>
                  <w:r>
                    <w:rPr>
                      <w:rFonts w:hint="eastAsia"/>
                      <w:sz w:val="21"/>
                      <w:szCs w:val="21"/>
                      <w:lang w:val="en-US" w:eastAsia="zh-CN" w:bidi="ar"/>
                    </w:rPr>
                    <w:t>0.01</w:t>
                  </w:r>
                </w:p>
              </w:tc>
              <w:tc>
                <w:tcPr>
                  <w:tcW w:w="714" w:type="dxa"/>
                  <w:tcBorders>
                    <w:top w:val="single" w:color="auto" w:sz="4" w:space="0"/>
                    <w:left w:val="single" w:color="auto" w:sz="4" w:space="0"/>
                    <w:bottom w:val="single" w:color="auto" w:sz="4" w:space="0"/>
                    <w:right w:val="single" w:color="auto" w:sz="4" w:space="0"/>
                  </w:tcBorders>
                  <w:vAlign w:val="center"/>
                </w:tcPr>
                <w:p w14:paraId="5C3392BA">
                  <w:pPr>
                    <w:jc w:val="center"/>
                    <w:rPr>
                      <w:sz w:val="21"/>
                      <w:szCs w:val="21"/>
                      <w:lang w:bidi="ar"/>
                    </w:rPr>
                  </w:pPr>
                  <w:r>
                    <w:rPr>
                      <w:rFonts w:hint="eastAsia"/>
                      <w:sz w:val="21"/>
                      <w:szCs w:val="21"/>
                      <w:lang w:bidi="ar"/>
                    </w:rPr>
                    <w:t>液</w:t>
                  </w:r>
                  <w:r>
                    <w:rPr>
                      <w:sz w:val="21"/>
                      <w:szCs w:val="21"/>
                      <w:lang w:bidi="ar"/>
                    </w:rPr>
                    <w:t>态</w:t>
                  </w:r>
                </w:p>
              </w:tc>
              <w:tc>
                <w:tcPr>
                  <w:tcW w:w="911" w:type="dxa"/>
                  <w:tcBorders>
                    <w:top w:val="single" w:color="auto" w:sz="4" w:space="0"/>
                    <w:left w:val="single" w:color="auto" w:sz="4" w:space="0"/>
                    <w:bottom w:val="single" w:color="auto" w:sz="4" w:space="0"/>
                    <w:right w:val="single" w:color="auto" w:sz="4" w:space="0"/>
                  </w:tcBorders>
                  <w:vAlign w:val="center"/>
                </w:tcPr>
                <w:p w14:paraId="3AFEA416">
                  <w:pPr>
                    <w:jc w:val="center"/>
                    <w:rPr>
                      <w:rFonts w:hint="eastAsia"/>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67CFD609">
                  <w:pPr>
                    <w:jc w:val="center"/>
                    <w:outlineLvl w:val="0"/>
                    <w:rPr>
                      <w:rFonts w:hint="default" w:eastAsia="宋体"/>
                      <w:sz w:val="21"/>
                      <w:szCs w:val="21"/>
                      <w:lang w:val="en-US" w:eastAsia="zh-CN" w:bidi="ar"/>
                    </w:rPr>
                  </w:pPr>
                  <w:r>
                    <w:rPr>
                      <w:rFonts w:hint="eastAsia"/>
                      <w:sz w:val="21"/>
                      <w:szCs w:val="21"/>
                      <w:lang w:val="en-US" w:eastAsia="zh-CN" w:bidi="ar"/>
                    </w:rPr>
                    <w:t>T/I</w:t>
                  </w:r>
                </w:p>
              </w:tc>
              <w:tc>
                <w:tcPr>
                  <w:tcW w:w="1002" w:type="dxa"/>
                  <w:vMerge w:val="continue"/>
                  <w:tcBorders>
                    <w:left w:val="nil"/>
                    <w:right w:val="single" w:color="auto" w:sz="4" w:space="0"/>
                  </w:tcBorders>
                  <w:vAlign w:val="center"/>
                </w:tcPr>
                <w:p w14:paraId="40718094">
                  <w:pPr>
                    <w:jc w:val="center"/>
                    <w:outlineLvl w:val="0"/>
                    <w:rPr>
                      <w:sz w:val="21"/>
                      <w:szCs w:val="21"/>
                      <w:lang w:bidi="ar"/>
                    </w:rPr>
                  </w:pPr>
                </w:p>
              </w:tc>
            </w:tr>
            <w:tr w14:paraId="0833F2B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1" w:type="dxa"/>
                  <w:tcBorders>
                    <w:top w:val="single" w:color="auto" w:sz="4" w:space="0"/>
                    <w:left w:val="single" w:color="auto" w:sz="4" w:space="0"/>
                    <w:bottom w:val="single" w:color="auto" w:sz="4" w:space="0"/>
                    <w:right w:val="single" w:color="auto" w:sz="4" w:space="0"/>
                  </w:tcBorders>
                  <w:vAlign w:val="center"/>
                </w:tcPr>
                <w:p w14:paraId="2A95AFF9">
                  <w:pPr>
                    <w:jc w:val="center"/>
                    <w:outlineLvl w:val="0"/>
                    <w:rPr>
                      <w:sz w:val="21"/>
                      <w:szCs w:val="21"/>
                    </w:rPr>
                  </w:pPr>
                  <w:r>
                    <w:rPr>
                      <w:rFonts w:hint="eastAsia"/>
                      <w:sz w:val="21"/>
                      <w:szCs w:val="21"/>
                      <w:lang w:val="en-US" w:eastAsia="zh-CN"/>
                    </w:rPr>
                    <w:t>废润滑油桶</w:t>
                  </w:r>
                </w:p>
              </w:tc>
              <w:tc>
                <w:tcPr>
                  <w:tcW w:w="1132" w:type="dxa"/>
                  <w:tcBorders>
                    <w:top w:val="single" w:color="auto" w:sz="4" w:space="0"/>
                    <w:left w:val="single" w:color="auto" w:sz="4" w:space="0"/>
                    <w:bottom w:val="single" w:color="auto" w:sz="4" w:space="0"/>
                    <w:right w:val="single" w:color="auto" w:sz="4" w:space="0"/>
                  </w:tcBorders>
                  <w:vAlign w:val="center"/>
                </w:tcPr>
                <w:p w14:paraId="0381A038">
                  <w:pPr>
                    <w:jc w:val="center"/>
                    <w:rPr>
                      <w:rFonts w:hint="default" w:eastAsia="宋体"/>
                      <w:sz w:val="21"/>
                      <w:szCs w:val="21"/>
                      <w:lang w:val="en-US" w:eastAsia="zh-CN" w:bidi="ar"/>
                    </w:rPr>
                  </w:pPr>
                  <w:r>
                    <w:rPr>
                      <w:rFonts w:hint="eastAsia"/>
                      <w:sz w:val="21"/>
                      <w:szCs w:val="21"/>
                      <w:lang w:bidi="ar"/>
                    </w:rPr>
                    <w:t>HW</w:t>
                  </w:r>
                  <w:r>
                    <w:rPr>
                      <w:rFonts w:hint="eastAsia"/>
                      <w:sz w:val="21"/>
                      <w:szCs w:val="21"/>
                      <w:lang w:val="en-US" w:eastAsia="zh-CN" w:bidi="ar"/>
                    </w:rPr>
                    <w:t>08</w:t>
                  </w:r>
                </w:p>
              </w:tc>
              <w:tc>
                <w:tcPr>
                  <w:tcW w:w="1385" w:type="dxa"/>
                  <w:tcBorders>
                    <w:top w:val="single" w:color="auto" w:sz="4" w:space="0"/>
                    <w:left w:val="single" w:color="auto" w:sz="4" w:space="0"/>
                    <w:bottom w:val="single" w:color="auto" w:sz="4" w:space="0"/>
                    <w:right w:val="single" w:color="auto" w:sz="4" w:space="0"/>
                  </w:tcBorders>
                  <w:vAlign w:val="center"/>
                </w:tcPr>
                <w:p w14:paraId="3CBC755A">
                  <w:pPr>
                    <w:jc w:val="center"/>
                    <w:rPr>
                      <w:bCs/>
                      <w:sz w:val="21"/>
                      <w:szCs w:val="21"/>
                    </w:rPr>
                  </w:pPr>
                  <w:r>
                    <w:rPr>
                      <w:rFonts w:hint="eastAsia"/>
                      <w:color w:val="000000" w:themeColor="text1"/>
                      <w:sz w:val="21"/>
                      <w:szCs w:val="21"/>
                      <w14:textFill>
                        <w14:solidFill>
                          <w14:schemeClr w14:val="tx1"/>
                        </w14:solidFill>
                      </w14:textFill>
                    </w:rPr>
                    <w:t>900-249-08</w:t>
                  </w:r>
                </w:p>
              </w:tc>
              <w:tc>
                <w:tcPr>
                  <w:tcW w:w="1033" w:type="dxa"/>
                  <w:tcBorders>
                    <w:top w:val="single" w:color="auto" w:sz="4" w:space="0"/>
                    <w:left w:val="single" w:color="auto" w:sz="4" w:space="0"/>
                    <w:bottom w:val="single" w:color="auto" w:sz="4" w:space="0"/>
                    <w:right w:val="single" w:color="auto" w:sz="4" w:space="0"/>
                  </w:tcBorders>
                  <w:vAlign w:val="center"/>
                </w:tcPr>
                <w:p w14:paraId="757FE8D6">
                  <w:pPr>
                    <w:jc w:val="center"/>
                    <w:rPr>
                      <w:rFonts w:hint="eastAsia"/>
                      <w:sz w:val="21"/>
                      <w:szCs w:val="21"/>
                      <w:lang w:val="en-US" w:eastAsia="zh-CN" w:bidi="ar"/>
                    </w:rPr>
                  </w:pPr>
                  <w:r>
                    <w:rPr>
                      <w:rFonts w:hint="eastAsia"/>
                      <w:sz w:val="21"/>
                      <w:szCs w:val="21"/>
                      <w:lang w:val="en-US" w:eastAsia="zh-CN" w:bidi="ar"/>
                    </w:rPr>
                    <w:t>0.01</w:t>
                  </w:r>
                </w:p>
              </w:tc>
              <w:tc>
                <w:tcPr>
                  <w:tcW w:w="714" w:type="dxa"/>
                  <w:tcBorders>
                    <w:top w:val="single" w:color="auto" w:sz="4" w:space="0"/>
                    <w:left w:val="single" w:color="auto" w:sz="4" w:space="0"/>
                    <w:bottom w:val="single" w:color="auto" w:sz="4" w:space="0"/>
                    <w:right w:val="single" w:color="auto" w:sz="4" w:space="0"/>
                  </w:tcBorders>
                  <w:vAlign w:val="center"/>
                </w:tcPr>
                <w:p w14:paraId="3E7DA6A9">
                  <w:pPr>
                    <w:jc w:val="center"/>
                    <w:rPr>
                      <w:sz w:val="21"/>
                      <w:szCs w:val="21"/>
                      <w:lang w:bidi="ar"/>
                    </w:rPr>
                  </w:pPr>
                  <w:r>
                    <w:rPr>
                      <w:sz w:val="21"/>
                      <w:szCs w:val="21"/>
                      <w:lang w:bidi="ar"/>
                    </w:rPr>
                    <w:t>固态</w:t>
                  </w:r>
                </w:p>
              </w:tc>
              <w:tc>
                <w:tcPr>
                  <w:tcW w:w="911" w:type="dxa"/>
                  <w:tcBorders>
                    <w:top w:val="single" w:color="auto" w:sz="4" w:space="0"/>
                    <w:left w:val="single" w:color="auto" w:sz="4" w:space="0"/>
                    <w:bottom w:val="single" w:color="auto" w:sz="4" w:space="0"/>
                    <w:right w:val="single" w:color="auto" w:sz="4" w:space="0"/>
                  </w:tcBorders>
                  <w:vAlign w:val="center"/>
                </w:tcPr>
                <w:p w14:paraId="54308A17">
                  <w:pPr>
                    <w:jc w:val="center"/>
                    <w:rPr>
                      <w:rFonts w:hint="eastAsia"/>
                      <w:sz w:val="21"/>
                      <w:szCs w:val="21"/>
                    </w:rPr>
                  </w:pPr>
                  <w:r>
                    <w:rPr>
                      <w:rFonts w:hint="eastAsia"/>
                      <w:sz w:val="21"/>
                      <w:szCs w:val="21"/>
                    </w:rPr>
                    <w:t>3个月</w:t>
                  </w:r>
                </w:p>
              </w:tc>
              <w:tc>
                <w:tcPr>
                  <w:tcW w:w="687" w:type="dxa"/>
                  <w:tcBorders>
                    <w:top w:val="single" w:color="auto" w:sz="4" w:space="0"/>
                    <w:left w:val="nil"/>
                    <w:bottom w:val="single" w:color="auto" w:sz="4" w:space="0"/>
                    <w:right w:val="single" w:color="auto" w:sz="4" w:space="0"/>
                  </w:tcBorders>
                  <w:vAlign w:val="center"/>
                </w:tcPr>
                <w:p w14:paraId="5681A8A4">
                  <w:pPr>
                    <w:jc w:val="center"/>
                    <w:outlineLvl w:val="0"/>
                    <w:rPr>
                      <w:rFonts w:hint="eastAsia"/>
                      <w:sz w:val="21"/>
                      <w:szCs w:val="21"/>
                      <w:lang w:bidi="ar"/>
                    </w:rPr>
                  </w:pPr>
                  <w:r>
                    <w:rPr>
                      <w:rFonts w:hint="eastAsia"/>
                      <w:sz w:val="21"/>
                      <w:szCs w:val="21"/>
                      <w:lang w:val="en-US" w:eastAsia="zh-CN" w:bidi="ar"/>
                    </w:rPr>
                    <w:t>T/I</w:t>
                  </w:r>
                </w:p>
              </w:tc>
              <w:tc>
                <w:tcPr>
                  <w:tcW w:w="1002" w:type="dxa"/>
                  <w:vMerge w:val="continue"/>
                  <w:tcBorders>
                    <w:left w:val="nil"/>
                    <w:right w:val="single" w:color="auto" w:sz="4" w:space="0"/>
                  </w:tcBorders>
                  <w:vAlign w:val="center"/>
                </w:tcPr>
                <w:p w14:paraId="4C05B13E">
                  <w:pPr>
                    <w:jc w:val="center"/>
                    <w:outlineLvl w:val="0"/>
                    <w:rPr>
                      <w:sz w:val="21"/>
                      <w:szCs w:val="21"/>
                      <w:lang w:bidi="ar"/>
                    </w:rPr>
                  </w:pPr>
                </w:p>
              </w:tc>
            </w:tr>
          </w:tbl>
          <w:p w14:paraId="707DD7C1">
            <w:pPr>
              <w:keepNext w:val="0"/>
              <w:keepLines w:val="0"/>
              <w:pageBreakBefore w:val="0"/>
              <w:widowControl/>
              <w:kinsoku/>
              <w:wordWrap w:val="0"/>
              <w:overflowPunct/>
              <w:topLinePunct w:val="0"/>
              <w:autoSpaceDE/>
              <w:autoSpaceDN/>
              <w:bidi w:val="0"/>
              <w:adjustRightInd w:val="0"/>
              <w:snapToGrid w:val="0"/>
              <w:spacing w:before="157" w:beforeLines="50" w:line="360" w:lineRule="auto"/>
              <w:textAlignment w:val="auto"/>
              <w:rPr>
                <w:bCs/>
                <w:color w:val="auto"/>
                <w:sz w:val="24"/>
              </w:rPr>
            </w:pPr>
            <w:r>
              <w:rPr>
                <w:b/>
                <w:bCs/>
                <w:kern w:val="0"/>
                <w:sz w:val="24"/>
                <w:lang w:bidi="ar"/>
              </w:rPr>
              <w:t>环境管理要求：</w:t>
            </w:r>
          </w:p>
          <w:p w14:paraId="5DB11DBA">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（1）一般固废暂存间和危险废物暂存间建设要求</w:t>
            </w:r>
          </w:p>
          <w:p w14:paraId="09F1EFF5">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1）一般固废暂存间</w:t>
            </w:r>
          </w:p>
          <w:p w14:paraId="6401986A">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项目一般固废暂存间</w:t>
            </w:r>
            <w:r>
              <w:rPr>
                <w:rFonts w:hint="eastAsia"/>
                <w:bCs/>
                <w:color w:val="auto"/>
                <w:sz w:val="24"/>
                <w:lang w:val="en-US" w:eastAsia="zh-CN"/>
              </w:rPr>
              <w:t>1</w:t>
            </w:r>
            <w:r>
              <w:rPr>
                <w:bCs/>
                <w:color w:val="auto"/>
                <w:sz w:val="24"/>
              </w:rPr>
              <w:t>0m</w:t>
            </w:r>
            <w:r>
              <w:rPr>
                <w:bCs/>
                <w:color w:val="auto"/>
                <w:sz w:val="24"/>
                <w:vertAlign w:val="superscript"/>
              </w:rPr>
              <w:t>2</w:t>
            </w:r>
            <w:r>
              <w:rPr>
                <w:bCs/>
                <w:color w:val="auto"/>
                <w:sz w:val="24"/>
              </w:rPr>
              <w:t>，暂存场地的设置应符合《一般工业固体废物贮存和填埋场污染控制标准》（GB18599-2020）有关规定。一般固废暂存间设置要求做到以下几点：</w:t>
            </w:r>
          </w:p>
          <w:p w14:paraId="4E9E1AA7">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①应选在满足承载力要求的地基上，以避免地基下沉的影响，特别是不均匀或局部下沉的影响。</w:t>
            </w:r>
          </w:p>
          <w:p w14:paraId="08FC3799">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②为防止雨水径流进入贮存、处置场内，避免渗滤液量增加和滑坡，贮存、处置场周边应设置导流渠。</w:t>
            </w:r>
          </w:p>
          <w:p w14:paraId="12DC112C">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③应建立档案制度。将入场的一般工业固体废物的种类和数量以及各种检车维护资料等记录在案，长期保存，一共随时查阅。</w:t>
            </w:r>
          </w:p>
          <w:p w14:paraId="021F0317">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④一般工业固体废物贮存、处置场，禁止危险废物和生活垃圾混入。</w:t>
            </w:r>
          </w:p>
          <w:p w14:paraId="043AD23B">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⑤贮存、处置场的环境保护图形标志，应按GB15562.2规定进行检查和维护。</w:t>
            </w:r>
          </w:p>
          <w:p w14:paraId="2A6326C6">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bCs/>
                <w:color w:val="auto"/>
                <w:sz w:val="24"/>
              </w:rPr>
            </w:pPr>
            <w:r>
              <w:rPr>
                <w:bCs/>
                <w:color w:val="auto"/>
                <w:sz w:val="24"/>
              </w:rPr>
              <w:t>2）危险废物暂存间</w:t>
            </w:r>
          </w:p>
          <w:p w14:paraId="590B36AC">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color w:val="auto"/>
                <w:kern w:val="0"/>
                <w:sz w:val="24"/>
                <w:szCs w:val="24"/>
                <w:lang w:bidi="ar"/>
              </w:rPr>
            </w:pPr>
            <w:r>
              <w:rPr>
                <w:color w:val="auto"/>
                <w:kern w:val="0"/>
                <w:sz w:val="24"/>
                <w:szCs w:val="24"/>
                <w:lang w:bidi="ar"/>
              </w:rPr>
              <w:t>项目危险废物存放</w:t>
            </w:r>
            <w:r>
              <w:rPr>
                <w:rFonts w:hint="eastAsia"/>
                <w:color w:val="auto"/>
                <w:kern w:val="0"/>
                <w:sz w:val="24"/>
                <w:szCs w:val="24"/>
                <w:lang w:bidi="ar"/>
              </w:rPr>
              <w:t>于危废暂存间</w:t>
            </w:r>
            <w:r>
              <w:rPr>
                <w:color w:val="auto"/>
                <w:kern w:val="0"/>
                <w:sz w:val="24"/>
                <w:szCs w:val="24"/>
                <w:lang w:bidi="ar"/>
              </w:rPr>
              <w:t>，</w:t>
            </w:r>
            <w:r>
              <w:rPr>
                <w:rFonts w:hint="eastAsia"/>
                <w:color w:val="auto"/>
                <w:kern w:val="0"/>
                <w:sz w:val="24"/>
                <w:szCs w:val="24"/>
                <w:lang w:val="en-US" w:eastAsia="zh-CN" w:bidi="ar"/>
              </w:rPr>
              <w:t>危险废物暂存间建筑面积10m</w:t>
            </w:r>
            <w:r>
              <w:rPr>
                <w:rFonts w:hint="eastAsia"/>
                <w:color w:val="auto"/>
                <w:kern w:val="0"/>
                <w:sz w:val="24"/>
                <w:szCs w:val="24"/>
                <w:vertAlign w:val="superscript"/>
                <w:lang w:val="en-US" w:eastAsia="zh-CN" w:bidi="ar"/>
              </w:rPr>
              <w:t>2</w:t>
            </w:r>
            <w:r>
              <w:rPr>
                <w:rFonts w:hint="eastAsia"/>
                <w:color w:val="auto"/>
                <w:kern w:val="0"/>
                <w:sz w:val="24"/>
                <w:szCs w:val="24"/>
                <w:lang w:val="en-US" w:eastAsia="zh-CN" w:bidi="ar"/>
              </w:rPr>
              <w:t>，</w:t>
            </w:r>
            <w:r>
              <w:rPr>
                <w:color w:val="auto"/>
                <w:kern w:val="0"/>
                <w:sz w:val="24"/>
                <w:szCs w:val="24"/>
                <w:lang w:bidi="ar"/>
              </w:rPr>
              <w:t>暂存</w:t>
            </w:r>
            <w:r>
              <w:rPr>
                <w:rFonts w:hint="eastAsia"/>
                <w:color w:val="auto"/>
                <w:kern w:val="0"/>
                <w:sz w:val="24"/>
                <w:szCs w:val="24"/>
                <w:lang w:val="en-US" w:eastAsia="zh-CN" w:bidi="ar"/>
              </w:rPr>
              <w:t>间的</w:t>
            </w:r>
            <w:r>
              <w:rPr>
                <w:color w:val="auto"/>
                <w:kern w:val="0"/>
                <w:sz w:val="24"/>
                <w:szCs w:val="24"/>
                <w:lang w:bidi="ar"/>
              </w:rPr>
              <w:t>设置应符合</w:t>
            </w:r>
            <w:r>
              <w:rPr>
                <w:color w:val="auto"/>
                <w:sz w:val="24"/>
                <w:szCs w:val="24"/>
              </w:rPr>
              <w:t>《危险废物贮存污染控制标准》（GB18597-</w:t>
            </w:r>
            <w:r>
              <w:rPr>
                <w:rFonts w:hint="eastAsia"/>
                <w:color w:val="auto"/>
                <w:sz w:val="24"/>
                <w:szCs w:val="24"/>
              </w:rPr>
              <w:t>2023</w:t>
            </w:r>
            <w:r>
              <w:rPr>
                <w:color w:val="auto"/>
                <w:sz w:val="24"/>
                <w:szCs w:val="24"/>
              </w:rPr>
              <w:t>）</w:t>
            </w:r>
            <w:r>
              <w:rPr>
                <w:color w:val="auto"/>
                <w:kern w:val="0"/>
                <w:sz w:val="24"/>
                <w:szCs w:val="24"/>
                <w:lang w:bidi="ar"/>
              </w:rPr>
              <w:t>中的规定。危废暂存场地设置要求做到以下几点：</w:t>
            </w:r>
          </w:p>
          <w:p w14:paraId="56EC88A4">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kern w:val="0"/>
                <w:sz w:val="24"/>
                <w:szCs w:val="24"/>
                <w:lang w:bidi="ar"/>
              </w:rPr>
              <w:t>（1）危险废物贮存设施必须按《</w:t>
            </w:r>
            <w:r>
              <w:rPr>
                <w:rFonts w:hint="eastAsia"/>
                <w:color w:val="auto"/>
                <w:kern w:val="0"/>
                <w:sz w:val="24"/>
                <w:lang w:bidi="ar"/>
              </w:rPr>
              <w:t>危险废物识别标志设置技术规范</w:t>
            </w:r>
            <w:r>
              <w:rPr>
                <w:color w:val="auto"/>
                <w:kern w:val="0"/>
                <w:sz w:val="24"/>
                <w:szCs w:val="24"/>
                <w:lang w:bidi="ar"/>
              </w:rPr>
              <w:t>》</w:t>
            </w:r>
            <w:r>
              <w:rPr>
                <w:rFonts w:hint="eastAsia"/>
                <w:color w:val="auto"/>
                <w:kern w:val="0"/>
                <w:sz w:val="24"/>
                <w:szCs w:val="24"/>
                <w:lang w:eastAsia="zh-CN" w:bidi="ar"/>
              </w:rPr>
              <w:t>（</w:t>
            </w:r>
            <w:r>
              <w:rPr>
                <w:rFonts w:hint="eastAsia"/>
                <w:color w:val="auto"/>
                <w:kern w:val="0"/>
                <w:sz w:val="24"/>
                <w:lang w:bidi="ar"/>
              </w:rPr>
              <w:t>HJ 1276</w:t>
            </w:r>
            <w:r>
              <w:rPr>
                <w:rFonts w:hint="eastAsia"/>
                <w:color w:val="auto"/>
                <w:kern w:val="0"/>
                <w:sz w:val="24"/>
                <w:lang w:val="en-US" w:eastAsia="zh-CN" w:bidi="ar"/>
              </w:rPr>
              <w:t>-</w:t>
            </w:r>
            <w:r>
              <w:rPr>
                <w:rFonts w:hint="eastAsia"/>
                <w:color w:val="auto"/>
                <w:kern w:val="0"/>
                <w:sz w:val="24"/>
                <w:lang w:bidi="ar"/>
              </w:rPr>
              <w:t>2022</w:t>
            </w:r>
            <w:r>
              <w:rPr>
                <w:rFonts w:hint="eastAsia"/>
                <w:color w:val="auto"/>
                <w:kern w:val="0"/>
                <w:sz w:val="24"/>
                <w:szCs w:val="24"/>
                <w:lang w:eastAsia="zh-CN" w:bidi="ar"/>
              </w:rPr>
              <w:t>）</w:t>
            </w:r>
            <w:r>
              <w:rPr>
                <w:color w:val="auto"/>
                <w:kern w:val="0"/>
                <w:sz w:val="24"/>
                <w:szCs w:val="24"/>
                <w:lang w:bidi="ar"/>
              </w:rPr>
              <w:t>的规定设置警示标志；</w:t>
            </w:r>
          </w:p>
          <w:p w14:paraId="78E70A6F">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（2）企业须健全危险废物相关管理制度，并严格落实。</w:t>
            </w:r>
          </w:p>
          <w:p w14:paraId="137D77FF">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①企业须对危险废物储运场所张贴警示标识，危险废物包装物张贴警示标签；</w:t>
            </w:r>
          </w:p>
          <w:p w14:paraId="0A16F80B">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color w:val="auto"/>
                <w:sz w:val="24"/>
                <w:szCs w:val="24"/>
              </w:rPr>
            </w:pPr>
            <w:r>
              <w:rPr>
                <w:color w:val="auto"/>
                <w:sz w:val="24"/>
                <w:szCs w:val="24"/>
              </w:rPr>
              <w:t>②规范危险废物台账记录、建立危险废物收集及储运有关档案，认真填写《危险废物项目区内转运记录表》，作好危险废物台账的记录，记录上须注明危险废物的名称、来源、数量、特性和包装容器的类别、入库日期、存放库位、废物出库日期及接收单位名称等，并即时存档以备查阅。</w:t>
            </w:r>
          </w:p>
          <w:p w14:paraId="0F910EC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sz w:val="24"/>
              </w:rPr>
            </w:pPr>
            <w:r>
              <w:rPr>
                <w:rFonts w:hint="eastAsia"/>
                <w:b/>
                <w:bCs/>
                <w:sz w:val="24"/>
              </w:rPr>
              <w:t>贮存设施污染控制要求</w:t>
            </w:r>
          </w:p>
          <w:p w14:paraId="160E14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贮存设施应根据危险废物的形态、物理化学性质、包装形式和污染物迁移途径，采取必要的防风、防晒、防雨、防漏、防渗、防腐以及其他环境污染防治措施，不应露天堆放危险废物。</w:t>
            </w:r>
          </w:p>
          <w:p w14:paraId="54EF6D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贮存设施应根据危险废物的类别、数量、形态、物理化学性质和污染防治等要求设置必要的贮存分区，避免不相容的危险废物接触、混合。</w:t>
            </w:r>
          </w:p>
          <w:p w14:paraId="127F05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贮存设施或贮存分区内地面、墙面裙脚、堵截泄漏的围堰、接触危险废物的隔板和墙体等应采用坚固的材料建造，表面无裂缝。</w:t>
            </w:r>
          </w:p>
          <w:p w14:paraId="63F5ED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4</w:t>
            </w:r>
            <w:r>
              <w:rPr>
                <w:rFonts w:hint="eastAsia"/>
                <w:sz w:val="24"/>
                <w:lang w:eastAsia="zh-CN"/>
              </w:rPr>
              <w:t>）</w:t>
            </w:r>
            <w:r>
              <w:rPr>
                <w:rFonts w:hint="eastAsia"/>
                <w:sz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sz w:val="24"/>
                <w:vertAlign w:val="superscript"/>
              </w:rPr>
              <w:t>-7</w:t>
            </w:r>
            <w:r>
              <w:rPr>
                <w:rFonts w:hint="eastAsia"/>
                <w:sz w:val="24"/>
              </w:rPr>
              <w:t>cm/s），或至少2mm厚高密度聚乙烯膜等人工防渗材料（渗透系数不大于10</w:t>
            </w:r>
            <w:r>
              <w:rPr>
                <w:rFonts w:hint="eastAsia"/>
                <w:sz w:val="24"/>
                <w:vertAlign w:val="superscript"/>
              </w:rPr>
              <w:t>-10</w:t>
            </w:r>
            <w:r>
              <w:rPr>
                <w:rFonts w:hint="eastAsia"/>
                <w:sz w:val="24"/>
              </w:rPr>
              <w:t>cm/s），或其他防渗性能等效的材料。</w:t>
            </w:r>
          </w:p>
          <w:p w14:paraId="2FC0A8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5</w:t>
            </w:r>
            <w:r>
              <w:rPr>
                <w:rFonts w:hint="eastAsia"/>
                <w:sz w:val="24"/>
                <w:lang w:eastAsia="zh-CN"/>
              </w:rPr>
              <w:t>）</w:t>
            </w:r>
            <w:r>
              <w:rPr>
                <w:rFonts w:hint="eastAsia"/>
                <w:sz w:val="24"/>
              </w:rPr>
              <w:t>同一贮存设施宜采用相同的防渗、防腐工艺（包括防渗、防腐结构或材料），防渗、防腐材料应覆盖所有可能与废物及其渗滤液、渗漏液等接触的构筑物表面；采用不同防渗、防腐工艺应分别建设贮存分区。</w:t>
            </w:r>
          </w:p>
          <w:p w14:paraId="62AF07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6</w:t>
            </w:r>
            <w:r>
              <w:rPr>
                <w:rFonts w:hint="eastAsia"/>
                <w:sz w:val="24"/>
                <w:lang w:eastAsia="zh-CN"/>
              </w:rPr>
              <w:t>）</w:t>
            </w:r>
            <w:r>
              <w:rPr>
                <w:rFonts w:hint="eastAsia"/>
                <w:sz w:val="24"/>
              </w:rPr>
              <w:t>贮存设施应采取技术和管理措施防止无关人员进入。</w:t>
            </w:r>
          </w:p>
          <w:p w14:paraId="54A5A69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bCs/>
                <w:sz w:val="24"/>
                <w:lang w:val="en-US" w:eastAsia="zh-CN"/>
              </w:rPr>
            </w:pPr>
            <w:r>
              <w:rPr>
                <w:rFonts w:hint="eastAsia"/>
                <w:b/>
                <w:bCs/>
                <w:sz w:val="24"/>
                <w:lang w:val="en-US" w:eastAsia="zh-CN"/>
              </w:rPr>
              <w:t>贮存库污染控制要求</w:t>
            </w:r>
          </w:p>
          <w:p w14:paraId="462180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贮存库内不同贮存分区之间应采取隔离措施。隔离措施可根据危险废物特性采用过道、隔板或隔墙等方式。</w:t>
            </w:r>
          </w:p>
          <w:p w14:paraId="1ECC2F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180E3E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sz w:val="24"/>
              </w:rPr>
            </w:pPr>
            <w:r>
              <w:rPr>
                <w:rFonts w:hint="eastAsia"/>
                <w:b/>
                <w:bCs/>
                <w:sz w:val="24"/>
              </w:rPr>
              <w:t>容器和包装物污染控制要求</w:t>
            </w:r>
          </w:p>
          <w:p w14:paraId="7F6DE7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在常温常压下不易水解、不易挥发的固态危险废物可分类堆放贮存，其他固态危险废物应装入容器或包装物内贮存。</w:t>
            </w:r>
          </w:p>
          <w:p w14:paraId="363E70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rPr>
              <w:t>液态危险废物应装入容器内贮存，或直接采用贮存池、贮存罐区贮存。</w:t>
            </w:r>
          </w:p>
          <w:p w14:paraId="0BA6E1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半固态危险废物应装入容器或包装袋内贮存，或直接采用贮存池贮存。</w:t>
            </w:r>
          </w:p>
          <w:p w14:paraId="1AF55F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lang w:eastAsia="zh-CN"/>
              </w:rPr>
              <w:t>（</w:t>
            </w:r>
            <w:r>
              <w:rPr>
                <w:rFonts w:hint="eastAsia"/>
                <w:sz w:val="24"/>
                <w:lang w:val="en-US" w:eastAsia="zh-CN"/>
              </w:rPr>
              <w:t>4</w:t>
            </w:r>
            <w:r>
              <w:rPr>
                <w:rFonts w:hint="eastAsia"/>
                <w:sz w:val="24"/>
                <w:lang w:eastAsia="zh-CN"/>
              </w:rPr>
              <w:t>）</w:t>
            </w:r>
            <w:r>
              <w:rPr>
                <w:rFonts w:hint="eastAsia"/>
                <w:sz w:val="24"/>
              </w:rPr>
              <w:t>具有热塑性的危险废物应装入容器或包装袋内进行贮存。</w:t>
            </w:r>
          </w:p>
          <w:p w14:paraId="04A82B4C">
            <w:pPr>
              <w:pStyle w:val="16"/>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sz w:val="24"/>
              </w:rPr>
            </w:pPr>
            <w:r>
              <w:rPr>
                <w:rFonts w:hint="default" w:ascii="Times New Roman" w:hAnsi="Times New Roman" w:cs="Times New Roman"/>
                <w:b/>
                <w:bCs/>
                <w:sz w:val="24"/>
              </w:rPr>
              <w:t>贮存设施运行环境管理要求</w:t>
            </w:r>
          </w:p>
          <w:p w14:paraId="3082DB5C">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w:t>
            </w:r>
            <w:r>
              <w:rPr>
                <w:rFonts w:hint="default" w:ascii="Times New Roman" w:hAnsi="Times New Roman" w:cs="Times New Roman"/>
                <w:sz w:val="24"/>
              </w:rPr>
              <w:t>危险废物存入贮存设施前应对危险废物类别和特性与危险废物标签等危险废物识别标志的一致性进行核验，不一致的或类别、特性不明的不应存入。</w:t>
            </w:r>
          </w:p>
          <w:p w14:paraId="0BF288DD">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w:t>
            </w:r>
            <w:r>
              <w:rPr>
                <w:rFonts w:hint="default" w:ascii="Times New Roman" w:hAnsi="Times New Roman" w:cs="Times New Roman"/>
                <w:sz w:val="24"/>
              </w:rPr>
              <w:t>应定期检查危险废物的贮存状况，及时清理贮存设施地面，更换破损泄漏的危险废物贮存容器和包装物，保证堆存危险废物的防雨、防风、防扬尘等设施功能完好。</w:t>
            </w:r>
          </w:p>
          <w:p w14:paraId="4391BB21">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3</w:t>
            </w:r>
            <w:r>
              <w:rPr>
                <w:rFonts w:hint="eastAsia" w:ascii="Times New Roman" w:hAnsi="Times New Roman" w:cs="Times New Roman"/>
                <w:sz w:val="24"/>
                <w:lang w:eastAsia="zh-CN"/>
              </w:rPr>
              <w:t>）</w:t>
            </w:r>
            <w:r>
              <w:rPr>
                <w:rFonts w:hint="default" w:ascii="Times New Roman" w:hAnsi="Times New Roman" w:cs="Times New Roman"/>
                <w:sz w:val="24"/>
              </w:rPr>
              <w:t>作业设备及车辆等结束作业离开贮存设施时，应对其残留的危险废物进行清理，清理的废物或清洗废水应收集处理。</w:t>
            </w:r>
          </w:p>
          <w:p w14:paraId="418C2FFE">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4</w:t>
            </w:r>
            <w:r>
              <w:rPr>
                <w:rFonts w:hint="eastAsia" w:ascii="Times New Roman" w:hAnsi="Times New Roman" w:cs="Times New Roman"/>
                <w:sz w:val="24"/>
                <w:lang w:eastAsia="zh-CN"/>
              </w:rPr>
              <w:t>）</w:t>
            </w:r>
            <w:r>
              <w:rPr>
                <w:rFonts w:hint="default" w:ascii="Times New Roman" w:hAnsi="Times New Roman" w:cs="Times New Roman"/>
                <w:sz w:val="24"/>
              </w:rPr>
              <w:t>贮存设施运行期间，应按国家有关标准和规定建立危险废物管理台账并保存。</w:t>
            </w:r>
          </w:p>
          <w:p w14:paraId="6BC1029D">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5</w:t>
            </w:r>
            <w:r>
              <w:rPr>
                <w:rFonts w:hint="eastAsia" w:ascii="Times New Roman" w:hAnsi="Times New Roman" w:cs="Times New Roman"/>
                <w:sz w:val="24"/>
                <w:lang w:eastAsia="zh-CN"/>
              </w:rPr>
              <w:t>）</w:t>
            </w:r>
            <w:r>
              <w:rPr>
                <w:rFonts w:hint="default" w:ascii="Times New Roman" w:hAnsi="Times New Roman" w:cs="Times New Roman"/>
                <w:sz w:val="24"/>
              </w:rPr>
              <w:t>贮存设施所有者或运营者应建立贮存设施环境管理制度、管理人员岗位职责制度、设施运行操作制度、人员岗位培训制度等。</w:t>
            </w:r>
          </w:p>
          <w:p w14:paraId="1B06A2B8">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6</w:t>
            </w:r>
            <w:r>
              <w:rPr>
                <w:rFonts w:hint="eastAsia" w:ascii="Times New Roman" w:hAnsi="Times New Roman" w:cs="Times New Roman"/>
                <w:sz w:val="24"/>
                <w:lang w:eastAsia="zh-CN"/>
              </w:rPr>
              <w:t>）</w:t>
            </w:r>
            <w:r>
              <w:rPr>
                <w:rFonts w:hint="default" w:ascii="Times New Roman" w:hAnsi="Times New Roman" w:cs="Times New Roman"/>
                <w:sz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54E2CE6D">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7</w:t>
            </w:r>
            <w:r>
              <w:rPr>
                <w:rFonts w:hint="eastAsia" w:ascii="Times New Roman" w:hAnsi="Times New Roman" w:cs="Times New Roman"/>
                <w:sz w:val="24"/>
                <w:lang w:eastAsia="zh-CN"/>
              </w:rPr>
              <w:t>）</w:t>
            </w:r>
            <w:r>
              <w:rPr>
                <w:rFonts w:hint="default" w:ascii="Times New Roman" w:hAnsi="Times New Roman" w:cs="Times New Roman"/>
                <w:sz w:val="24"/>
              </w:rPr>
              <w:t>贮存设施所有者或运营者应建立贮存设施全部档案，包括设计、施工、验收、运行、监测和环境应急等，应按国家有关档案管理的法律法规进行整理和归档。</w:t>
            </w:r>
          </w:p>
          <w:p w14:paraId="7C8BE0CB">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8</w:t>
            </w:r>
            <w:r>
              <w:rPr>
                <w:rFonts w:hint="eastAsia" w:ascii="Times New Roman" w:hAnsi="Times New Roman" w:cs="Times New Roman"/>
                <w:sz w:val="24"/>
                <w:lang w:eastAsia="zh-CN"/>
              </w:rPr>
              <w:t>）危险废物转移过程严格落实《危险废物转移管理办法》（</w:t>
            </w:r>
            <w:r>
              <w:rPr>
                <w:rFonts w:hint="default" w:ascii="Times New Roman" w:hAnsi="Times New Roman" w:cs="Times New Roman"/>
                <w:sz w:val="24"/>
                <w:lang w:eastAsia="zh-CN"/>
              </w:rPr>
              <w:t>部令第23号）相关规定，规范危险废物转移，做好每次外运处置废物的运</w:t>
            </w:r>
            <w:r>
              <w:rPr>
                <w:rFonts w:hint="eastAsia" w:ascii="Times New Roman" w:hAnsi="Times New Roman" w:cs="Times New Roman"/>
                <w:sz w:val="24"/>
                <w:lang w:eastAsia="zh-CN"/>
              </w:rPr>
              <w:t>输登记。</w:t>
            </w:r>
          </w:p>
          <w:p w14:paraId="4F1A30B6">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9</w:t>
            </w:r>
            <w:r>
              <w:rPr>
                <w:rFonts w:hint="eastAsia" w:ascii="Times New Roman" w:hAnsi="Times New Roman" w:cs="Times New Roman"/>
                <w:sz w:val="24"/>
                <w:lang w:eastAsia="zh-CN"/>
              </w:rPr>
              <w:t>）危险废物贮存设施必须按《危险废物识别标志设置技术规范》（HJ1276</w:t>
            </w:r>
            <w:r>
              <w:rPr>
                <w:rFonts w:hint="eastAsia" w:ascii="Times New Roman" w:hAnsi="Times New Roman" w:cs="Times New Roman"/>
                <w:sz w:val="24"/>
                <w:lang w:val="en-US" w:eastAsia="zh-CN"/>
              </w:rPr>
              <w:t>-</w:t>
            </w:r>
            <w:r>
              <w:rPr>
                <w:rFonts w:hint="eastAsia" w:ascii="Times New Roman" w:hAnsi="Times New Roman" w:cs="Times New Roman"/>
                <w:sz w:val="24"/>
                <w:lang w:eastAsia="zh-CN"/>
              </w:rPr>
              <w:t>2022）的规定设置警示标志。</w:t>
            </w:r>
          </w:p>
          <w:p w14:paraId="1FBD877C">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sz w:val="24"/>
                <w:szCs w:val="24"/>
                <w:lang w:bidi="ar"/>
              </w:rPr>
            </w:pPr>
            <w:r>
              <w:rPr>
                <w:rFonts w:hint="eastAsia" w:ascii="Times New Roman" w:hAnsi="Times New Roman" w:cs="Times New Roman"/>
                <w:sz w:val="24"/>
                <w:lang w:eastAsia="zh-CN"/>
              </w:rPr>
              <w:t>项目固体废物处置符合《一般工业固体废物贮存和填埋污染控制标准》（GB18599</w:t>
            </w:r>
            <w:r>
              <w:rPr>
                <w:rFonts w:hint="eastAsia" w:ascii="Times New Roman" w:hAnsi="Times New Roman" w:cs="Times New Roman"/>
                <w:sz w:val="24"/>
                <w:lang w:val="en-US" w:eastAsia="zh-CN"/>
              </w:rPr>
              <w:t>-</w:t>
            </w:r>
            <w:r>
              <w:rPr>
                <w:rFonts w:hint="eastAsia" w:ascii="Times New Roman" w:hAnsi="Times New Roman" w:cs="Times New Roman"/>
                <w:sz w:val="24"/>
                <w:lang w:eastAsia="zh-CN"/>
              </w:rPr>
              <w:t>2020）、《危险废物贮存污染控制标准》（GB18597-2023）相关要求，各固体废物均能得到妥善解决，对周围环境影响较小。</w:t>
            </w:r>
          </w:p>
          <w:p w14:paraId="29C77009">
            <w:pPr>
              <w:keepNext w:val="0"/>
              <w:keepLines w:val="0"/>
              <w:pageBreakBefore w:val="0"/>
              <w:kinsoku/>
              <w:overflowPunct/>
              <w:topLinePunct w:val="0"/>
              <w:autoSpaceDE/>
              <w:autoSpaceDN/>
              <w:bidi w:val="0"/>
              <w:adjustRightInd w:val="0"/>
              <w:snapToGrid w:val="0"/>
              <w:spacing w:line="360" w:lineRule="auto"/>
              <w:ind w:firstLine="480" w:firstLineChars="200"/>
              <w:textAlignment w:val="auto"/>
              <w:rPr>
                <w:color w:val="000000" w:themeColor="text1"/>
                <w:kern w:val="0"/>
                <w:sz w:val="24"/>
                <w14:textFill>
                  <w14:solidFill>
                    <w14:schemeClr w14:val="tx1"/>
                  </w14:solidFill>
                </w14:textFill>
              </w:rPr>
            </w:pPr>
            <w:r>
              <w:rPr>
                <w:bCs/>
                <w:color w:val="auto"/>
                <w:sz w:val="24"/>
              </w:rPr>
              <w:t>综上所述，建设项目产生的固废均安全妥善的处置，固废实现“零”排放，对环境不会产生二次污染。</w:t>
            </w:r>
          </w:p>
          <w:p w14:paraId="1786527F">
            <w:pPr>
              <w:adjustRightInd w:val="0"/>
              <w:snapToGrid w:val="0"/>
              <w:spacing w:line="360" w:lineRule="auto"/>
              <w:rPr>
                <w:b/>
                <w:color w:val="000000" w:themeColor="text1"/>
                <w:spacing w:val="-10"/>
                <w14:textFill>
                  <w14:solidFill>
                    <w14:schemeClr w14:val="tx1"/>
                  </w14:solidFill>
                </w14:textFill>
              </w:rPr>
            </w:pPr>
            <w:r>
              <w:rPr>
                <w:rFonts w:hint="eastAsia"/>
                <w:b/>
                <w:color w:val="000000" w:themeColor="text1"/>
                <w:spacing w:val="-10"/>
                <w14:textFill>
                  <w14:solidFill>
                    <w14:schemeClr w14:val="tx1"/>
                  </w14:solidFill>
                </w14:textFill>
              </w:rPr>
              <w:t>五、</w:t>
            </w:r>
            <w:r>
              <w:rPr>
                <w:b/>
                <w:color w:val="000000" w:themeColor="text1"/>
                <w:spacing w:val="-10"/>
                <w14:textFill>
                  <w14:solidFill>
                    <w14:schemeClr w14:val="tx1"/>
                  </w14:solidFill>
                </w14:textFill>
              </w:rPr>
              <w:t>地下水、土壤</w:t>
            </w:r>
          </w:p>
          <w:p w14:paraId="3CA3B9E0">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危废暂存间</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辅料区、清洗区等</w:t>
            </w:r>
            <w:r>
              <w:rPr>
                <w:bCs/>
                <w:color w:val="000000" w:themeColor="text1"/>
                <w14:textFill>
                  <w14:solidFill>
                    <w14:schemeClr w14:val="tx1"/>
                  </w14:solidFill>
                </w14:textFill>
              </w:rPr>
              <w:t>若如防渗措施不到位，会有废水</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液体物料</w:t>
            </w:r>
            <w:r>
              <w:rPr>
                <w:bCs/>
                <w:color w:val="000000" w:themeColor="text1"/>
                <w14:textFill>
                  <w14:solidFill>
                    <w14:schemeClr w14:val="tx1"/>
                  </w14:solidFill>
                </w14:textFill>
              </w:rPr>
              <w:t>下渗污染地下水、土壤。本项目租赁已建成厂房，地面已做硬化处置，建设过程中对厂房部分区域划分重点防渗区域和一般防渗区域，具体如下：</w:t>
            </w:r>
          </w:p>
          <w:p w14:paraId="65F37037">
            <w:pPr>
              <w:adjustRightInd w:val="0"/>
              <w:snapToGrid w:val="0"/>
              <w:spacing w:line="360" w:lineRule="auto"/>
              <w:ind w:firstLine="482" w:firstLineChars="200"/>
              <w:rPr>
                <w:b/>
                <w:color w:val="auto"/>
                <w:sz w:val="24"/>
              </w:rPr>
            </w:pPr>
            <w:r>
              <w:rPr>
                <w:b/>
                <w:color w:val="auto"/>
                <w:sz w:val="24"/>
              </w:rPr>
              <w:t>1、污染源及污染途径</w:t>
            </w:r>
          </w:p>
          <w:p w14:paraId="68C57638">
            <w:pPr>
              <w:adjustRightInd w:val="0"/>
              <w:snapToGrid w:val="0"/>
              <w:spacing w:line="360" w:lineRule="auto"/>
              <w:ind w:firstLine="480" w:firstLineChars="200"/>
              <w:rPr>
                <w:bCs/>
                <w:color w:val="auto"/>
                <w:sz w:val="24"/>
              </w:rPr>
            </w:pPr>
            <w:r>
              <w:rPr>
                <w:bCs/>
                <w:color w:val="auto"/>
                <w:sz w:val="24"/>
              </w:rPr>
              <w:t>本项目主要是通过危险废物</w:t>
            </w:r>
            <w:r>
              <w:rPr>
                <w:rFonts w:hint="eastAsia"/>
                <w:bCs/>
                <w:color w:val="auto"/>
                <w:sz w:val="24"/>
                <w:lang w:eastAsia="zh-CN"/>
              </w:rPr>
              <w:t>、</w:t>
            </w:r>
            <w:r>
              <w:rPr>
                <w:rFonts w:hint="eastAsia"/>
                <w:bCs/>
                <w:color w:val="auto"/>
                <w:sz w:val="24"/>
                <w:lang w:val="en-US" w:eastAsia="zh-CN"/>
              </w:rPr>
              <w:t>液体化学品</w:t>
            </w:r>
            <w:r>
              <w:rPr>
                <w:bCs/>
                <w:color w:val="auto"/>
                <w:sz w:val="24"/>
              </w:rPr>
              <w:t>等泄漏来影响地下水和土壤环境。其对地下水和土壤的污染途径主要有为危险废物等未采取防渗措施的地面上，可能对地下水和土壤造成影响。</w:t>
            </w:r>
          </w:p>
          <w:p w14:paraId="05AA3195">
            <w:pPr>
              <w:adjustRightInd w:val="0"/>
              <w:snapToGrid w:val="0"/>
              <w:spacing w:line="360" w:lineRule="auto"/>
              <w:ind w:firstLine="480" w:firstLineChars="200"/>
              <w:jc w:val="left"/>
              <w:rPr>
                <w:rFonts w:hint="eastAsia"/>
                <w:snapToGrid w:val="0"/>
                <w:color w:val="auto"/>
                <w:sz w:val="24"/>
                <w:szCs w:val="24"/>
                <w:lang w:val="en-US" w:eastAsia="zh-CN"/>
              </w:rPr>
            </w:pPr>
            <w:r>
              <w:rPr>
                <w:color w:val="auto"/>
                <w:sz w:val="24"/>
              </w:rPr>
              <w:t>项目在建设过程中，</w:t>
            </w:r>
            <w:r>
              <w:rPr>
                <w:bCs/>
                <w:color w:val="000000" w:themeColor="text1"/>
                <w14:textFill>
                  <w14:solidFill>
                    <w14:schemeClr w14:val="tx1"/>
                  </w14:solidFill>
                </w14:textFill>
              </w:rPr>
              <w:t>危废暂存间</w:t>
            </w: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辅料区、清洗区</w:t>
            </w:r>
            <w:r>
              <w:rPr>
                <w:color w:val="auto"/>
                <w:sz w:val="24"/>
              </w:rPr>
              <w:t>划分为重点防渗区。</w:t>
            </w:r>
            <w:r>
              <w:rPr>
                <w:rFonts w:hint="eastAsia"/>
                <w:color w:val="auto"/>
                <w:sz w:val="24"/>
                <w:lang w:val="en-US" w:eastAsia="zh-CN"/>
              </w:rPr>
              <w:t>危</w:t>
            </w:r>
            <w:r>
              <w:rPr>
                <w:rFonts w:hint="eastAsia"/>
                <w:snapToGrid w:val="0"/>
                <w:color w:val="auto"/>
                <w:sz w:val="24"/>
                <w:szCs w:val="24"/>
                <w:lang w:val="en-US" w:eastAsia="zh-CN"/>
              </w:rPr>
              <w:t>险废物暂存间设施地面与裙脚应采取表面防渗措施；表面防渗材料应与所接触的物料或污染物相容，可采用抗渗混凝土、高密度聚乙烯膜、钠基膨润土防水毯或其他防渗性能等效的材料。防渗层为至少1m 厚黏土层（渗透系数不大于10</w:t>
            </w:r>
            <w:r>
              <w:rPr>
                <w:rFonts w:hint="eastAsia"/>
                <w:snapToGrid w:val="0"/>
                <w:color w:val="auto"/>
                <w:sz w:val="24"/>
                <w:szCs w:val="24"/>
                <w:vertAlign w:val="superscript"/>
                <w:lang w:val="en-US" w:eastAsia="zh-CN"/>
              </w:rPr>
              <w:t>-7</w:t>
            </w:r>
            <w:r>
              <w:rPr>
                <w:rFonts w:hint="eastAsia"/>
                <w:snapToGrid w:val="0"/>
                <w:color w:val="auto"/>
                <w:sz w:val="24"/>
                <w:szCs w:val="24"/>
                <w:lang w:val="en-US" w:eastAsia="zh-CN"/>
              </w:rPr>
              <w:t>cm/s），或至少2mm厚高密度聚乙烯膜等人工防渗材料（渗透系数不大于10</w:t>
            </w:r>
            <w:r>
              <w:rPr>
                <w:rFonts w:hint="eastAsia"/>
                <w:snapToGrid w:val="0"/>
                <w:color w:val="auto"/>
                <w:sz w:val="24"/>
                <w:szCs w:val="24"/>
                <w:vertAlign w:val="superscript"/>
                <w:lang w:val="en-US" w:eastAsia="zh-CN"/>
              </w:rPr>
              <w:t>-10</w:t>
            </w:r>
            <w:r>
              <w:rPr>
                <w:rFonts w:hint="eastAsia"/>
                <w:snapToGrid w:val="0"/>
                <w:color w:val="auto"/>
                <w:sz w:val="24"/>
                <w:szCs w:val="24"/>
                <w:lang w:val="en-US" w:eastAsia="zh-CN"/>
              </w:rPr>
              <w:t>cm/s），或其他防渗性能等效的材料。</w:t>
            </w:r>
          </w:p>
          <w:p w14:paraId="36C4717B">
            <w:pPr>
              <w:adjustRightInd w:val="0"/>
              <w:snapToGrid w:val="0"/>
              <w:spacing w:line="360" w:lineRule="auto"/>
              <w:ind w:firstLine="480" w:firstLineChars="200"/>
              <w:jc w:val="left"/>
              <w:rPr>
                <w:rFonts w:hint="default" w:eastAsia="宋体"/>
                <w:color w:val="auto"/>
                <w:sz w:val="24"/>
                <w:szCs w:val="24"/>
                <w:lang w:val="en-US" w:eastAsia="zh-CN"/>
              </w:rPr>
            </w:pPr>
            <w:r>
              <w:rPr>
                <w:rFonts w:hint="eastAsia"/>
                <w:bCs/>
                <w:color w:val="000000" w:themeColor="text1"/>
                <w:lang w:val="en-US" w:eastAsia="zh-CN"/>
                <w14:textFill>
                  <w14:solidFill>
                    <w14:schemeClr w14:val="tx1"/>
                  </w14:solidFill>
                </w14:textFill>
              </w:rPr>
              <w:t>辅料区、清洗区</w:t>
            </w:r>
            <w:r>
              <w:rPr>
                <w:rFonts w:hint="eastAsia"/>
                <w:color w:val="auto"/>
                <w:sz w:val="24"/>
                <w:szCs w:val="24"/>
                <w:lang w:val="en-US" w:eastAsia="zh-CN"/>
              </w:rPr>
              <w:t>重点防渗区</w:t>
            </w:r>
            <w:r>
              <w:rPr>
                <w:color w:val="auto"/>
                <w:sz w:val="24"/>
                <w:szCs w:val="24"/>
              </w:rPr>
              <w:t>防渗层需满足</w:t>
            </w:r>
            <w:r>
              <w:rPr>
                <w:rFonts w:hint="default" w:ascii="Times New Roman" w:hAnsi="Times New Roman" w:eastAsia="宋体" w:cs="Times New Roman"/>
                <w:color w:val="auto"/>
                <w:sz w:val="24"/>
                <w:szCs w:val="24"/>
              </w:rPr>
              <w:t>等效黏土防渗层Mb≥6.0m，K≤1.0×10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cm/s；或参照GB 18598执行</w:t>
            </w:r>
            <w:r>
              <w:rPr>
                <w:color w:val="auto"/>
                <w:sz w:val="24"/>
                <w:szCs w:val="24"/>
              </w:rPr>
              <w:t>。</w:t>
            </w:r>
          </w:p>
          <w:p w14:paraId="59ECA3B9">
            <w:pPr>
              <w:adjustRightInd w:val="0"/>
              <w:snapToGrid w:val="0"/>
              <w:spacing w:line="360" w:lineRule="auto"/>
              <w:ind w:firstLine="480" w:firstLineChars="200"/>
              <w:rPr>
                <w:color w:val="auto"/>
                <w:sz w:val="24"/>
                <w:szCs w:val="24"/>
              </w:rPr>
            </w:pPr>
            <w:r>
              <w:rPr>
                <w:rFonts w:hint="eastAsia"/>
                <w:color w:val="auto"/>
                <w:sz w:val="24"/>
              </w:rPr>
              <w:t>生产车间</w:t>
            </w:r>
            <w:r>
              <w:rPr>
                <w:rFonts w:hint="eastAsia"/>
                <w:color w:val="auto"/>
                <w:sz w:val="24"/>
                <w:lang w:val="en-US" w:eastAsia="zh-CN"/>
              </w:rPr>
              <w:t>其他生产区域</w:t>
            </w:r>
            <w:r>
              <w:rPr>
                <w:rFonts w:hint="eastAsia"/>
                <w:color w:val="auto"/>
                <w:sz w:val="24"/>
              </w:rPr>
              <w:t>、一般固废暂存间等</w:t>
            </w:r>
            <w:r>
              <w:rPr>
                <w:color w:val="auto"/>
                <w:sz w:val="24"/>
              </w:rPr>
              <w:t>划分为一般防渗区，</w:t>
            </w:r>
            <w:r>
              <w:rPr>
                <w:snapToGrid w:val="0"/>
                <w:color w:val="auto"/>
                <w:sz w:val="24"/>
                <w:szCs w:val="24"/>
              </w:rPr>
              <w:t>防渗层需满足等效黏土防水层Mb≥</w:t>
            </w:r>
            <w:r>
              <w:rPr>
                <w:rFonts w:hint="eastAsia"/>
                <w:snapToGrid w:val="0"/>
                <w:color w:val="auto"/>
                <w:sz w:val="24"/>
                <w:szCs w:val="24"/>
                <w:lang w:val="en-US" w:eastAsia="zh-CN"/>
              </w:rPr>
              <w:t>1.5</w:t>
            </w:r>
            <w:r>
              <w:rPr>
                <w:snapToGrid w:val="0"/>
                <w:color w:val="auto"/>
                <w:sz w:val="24"/>
                <w:szCs w:val="24"/>
              </w:rPr>
              <w:t>m，K≤1.0×10</w:t>
            </w:r>
            <w:r>
              <w:rPr>
                <w:snapToGrid w:val="0"/>
                <w:color w:val="auto"/>
                <w:sz w:val="24"/>
                <w:szCs w:val="24"/>
                <w:vertAlign w:val="superscript"/>
              </w:rPr>
              <w:t>-7</w:t>
            </w:r>
            <w:r>
              <w:rPr>
                <w:snapToGrid w:val="0"/>
                <w:color w:val="auto"/>
                <w:sz w:val="24"/>
                <w:szCs w:val="24"/>
              </w:rPr>
              <w:t>cm/s</w:t>
            </w:r>
            <w:r>
              <w:rPr>
                <w:rFonts w:hint="eastAsia"/>
                <w:snapToGrid w:val="0"/>
                <w:color w:val="auto"/>
                <w:sz w:val="24"/>
                <w:szCs w:val="24"/>
                <w:lang w:eastAsia="zh-CN"/>
              </w:rPr>
              <w:t>，或参照GB 16889执行</w:t>
            </w:r>
            <w:r>
              <w:rPr>
                <w:color w:val="auto"/>
                <w:sz w:val="24"/>
                <w:szCs w:val="24"/>
              </w:rPr>
              <w:t>。</w:t>
            </w:r>
          </w:p>
          <w:p w14:paraId="61E9C7B2">
            <w:pPr>
              <w:adjustRightInd w:val="0"/>
              <w:snapToGrid w:val="0"/>
              <w:spacing w:line="360" w:lineRule="auto"/>
              <w:ind w:firstLine="480" w:firstLineChars="200"/>
              <w:rPr>
                <w:rFonts w:hint="default" w:eastAsia="宋体"/>
                <w:color w:val="auto"/>
                <w:sz w:val="24"/>
                <w:szCs w:val="24"/>
                <w:lang w:val="en-US" w:eastAsia="zh-CN"/>
              </w:rPr>
            </w:pPr>
            <w:r>
              <w:rPr>
                <w:rFonts w:hint="eastAsia"/>
                <w:color w:val="auto"/>
                <w:sz w:val="24"/>
                <w:szCs w:val="24"/>
                <w:lang w:val="en-US" w:eastAsia="zh-CN"/>
              </w:rPr>
              <w:t>办公区等为简单防渗，一般地面硬化。</w:t>
            </w:r>
          </w:p>
          <w:p w14:paraId="2F9702AB">
            <w:pPr>
              <w:pStyle w:val="79"/>
              <w:spacing w:line="360" w:lineRule="auto"/>
              <w:rPr>
                <w:color w:val="auto"/>
              </w:rPr>
            </w:pPr>
            <w:r>
              <w:rPr>
                <w:color w:val="auto"/>
              </w:rPr>
              <w:t>根据以上分区情况，对本项目场区防渗分区见下表。</w:t>
            </w:r>
          </w:p>
          <w:p w14:paraId="59EC2E2E">
            <w:pPr>
              <w:pStyle w:val="79"/>
              <w:spacing w:line="240" w:lineRule="auto"/>
              <w:ind w:firstLine="0" w:firstLineChars="0"/>
              <w:jc w:val="center"/>
              <w:rPr>
                <w:b/>
                <w:bCs/>
                <w:color w:val="auto"/>
              </w:rPr>
            </w:pPr>
            <w:r>
              <w:rPr>
                <w:b/>
                <w:bCs/>
                <w:color w:val="auto"/>
              </w:rPr>
              <w:t>表4-1</w:t>
            </w:r>
            <w:r>
              <w:rPr>
                <w:rFonts w:hint="eastAsia"/>
                <w:b/>
                <w:bCs/>
                <w:color w:val="auto"/>
                <w:lang w:val="en-US" w:eastAsia="zh-CN"/>
              </w:rPr>
              <w:t>6</w:t>
            </w:r>
            <w:r>
              <w:rPr>
                <w:b/>
                <w:bCs/>
                <w:color w:val="auto"/>
              </w:rPr>
              <w:t xml:space="preserve">  地下水污染防渗分区参照表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1386"/>
              <w:gridCol w:w="5181"/>
            </w:tblGrid>
            <w:tr w14:paraId="1E9F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dxa"/>
                  <w:noWrap w:val="0"/>
                  <w:vAlign w:val="center"/>
                </w:tcPr>
                <w:p w14:paraId="25800DEE">
                  <w:pPr>
                    <w:pStyle w:val="79"/>
                    <w:spacing w:line="240" w:lineRule="auto"/>
                    <w:ind w:firstLine="0" w:firstLineChars="0"/>
                    <w:jc w:val="center"/>
                    <w:rPr>
                      <w:b/>
                      <w:bCs/>
                      <w:color w:val="auto"/>
                      <w:sz w:val="21"/>
                      <w:szCs w:val="21"/>
                    </w:rPr>
                  </w:pPr>
                  <w:r>
                    <w:rPr>
                      <w:rFonts w:hint="eastAsia"/>
                      <w:b/>
                      <w:bCs/>
                      <w:color w:val="auto"/>
                      <w:sz w:val="21"/>
                      <w:szCs w:val="21"/>
                      <w:lang w:val="en-US" w:eastAsia="zh-CN"/>
                    </w:rPr>
                    <w:t>厂区</w:t>
                  </w:r>
                  <w:r>
                    <w:rPr>
                      <w:b/>
                      <w:bCs/>
                      <w:color w:val="auto"/>
                      <w:sz w:val="21"/>
                      <w:szCs w:val="21"/>
                    </w:rPr>
                    <w:t>内</w:t>
                  </w:r>
                </w:p>
                <w:p w14:paraId="247F2010">
                  <w:pPr>
                    <w:pStyle w:val="79"/>
                    <w:spacing w:line="240" w:lineRule="auto"/>
                    <w:ind w:firstLine="0" w:firstLineChars="0"/>
                    <w:jc w:val="center"/>
                    <w:rPr>
                      <w:b/>
                      <w:bCs/>
                      <w:color w:val="auto"/>
                      <w:sz w:val="21"/>
                      <w:szCs w:val="21"/>
                    </w:rPr>
                  </w:pPr>
                  <w:r>
                    <w:rPr>
                      <w:b/>
                      <w:bCs/>
                      <w:color w:val="auto"/>
                      <w:sz w:val="21"/>
                      <w:szCs w:val="21"/>
                    </w:rPr>
                    <w:t>建构筑物</w:t>
                  </w:r>
                </w:p>
              </w:tc>
              <w:tc>
                <w:tcPr>
                  <w:tcW w:w="1386" w:type="dxa"/>
                  <w:noWrap w:val="0"/>
                  <w:vAlign w:val="center"/>
                </w:tcPr>
                <w:p w14:paraId="7BD7C9F9">
                  <w:pPr>
                    <w:pStyle w:val="79"/>
                    <w:spacing w:line="240" w:lineRule="auto"/>
                    <w:ind w:firstLine="0" w:firstLineChars="0"/>
                    <w:jc w:val="center"/>
                    <w:rPr>
                      <w:b/>
                      <w:bCs/>
                      <w:color w:val="auto"/>
                      <w:sz w:val="21"/>
                      <w:szCs w:val="21"/>
                    </w:rPr>
                  </w:pPr>
                  <w:r>
                    <w:rPr>
                      <w:b/>
                      <w:bCs/>
                      <w:color w:val="auto"/>
                      <w:sz w:val="21"/>
                      <w:szCs w:val="21"/>
                    </w:rPr>
                    <w:t>防渗</w:t>
                  </w:r>
                </w:p>
                <w:p w14:paraId="62F342A7">
                  <w:pPr>
                    <w:pStyle w:val="79"/>
                    <w:spacing w:line="240" w:lineRule="auto"/>
                    <w:ind w:firstLine="0" w:firstLineChars="0"/>
                    <w:jc w:val="center"/>
                    <w:rPr>
                      <w:b/>
                      <w:bCs/>
                      <w:color w:val="auto"/>
                      <w:sz w:val="21"/>
                      <w:szCs w:val="21"/>
                    </w:rPr>
                  </w:pPr>
                  <w:r>
                    <w:rPr>
                      <w:b/>
                      <w:bCs/>
                      <w:color w:val="auto"/>
                      <w:sz w:val="21"/>
                      <w:szCs w:val="21"/>
                    </w:rPr>
                    <w:t>分区</w:t>
                  </w:r>
                </w:p>
              </w:tc>
              <w:tc>
                <w:tcPr>
                  <w:tcW w:w="5181" w:type="dxa"/>
                  <w:noWrap w:val="0"/>
                  <w:vAlign w:val="center"/>
                </w:tcPr>
                <w:p w14:paraId="7F2C76DD">
                  <w:pPr>
                    <w:pStyle w:val="79"/>
                    <w:spacing w:line="240" w:lineRule="auto"/>
                    <w:ind w:firstLine="0" w:firstLineChars="0"/>
                    <w:jc w:val="center"/>
                    <w:rPr>
                      <w:b/>
                      <w:bCs/>
                      <w:color w:val="auto"/>
                      <w:sz w:val="21"/>
                      <w:szCs w:val="21"/>
                    </w:rPr>
                  </w:pPr>
                  <w:r>
                    <w:rPr>
                      <w:b/>
                      <w:bCs/>
                      <w:color w:val="auto"/>
                      <w:sz w:val="21"/>
                      <w:szCs w:val="21"/>
                    </w:rPr>
                    <w:t>防渗技术要求</w:t>
                  </w:r>
                </w:p>
              </w:tc>
            </w:tr>
            <w:tr w14:paraId="2D57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dxa"/>
                  <w:noWrap w:val="0"/>
                  <w:vAlign w:val="center"/>
                </w:tcPr>
                <w:p w14:paraId="394BE306">
                  <w:pPr>
                    <w:pStyle w:val="79"/>
                    <w:spacing w:line="240" w:lineRule="auto"/>
                    <w:ind w:firstLine="0" w:firstLineChars="0"/>
                    <w:jc w:val="center"/>
                    <w:rPr>
                      <w:rFonts w:hint="default" w:eastAsia="宋体"/>
                      <w:color w:val="auto"/>
                      <w:sz w:val="21"/>
                      <w:szCs w:val="21"/>
                      <w:lang w:val="en-US" w:eastAsia="zh-CN"/>
                    </w:rPr>
                  </w:pPr>
                  <w:r>
                    <w:rPr>
                      <w:color w:val="auto"/>
                      <w:sz w:val="21"/>
                      <w:szCs w:val="21"/>
                    </w:rPr>
                    <w:t>危废暂存</w:t>
                  </w:r>
                  <w:r>
                    <w:rPr>
                      <w:rFonts w:hint="eastAsia"/>
                      <w:color w:val="auto"/>
                      <w:sz w:val="21"/>
                      <w:szCs w:val="21"/>
                    </w:rPr>
                    <w:t>间</w:t>
                  </w:r>
                </w:p>
              </w:tc>
              <w:tc>
                <w:tcPr>
                  <w:tcW w:w="1386" w:type="dxa"/>
                  <w:noWrap w:val="0"/>
                  <w:vAlign w:val="center"/>
                </w:tcPr>
                <w:p w14:paraId="3CB8CD93">
                  <w:pPr>
                    <w:pStyle w:val="79"/>
                    <w:spacing w:line="240" w:lineRule="auto"/>
                    <w:ind w:firstLine="0" w:firstLineChars="0"/>
                    <w:jc w:val="center"/>
                    <w:rPr>
                      <w:color w:val="auto"/>
                      <w:sz w:val="21"/>
                      <w:szCs w:val="21"/>
                    </w:rPr>
                  </w:pPr>
                  <w:r>
                    <w:rPr>
                      <w:color w:val="auto"/>
                      <w:sz w:val="21"/>
                      <w:szCs w:val="21"/>
                    </w:rPr>
                    <w:t>重点防渗区</w:t>
                  </w:r>
                </w:p>
              </w:tc>
              <w:tc>
                <w:tcPr>
                  <w:tcW w:w="5181" w:type="dxa"/>
                  <w:noWrap w:val="0"/>
                  <w:vAlign w:val="center"/>
                </w:tcPr>
                <w:p w14:paraId="548E51D2">
                  <w:pPr>
                    <w:pStyle w:val="79"/>
                    <w:spacing w:line="240" w:lineRule="auto"/>
                    <w:ind w:firstLine="0" w:firstLineChars="0"/>
                    <w:jc w:val="center"/>
                    <w:rPr>
                      <w:color w:val="auto"/>
                      <w:sz w:val="21"/>
                      <w:szCs w:val="21"/>
                    </w:rPr>
                  </w:pPr>
                  <w:r>
                    <w:rPr>
                      <w:rFonts w:hint="default" w:ascii="Times New Roman" w:hAnsi="Times New Roman" w:eastAsia="宋体" w:cs="Times New Roman"/>
                      <w:color w:val="auto"/>
                      <w:sz w:val="21"/>
                      <w:szCs w:val="21"/>
                    </w:rPr>
                    <w:t>可采用抗渗混凝土、高密度聚乙烯膜、钠基膨润土防水毯或其他防渗性能等效的材料。防渗层为至少1m 厚黏土层（渗透系数不大于10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cm/s），或至少2mm厚高密度聚乙烯膜等人工防渗材料（渗透系数不大于10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cm/s），或其他防渗性能等效的材料</w:t>
                  </w:r>
                </w:p>
              </w:tc>
            </w:tr>
            <w:tr w14:paraId="1497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dxa"/>
                  <w:noWrap w:val="0"/>
                  <w:vAlign w:val="center"/>
                </w:tcPr>
                <w:p w14:paraId="32298193">
                  <w:pPr>
                    <w:pStyle w:val="79"/>
                    <w:spacing w:line="240" w:lineRule="auto"/>
                    <w:ind w:firstLine="0" w:firstLineChars="0"/>
                    <w:jc w:val="center"/>
                    <w:rPr>
                      <w:rFonts w:hint="default"/>
                      <w:color w:val="auto"/>
                      <w:sz w:val="21"/>
                      <w:szCs w:val="21"/>
                      <w:lang w:val="en-US"/>
                    </w:rPr>
                  </w:pPr>
                  <w:r>
                    <w:rPr>
                      <w:rFonts w:hint="default"/>
                      <w:color w:val="auto"/>
                      <w:sz w:val="21"/>
                      <w:szCs w:val="21"/>
                      <w:lang w:val="en-US" w:eastAsia="zh-CN"/>
                    </w:rPr>
                    <w:t>辅料区、清洗区</w:t>
                  </w:r>
                </w:p>
              </w:tc>
              <w:tc>
                <w:tcPr>
                  <w:tcW w:w="1386" w:type="dxa"/>
                  <w:noWrap w:val="0"/>
                  <w:vAlign w:val="center"/>
                </w:tcPr>
                <w:p w14:paraId="28A665B7">
                  <w:pPr>
                    <w:pStyle w:val="79"/>
                    <w:spacing w:line="240" w:lineRule="auto"/>
                    <w:ind w:firstLine="0" w:firstLineChars="0"/>
                    <w:jc w:val="center"/>
                    <w:rPr>
                      <w:color w:val="auto"/>
                      <w:sz w:val="21"/>
                      <w:szCs w:val="21"/>
                    </w:rPr>
                  </w:pPr>
                  <w:r>
                    <w:rPr>
                      <w:color w:val="auto"/>
                      <w:sz w:val="21"/>
                      <w:szCs w:val="21"/>
                    </w:rPr>
                    <w:t>重点防渗区</w:t>
                  </w:r>
                </w:p>
              </w:tc>
              <w:tc>
                <w:tcPr>
                  <w:tcW w:w="5181" w:type="dxa"/>
                  <w:noWrap w:val="0"/>
                  <w:vAlign w:val="center"/>
                </w:tcPr>
                <w:p w14:paraId="6DA084FF">
                  <w:pPr>
                    <w:pStyle w:val="79"/>
                    <w:spacing w:line="240" w:lineRule="auto"/>
                    <w:ind w:firstLine="0" w:firstLineChars="0"/>
                    <w:jc w:val="center"/>
                    <w:rPr>
                      <w:color w:val="auto"/>
                      <w:sz w:val="21"/>
                      <w:szCs w:val="21"/>
                    </w:rPr>
                  </w:pPr>
                  <w:r>
                    <w:rPr>
                      <w:rFonts w:hint="default" w:ascii="Times New Roman" w:hAnsi="Times New Roman" w:eastAsia="宋体" w:cs="Times New Roman"/>
                      <w:color w:val="auto"/>
                      <w:sz w:val="21"/>
                      <w:szCs w:val="21"/>
                    </w:rPr>
                    <w:t>等效黏土防渗层Mb≥6.0m，K≤1.0×10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cm/s；或参照GB 18598执行</w:t>
                  </w:r>
                </w:p>
              </w:tc>
            </w:tr>
            <w:tr w14:paraId="5E8D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dxa"/>
                  <w:noWrap w:val="0"/>
                  <w:vAlign w:val="center"/>
                </w:tcPr>
                <w:p w14:paraId="267D486D">
                  <w:pPr>
                    <w:pStyle w:val="79"/>
                    <w:spacing w:line="240" w:lineRule="auto"/>
                    <w:ind w:firstLine="0" w:firstLineChars="0"/>
                    <w:jc w:val="center"/>
                    <w:rPr>
                      <w:rFonts w:hint="eastAsia" w:eastAsia="宋体"/>
                      <w:color w:val="auto"/>
                      <w:sz w:val="21"/>
                      <w:szCs w:val="21"/>
                      <w:lang w:val="en-US" w:eastAsia="zh-CN"/>
                    </w:rPr>
                  </w:pPr>
                  <w:r>
                    <w:rPr>
                      <w:color w:val="auto"/>
                      <w:sz w:val="21"/>
                      <w:szCs w:val="21"/>
                    </w:rPr>
                    <w:t>生产车间</w:t>
                  </w:r>
                  <w:r>
                    <w:rPr>
                      <w:rFonts w:hint="eastAsia"/>
                      <w:color w:val="auto"/>
                      <w:sz w:val="21"/>
                      <w:szCs w:val="21"/>
                      <w:lang w:val="en-US" w:eastAsia="zh-CN"/>
                    </w:rPr>
                    <w:t>其他区域</w:t>
                  </w:r>
                  <w:r>
                    <w:rPr>
                      <w:rFonts w:hint="eastAsia"/>
                      <w:color w:val="auto"/>
                      <w:sz w:val="21"/>
                      <w:szCs w:val="21"/>
                      <w:lang w:eastAsia="zh-CN"/>
                    </w:rPr>
                    <w:t>、</w:t>
                  </w:r>
                  <w:r>
                    <w:rPr>
                      <w:rFonts w:hint="eastAsia"/>
                      <w:color w:val="auto"/>
                      <w:sz w:val="21"/>
                      <w:szCs w:val="21"/>
                      <w:lang w:val="en-US" w:eastAsia="zh-CN"/>
                    </w:rPr>
                    <w:t>一般固废暂存间等</w:t>
                  </w:r>
                </w:p>
              </w:tc>
              <w:tc>
                <w:tcPr>
                  <w:tcW w:w="1386" w:type="dxa"/>
                  <w:noWrap w:val="0"/>
                  <w:vAlign w:val="center"/>
                </w:tcPr>
                <w:p w14:paraId="0C43250D">
                  <w:pPr>
                    <w:pStyle w:val="79"/>
                    <w:spacing w:line="240" w:lineRule="auto"/>
                    <w:ind w:firstLine="0" w:firstLineChars="0"/>
                    <w:jc w:val="center"/>
                    <w:rPr>
                      <w:color w:val="auto"/>
                      <w:sz w:val="21"/>
                      <w:szCs w:val="21"/>
                    </w:rPr>
                  </w:pPr>
                  <w:r>
                    <w:rPr>
                      <w:color w:val="auto"/>
                      <w:sz w:val="21"/>
                      <w:szCs w:val="21"/>
                    </w:rPr>
                    <w:t>一般防渗区</w:t>
                  </w:r>
                </w:p>
              </w:tc>
              <w:tc>
                <w:tcPr>
                  <w:tcW w:w="5181" w:type="dxa"/>
                  <w:noWrap w:val="0"/>
                  <w:vAlign w:val="center"/>
                </w:tcPr>
                <w:p w14:paraId="26327970">
                  <w:pPr>
                    <w:pStyle w:val="79"/>
                    <w:spacing w:line="240" w:lineRule="auto"/>
                    <w:ind w:firstLine="0" w:firstLineChars="0"/>
                    <w:jc w:val="center"/>
                    <w:rPr>
                      <w:color w:val="auto"/>
                      <w:sz w:val="21"/>
                      <w:szCs w:val="21"/>
                    </w:rPr>
                  </w:pPr>
                  <w:r>
                    <w:rPr>
                      <w:rFonts w:hint="default" w:ascii="Times New Roman" w:hAnsi="Times New Roman" w:eastAsia="宋体" w:cs="Times New Roman"/>
                      <w:color w:val="auto"/>
                      <w:sz w:val="21"/>
                      <w:szCs w:val="21"/>
                    </w:rPr>
                    <w:t>等效黏土防水层Mb≥1.5m，K≤1.0×10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或参照GB 1</w:t>
                  </w:r>
                  <w:r>
                    <w:rPr>
                      <w:rFonts w:hint="default" w:ascii="Times New Roman" w:hAnsi="Times New Roman" w:eastAsia="宋体" w:cs="Times New Roman"/>
                      <w:color w:val="auto"/>
                      <w:sz w:val="21"/>
                      <w:szCs w:val="21"/>
                      <w:lang w:val="en-US" w:eastAsia="zh-CN"/>
                    </w:rPr>
                    <w:t>6889</w:t>
                  </w:r>
                  <w:r>
                    <w:rPr>
                      <w:rFonts w:hint="default" w:ascii="Times New Roman" w:hAnsi="Times New Roman" w:eastAsia="宋体" w:cs="Times New Roman"/>
                      <w:color w:val="auto"/>
                      <w:sz w:val="21"/>
                      <w:szCs w:val="21"/>
                    </w:rPr>
                    <w:t>执行</w:t>
                  </w:r>
                </w:p>
              </w:tc>
            </w:tr>
            <w:tr w14:paraId="2649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8" w:type="dxa"/>
                  <w:noWrap w:val="0"/>
                  <w:vAlign w:val="center"/>
                </w:tcPr>
                <w:p w14:paraId="2BF053FA">
                  <w:pPr>
                    <w:pStyle w:val="79"/>
                    <w:spacing w:line="240" w:lineRule="auto"/>
                    <w:ind w:firstLine="0" w:firstLineChars="0"/>
                    <w:jc w:val="center"/>
                    <w:rPr>
                      <w:rFonts w:hint="eastAsia" w:eastAsia="宋体"/>
                      <w:color w:val="auto"/>
                      <w:sz w:val="21"/>
                      <w:szCs w:val="21"/>
                      <w:lang w:eastAsia="zh-CN"/>
                    </w:rPr>
                  </w:pPr>
                  <w:r>
                    <w:rPr>
                      <w:color w:val="auto"/>
                      <w:sz w:val="21"/>
                      <w:szCs w:val="21"/>
                    </w:rPr>
                    <w:t>办公</w:t>
                  </w:r>
                  <w:r>
                    <w:rPr>
                      <w:rFonts w:hint="eastAsia"/>
                      <w:color w:val="auto"/>
                      <w:sz w:val="21"/>
                      <w:szCs w:val="21"/>
                      <w:lang w:val="en-US" w:eastAsia="zh-CN"/>
                    </w:rPr>
                    <w:t>室</w:t>
                  </w:r>
                </w:p>
              </w:tc>
              <w:tc>
                <w:tcPr>
                  <w:tcW w:w="1386" w:type="dxa"/>
                  <w:noWrap w:val="0"/>
                  <w:vAlign w:val="center"/>
                </w:tcPr>
                <w:p w14:paraId="154819BC">
                  <w:pPr>
                    <w:pStyle w:val="79"/>
                    <w:spacing w:line="240" w:lineRule="auto"/>
                    <w:ind w:firstLine="0" w:firstLineChars="0"/>
                    <w:jc w:val="center"/>
                    <w:rPr>
                      <w:color w:val="auto"/>
                      <w:sz w:val="21"/>
                      <w:szCs w:val="21"/>
                    </w:rPr>
                  </w:pPr>
                  <w:r>
                    <w:rPr>
                      <w:color w:val="auto"/>
                      <w:sz w:val="21"/>
                      <w:szCs w:val="21"/>
                    </w:rPr>
                    <w:t>简单防渗区</w:t>
                  </w:r>
                </w:p>
              </w:tc>
              <w:tc>
                <w:tcPr>
                  <w:tcW w:w="5181" w:type="dxa"/>
                  <w:noWrap w:val="0"/>
                  <w:vAlign w:val="center"/>
                </w:tcPr>
                <w:p w14:paraId="0B28EE36">
                  <w:pPr>
                    <w:pStyle w:val="79"/>
                    <w:spacing w:line="240" w:lineRule="auto"/>
                    <w:ind w:firstLine="0" w:firstLineChars="0"/>
                    <w:jc w:val="center"/>
                    <w:rPr>
                      <w:color w:val="auto"/>
                      <w:sz w:val="21"/>
                      <w:szCs w:val="21"/>
                    </w:rPr>
                  </w:pPr>
                  <w:r>
                    <w:rPr>
                      <w:color w:val="auto"/>
                      <w:sz w:val="21"/>
                      <w:szCs w:val="21"/>
                    </w:rPr>
                    <w:t>一般地面硬化</w:t>
                  </w:r>
                </w:p>
              </w:tc>
            </w:tr>
          </w:tbl>
          <w:p w14:paraId="36E0215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color w:val="000000" w:themeColor="text1"/>
                <w:lang w:eastAsia="zh-CN"/>
                <w14:textFill>
                  <w14:solidFill>
                    <w14:schemeClr w14:val="tx1"/>
                  </w14:solidFill>
                </w14:textFill>
              </w:rPr>
            </w:pPr>
            <w:r>
              <w:rPr>
                <w:rFonts w:hint="eastAsia"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六、环境生态</w:t>
            </w:r>
          </w:p>
          <w:p w14:paraId="4A6BDE9B">
            <w:pPr>
              <w:pStyle w:val="8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项目位于</w:t>
            </w:r>
            <w:r>
              <w:rPr>
                <w:rFonts w:hint="eastAsia"/>
                <w:color w:val="000000" w:themeColor="text1"/>
                <w:lang w:eastAsia="zh-CN"/>
                <w14:textFill>
                  <w14:solidFill>
                    <w14:schemeClr w14:val="tx1"/>
                  </w14:solidFill>
                </w14:textFill>
              </w:rPr>
              <w:t>安徽省宿州市泗县经济开发区泗县强宇体育设施公司2#厂房</w:t>
            </w:r>
            <w:r>
              <w:rPr>
                <w:rFonts w:hint="eastAsia"/>
                <w:color w:val="000000" w:themeColor="text1"/>
                <w14:textFill>
                  <w14:solidFill>
                    <w14:schemeClr w14:val="tx1"/>
                  </w14:solidFill>
                </w14:textFill>
              </w:rPr>
              <w:t>，属于工业用地，用地范围内不含生态环境保护目标，故不对生态环境进行影响分析</w:t>
            </w:r>
          </w:p>
          <w:p w14:paraId="189EA7E8">
            <w:pPr>
              <w:adjustRightInd w:val="0"/>
              <w:snapToGrid w:val="0"/>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七、环境风险</w:t>
            </w:r>
          </w:p>
          <w:p w14:paraId="37C66232">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环境风险评价是对项目建设和运营期间发生的可预测突发事件（一般不包括人为破坏和自然灾害）或事故引起有毒有害、易燃易爆等物质泄露，或突发事件产生的新的有毒有害物质，所造成的人身安全和环境的影响进行评估，并提出防范、应急与缓解措施。根据《建设项目环境风险评价技术导则》（HJ 169-2018）的要求，本次环评将着重从风险识别、源项分析、事故后果分析、事故防范措施、事故应急预案等方面对本项目存在的环境风险进行评价；再根据评价结果，对项目提出可行的风险防范措施和建议，达到降低风险性、危害程度，保护环境之目的。</w:t>
            </w:r>
          </w:p>
          <w:p w14:paraId="6E3CC2A3">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本次环境风险评价重点主要对项目运营期间可能存在的危险、有害因素进行分析，并对可能发生的突发性事件及事故所造成的人身安全与环境影响、损害程度，提出合理可行的防范、应急与减缓措施。</w:t>
            </w:r>
          </w:p>
          <w:p w14:paraId="0A5269B5">
            <w:pPr>
              <w:pStyle w:val="8"/>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风险调查</w:t>
            </w:r>
          </w:p>
          <w:p w14:paraId="3DD664B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根据调查，项目运营过程中涉及的危险物质</w:t>
            </w:r>
            <w:r>
              <w:rPr>
                <w:rFonts w:hint="eastAsia"/>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切削液、润滑油、废切削液、废润滑油、天然气等</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切削液、润滑油储存在辅料区，废切削液、废润滑油等暂存在危险废物暂存间</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以上场所均</w:t>
            </w:r>
            <w:r>
              <w:rPr>
                <w:color w:val="000000" w:themeColor="text1"/>
                <w14:textFill>
                  <w14:solidFill>
                    <w14:schemeClr w14:val="tx1"/>
                  </w14:solidFill>
                </w14:textFill>
              </w:rPr>
              <w:t>具有防风、防雨、防晒、</w:t>
            </w:r>
            <w:r>
              <w:rPr>
                <w:rFonts w:hint="eastAsia"/>
                <w:color w:val="000000" w:themeColor="text1"/>
                <w14:textFill>
                  <w14:solidFill>
                    <w14:schemeClr w14:val="tx1"/>
                  </w14:solidFill>
                </w14:textFill>
              </w:rPr>
              <w:t>防</w:t>
            </w:r>
            <w:r>
              <w:rPr>
                <w:color w:val="000000" w:themeColor="text1"/>
                <w14:textFill>
                  <w14:solidFill>
                    <w14:schemeClr w14:val="tx1"/>
                  </w14:solidFill>
                </w14:textFill>
              </w:rPr>
              <w:t>渗漏措施，并设禁火标识，可能影响环境的途径为运输及场内贮存不当而导致泄漏至包装外。</w:t>
            </w:r>
          </w:p>
          <w:p w14:paraId="218148B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2、环境风险评价的依据</w:t>
            </w:r>
          </w:p>
          <w:p w14:paraId="10BA8F6D">
            <w:pPr>
              <w:pStyle w:val="8"/>
              <w:spacing w:line="360" w:lineRule="auto"/>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根据</w:t>
            </w:r>
            <w:r>
              <w:rPr>
                <w:color w:val="000000" w:themeColor="text1"/>
                <w:sz w:val="24"/>
                <w14:textFill>
                  <w14:solidFill>
                    <w14:schemeClr w14:val="tx1"/>
                  </w14:solidFill>
                </w14:textFill>
              </w:rPr>
              <w:t>《建设项目环境风险评价技术导则》（HJ169-2018），建设项目环境风险潜势划分为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III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IV</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IV</w:t>
            </w:r>
            <w:r>
              <w:rPr>
                <w:color w:val="000000" w:themeColor="text1"/>
                <w:sz w:val="24"/>
                <w14:textFill>
                  <w14:solidFill>
                    <w14:schemeClr w14:val="tx1"/>
                  </w14:solidFill>
                </w14:textFill>
              </w:rPr>
              <w:fldChar w:fldCharType="end"/>
            </w:r>
            <w:r>
              <w:rPr>
                <w:rFonts w:hint="eastAsia"/>
                <w:color w:val="000000" w:themeColor="text1"/>
                <w:sz w:val="24"/>
                <w:vertAlign w:val="superscript"/>
                <w:lang w:val="en-US" w:eastAsia="zh-CN"/>
                <w14:textFill>
                  <w14:solidFill>
                    <w14:schemeClr w14:val="tx1"/>
                  </w14:solidFill>
                </w14:textFill>
              </w:rPr>
              <w:t>+</w:t>
            </w:r>
            <w:r>
              <w:rPr>
                <w:color w:val="000000" w:themeColor="text1"/>
                <w:sz w:val="24"/>
                <w14:textFill>
                  <w14:solidFill>
                    <w14:schemeClr w14:val="tx1"/>
                  </w14:solidFill>
                </w14:textFill>
              </w:rPr>
              <w:t>级，且当危险物质数量与临界量的比值Q</w:t>
            </w:r>
            <w:r>
              <w:rPr>
                <w:rFonts w:hint="default" w:ascii="Times New Roman" w:hAnsi="Times New Roman"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1时，环境风险潜势为</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ROMAN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I</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，可开展简单分析。</w:t>
            </w:r>
          </w:p>
          <w:p w14:paraId="4B6D7B2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危险物质数量与临界量比值（Q）：</w:t>
            </w:r>
          </w:p>
          <w:p w14:paraId="4413ED89">
            <w:pPr>
              <w:adjustRightInd w:val="0"/>
              <w:snapToGrid w:val="0"/>
              <w:spacing w:line="360" w:lineRule="auto"/>
              <w:ind w:firstLine="480" w:firstLineChars="200"/>
              <w:rPr>
                <w:color w:val="000000" w:themeColor="text1"/>
                <w14:textFill>
                  <w14:solidFill>
                    <w14:schemeClr w14:val="tx1"/>
                  </w14:solidFill>
                </w14:textFill>
              </w:rPr>
            </w:pPr>
            <w:r>
              <w:rPr>
                <w:rFonts w:hint="eastAsia"/>
                <w:bCs/>
                <w:color w:val="000000" w:themeColor="text1"/>
                <w14:textFill>
                  <w14:solidFill>
                    <w14:schemeClr w14:val="tx1"/>
                  </w14:solidFill>
                </w14:textFill>
              </w:rPr>
              <w:t>对照《建设项目环境风险评价技术导则》（HJ169-2018）附录B</w:t>
            </w:r>
            <w:r>
              <w:rPr>
                <w:color w:val="000000" w:themeColor="text1"/>
                <w14:textFill>
                  <w14:solidFill>
                    <w14:schemeClr w14:val="tx1"/>
                  </w14:solidFill>
                </w14:textFill>
              </w:rPr>
              <w:t>计算所涉及的每种危险物质在厂界内的最大存在总量与其在《建设项目环境风险评价技术导则》（HJ169-2018）附录B中对应临界量的比值Q。在不同厂区的同一种物质，按其在厂界内的最大存在总量计算。</w:t>
            </w:r>
          </w:p>
          <w:p w14:paraId="271D52DA">
            <w:pPr>
              <w:spacing w:line="360" w:lineRule="auto"/>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当只涉及一种危险物质时，计算该物质的总量与其临界量比值，即为 Q；</w:t>
            </w:r>
          </w:p>
          <w:p w14:paraId="55F77F46">
            <w:pPr>
              <w:spacing w:line="360" w:lineRule="auto"/>
              <w:ind w:firstLine="480" w:firstLineChars="200"/>
              <w:rPr>
                <w:color w:val="000000" w:themeColor="text1"/>
                <w14:textFill>
                  <w14:solidFill>
                    <w14:schemeClr w14:val="tx1"/>
                  </w14:solidFill>
                </w14:textFill>
              </w:rPr>
            </w:pPr>
            <w:r>
              <w:rPr>
                <w:color w:val="000000" w:themeColor="text1"/>
                <w:kern w:val="0"/>
                <w14:textFill>
                  <w14:solidFill>
                    <w14:schemeClr w14:val="tx1"/>
                  </w14:solidFill>
                </w14:textFill>
              </w:rPr>
              <w:t>当存在多种危险物质时，则按下式计算物质总量与其临界量比值（Q）：</w:t>
            </w:r>
          </w:p>
          <w:p w14:paraId="31744464">
            <w:pPr>
              <w:jc w:val="center"/>
              <w:rPr>
                <w:color w:val="000000" w:themeColor="text1"/>
                <w14:textFill>
                  <w14:solidFill>
                    <w14:schemeClr w14:val="tx1"/>
                  </w14:solidFill>
                </w14:textFill>
              </w:rPr>
            </w:pPr>
            <w:r>
              <w:rPr>
                <w:color w:val="000000" w:themeColor="text1"/>
                <w:position w:val="-30"/>
                <w14:textFill>
                  <w14:solidFill>
                    <w14:schemeClr w14:val="tx1"/>
                  </w14:solidFill>
                </w14:textFill>
              </w:rPr>
              <w:object>
                <v:shape id="_x0000_i1026" o:spt="75" type="#_x0000_t75" style="height:33.6pt;width:110.4pt;" o:ole="t" filled="f" o:preferrelative="t" stroked="f" coordsize="21600,21600">
                  <v:path/>
                  <v:fill on="f" focussize="0,0"/>
                  <v:stroke on="f" joinstyle="miter"/>
                  <v:imagedata r:id="rId30" o:title=""/>
                  <o:lock v:ext="edit" aspectratio="t"/>
                  <w10:wrap type="none"/>
                  <w10:anchorlock/>
                </v:shape>
                <o:OLEObject Type="Embed" ProgID="Equation.KSEE3" ShapeID="_x0000_i1026" DrawAspect="Content" ObjectID="_1468075726" r:id="rId29">
                  <o:LockedField>false</o:LockedField>
                </o:OLEObject>
              </w:object>
            </w:r>
          </w:p>
          <w:p w14:paraId="205A06E8">
            <w:pPr>
              <w:spacing w:line="360" w:lineRule="auto"/>
              <w:ind w:firstLine="480"/>
              <w:rPr>
                <w:color w:val="000000" w:themeColor="text1"/>
                <w:spacing w:val="-7"/>
                <w:kern w:val="0"/>
                <w14:textFill>
                  <w14:solidFill>
                    <w14:schemeClr w14:val="tx1"/>
                  </w14:solidFill>
                </w14:textFill>
              </w:rPr>
            </w:pPr>
            <w:r>
              <w:rPr>
                <w:color w:val="000000" w:themeColor="text1"/>
                <w:spacing w:val="-7"/>
                <w:kern w:val="0"/>
                <w14:textFill>
                  <w14:solidFill>
                    <w14:schemeClr w14:val="tx1"/>
                  </w14:solidFill>
                </w14:textFill>
              </w:rPr>
              <w:t>式中：</w:t>
            </w:r>
            <w:r>
              <w:rPr>
                <w:i/>
                <w:iCs/>
                <w:color w:val="000000" w:themeColor="text1"/>
                <w:spacing w:val="-7"/>
                <w:kern w:val="0"/>
                <w14:textFill>
                  <w14:solidFill>
                    <w14:schemeClr w14:val="tx1"/>
                  </w14:solidFill>
                </w14:textFill>
              </w:rPr>
              <w:t>q</w:t>
            </w:r>
            <w:r>
              <w:rPr>
                <w:i/>
                <w:iCs/>
                <w:color w:val="000000" w:themeColor="text1"/>
                <w:spacing w:val="-7"/>
                <w:kern w:val="0"/>
                <w:vertAlign w:val="subscript"/>
                <w14:textFill>
                  <w14:solidFill>
                    <w14:schemeClr w14:val="tx1"/>
                  </w14:solidFill>
                </w14:textFill>
              </w:rPr>
              <w:t>1</w:t>
            </w:r>
            <w:r>
              <w:rPr>
                <w:i/>
                <w:iCs/>
                <w:color w:val="000000" w:themeColor="text1"/>
                <w:spacing w:val="-7"/>
                <w:kern w:val="0"/>
                <w14:textFill>
                  <w14:solidFill>
                    <w14:schemeClr w14:val="tx1"/>
                  </w14:solidFill>
                </w14:textFill>
              </w:rPr>
              <w:t>，q</w:t>
            </w:r>
            <w:r>
              <w:rPr>
                <w:i/>
                <w:iCs/>
                <w:color w:val="000000" w:themeColor="text1"/>
                <w:spacing w:val="-7"/>
                <w:kern w:val="0"/>
                <w:vertAlign w:val="subscript"/>
                <w14:textFill>
                  <w14:solidFill>
                    <w14:schemeClr w14:val="tx1"/>
                  </w14:solidFill>
                </w14:textFill>
              </w:rPr>
              <w:t>2</w:t>
            </w:r>
            <w:r>
              <w:rPr>
                <w:i/>
                <w:iCs/>
                <w:color w:val="000000" w:themeColor="text1"/>
                <w:spacing w:val="-7"/>
                <w:kern w:val="0"/>
                <w14:textFill>
                  <w14:solidFill>
                    <w14:schemeClr w14:val="tx1"/>
                  </w14:solidFill>
                </w14:textFill>
              </w:rPr>
              <w:t>，...，q</w:t>
            </w:r>
            <w:r>
              <w:rPr>
                <w:i/>
                <w:iCs/>
                <w:color w:val="000000" w:themeColor="text1"/>
                <w:spacing w:val="-7"/>
                <w:kern w:val="0"/>
                <w:vertAlign w:val="subscript"/>
                <w14:textFill>
                  <w14:solidFill>
                    <w14:schemeClr w14:val="tx1"/>
                  </w14:solidFill>
                </w14:textFill>
              </w:rPr>
              <w:t>n</w:t>
            </w:r>
            <w:r>
              <w:rPr>
                <w:color w:val="000000" w:themeColor="text1"/>
                <w:spacing w:val="-7"/>
                <w:kern w:val="0"/>
                <w14:textFill>
                  <w14:solidFill>
                    <w14:schemeClr w14:val="tx1"/>
                  </w14:solidFill>
                </w14:textFill>
              </w:rPr>
              <w:t>——每种危险物质的最大存在总量，t；</w:t>
            </w:r>
          </w:p>
          <w:p w14:paraId="25C6E816">
            <w:pPr>
              <w:spacing w:line="360" w:lineRule="auto"/>
              <w:ind w:firstLine="480"/>
              <w:rPr>
                <w:color w:val="000000" w:themeColor="text1"/>
                <w:spacing w:val="-7"/>
                <w:kern w:val="0"/>
                <w14:textFill>
                  <w14:solidFill>
                    <w14:schemeClr w14:val="tx1"/>
                  </w14:solidFill>
                </w14:textFill>
              </w:rPr>
            </w:pPr>
            <w:r>
              <w:rPr>
                <w:i/>
                <w:iCs/>
                <w:color w:val="000000" w:themeColor="text1"/>
                <w:spacing w:val="-7"/>
                <w:kern w:val="0"/>
                <w14:textFill>
                  <w14:solidFill>
                    <w14:schemeClr w14:val="tx1"/>
                  </w14:solidFill>
                </w14:textFill>
              </w:rPr>
              <w:t>Q</w:t>
            </w:r>
            <w:r>
              <w:rPr>
                <w:i/>
                <w:iCs/>
                <w:color w:val="000000" w:themeColor="text1"/>
                <w:spacing w:val="-7"/>
                <w:kern w:val="0"/>
                <w:vertAlign w:val="subscript"/>
                <w14:textFill>
                  <w14:solidFill>
                    <w14:schemeClr w14:val="tx1"/>
                  </w14:solidFill>
                </w14:textFill>
              </w:rPr>
              <w:t>1</w:t>
            </w:r>
            <w:r>
              <w:rPr>
                <w:i/>
                <w:iCs/>
                <w:color w:val="000000" w:themeColor="text1"/>
                <w:spacing w:val="-7"/>
                <w:kern w:val="0"/>
                <w14:textFill>
                  <w14:solidFill>
                    <w14:schemeClr w14:val="tx1"/>
                  </w14:solidFill>
                </w14:textFill>
              </w:rPr>
              <w:t>, Q</w:t>
            </w:r>
            <w:r>
              <w:rPr>
                <w:i/>
                <w:iCs/>
                <w:color w:val="000000" w:themeColor="text1"/>
                <w:spacing w:val="-7"/>
                <w:kern w:val="0"/>
                <w:vertAlign w:val="subscript"/>
                <w14:textFill>
                  <w14:solidFill>
                    <w14:schemeClr w14:val="tx1"/>
                  </w14:solidFill>
                </w14:textFill>
              </w:rPr>
              <w:t>2</w:t>
            </w:r>
            <w:r>
              <w:rPr>
                <w:i/>
                <w:iCs/>
                <w:color w:val="000000" w:themeColor="text1"/>
                <w:spacing w:val="-7"/>
                <w:kern w:val="0"/>
                <w14:textFill>
                  <w14:solidFill>
                    <w14:schemeClr w14:val="tx1"/>
                  </w14:solidFill>
                </w14:textFill>
              </w:rPr>
              <w:t>, ..., Q</w:t>
            </w:r>
            <w:r>
              <w:rPr>
                <w:i/>
                <w:iCs/>
                <w:color w:val="000000" w:themeColor="text1"/>
                <w:spacing w:val="-7"/>
                <w:kern w:val="0"/>
                <w:vertAlign w:val="subscript"/>
                <w14:textFill>
                  <w14:solidFill>
                    <w14:schemeClr w14:val="tx1"/>
                  </w14:solidFill>
                </w14:textFill>
              </w:rPr>
              <w:t>n</w:t>
            </w:r>
            <w:r>
              <w:rPr>
                <w:color w:val="000000" w:themeColor="text1"/>
                <w:spacing w:val="-7"/>
                <w:kern w:val="0"/>
                <w14:textFill>
                  <w14:solidFill>
                    <w14:schemeClr w14:val="tx1"/>
                  </w14:solidFill>
                </w14:textFill>
              </w:rPr>
              <w:t>——每种危险物质的临界量，t。</w:t>
            </w:r>
          </w:p>
          <w:p w14:paraId="0434F91D">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当Q＜1时，该项目环境风险潜势为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ROMAN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I</w:t>
            </w:r>
            <w:r>
              <w:rPr>
                <w:color w:val="000000" w:themeColor="text1"/>
                <w14:textFill>
                  <w14:solidFill>
                    <w14:schemeClr w14:val="tx1"/>
                  </w14:solidFill>
                </w14:textFill>
              </w:rPr>
              <w:fldChar w:fldCharType="end"/>
            </w:r>
            <w:r>
              <w:rPr>
                <w:color w:val="000000" w:themeColor="text1"/>
                <w14:textFill>
                  <w14:solidFill>
                    <w14:schemeClr w14:val="tx1"/>
                  </w14:solidFill>
                </w14:textFill>
              </w:rPr>
              <w:t>。当Q≥1时，将Q值划分为1≤Q＜10；10≤Q＜100；Q≥100。</w:t>
            </w:r>
          </w:p>
          <w:p w14:paraId="708158F1">
            <w:pPr>
              <w:adjustRightInd w:val="0"/>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本项目涉及的风险物质最大存在总量与临界量比值情况分析如下：</w:t>
            </w:r>
          </w:p>
          <w:p w14:paraId="77AC211B">
            <w:pPr>
              <w:tabs>
                <w:tab w:val="left" w:pos="2160"/>
              </w:tabs>
              <w:jc w:val="center"/>
              <w:rPr>
                <w:color w:val="000000" w:themeColor="text1"/>
                <w14:textFill>
                  <w14:solidFill>
                    <w14:schemeClr w14:val="tx1"/>
                  </w14:solidFill>
                </w14:textFill>
              </w:rPr>
            </w:pPr>
            <w:r>
              <w:rPr>
                <w:b/>
                <w:color w:val="000000" w:themeColor="text1"/>
                <w14:textFill>
                  <w14:solidFill>
                    <w14:schemeClr w14:val="tx1"/>
                  </w14:solidFill>
                </w14:textFill>
              </w:rPr>
              <w:t>表4</w:t>
            </w:r>
            <w:r>
              <w:rPr>
                <w:rFonts w:hint="eastAsia"/>
                <w:b/>
                <w:color w:val="000000" w:themeColor="text1"/>
                <w:lang w:val="en-US" w:eastAsia="zh-CN"/>
                <w14:textFill>
                  <w14:solidFill>
                    <w14:schemeClr w14:val="tx1"/>
                  </w14:solidFill>
                </w14:textFill>
              </w:rPr>
              <w:t>-</w:t>
            </w:r>
            <w:r>
              <w:rPr>
                <w:rFonts w:hint="eastAsia"/>
                <w:b/>
                <w:color w:val="000000" w:themeColor="text1"/>
                <w14:textFill>
                  <w14:solidFill>
                    <w14:schemeClr w14:val="tx1"/>
                  </w14:solidFill>
                </w14:textFill>
              </w:rPr>
              <w:t>1</w:t>
            </w:r>
            <w:r>
              <w:rPr>
                <w:rFonts w:hint="eastAsia"/>
                <w:b/>
                <w:color w:val="000000" w:themeColor="text1"/>
                <w:lang w:val="en-US" w:eastAsia="zh-CN"/>
                <w14:textFill>
                  <w14:solidFill>
                    <w14:schemeClr w14:val="tx1"/>
                  </w14:solidFill>
                </w14:textFill>
              </w:rPr>
              <w:t>7</w:t>
            </w:r>
            <w:r>
              <w:rPr>
                <w:b/>
                <w:color w:val="000000" w:themeColor="text1"/>
                <w14:textFill>
                  <w14:solidFill>
                    <w14:schemeClr w14:val="tx1"/>
                  </w14:solidFill>
                </w14:textFill>
              </w:rPr>
              <w:t xml:space="preserve">  </w:t>
            </w:r>
            <w:r>
              <w:rPr>
                <w:b/>
                <w:bCs/>
                <w:color w:val="000000" w:themeColor="text1"/>
                <w14:textFill>
                  <w14:solidFill>
                    <w14:schemeClr w14:val="tx1"/>
                  </w14:solidFill>
                </w14:textFill>
              </w:rPr>
              <w:t>项目危险物质数量与临界量分析</w:t>
            </w:r>
          </w:p>
          <w:tbl>
            <w:tblPr>
              <w:tblStyle w:val="30"/>
              <w:tblW w:w="80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7"/>
              <w:gridCol w:w="1215"/>
              <w:gridCol w:w="1380"/>
              <w:gridCol w:w="1350"/>
              <w:gridCol w:w="1898"/>
            </w:tblGrid>
            <w:tr w14:paraId="03AEA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bottom w:val="single" w:color="000000" w:sz="6" w:space="0"/>
                    <w:right w:val="single" w:color="000000" w:sz="6" w:space="0"/>
                  </w:tcBorders>
                  <w:vAlign w:val="center"/>
                </w:tcPr>
                <w:p w14:paraId="22073D1C">
                  <w:pPr>
                    <w:pStyle w:val="86"/>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物质名称</w:t>
                  </w:r>
                </w:p>
              </w:tc>
              <w:tc>
                <w:tcPr>
                  <w:tcW w:w="1215" w:type="dxa"/>
                  <w:tcBorders>
                    <w:left w:val="single" w:color="000000" w:sz="6" w:space="0"/>
                    <w:bottom w:val="single" w:color="000000" w:sz="6" w:space="0"/>
                    <w:right w:val="single" w:color="000000" w:sz="6" w:space="0"/>
                  </w:tcBorders>
                  <w:vAlign w:val="center"/>
                </w:tcPr>
                <w:p w14:paraId="7547E5A5">
                  <w:pPr>
                    <w:pStyle w:val="86"/>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标准临界量</w:t>
                  </w:r>
                </w:p>
              </w:tc>
              <w:tc>
                <w:tcPr>
                  <w:tcW w:w="1380" w:type="dxa"/>
                  <w:tcBorders>
                    <w:left w:val="single" w:color="000000" w:sz="6" w:space="0"/>
                    <w:bottom w:val="single" w:color="000000" w:sz="6" w:space="0"/>
                    <w:right w:val="single" w:color="000000" w:sz="6" w:space="0"/>
                  </w:tcBorders>
                  <w:vAlign w:val="center"/>
                </w:tcPr>
                <w:p w14:paraId="21E5D2FD">
                  <w:pPr>
                    <w:pStyle w:val="86"/>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000000" w:themeColor="text1"/>
                      <w:lang w:val="en-US" w:eastAsia="zh-CN"/>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最大储存量</w:t>
                  </w:r>
                  <w:r>
                    <w:rPr>
                      <w:rFonts w:hint="eastAsia" w:ascii="Times New Roman" w:hAnsi="Times New Roman" w:cs="Times New Roman"/>
                      <w:b/>
                      <w:bCs/>
                      <w:color w:val="000000" w:themeColor="text1"/>
                      <w:lang w:val="en-US" w:eastAsia="zh-CN"/>
                      <w14:textFill>
                        <w14:solidFill>
                          <w14:schemeClr w14:val="tx1"/>
                        </w14:solidFill>
                      </w14:textFill>
                    </w:rPr>
                    <w:t>t</w:t>
                  </w:r>
                </w:p>
              </w:tc>
              <w:tc>
                <w:tcPr>
                  <w:tcW w:w="1350" w:type="dxa"/>
                  <w:tcBorders>
                    <w:left w:val="single" w:color="000000" w:sz="6" w:space="0"/>
                    <w:bottom w:val="single" w:color="000000" w:sz="6" w:space="0"/>
                    <w:right w:val="single" w:color="000000" w:sz="6" w:space="0"/>
                  </w:tcBorders>
                  <w:vAlign w:val="center"/>
                </w:tcPr>
                <w:p w14:paraId="284129CB">
                  <w:pPr>
                    <w:pStyle w:val="86"/>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最大在线量t</w:t>
                  </w:r>
                </w:p>
              </w:tc>
              <w:tc>
                <w:tcPr>
                  <w:tcW w:w="1898" w:type="dxa"/>
                  <w:tcBorders>
                    <w:left w:val="single" w:color="000000" w:sz="6" w:space="0"/>
                    <w:bottom w:val="single" w:color="000000" w:sz="6" w:space="0"/>
                    <w:right w:val="single" w:color="000000" w:sz="6" w:space="0"/>
                  </w:tcBorders>
                  <w:vAlign w:val="center"/>
                </w:tcPr>
                <w:p w14:paraId="2915ADC7">
                  <w:pPr>
                    <w:pStyle w:val="86"/>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position w:val="2"/>
                      <w14:textFill>
                        <w14:solidFill>
                          <w14:schemeClr w14:val="tx1"/>
                        </w14:solidFill>
                      </w14:textFill>
                    </w:rPr>
                    <w:t>q</w:t>
                  </w:r>
                  <w:r>
                    <w:rPr>
                      <w:rFonts w:ascii="Times New Roman" w:hAnsi="Times New Roman" w:cs="Times New Roman"/>
                      <w:b/>
                      <w:bCs/>
                      <w:color w:val="000000" w:themeColor="text1"/>
                      <w:position w:val="2"/>
                      <w:vertAlign w:val="subscript"/>
                      <w14:textFill>
                        <w14:solidFill>
                          <w14:schemeClr w14:val="tx1"/>
                        </w14:solidFill>
                      </w14:textFill>
                    </w:rPr>
                    <w:t>n</w:t>
                  </w:r>
                  <w:r>
                    <w:rPr>
                      <w:rFonts w:ascii="Times New Roman" w:hAnsi="Times New Roman" w:cs="Times New Roman"/>
                      <w:b/>
                      <w:bCs/>
                      <w:color w:val="000000" w:themeColor="text1"/>
                      <w:position w:val="2"/>
                      <w14:textFill>
                        <w14:solidFill>
                          <w14:schemeClr w14:val="tx1"/>
                        </w14:solidFill>
                      </w14:textFill>
                    </w:rPr>
                    <w:t>/Q</w:t>
                  </w:r>
                  <w:r>
                    <w:rPr>
                      <w:rFonts w:ascii="Times New Roman" w:hAnsi="Times New Roman" w:cs="Times New Roman"/>
                      <w:b/>
                      <w:bCs/>
                      <w:color w:val="000000" w:themeColor="text1"/>
                      <w:position w:val="2"/>
                      <w:vertAlign w:val="subscript"/>
                      <w14:textFill>
                        <w14:solidFill>
                          <w14:schemeClr w14:val="tx1"/>
                        </w14:solidFill>
                      </w14:textFill>
                    </w:rPr>
                    <w:t>n</w:t>
                  </w:r>
                </w:p>
              </w:tc>
            </w:tr>
            <w:tr w14:paraId="7AD60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top w:val="single" w:color="000000" w:sz="6" w:space="0"/>
                    <w:bottom w:val="single" w:color="000000" w:sz="6" w:space="0"/>
                    <w:right w:val="single" w:color="000000" w:sz="6" w:space="0"/>
                  </w:tcBorders>
                  <w:shd w:val="clear" w:color="auto" w:fill="auto"/>
                  <w:vAlign w:val="center"/>
                </w:tcPr>
                <w:p w14:paraId="155736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切削液</w:t>
                  </w:r>
                </w:p>
              </w:tc>
              <w:tc>
                <w:tcPr>
                  <w:tcW w:w="121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8F84C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138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A885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w:t>
                  </w:r>
                </w:p>
              </w:tc>
              <w:tc>
                <w:tcPr>
                  <w:tcW w:w="1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2E84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898" w:type="dxa"/>
                  <w:tcBorders>
                    <w:top w:val="single" w:color="000000" w:sz="6" w:space="0"/>
                    <w:left w:val="single" w:color="000000" w:sz="6" w:space="0"/>
                    <w:bottom w:val="single" w:color="000000" w:sz="6" w:space="0"/>
                    <w:right w:val="single" w:color="000000" w:sz="6" w:space="0"/>
                  </w:tcBorders>
                  <w:vAlign w:val="center"/>
                </w:tcPr>
                <w:p w14:paraId="19A61E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0.00004</w:t>
                  </w:r>
                </w:p>
              </w:tc>
            </w:tr>
            <w:tr w14:paraId="32A79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top w:val="single" w:color="000000" w:sz="6" w:space="0"/>
                    <w:bottom w:val="single" w:color="000000" w:sz="6" w:space="0"/>
                    <w:right w:val="single" w:color="000000" w:sz="6" w:space="0"/>
                  </w:tcBorders>
                  <w:shd w:val="clear" w:color="auto" w:fill="auto"/>
                  <w:vAlign w:val="center"/>
                </w:tcPr>
                <w:p w14:paraId="6AA6DE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润滑油</w:t>
                  </w:r>
                </w:p>
              </w:tc>
              <w:tc>
                <w:tcPr>
                  <w:tcW w:w="121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C7F1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138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EDE38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0.05</w:t>
                  </w:r>
                </w:p>
              </w:tc>
              <w:tc>
                <w:tcPr>
                  <w:tcW w:w="1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012C9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898" w:type="dxa"/>
                  <w:tcBorders>
                    <w:top w:val="single" w:color="000000" w:sz="6" w:space="0"/>
                    <w:left w:val="single" w:color="000000" w:sz="6" w:space="0"/>
                    <w:bottom w:val="single" w:color="000000" w:sz="6" w:space="0"/>
                    <w:right w:val="single" w:color="000000" w:sz="6" w:space="0"/>
                  </w:tcBorders>
                  <w:vAlign w:val="center"/>
                </w:tcPr>
                <w:p w14:paraId="616CA2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0.00002</w:t>
                  </w:r>
                </w:p>
              </w:tc>
            </w:tr>
            <w:tr w14:paraId="6E35F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top w:val="single" w:color="000000" w:sz="6" w:space="0"/>
                    <w:bottom w:val="single" w:color="000000" w:sz="6" w:space="0"/>
                    <w:right w:val="single" w:color="000000" w:sz="6" w:space="0"/>
                  </w:tcBorders>
                  <w:shd w:val="clear" w:color="auto" w:fill="auto"/>
                  <w:vAlign w:val="center"/>
                </w:tcPr>
                <w:p w14:paraId="5E42B6D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废切削液</w:t>
                  </w:r>
                </w:p>
              </w:tc>
              <w:tc>
                <w:tcPr>
                  <w:tcW w:w="121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5F47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138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3A98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w:t>
                  </w:r>
                </w:p>
              </w:tc>
              <w:tc>
                <w:tcPr>
                  <w:tcW w:w="1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521FB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898" w:type="dxa"/>
                  <w:tcBorders>
                    <w:top w:val="single" w:color="000000" w:sz="6" w:space="0"/>
                    <w:left w:val="single" w:color="000000" w:sz="6" w:space="0"/>
                    <w:bottom w:val="single" w:color="000000" w:sz="6" w:space="0"/>
                    <w:right w:val="single" w:color="000000" w:sz="6" w:space="0"/>
                  </w:tcBorders>
                  <w:vAlign w:val="center"/>
                </w:tcPr>
                <w:p w14:paraId="118102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w:t>
                  </w:r>
                </w:p>
              </w:tc>
            </w:tr>
            <w:tr w14:paraId="6DF72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top w:val="single" w:color="000000" w:sz="6" w:space="0"/>
                    <w:bottom w:val="single" w:color="000000" w:sz="6" w:space="0"/>
                    <w:right w:val="single" w:color="000000" w:sz="6" w:space="0"/>
                  </w:tcBorders>
                  <w:shd w:val="clear" w:color="auto" w:fill="auto"/>
                  <w:vAlign w:val="center"/>
                </w:tcPr>
                <w:p w14:paraId="1B88E3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废润滑油</w:t>
                  </w:r>
                </w:p>
              </w:tc>
              <w:tc>
                <w:tcPr>
                  <w:tcW w:w="121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2E241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138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7CD4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w:t>
                  </w:r>
                </w:p>
              </w:tc>
              <w:tc>
                <w:tcPr>
                  <w:tcW w:w="1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7D63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898" w:type="dxa"/>
                  <w:tcBorders>
                    <w:top w:val="single" w:color="000000" w:sz="6" w:space="0"/>
                    <w:left w:val="single" w:color="000000" w:sz="6" w:space="0"/>
                    <w:bottom w:val="single" w:color="000000" w:sz="6" w:space="0"/>
                    <w:right w:val="single" w:color="000000" w:sz="6" w:space="0"/>
                  </w:tcBorders>
                  <w:vAlign w:val="center"/>
                </w:tcPr>
                <w:p w14:paraId="3DE4B8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0.000004</w:t>
                  </w:r>
                </w:p>
              </w:tc>
            </w:tr>
            <w:tr w14:paraId="7388C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247" w:type="dxa"/>
                  <w:tcBorders>
                    <w:top w:val="single" w:color="000000" w:sz="6" w:space="0"/>
                    <w:bottom w:val="single" w:color="000000" w:sz="6" w:space="0"/>
                    <w:right w:val="single" w:color="000000" w:sz="6" w:space="0"/>
                  </w:tcBorders>
                  <w:shd w:val="clear" w:color="auto" w:fill="auto"/>
                  <w:vAlign w:val="center"/>
                </w:tcPr>
                <w:p w14:paraId="45391B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天然气</w:t>
                  </w:r>
                </w:p>
              </w:tc>
              <w:tc>
                <w:tcPr>
                  <w:tcW w:w="1215"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4209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138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DC65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3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CD4E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0.23</w:t>
                  </w:r>
                </w:p>
              </w:tc>
              <w:tc>
                <w:tcPr>
                  <w:tcW w:w="1898" w:type="dxa"/>
                  <w:tcBorders>
                    <w:top w:val="single" w:color="000000" w:sz="6" w:space="0"/>
                    <w:left w:val="single" w:color="000000" w:sz="6" w:space="0"/>
                    <w:bottom w:val="single" w:color="000000" w:sz="6" w:space="0"/>
                    <w:right w:val="single" w:color="000000" w:sz="6" w:space="0"/>
                  </w:tcBorders>
                  <w:vAlign w:val="center"/>
                </w:tcPr>
                <w:p w14:paraId="2B6FBE7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0.023</w:t>
                  </w:r>
                </w:p>
              </w:tc>
            </w:tr>
            <w:tr w14:paraId="52928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6192" w:type="dxa"/>
                  <w:gridSpan w:val="4"/>
                  <w:tcBorders>
                    <w:top w:val="single" w:color="000000" w:sz="6" w:space="0"/>
                    <w:bottom w:val="single" w:color="000000" w:sz="6" w:space="0"/>
                    <w:right w:val="single" w:color="000000" w:sz="6" w:space="0"/>
                  </w:tcBorders>
                  <w:vAlign w:val="center"/>
                </w:tcPr>
                <w:p w14:paraId="165023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1898" w:type="dxa"/>
                  <w:tcBorders>
                    <w:top w:val="single" w:color="000000" w:sz="6" w:space="0"/>
                    <w:left w:val="single" w:color="000000" w:sz="6" w:space="0"/>
                    <w:bottom w:val="single" w:color="000000" w:sz="6" w:space="0"/>
                    <w:right w:val="single" w:color="000000" w:sz="6" w:space="0"/>
                  </w:tcBorders>
                  <w:vAlign w:val="center"/>
                </w:tcPr>
                <w:p w14:paraId="39E988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q/Q=0.0</w:t>
                  </w:r>
                  <w:r>
                    <w:rPr>
                      <w:rFonts w:hint="eastAsia" w:cs="Times New Roman"/>
                      <w:i w:val="0"/>
                      <w:iCs w:val="0"/>
                      <w:color w:val="000000"/>
                      <w:kern w:val="0"/>
                      <w:sz w:val="21"/>
                      <w:szCs w:val="21"/>
                      <w:u w:val="none"/>
                      <w:lang w:val="en-US" w:eastAsia="zh-CN" w:bidi="ar"/>
                    </w:rPr>
                    <w:t>53064</w:t>
                  </w:r>
                </w:p>
              </w:tc>
            </w:tr>
            <w:tr w14:paraId="363C2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8090" w:type="dxa"/>
                  <w:gridSpan w:val="5"/>
                  <w:tcBorders>
                    <w:top w:val="single" w:color="000000" w:sz="6" w:space="0"/>
                    <w:bottom w:val="single" w:color="auto" w:sz="4" w:space="0"/>
                    <w:right w:val="single" w:color="000000" w:sz="6" w:space="0"/>
                  </w:tcBorders>
                  <w:vAlign w:val="center"/>
                </w:tcPr>
                <w:p w14:paraId="5C894A4A">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备注：废切削液、废润滑油最大储存量按照年产生量计算</w:t>
                  </w:r>
                </w:p>
              </w:tc>
            </w:tr>
          </w:tbl>
          <w:p w14:paraId="52A521F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68" w:firstLineChars="200"/>
              <w:textAlignment w:val="auto"/>
              <w:rPr>
                <w:color w:val="000000" w:themeColor="text1"/>
                <w:spacing w:val="-3"/>
                <w14:textFill>
                  <w14:solidFill>
                    <w14:schemeClr w14:val="tx1"/>
                  </w14:solidFill>
                </w14:textFill>
              </w:rPr>
            </w:pPr>
            <w:r>
              <w:rPr>
                <w:color w:val="000000" w:themeColor="text1"/>
                <w:spacing w:val="-3"/>
                <w14:textFill>
                  <w14:solidFill>
                    <w14:schemeClr w14:val="tx1"/>
                  </w14:solidFill>
                </w14:textFill>
              </w:rPr>
              <w:t>由上表可知，本项目危险物质数量与临界量比值</w:t>
            </w:r>
            <w:r>
              <w:rPr>
                <w:rFonts w:hint="default"/>
                <w:color w:val="000000" w:themeColor="text1"/>
                <w:spacing w:val="-3"/>
                <w:lang w:val="en-US" w:eastAsia="zh-CN"/>
                <w14:textFill>
                  <w14:solidFill>
                    <w14:schemeClr w14:val="tx1"/>
                  </w14:solidFill>
                </w14:textFill>
              </w:rPr>
              <w:t>0.0</w:t>
            </w:r>
            <w:r>
              <w:rPr>
                <w:rFonts w:hint="eastAsia"/>
                <w:color w:val="000000" w:themeColor="text1"/>
                <w:spacing w:val="-3"/>
                <w:lang w:val="en-US" w:eastAsia="zh-CN"/>
                <w14:textFill>
                  <w14:solidFill>
                    <w14:schemeClr w14:val="tx1"/>
                  </w14:solidFill>
                </w14:textFill>
              </w:rPr>
              <w:t>53064</w:t>
            </w:r>
            <w:r>
              <w:rPr>
                <w:color w:val="000000" w:themeColor="text1"/>
                <w:spacing w:val="-3"/>
                <w14:textFill>
                  <w14:solidFill>
                    <w14:schemeClr w14:val="tx1"/>
                  </w14:solidFill>
                </w14:textFill>
              </w:rPr>
              <w:t>＜1。</w:t>
            </w:r>
          </w:p>
          <w:p w14:paraId="508ABF0C">
            <w:pPr>
              <w:spacing w:line="360" w:lineRule="auto"/>
              <w:ind w:firstLine="459"/>
              <w:rPr>
                <w:color w:val="000000" w:themeColor="text1"/>
                <w14:textFill>
                  <w14:solidFill>
                    <w14:schemeClr w14:val="tx1"/>
                  </w14:solidFill>
                </w14:textFill>
              </w:rPr>
            </w:pPr>
            <w:r>
              <w:rPr>
                <w:color w:val="000000" w:themeColor="text1"/>
                <w14:textFill>
                  <w14:solidFill>
                    <w14:schemeClr w14:val="tx1"/>
                  </w14:solidFill>
                </w14:textFill>
              </w:rPr>
              <w:t>根据《建设项目环境风险评价技术导则》（HJ169-2018）规定，风险评价的等级划分是基于项目涉及的物质和工艺系统的危险性及其所在地的环境敏感性确定环境风险潜势，按下表确定评价工作等级。</w:t>
            </w:r>
          </w:p>
          <w:p w14:paraId="47FBA3CC">
            <w:pPr>
              <w:ind w:firstLine="28"/>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-18</w:t>
            </w:r>
            <w:r>
              <w:rPr>
                <w:b/>
                <w:bCs/>
                <w:color w:val="000000" w:themeColor="text1"/>
                <w14:textFill>
                  <w14:solidFill>
                    <w14:schemeClr w14:val="tx1"/>
                  </w14:solidFill>
                </w14:textFill>
              </w:rPr>
              <w:t xml:space="preserve">  环境风险评价工作等级划分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1259"/>
              <w:gridCol w:w="1601"/>
              <w:gridCol w:w="1664"/>
              <w:gridCol w:w="1502"/>
            </w:tblGrid>
            <w:tr w14:paraId="4D61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0" w:type="dxa"/>
                  <w:vAlign w:val="center"/>
                </w:tcPr>
                <w:p w14:paraId="257FED7C">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环境风险潜势</w:t>
                  </w:r>
                </w:p>
              </w:tc>
              <w:tc>
                <w:tcPr>
                  <w:tcW w:w="1328" w:type="dxa"/>
                  <w:vAlign w:val="center"/>
                </w:tcPr>
                <w:p w14:paraId="77566873">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Ⅳ、Ⅳ</w:t>
                  </w:r>
                  <w:r>
                    <w:rPr>
                      <w:color w:val="000000" w:themeColor="text1"/>
                      <w:sz w:val="21"/>
                      <w:szCs w:val="21"/>
                      <w:vertAlign w:val="superscript"/>
                      <w14:textFill>
                        <w14:solidFill>
                          <w14:schemeClr w14:val="tx1"/>
                        </w14:solidFill>
                      </w14:textFill>
                    </w:rPr>
                    <w:t>+</w:t>
                  </w:r>
                </w:p>
              </w:tc>
              <w:tc>
                <w:tcPr>
                  <w:tcW w:w="1687" w:type="dxa"/>
                  <w:vAlign w:val="center"/>
                </w:tcPr>
                <w:p w14:paraId="11983737">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Ⅲ</w:t>
                  </w:r>
                </w:p>
              </w:tc>
              <w:tc>
                <w:tcPr>
                  <w:tcW w:w="1754" w:type="dxa"/>
                  <w:vAlign w:val="center"/>
                </w:tcPr>
                <w:p w14:paraId="25076ADA">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Ⅱ</w:t>
                  </w:r>
                </w:p>
              </w:tc>
              <w:tc>
                <w:tcPr>
                  <w:tcW w:w="1583" w:type="dxa"/>
                  <w:vAlign w:val="center"/>
                </w:tcPr>
                <w:p w14:paraId="3350DEB2">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Ⅰ</w:t>
                  </w:r>
                </w:p>
              </w:tc>
            </w:tr>
            <w:tr w14:paraId="486D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0" w:type="dxa"/>
                  <w:vAlign w:val="center"/>
                </w:tcPr>
                <w:p w14:paraId="034D954A">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评价工作等级</w:t>
                  </w:r>
                </w:p>
              </w:tc>
              <w:tc>
                <w:tcPr>
                  <w:tcW w:w="1328" w:type="dxa"/>
                  <w:vAlign w:val="center"/>
                </w:tcPr>
                <w:p w14:paraId="302E7F94">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w:t>
                  </w:r>
                </w:p>
              </w:tc>
              <w:tc>
                <w:tcPr>
                  <w:tcW w:w="1687" w:type="dxa"/>
                  <w:vAlign w:val="center"/>
                </w:tcPr>
                <w:p w14:paraId="0F952370">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w:t>
                  </w:r>
                </w:p>
              </w:tc>
              <w:tc>
                <w:tcPr>
                  <w:tcW w:w="1754" w:type="dxa"/>
                  <w:vAlign w:val="center"/>
                </w:tcPr>
                <w:p w14:paraId="7C1A32AB">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w:t>
                  </w:r>
                </w:p>
              </w:tc>
              <w:tc>
                <w:tcPr>
                  <w:tcW w:w="1583" w:type="dxa"/>
                  <w:vAlign w:val="center"/>
                </w:tcPr>
                <w:p w14:paraId="5046AF8B">
                  <w:pPr>
                    <w:pStyle w:val="14"/>
                    <w:spacing w:after="0"/>
                    <w:ind w:left="0" w:left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简单分析</w:t>
                  </w:r>
                  <w:r>
                    <w:rPr>
                      <w:color w:val="000000" w:themeColor="text1"/>
                      <w:sz w:val="21"/>
                      <w:szCs w:val="21"/>
                      <w:vertAlign w:val="superscript"/>
                      <w14:textFill>
                        <w14:solidFill>
                          <w14:schemeClr w14:val="tx1"/>
                        </w14:solidFill>
                      </w14:textFill>
                    </w:rPr>
                    <w:t>a</w:t>
                  </w:r>
                </w:p>
              </w:tc>
            </w:tr>
            <w:tr w14:paraId="294A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5"/>
                  <w:vAlign w:val="center"/>
                </w:tcPr>
                <w:p w14:paraId="46B23907">
                  <w:pPr>
                    <w:pStyle w:val="14"/>
                    <w:spacing w:after="0"/>
                    <w:ind w:left="0" w:leftChars="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a是相对于详细评价工作内容而言，在描述风险物质、环境影响途径、环境危害后果、风险防范措施等方面给出定性的说明。</w:t>
                  </w:r>
                </w:p>
              </w:tc>
            </w:tr>
          </w:tbl>
          <w:p w14:paraId="19651CE1">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68" w:firstLineChars="200"/>
              <w:textAlignment w:val="auto"/>
              <w:rPr>
                <w:color w:val="000000" w:themeColor="text1"/>
                <w14:textFill>
                  <w14:solidFill>
                    <w14:schemeClr w14:val="tx1"/>
                  </w14:solidFill>
                </w14:textFill>
              </w:rPr>
            </w:pPr>
            <w:r>
              <w:rPr>
                <w:color w:val="000000" w:themeColor="text1"/>
                <w:spacing w:val="-3"/>
                <w14:textFill>
                  <w14:solidFill>
                    <w14:schemeClr w14:val="tx1"/>
                  </w14:solidFill>
                </w14:textFill>
              </w:rPr>
              <w:t>本项目厂区内风险物质数量与临界量比值Q＜1，风险潜势为Ⅰ，</w:t>
            </w:r>
            <w:r>
              <w:rPr>
                <w:rFonts w:hint="eastAsia"/>
                <w:color w:val="000000" w:themeColor="text1"/>
                <w14:textFill>
                  <w14:solidFill>
                    <w14:schemeClr w14:val="tx1"/>
                  </w14:solidFill>
                </w14:textFill>
              </w:rPr>
              <w:t>进行简单分析即可。</w:t>
            </w:r>
          </w:p>
          <w:p w14:paraId="3BC41625">
            <w:pPr>
              <w:spacing w:line="360" w:lineRule="auto"/>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3</w:t>
            </w:r>
            <w:r>
              <w:rPr>
                <w:rFonts w:hint="eastAsia"/>
                <w:b/>
                <w:bCs/>
                <w:color w:val="000000" w:themeColor="text1"/>
                <w14:textFill>
                  <w14:solidFill>
                    <w14:schemeClr w14:val="tx1"/>
                  </w14:solidFill>
                </w14:textFill>
              </w:rPr>
              <w:t>、事故风险可能性分析</w:t>
            </w:r>
          </w:p>
          <w:p w14:paraId="139B0295">
            <w:pPr>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color w:val="000000" w:themeColor="text1"/>
                <w14:textFill>
                  <w14:solidFill>
                    <w14:schemeClr w14:val="tx1"/>
                  </w14:solidFill>
                </w14:textFill>
              </w:rPr>
              <w:t>原辅材料等物品的存放和使用过程中存在泄漏、燃烧的风险，可能引起较大的环境风险。沿存储区周边设置导流槽，为应对物料泄漏、燃烧的风险，设置消防沙和消防桶，常备灭火器、铁锹等消防、应急措施。</w:t>
            </w:r>
          </w:p>
          <w:p w14:paraId="0F36BE60">
            <w:pPr>
              <w:adjustRightInd w:val="0"/>
              <w:snapToGrid w:val="0"/>
              <w:spacing w:line="360" w:lineRule="auto"/>
              <w:ind w:firstLine="480" w:firstLineChars="200"/>
              <w:jc w:val="left"/>
              <w:rPr>
                <w:bCs/>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bCs/>
                <w:color w:val="000000" w:themeColor="text1"/>
                <w14:textFill>
                  <w14:solidFill>
                    <w14:schemeClr w14:val="tx1"/>
                  </w14:solidFill>
                </w14:textFill>
              </w:rPr>
              <w:t>本项目环保工程中涉及环境风险包括：危险废物暂存间</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可能影响环境的途径</w:t>
            </w:r>
            <w:r>
              <w:rPr>
                <w:rFonts w:hint="eastAsia"/>
                <w:bCs/>
                <w:color w:val="000000" w:themeColor="text1"/>
                <w14:textFill>
                  <w14:solidFill>
                    <w14:schemeClr w14:val="tx1"/>
                  </w14:solidFill>
                </w14:textFill>
              </w:rPr>
              <w:t>。</w:t>
            </w:r>
          </w:p>
          <w:p w14:paraId="2024636B">
            <w:pPr>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b/>
                <w:bCs/>
                <w:color w:val="000000" w:themeColor="text1"/>
                <w14:textFill>
                  <w14:solidFill>
                    <w14:schemeClr w14:val="tx1"/>
                  </w14:solidFill>
                </w14:textFill>
              </w:rPr>
              <w:t>环境风险</w:t>
            </w:r>
            <w:r>
              <w:rPr>
                <w:rFonts w:hint="eastAsia"/>
                <w:b/>
                <w:bCs/>
                <w:color w:val="000000" w:themeColor="text1"/>
                <w14:textFill>
                  <w14:solidFill>
                    <w14:schemeClr w14:val="tx1"/>
                  </w14:solidFill>
                </w14:textFill>
              </w:rPr>
              <w:t>识别</w:t>
            </w:r>
          </w:p>
          <w:p w14:paraId="371A9EA6">
            <w:pPr>
              <w:adjustRightInd w:val="0"/>
              <w:snapToGrid w:val="0"/>
              <w:spacing w:line="360" w:lineRule="auto"/>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根据物质风险识别及生产系统危险性识别，确定可能的风险类型及环境影响途径见</w:t>
            </w:r>
            <w:r>
              <w:rPr>
                <w:rFonts w:hint="eastAsia"/>
                <w:bCs/>
                <w:color w:val="000000" w:themeColor="text1"/>
                <w:lang w:val="en-US" w:eastAsia="zh-CN"/>
                <w14:textFill>
                  <w14:solidFill>
                    <w14:schemeClr w14:val="tx1"/>
                  </w14:solidFill>
                </w14:textFill>
              </w:rPr>
              <w:t>下</w:t>
            </w:r>
            <w:r>
              <w:rPr>
                <w:rFonts w:hint="eastAsia"/>
                <w:bCs/>
                <w:color w:val="000000" w:themeColor="text1"/>
                <w14:textFill>
                  <w14:solidFill>
                    <w14:schemeClr w14:val="tx1"/>
                  </w14:solidFill>
                </w14:textFill>
              </w:rPr>
              <w:t>表</w:t>
            </w:r>
            <w:r>
              <w:rPr>
                <w:bCs/>
                <w:color w:val="000000" w:themeColor="text1"/>
                <w14:textFill>
                  <w14:solidFill>
                    <w14:schemeClr w14:val="tx1"/>
                  </w14:solidFill>
                </w14:textFill>
              </w:rPr>
              <w:t>。</w:t>
            </w:r>
          </w:p>
          <w:p w14:paraId="4CCD5FF6">
            <w:pPr>
              <w:pStyle w:val="94"/>
              <w:numPr>
                <w:ilvl w:val="0"/>
                <w:numId w:val="0"/>
              </w:numPr>
              <w:adjustRightInd w:val="0"/>
              <w:snapToGrid w:val="0"/>
              <w:spacing w:line="240" w:lineRule="auto"/>
              <w:rPr>
                <w:rFonts w:ascii="Times New Roman" w:hAnsi="Times New Roman" w:cs="Times New Roman"/>
                <w:color w:val="000000" w:themeColor="text1"/>
                <w:sz w:val="24"/>
                <w:szCs w:val="24"/>
                <w14:textFill>
                  <w14:solidFill>
                    <w14:schemeClr w14:val="tx1"/>
                  </w14:solidFill>
                </w14:textFill>
              </w:rPr>
            </w:pPr>
            <w:bookmarkStart w:id="40" w:name="_Ref70167375"/>
            <w:r>
              <w:rPr>
                <w:rFonts w:ascii="Times New Roman" w:hAnsi="Times New Roman" w:cs="Times New Roman"/>
                <w:color w:val="000000" w:themeColor="text1"/>
                <w:sz w:val="24"/>
                <w:szCs w:val="24"/>
                <w14:textFill>
                  <w14:solidFill>
                    <w14:schemeClr w14:val="tx1"/>
                  </w14:solidFill>
                </w14:textFill>
              </w:rPr>
              <w:t>表4</w:t>
            </w:r>
            <w:r>
              <w:rPr>
                <w:rFonts w:hint="eastAsia" w:ascii="Times New Roman" w:hAnsi="Times New Roman" w:cs="Times New Roman"/>
                <w:color w:val="000000" w:themeColor="text1"/>
                <w:sz w:val="24"/>
                <w:szCs w:val="24"/>
                <w:lang w:val="en-US" w:eastAsia="zh-CN"/>
                <w14:textFill>
                  <w14:solidFill>
                    <w14:schemeClr w14:val="tx1"/>
                  </w14:solidFill>
                </w14:textFill>
              </w:rPr>
              <w:t>-19</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环境影响途径及危害对象</w:t>
            </w:r>
          </w:p>
          <w:bookmarkEnd w:id="40"/>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94"/>
              <w:gridCol w:w="1200"/>
              <w:gridCol w:w="1287"/>
              <w:gridCol w:w="1053"/>
              <w:gridCol w:w="1170"/>
              <w:gridCol w:w="1415"/>
              <w:gridCol w:w="1466"/>
            </w:tblGrid>
            <w:tr w14:paraId="1B49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5" w:type="pct"/>
                  <w:vAlign w:val="center"/>
                </w:tcPr>
                <w:p w14:paraId="66D53C6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742" w:type="pct"/>
                  <w:vAlign w:val="center"/>
                </w:tcPr>
                <w:p w14:paraId="5C5920F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危险单元</w:t>
                  </w:r>
                </w:p>
              </w:tc>
              <w:tc>
                <w:tcPr>
                  <w:tcW w:w="795" w:type="pct"/>
                  <w:vAlign w:val="center"/>
                </w:tcPr>
                <w:p w14:paraId="3CD2C89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风险源</w:t>
                  </w:r>
                </w:p>
              </w:tc>
              <w:tc>
                <w:tcPr>
                  <w:tcW w:w="651" w:type="pct"/>
                  <w:vAlign w:val="center"/>
                </w:tcPr>
                <w:p w14:paraId="3C1C0E8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主要危险物质</w:t>
                  </w:r>
                </w:p>
              </w:tc>
              <w:tc>
                <w:tcPr>
                  <w:tcW w:w="723" w:type="pct"/>
                  <w:vAlign w:val="center"/>
                </w:tcPr>
                <w:p w14:paraId="63713FF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环境风险类型</w:t>
                  </w:r>
                </w:p>
              </w:tc>
              <w:tc>
                <w:tcPr>
                  <w:tcW w:w="875" w:type="pct"/>
                  <w:vAlign w:val="center"/>
                </w:tcPr>
                <w:p w14:paraId="338316EB">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向环境转移途径及环境影响途径</w:t>
                  </w:r>
                </w:p>
              </w:tc>
              <w:tc>
                <w:tcPr>
                  <w:tcW w:w="906" w:type="pct"/>
                  <w:vAlign w:val="center"/>
                </w:tcPr>
                <w:p w14:paraId="418B4C4E">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可能受影响的环境敏感目标</w:t>
                  </w:r>
                </w:p>
              </w:tc>
            </w:tr>
            <w:tr w14:paraId="3908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5" w:type="pct"/>
                  <w:vAlign w:val="center"/>
                </w:tcPr>
                <w:p w14:paraId="75F30F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42" w:type="pct"/>
                  <w:vAlign w:val="center"/>
                </w:tcPr>
                <w:p w14:paraId="34FEBF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辅料区</w:t>
                  </w:r>
                </w:p>
              </w:tc>
              <w:tc>
                <w:tcPr>
                  <w:tcW w:w="795" w:type="pct"/>
                  <w:vAlign w:val="center"/>
                </w:tcPr>
                <w:p w14:paraId="12A223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清洗剂、亚克力密封胶、切削液、润滑油等</w:t>
                  </w:r>
                </w:p>
              </w:tc>
              <w:tc>
                <w:tcPr>
                  <w:tcW w:w="651" w:type="pct"/>
                  <w:vAlign w:val="center"/>
                </w:tcPr>
                <w:p w14:paraId="753554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矿物油等</w:t>
                  </w:r>
                </w:p>
              </w:tc>
              <w:tc>
                <w:tcPr>
                  <w:tcW w:w="723" w:type="pct"/>
                  <w:vAlign w:val="center"/>
                </w:tcPr>
                <w:p w14:paraId="78DC8A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危险物质泄漏；火灾、爆炸引发的伴生/次生污染物排放</w:t>
                  </w:r>
                </w:p>
              </w:tc>
              <w:tc>
                <w:tcPr>
                  <w:tcW w:w="875" w:type="pct"/>
                  <w:vAlign w:val="center"/>
                </w:tcPr>
                <w:p w14:paraId="330A9E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火灾、爆炸引发的伴生/次生污染物排放对大气影响、危险物质泄露进入地下水、土壤</w:t>
                  </w:r>
                </w:p>
              </w:tc>
              <w:tc>
                <w:tcPr>
                  <w:tcW w:w="906" w:type="pct"/>
                  <w:vAlign w:val="center"/>
                </w:tcPr>
                <w:p w14:paraId="0D81C5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周围村庄（镇）、学校、区域地下水、土壤</w:t>
                  </w:r>
                </w:p>
              </w:tc>
            </w:tr>
            <w:tr w14:paraId="5272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5" w:type="pct"/>
                  <w:shd w:val="clear" w:color="auto" w:fill="auto"/>
                  <w:vAlign w:val="center"/>
                </w:tcPr>
                <w:p w14:paraId="0BAD0A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2" w:type="pct"/>
                  <w:vAlign w:val="center"/>
                </w:tcPr>
                <w:p w14:paraId="6DCAF2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危险废物暂存间</w:t>
                  </w:r>
                </w:p>
              </w:tc>
              <w:tc>
                <w:tcPr>
                  <w:tcW w:w="795" w:type="pct"/>
                  <w:vAlign w:val="center"/>
                </w:tcPr>
                <w:p w14:paraId="2BBA2C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废润滑油等</w:t>
                  </w:r>
                </w:p>
              </w:tc>
              <w:tc>
                <w:tcPr>
                  <w:tcW w:w="651" w:type="pct"/>
                  <w:vAlign w:val="center"/>
                </w:tcPr>
                <w:p w14:paraId="558A3C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废润滑油等</w:t>
                  </w:r>
                </w:p>
              </w:tc>
              <w:tc>
                <w:tcPr>
                  <w:tcW w:w="723" w:type="pct"/>
                  <w:vAlign w:val="center"/>
                </w:tcPr>
                <w:p w14:paraId="04D8D2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危险物质泄漏；火灾、爆炸引发的伴生/次生污染物排放</w:t>
                  </w:r>
                </w:p>
              </w:tc>
              <w:tc>
                <w:tcPr>
                  <w:tcW w:w="875" w:type="pct"/>
                  <w:vAlign w:val="center"/>
                </w:tcPr>
                <w:p w14:paraId="471BB82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火灾、爆炸引发的伴生/次生污染物排放对大气影响、</w:t>
                  </w:r>
                </w:p>
                <w:p w14:paraId="1EEFE0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危险物质泄露进入地下水、土壤</w:t>
                  </w:r>
                </w:p>
              </w:tc>
              <w:tc>
                <w:tcPr>
                  <w:tcW w:w="906" w:type="pct"/>
                  <w:vAlign w:val="center"/>
                </w:tcPr>
                <w:p w14:paraId="15665B5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周围村庄（镇）、学校、区域地下水、土壤</w:t>
                  </w:r>
                </w:p>
              </w:tc>
            </w:tr>
            <w:tr w14:paraId="7615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5" w:type="pct"/>
                  <w:shd w:val="clear" w:color="auto" w:fill="auto"/>
                  <w:vAlign w:val="center"/>
                </w:tcPr>
                <w:p w14:paraId="08119B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742" w:type="pct"/>
                  <w:vAlign w:val="center"/>
                </w:tcPr>
                <w:p w14:paraId="5917F0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废气处理系统</w:t>
                  </w:r>
                </w:p>
              </w:tc>
              <w:tc>
                <w:tcPr>
                  <w:tcW w:w="795" w:type="pct"/>
                  <w:vAlign w:val="center"/>
                </w:tcPr>
                <w:p w14:paraId="28DED5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袋式除尘器、二级滤芯、二级活性炭</w:t>
                  </w:r>
                </w:p>
              </w:tc>
              <w:tc>
                <w:tcPr>
                  <w:tcW w:w="651" w:type="pct"/>
                  <w:vAlign w:val="center"/>
                </w:tcPr>
                <w:p w14:paraId="4122AAA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颗粒物、非甲烷总烃</w:t>
                  </w:r>
                </w:p>
              </w:tc>
              <w:tc>
                <w:tcPr>
                  <w:tcW w:w="723" w:type="pct"/>
                  <w:vAlign w:val="center"/>
                </w:tcPr>
                <w:p w14:paraId="0F5226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事故排放</w:t>
                  </w:r>
                </w:p>
              </w:tc>
              <w:tc>
                <w:tcPr>
                  <w:tcW w:w="875" w:type="pct"/>
                  <w:vAlign w:val="center"/>
                </w:tcPr>
                <w:p w14:paraId="22715D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大气</w:t>
                  </w:r>
                </w:p>
              </w:tc>
              <w:tc>
                <w:tcPr>
                  <w:tcW w:w="906" w:type="pct"/>
                  <w:vAlign w:val="center"/>
                </w:tcPr>
                <w:p w14:paraId="5F7803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周围村庄（镇）、学校</w:t>
                  </w:r>
                </w:p>
              </w:tc>
            </w:tr>
          </w:tbl>
          <w:p w14:paraId="3F8A191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000000"/>
              </w:rPr>
            </w:pPr>
            <w:r>
              <w:rPr>
                <w:rFonts w:hint="eastAsia"/>
                <w:color w:val="000000"/>
              </w:rPr>
              <w:t>（1）液体泄</w:t>
            </w:r>
            <w:r>
              <w:rPr>
                <w:rFonts w:hint="eastAsia"/>
                <w:color w:val="000000"/>
                <w:lang w:val="en-US" w:eastAsia="zh-CN"/>
              </w:rPr>
              <w:t>漏</w:t>
            </w:r>
            <w:r>
              <w:rPr>
                <w:rFonts w:hint="eastAsia"/>
                <w:color w:val="000000"/>
              </w:rPr>
              <w:t>事故风险影响分析</w:t>
            </w:r>
          </w:p>
          <w:p w14:paraId="022C6ECA">
            <w:pPr>
              <w:spacing w:line="360" w:lineRule="auto"/>
              <w:ind w:firstLine="480" w:firstLineChars="200"/>
            </w:pPr>
            <w:r>
              <w:rPr>
                <w:color w:val="000000"/>
              </w:rPr>
              <w:t>厂区物料在储存</w:t>
            </w:r>
            <w:r>
              <w:rPr>
                <w:rFonts w:hint="eastAsia"/>
                <w:color w:val="000000"/>
              </w:rPr>
              <w:t>、生产</w:t>
            </w:r>
            <w:r>
              <w:rPr>
                <w:color w:val="000000"/>
              </w:rPr>
              <w:t>过程中，由于</w:t>
            </w:r>
            <w:r>
              <w:rPr>
                <w:rFonts w:hint="eastAsia"/>
                <w:color w:val="000000"/>
              </w:rPr>
              <w:t>包装桶</w:t>
            </w:r>
            <w:r>
              <w:rPr>
                <w:color w:val="000000"/>
              </w:rPr>
              <w:t>破损、操作不当等原因，可能导致物料泄漏</w:t>
            </w:r>
            <w:r>
              <w:rPr>
                <w:rFonts w:hint="eastAsia"/>
                <w:color w:val="000000"/>
              </w:rPr>
              <w:t>，从而</w:t>
            </w:r>
            <w:r>
              <w:rPr>
                <w:color w:val="000000"/>
              </w:rPr>
              <w:t>污染地表水、土壤及地下水环境，造成水污染和土壤污染。</w:t>
            </w:r>
            <w:r>
              <w:rPr>
                <w:rFonts w:hint="eastAsia"/>
                <w:color w:val="000000"/>
              </w:rPr>
              <w:t>因此，在日常生产过程中，应定期对生产设施、包装设施等进行安全状况检查等，油品库、危废暂存间等应进行防渗、防泄漏措施，避免因泄</w:t>
            </w:r>
            <w:r>
              <w:rPr>
                <w:rFonts w:hint="eastAsia"/>
                <w:color w:val="000000"/>
                <w:lang w:val="en-US" w:eastAsia="zh-CN"/>
              </w:rPr>
              <w:t>漏</w:t>
            </w:r>
            <w:r>
              <w:rPr>
                <w:rFonts w:hint="eastAsia"/>
                <w:color w:val="000000"/>
              </w:rPr>
              <w:t>导致水污染和土壤污染。</w:t>
            </w:r>
          </w:p>
          <w:p w14:paraId="2A575B3E">
            <w:pPr>
              <w:spacing w:line="360" w:lineRule="auto"/>
              <w:ind w:firstLine="480" w:firstLineChars="200"/>
              <w:rPr>
                <w:color w:val="000000"/>
              </w:rPr>
            </w:pPr>
            <w:r>
              <w:rPr>
                <w:rFonts w:hint="eastAsia"/>
                <w:color w:val="000000"/>
              </w:rPr>
              <w:t>（2）</w:t>
            </w:r>
            <w:r>
              <w:rPr>
                <w:color w:val="000000"/>
              </w:rPr>
              <w:t>废气事故性排放对大气环境影响分析</w:t>
            </w:r>
          </w:p>
          <w:p w14:paraId="7021002E">
            <w:pPr>
              <w:spacing w:line="360" w:lineRule="auto"/>
              <w:ind w:firstLine="480" w:firstLineChars="200"/>
              <w:rPr>
                <w:color w:val="000000"/>
              </w:rPr>
            </w:pPr>
            <w:r>
              <w:rPr>
                <w:color w:val="000000"/>
              </w:rPr>
              <w:t>在废气治理设施故障，非正常排放情况下将对外界环境造成一定影响，对各关心点的影响也大大增加。因此，为了减轻本项目对周围环境的影响程度和范围，保证该地区的可持续发展，建设方须建立严格、规范的大气污染应急预案，加强废气净化设施的日常管理、维护。当废气处理设备出现故障不能正常运行时，应尽快停产进行维修，避免对周围环境造成污染影响。</w:t>
            </w:r>
          </w:p>
          <w:p w14:paraId="3D13F12D">
            <w:pPr>
              <w:spacing w:line="360" w:lineRule="auto"/>
              <w:ind w:firstLine="480" w:firstLineChars="200"/>
              <w:rPr>
                <w:color w:val="000000"/>
              </w:rPr>
            </w:pPr>
            <w:r>
              <w:rPr>
                <w:rFonts w:hint="eastAsia"/>
                <w:color w:val="000000"/>
              </w:rPr>
              <w:t>（3）</w:t>
            </w:r>
            <w:r>
              <w:rPr>
                <w:color w:val="000000"/>
              </w:rPr>
              <w:t>火灾风险影响分析</w:t>
            </w:r>
          </w:p>
          <w:p w14:paraId="68064EC4">
            <w:pPr>
              <w:spacing w:line="360" w:lineRule="auto"/>
              <w:ind w:firstLine="480" w:firstLineChars="200"/>
              <w:rPr>
                <w:color w:val="000000"/>
              </w:rPr>
            </w:pPr>
            <w:r>
              <w:rPr>
                <w:color w:val="000000"/>
              </w:rPr>
              <w:t>项目原料中的液态</w:t>
            </w:r>
            <w:r>
              <w:rPr>
                <w:rFonts w:hint="eastAsia"/>
                <w:color w:val="000000"/>
              </w:rPr>
              <w:t>物料涉及可燃物质，遇明火可引起燃烧或爆炸事故，</w:t>
            </w:r>
            <w:r>
              <w:rPr>
                <w:color w:val="000000"/>
              </w:rPr>
              <w:t>可造成周边人民财产损失和人员伤亡，同时对大气将会造成短期的污染，主要污染物是CO、TSP</w:t>
            </w:r>
            <w:r>
              <w:rPr>
                <w:rFonts w:hint="eastAsia"/>
                <w:color w:val="000000"/>
              </w:rPr>
              <w:t>等</w:t>
            </w:r>
            <w:r>
              <w:rPr>
                <w:color w:val="000000"/>
              </w:rPr>
              <w:t>。</w:t>
            </w:r>
          </w:p>
          <w:p w14:paraId="2D41129E">
            <w:pPr>
              <w:spacing w:line="360" w:lineRule="auto"/>
              <w:ind w:firstLine="482" w:firstLineChars="200"/>
              <w:rPr>
                <w:color w:val="000000"/>
              </w:rPr>
            </w:pPr>
            <w:r>
              <w:rPr>
                <w:rFonts w:hint="eastAsia"/>
                <w:b/>
                <w:bCs/>
                <w:color w:val="000000"/>
                <w:lang w:val="en-US" w:eastAsia="zh-CN"/>
              </w:rPr>
              <w:t>5、</w:t>
            </w:r>
            <w:r>
              <w:rPr>
                <w:b/>
                <w:bCs/>
                <w:color w:val="000000"/>
              </w:rPr>
              <w:t>环境防范措施及应急要求</w:t>
            </w:r>
          </w:p>
          <w:p w14:paraId="55A32552">
            <w:pPr>
              <w:spacing w:line="360" w:lineRule="auto"/>
              <w:ind w:firstLine="480" w:firstLineChars="200"/>
              <w:rPr>
                <w:color w:val="000000"/>
              </w:rPr>
            </w:pPr>
            <w:r>
              <w:rPr>
                <w:color w:val="000000"/>
              </w:rPr>
              <w:t>（1）工程设计中采取的安全防范措施</w:t>
            </w:r>
          </w:p>
          <w:p w14:paraId="2D1479B1">
            <w:pPr>
              <w:spacing w:line="360" w:lineRule="auto"/>
              <w:ind w:firstLine="480" w:firstLineChars="200"/>
              <w:rPr>
                <w:color w:val="000000"/>
              </w:rPr>
            </w:pPr>
            <w:r>
              <w:rPr>
                <w:color w:val="000000"/>
              </w:rPr>
              <w:t>①总图布置方面</w:t>
            </w:r>
          </w:p>
          <w:p w14:paraId="3BB1B922">
            <w:pPr>
              <w:spacing w:line="360" w:lineRule="auto"/>
              <w:ind w:firstLine="480" w:firstLineChars="200"/>
              <w:rPr>
                <w:color w:val="000000"/>
              </w:rPr>
            </w:pPr>
            <w:r>
              <w:rPr>
                <w:color w:val="000000"/>
              </w:rPr>
              <w:t>本工程主体和辅助装置按功能分别布置，工艺装置布置远离人群集中区，同时充分考虑了安全距离、消防和疏散通道等问题，有利于安全生产。</w:t>
            </w:r>
          </w:p>
          <w:p w14:paraId="05E47DAB">
            <w:pPr>
              <w:spacing w:line="360" w:lineRule="auto"/>
              <w:ind w:firstLine="480" w:firstLineChars="200"/>
              <w:rPr>
                <w:color w:val="000000"/>
              </w:rPr>
            </w:pPr>
            <w:r>
              <w:rPr>
                <w:color w:val="000000"/>
              </w:rPr>
              <w:t>②建筑及通风方面</w:t>
            </w:r>
          </w:p>
          <w:p w14:paraId="7E525043">
            <w:pPr>
              <w:spacing w:line="360" w:lineRule="auto"/>
              <w:ind w:firstLine="480" w:firstLineChars="200"/>
              <w:rPr>
                <w:color w:val="000000"/>
              </w:rPr>
            </w:pPr>
            <w:r>
              <w:rPr>
                <w:color w:val="000000"/>
              </w:rPr>
              <w:t>厂房按不同的防火等级和生产特性进行设计，确保良好的自然通风，以利于防火、防毒。减少粉尘在空气中的浓度。尽量提高密闭管道的收集效率，尽量减少粉尘逸散。加强车间内通风降温，控制温度，加强清扫工作。</w:t>
            </w:r>
          </w:p>
          <w:p w14:paraId="6A2ADAE8">
            <w:pPr>
              <w:spacing w:line="360" w:lineRule="auto"/>
              <w:ind w:firstLine="480" w:firstLineChars="200"/>
              <w:rPr>
                <w:color w:val="000000"/>
              </w:rPr>
            </w:pPr>
            <w:r>
              <w:rPr>
                <w:color w:val="000000"/>
              </w:rPr>
              <w:t>③采用优质管材，设置防腐材料。</w:t>
            </w:r>
          </w:p>
          <w:p w14:paraId="6CDBCC80">
            <w:pPr>
              <w:spacing w:line="360" w:lineRule="auto"/>
              <w:ind w:firstLine="480" w:firstLineChars="200"/>
              <w:rPr>
                <w:color w:val="000000"/>
              </w:rPr>
            </w:pPr>
            <w:r>
              <w:rPr>
                <w:color w:val="000000"/>
              </w:rPr>
              <w:t>（2）储存过程风险防范措施</w:t>
            </w:r>
          </w:p>
          <w:p w14:paraId="0B8ACE1B">
            <w:pPr>
              <w:spacing w:line="360" w:lineRule="auto"/>
              <w:ind w:firstLine="480" w:firstLineChars="200"/>
              <w:rPr>
                <w:color w:val="000000"/>
              </w:rPr>
            </w:pPr>
            <w:r>
              <w:rPr>
                <w:rFonts w:hint="eastAsia"/>
                <w:color w:val="000000"/>
              </w:rPr>
              <w:t>①储存库房的建筑设计应符合《仓库防火安全管理规则》、《危险</w:t>
            </w:r>
            <w:bookmarkStart w:id="42" w:name="_GoBack"/>
            <w:bookmarkEnd w:id="42"/>
            <w:r>
              <w:rPr>
                <w:rFonts w:hint="eastAsia"/>
                <w:color w:val="000000"/>
              </w:rPr>
              <w:t>化学品安全管理条例》的规定。原料采用桶装，于存储区存放。生产车间采用防爆电机、防爆电灯、防爆开关。</w:t>
            </w:r>
          </w:p>
          <w:p w14:paraId="320AD899">
            <w:pPr>
              <w:spacing w:line="360" w:lineRule="auto"/>
              <w:ind w:firstLine="480" w:firstLineChars="200"/>
              <w:rPr>
                <w:color w:val="000000"/>
              </w:rPr>
            </w:pPr>
            <w:r>
              <w:rPr>
                <w:rFonts w:hint="eastAsia"/>
                <w:color w:val="000000"/>
              </w:rPr>
              <w:t>②定期对存储场所的用电设备、通风设备、防火器具进行检查，发现问题及时处理。</w:t>
            </w:r>
          </w:p>
          <w:p w14:paraId="125774E8">
            <w:pPr>
              <w:spacing w:line="360" w:lineRule="auto"/>
              <w:ind w:firstLine="480" w:firstLineChars="200"/>
              <w:rPr>
                <w:color w:val="000000"/>
              </w:rPr>
            </w:pPr>
            <w:r>
              <w:rPr>
                <w:rFonts w:hint="eastAsia"/>
                <w:color w:val="000000"/>
              </w:rPr>
              <w:t>③各危险化学品按相关要求贮存，明确贮存注意事项。专人负责看管。</w:t>
            </w:r>
          </w:p>
          <w:p w14:paraId="48A2D0B1">
            <w:pPr>
              <w:spacing w:line="360" w:lineRule="auto"/>
              <w:ind w:firstLine="480" w:firstLineChars="200"/>
              <w:rPr>
                <w:color w:val="000000"/>
              </w:rPr>
            </w:pPr>
            <w:r>
              <w:rPr>
                <w:rFonts w:hint="eastAsia"/>
                <w:color w:val="000000"/>
              </w:rPr>
              <w:t>④储存场所应配备足够的消防器材，并应装设消防通讯和报警设备。</w:t>
            </w:r>
          </w:p>
          <w:p w14:paraId="6589B2B8">
            <w:pPr>
              <w:spacing w:line="360" w:lineRule="auto"/>
              <w:ind w:firstLine="480" w:firstLineChars="200"/>
              <w:rPr>
                <w:color w:val="000000"/>
              </w:rPr>
            </w:pPr>
            <w:r>
              <w:rPr>
                <w:rFonts w:hint="eastAsia"/>
                <w:color w:val="000000"/>
              </w:rPr>
              <w:t>⑤必须加强管理，建立健全岗位防火责任制度，火源电源管理制度、门卫制度、值班巡回制度和各项操作制度，做好防火，防窃等工作。</w:t>
            </w:r>
          </w:p>
          <w:p w14:paraId="47085513">
            <w:pPr>
              <w:spacing w:line="360" w:lineRule="auto"/>
              <w:ind w:firstLine="480" w:firstLineChars="200"/>
              <w:rPr>
                <w:rFonts w:hint="eastAsia"/>
                <w:color w:val="000000"/>
              </w:rPr>
            </w:pPr>
            <w:r>
              <w:rPr>
                <w:rFonts w:hint="eastAsia"/>
                <w:color w:val="000000"/>
              </w:rPr>
              <w:t>⑥在原料储存区，应设明显的防火等级标志，通道、出入口和通向消防设施的道路应保持通畅。</w:t>
            </w:r>
          </w:p>
          <w:p w14:paraId="0799B4A5">
            <w:pPr>
              <w:spacing w:line="360" w:lineRule="auto"/>
              <w:ind w:firstLine="480" w:firstLineChars="200"/>
              <w:rPr>
                <w:color w:val="000000"/>
              </w:rPr>
            </w:pPr>
            <w:r>
              <w:rPr>
                <w:color w:val="000000"/>
              </w:rPr>
              <w:t>（</w:t>
            </w:r>
            <w:r>
              <w:rPr>
                <w:rFonts w:hint="eastAsia"/>
                <w:color w:val="000000"/>
              </w:rPr>
              <w:t>3</w:t>
            </w:r>
            <w:r>
              <w:rPr>
                <w:color w:val="000000"/>
              </w:rPr>
              <w:t>）废气处理设施出现故障的防范</w:t>
            </w:r>
            <w:r>
              <w:rPr>
                <w:rFonts w:hint="eastAsia"/>
                <w:color w:val="000000"/>
              </w:rPr>
              <w:t>措施</w:t>
            </w:r>
          </w:p>
          <w:p w14:paraId="026A97E3">
            <w:pPr>
              <w:spacing w:line="360" w:lineRule="auto"/>
              <w:ind w:firstLine="480" w:firstLineChars="200"/>
              <w:rPr>
                <w:color w:val="000000"/>
              </w:rPr>
            </w:pPr>
            <w:r>
              <w:rPr>
                <w:color w:val="000000"/>
              </w:rPr>
              <w:t>在废气净化装置出现故障时，应立即停止生产，对废气处理设施进行抢修。待维修完毕达到设计标准后，再投入生产，以防止废气外排对环境造成影响。</w:t>
            </w:r>
          </w:p>
          <w:p w14:paraId="2FD18C56">
            <w:pPr>
              <w:spacing w:line="360" w:lineRule="auto"/>
              <w:ind w:firstLine="480" w:firstLineChars="200"/>
              <w:rPr>
                <w:color w:val="000000"/>
              </w:rPr>
            </w:pPr>
            <w:r>
              <w:rPr>
                <w:rFonts w:hint="eastAsia"/>
                <w:color w:val="000000"/>
              </w:rPr>
              <w:t>（4）</w:t>
            </w:r>
            <w:r>
              <w:rPr>
                <w:color w:val="000000"/>
              </w:rPr>
              <w:t>次生/伴生危害的防控措施</w:t>
            </w:r>
          </w:p>
          <w:p w14:paraId="281B6FCF">
            <w:pPr>
              <w:spacing w:line="360" w:lineRule="auto"/>
              <w:ind w:firstLine="480" w:firstLineChars="200"/>
              <w:rPr>
                <w:color w:val="000000"/>
              </w:rPr>
            </w:pPr>
            <w:r>
              <w:rPr>
                <w:rFonts w:hint="eastAsia"/>
                <w:color w:val="000000"/>
              </w:rPr>
              <w:t>①</w:t>
            </w:r>
            <w:r>
              <w:rPr>
                <w:color w:val="000000"/>
              </w:rPr>
              <w:t>所有建、构筑物之间或与其它场所之间留有足够的防火间距，防止在火灾或爆炸时相互影响。</w:t>
            </w:r>
          </w:p>
          <w:p w14:paraId="0F68A70C">
            <w:pPr>
              <w:spacing w:line="360" w:lineRule="auto"/>
              <w:ind w:firstLine="480" w:firstLineChars="200"/>
              <w:rPr>
                <w:color w:val="000000"/>
              </w:rPr>
            </w:pPr>
            <w:r>
              <w:rPr>
                <w:rFonts w:hint="eastAsia"/>
                <w:color w:val="000000"/>
              </w:rPr>
              <w:t>②</w:t>
            </w:r>
            <w:r>
              <w:rPr>
                <w:color w:val="000000"/>
              </w:rPr>
              <w:t>一旦发生火灾，立即进行灭火，并设法降低其它容器物料温度。防止更大火灾发生。</w:t>
            </w:r>
          </w:p>
          <w:p w14:paraId="186B5467">
            <w:pPr>
              <w:spacing w:line="360" w:lineRule="auto"/>
              <w:ind w:firstLine="480" w:firstLineChars="200"/>
              <w:rPr>
                <w:color w:val="000000"/>
              </w:rPr>
            </w:pPr>
            <w:r>
              <w:rPr>
                <w:rFonts w:hint="eastAsia"/>
                <w:color w:val="000000"/>
              </w:rPr>
              <w:t>③</w:t>
            </w:r>
            <w:r>
              <w:rPr>
                <w:color w:val="000000"/>
              </w:rPr>
              <w:t>一旦发生火灾，应立即切换集水井及雨水井之间切换阀，可避免对水体的污染。</w:t>
            </w:r>
          </w:p>
          <w:p w14:paraId="3E394027">
            <w:pPr>
              <w:spacing w:line="360" w:lineRule="auto"/>
              <w:ind w:firstLine="480" w:firstLineChars="200"/>
              <w:rPr>
                <w:color w:val="000000"/>
              </w:rPr>
            </w:pPr>
            <w:r>
              <w:rPr>
                <w:rFonts w:hint="eastAsia"/>
                <w:color w:val="000000"/>
              </w:rPr>
              <w:t>④</w:t>
            </w:r>
            <w:r>
              <w:rPr>
                <w:color w:val="000000"/>
              </w:rPr>
              <w:t>一旦发生泄漏，</w:t>
            </w:r>
            <w:r>
              <w:rPr>
                <w:rFonts w:hint="eastAsia"/>
                <w:color w:val="000000"/>
                <w:lang w:val="en-US" w:eastAsia="zh-CN"/>
              </w:rPr>
              <w:t>生产线</w:t>
            </w:r>
            <w:r>
              <w:rPr>
                <w:color w:val="000000"/>
              </w:rPr>
              <w:t>应急小组立即停止进料，同时依照紧急停车规程进行紧急停车，同时关闭不必要的电源；可能情况下，堵住泄漏源，减少事故影响程度和范围。</w:t>
            </w:r>
          </w:p>
          <w:p w14:paraId="718015D5">
            <w:pPr>
              <w:spacing w:line="360" w:lineRule="auto"/>
              <w:ind w:firstLine="480" w:firstLineChars="200"/>
              <w:rPr>
                <w:color w:val="000000"/>
              </w:rPr>
            </w:pPr>
            <w:r>
              <w:rPr>
                <w:rFonts w:hint="eastAsia"/>
                <w:color w:val="000000"/>
              </w:rPr>
              <w:t>（5）消防措施</w:t>
            </w:r>
          </w:p>
          <w:p w14:paraId="4537DFB1">
            <w:pPr>
              <w:spacing w:line="360" w:lineRule="auto"/>
              <w:ind w:firstLine="480" w:firstLineChars="200"/>
              <w:rPr>
                <w:color w:val="000000"/>
              </w:rPr>
            </w:pPr>
            <w:r>
              <w:rPr>
                <w:rFonts w:hint="eastAsia"/>
                <w:color w:val="000000"/>
              </w:rPr>
              <w:t>①根据危险品特性和仓库条件，必须配置相应的消防设备、设施和灭火药剂，如干粉、砂土等。并配备经过培训的兼职和专职的消防人员。</w:t>
            </w:r>
          </w:p>
          <w:p w14:paraId="28E57491">
            <w:pPr>
              <w:spacing w:line="360" w:lineRule="auto"/>
              <w:ind w:firstLine="480" w:firstLineChars="200"/>
              <w:rPr>
                <w:color w:val="000000"/>
              </w:rPr>
            </w:pPr>
            <w:r>
              <w:rPr>
                <w:rFonts w:hint="eastAsia"/>
                <w:color w:val="000000"/>
              </w:rPr>
              <w:t>②制定严格的运行操作规章制度，对操作人员进行岗位培训，防止误操作带来的风险事故。</w:t>
            </w:r>
          </w:p>
          <w:p w14:paraId="3DBFB4A1">
            <w:pPr>
              <w:adjustRightInd w:val="0"/>
              <w:snapToGrid w:val="0"/>
              <w:spacing w:line="360" w:lineRule="auto"/>
              <w:ind w:firstLine="480"/>
              <w:rPr>
                <w:b/>
                <w:bCs/>
                <w:color w:val="000000"/>
              </w:rPr>
            </w:pPr>
            <w:r>
              <w:rPr>
                <w:rFonts w:hint="eastAsia"/>
                <w:color w:val="000000"/>
              </w:rPr>
              <w:t>③发生火灾、爆炸事故后，灭火的同时疏散周边无关人员。</w:t>
            </w:r>
          </w:p>
          <w:p w14:paraId="365A701D">
            <w:pPr>
              <w:adjustRightInd w:val="0"/>
              <w:snapToGrid w:val="0"/>
              <w:spacing w:line="360" w:lineRule="auto"/>
              <w:ind w:firstLine="480" w:firstLineChars="200"/>
              <w:rPr>
                <w:color w:val="000000"/>
              </w:rPr>
            </w:pPr>
            <w:r>
              <w:rPr>
                <w:rFonts w:hint="eastAsia"/>
                <w:color w:val="000000"/>
              </w:rPr>
              <w:t>④</w:t>
            </w:r>
            <w:r>
              <w:rPr>
                <w:rFonts w:hint="eastAsia"/>
                <w:color w:val="000000"/>
                <w:lang w:val="en-US" w:eastAsia="zh-CN"/>
              </w:rPr>
              <w:t>制定</w:t>
            </w:r>
            <w:r>
              <w:rPr>
                <w:color w:val="000000"/>
              </w:rPr>
              <w:t>应急预案机制：一旦发生事故，立即启动应急预案，有效控制事态的发展，并对工作人员定期进行应急预警培训，不断提高工作人员处置安全事故的能力和水平。</w:t>
            </w:r>
          </w:p>
          <w:p w14:paraId="48BC74D8">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4、结论分析</w:t>
            </w:r>
          </w:p>
          <w:p w14:paraId="36EF4F9E">
            <w:pPr>
              <w:adjustRightInd w:val="0"/>
              <w:snapToGrid w:val="0"/>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所述，本项目运营期存在一定潜在事故风险，要加强风险管理，在项目建设过程中认真落实各种风险防范措施，通过相应的技术手段降低风险发生概率，并在风险事故发生后，及时采取风险防范措施及应急预案，可以使风险事故对环境的危害得到有效控制，将事故风险控制在可以接受的范围内，故该项目事故风险水平是可以接受的。</w:t>
            </w:r>
          </w:p>
          <w:p w14:paraId="51BE3648">
            <w:pPr>
              <w:adjustRightInd w:val="0"/>
              <w:snapToGrid w:val="0"/>
              <w:jc w:val="center"/>
              <w:rPr>
                <w:color w:val="000000" w:themeColor="text1"/>
                <w14:textFill>
                  <w14:solidFill>
                    <w14:schemeClr w14:val="tx1"/>
                  </w14:solidFill>
                </w14:textFill>
              </w:rPr>
            </w:pPr>
            <w:r>
              <w:rPr>
                <w:b/>
                <w:color w:val="000000" w:themeColor="text1"/>
                <w14:textFill>
                  <w14:solidFill>
                    <w14:schemeClr w14:val="tx1"/>
                  </w14:solidFill>
                </w14:textFill>
              </w:rPr>
              <w:t>表4</w:t>
            </w:r>
            <w:r>
              <w:rPr>
                <w:rFonts w:hint="eastAsia"/>
                <w:b/>
                <w:color w:val="000000" w:themeColor="text1"/>
                <w:lang w:val="en-US" w:eastAsia="zh-CN"/>
                <w14:textFill>
                  <w14:solidFill>
                    <w14:schemeClr w14:val="tx1"/>
                  </w14:solidFill>
                </w14:textFill>
              </w:rPr>
              <w:t>-</w:t>
            </w:r>
            <w:r>
              <w:rPr>
                <w:b/>
                <w:color w:val="000000" w:themeColor="text1"/>
                <w14:textFill>
                  <w14:solidFill>
                    <w14:schemeClr w14:val="tx1"/>
                  </w14:solidFill>
                </w14:textFill>
              </w:rPr>
              <w:t>2</w:t>
            </w:r>
            <w:r>
              <w:rPr>
                <w:rFonts w:hint="eastAsia"/>
                <w:b/>
                <w:color w:val="000000" w:themeColor="text1"/>
                <w:lang w:val="en-US" w:eastAsia="zh-CN"/>
                <w14:textFill>
                  <w14:solidFill>
                    <w14:schemeClr w14:val="tx1"/>
                  </w14:solidFill>
                </w14:textFill>
              </w:rPr>
              <w:t>0</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建设项目环境风险分析内容表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6583"/>
            </w:tblGrid>
            <w:tr w14:paraId="72D1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Align w:val="center"/>
                </w:tcPr>
                <w:p w14:paraId="1D722FB2">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建设项目</w:t>
                  </w:r>
                </w:p>
                <w:p w14:paraId="703B82C0">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名称</w:t>
                  </w:r>
                </w:p>
              </w:tc>
              <w:tc>
                <w:tcPr>
                  <w:tcW w:w="4071" w:type="pct"/>
                  <w:vAlign w:val="center"/>
                </w:tcPr>
                <w:p w14:paraId="3936DE71">
                  <w:pPr>
                    <w:adjustRightInd w:val="0"/>
                    <w:snapToGrid w:val="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年产100万套麻将机配件生产项目</w:t>
                  </w:r>
                </w:p>
              </w:tc>
            </w:tr>
            <w:tr w14:paraId="68B9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Align w:val="center"/>
                </w:tcPr>
                <w:p w14:paraId="0C8437C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建设地点</w:t>
                  </w:r>
                </w:p>
              </w:tc>
              <w:tc>
                <w:tcPr>
                  <w:tcW w:w="4071" w:type="pct"/>
                  <w:vAlign w:val="center"/>
                </w:tcPr>
                <w:p w14:paraId="08096AF3">
                  <w:pPr>
                    <w:adjustRightInd w:val="0"/>
                    <w:snapToGrid w:val="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安徽省宿州市泗县经济开发区泗县强宇体育设施公司2#厂房</w:t>
                  </w:r>
                </w:p>
              </w:tc>
            </w:tr>
            <w:tr w14:paraId="7113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Align w:val="center"/>
                </w:tcPr>
                <w:p w14:paraId="3520AEBD">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地理坐标</w:t>
                  </w:r>
                </w:p>
              </w:tc>
              <w:tc>
                <w:tcPr>
                  <w:tcW w:w="4071" w:type="pct"/>
                  <w:vAlign w:val="center"/>
                </w:tcPr>
                <w:p w14:paraId="70939E4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东经11</w:t>
                  </w:r>
                  <w:r>
                    <w:rPr>
                      <w:rFonts w:hint="eastAsia"/>
                      <w:color w:val="000000" w:themeColor="text1"/>
                      <w:sz w:val="21"/>
                      <w:szCs w:val="21"/>
                      <w:lang w:val="en-US" w:eastAsia="zh-CN"/>
                      <w14:textFill>
                        <w14:solidFill>
                          <w14:schemeClr w14:val="tx1"/>
                        </w14:solidFill>
                      </w14:textFill>
                    </w:rPr>
                    <w:t>7</w:t>
                  </w:r>
                  <w:r>
                    <w:rPr>
                      <w:color w:val="000000" w:themeColor="text1"/>
                      <w:sz w:val="21"/>
                      <w:szCs w:val="21"/>
                      <w14:textFill>
                        <w14:solidFill>
                          <w14:schemeClr w14:val="tx1"/>
                        </w14:solidFill>
                      </w14:textFill>
                    </w:rPr>
                    <w:t>度</w:t>
                  </w:r>
                  <w:r>
                    <w:rPr>
                      <w:rFonts w:hint="eastAsia"/>
                      <w:color w:val="000000" w:themeColor="text1"/>
                      <w:sz w:val="21"/>
                      <w:szCs w:val="21"/>
                      <w:lang w:val="en-US" w:eastAsia="zh-CN"/>
                      <w14:textFill>
                        <w14:solidFill>
                          <w14:schemeClr w14:val="tx1"/>
                        </w14:solidFill>
                      </w14:textFill>
                    </w:rPr>
                    <w:t>55</w:t>
                  </w:r>
                  <w:r>
                    <w:rPr>
                      <w:color w:val="000000" w:themeColor="text1"/>
                      <w:sz w:val="21"/>
                      <w:szCs w:val="21"/>
                      <w14:textFill>
                        <w14:solidFill>
                          <w14:schemeClr w14:val="tx1"/>
                        </w14:solidFill>
                      </w14:textFill>
                    </w:rPr>
                    <w:t>分</w:t>
                  </w:r>
                  <w:r>
                    <w:rPr>
                      <w:rFonts w:hint="eastAsia"/>
                      <w:color w:val="000000" w:themeColor="text1"/>
                      <w:sz w:val="21"/>
                      <w:szCs w:val="21"/>
                      <w:lang w:val="en-US" w:eastAsia="zh-CN"/>
                      <w14:textFill>
                        <w14:solidFill>
                          <w14:schemeClr w14:val="tx1"/>
                        </w14:solidFill>
                      </w14:textFill>
                    </w:rPr>
                    <w:t>45.133</w:t>
                  </w:r>
                  <w:r>
                    <w:rPr>
                      <w:color w:val="000000" w:themeColor="text1"/>
                      <w:sz w:val="21"/>
                      <w:szCs w:val="21"/>
                      <w14:textFill>
                        <w14:solidFill>
                          <w14:schemeClr w14:val="tx1"/>
                        </w14:solidFill>
                      </w14:textFill>
                    </w:rPr>
                    <w:t>秒，北纬</w:t>
                  </w:r>
                  <w:r>
                    <w:rPr>
                      <w:rFonts w:hint="eastAsia"/>
                      <w:color w:val="000000" w:themeColor="text1"/>
                      <w:sz w:val="21"/>
                      <w:szCs w:val="21"/>
                      <w14:textFill>
                        <w14:solidFill>
                          <w14:schemeClr w14:val="tx1"/>
                        </w14:solidFill>
                      </w14:textFill>
                    </w:rPr>
                    <w:t>33</w:t>
                  </w:r>
                  <w:r>
                    <w:rPr>
                      <w:color w:val="000000" w:themeColor="text1"/>
                      <w:sz w:val="21"/>
                      <w:szCs w:val="21"/>
                      <w14:textFill>
                        <w14:solidFill>
                          <w14:schemeClr w14:val="tx1"/>
                        </w14:solidFill>
                      </w14:textFill>
                    </w:rPr>
                    <w:t>度</w:t>
                  </w:r>
                  <w:r>
                    <w:rPr>
                      <w:rFonts w:hint="eastAsia"/>
                      <w:color w:val="000000" w:themeColor="text1"/>
                      <w:sz w:val="21"/>
                      <w:szCs w:val="21"/>
                      <w:lang w:val="en-US" w:eastAsia="zh-CN"/>
                      <w14:textFill>
                        <w14:solidFill>
                          <w14:schemeClr w14:val="tx1"/>
                        </w14:solidFill>
                      </w14:textFill>
                    </w:rPr>
                    <w:t>28</w:t>
                  </w:r>
                  <w:r>
                    <w:rPr>
                      <w:color w:val="000000" w:themeColor="text1"/>
                      <w:sz w:val="21"/>
                      <w:szCs w:val="21"/>
                      <w14:textFill>
                        <w14:solidFill>
                          <w14:schemeClr w14:val="tx1"/>
                        </w14:solidFill>
                      </w14:textFill>
                    </w:rPr>
                    <w:t>分</w:t>
                  </w:r>
                  <w:r>
                    <w:rPr>
                      <w:rFonts w:hint="eastAsia"/>
                      <w:color w:val="000000" w:themeColor="text1"/>
                      <w:sz w:val="21"/>
                      <w:szCs w:val="21"/>
                      <w:lang w:val="en-US" w:eastAsia="zh-CN"/>
                      <w14:textFill>
                        <w14:solidFill>
                          <w14:schemeClr w14:val="tx1"/>
                        </w14:solidFill>
                      </w14:textFill>
                    </w:rPr>
                    <w:t>14.540</w:t>
                  </w:r>
                  <w:r>
                    <w:rPr>
                      <w:color w:val="000000" w:themeColor="text1"/>
                      <w:sz w:val="21"/>
                      <w:szCs w:val="21"/>
                      <w14:textFill>
                        <w14:solidFill>
                          <w14:schemeClr w14:val="tx1"/>
                        </w14:solidFill>
                      </w14:textFill>
                    </w:rPr>
                    <w:t>秒</w:t>
                  </w:r>
                </w:p>
              </w:tc>
            </w:tr>
            <w:tr w14:paraId="0178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Align w:val="center"/>
                </w:tcPr>
                <w:p w14:paraId="4C684A82">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主要危险物质</w:t>
                  </w:r>
                </w:p>
                <w:p w14:paraId="4DDA5E74">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及分布</w:t>
                  </w:r>
                </w:p>
              </w:tc>
              <w:tc>
                <w:tcPr>
                  <w:tcW w:w="4071" w:type="pct"/>
                  <w:vAlign w:val="center"/>
                </w:tcPr>
                <w:p w14:paraId="48248657">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bCs/>
                      <w:color w:val="000000" w:themeColor="text1"/>
                      <w:sz w:val="21"/>
                      <w:szCs w:val="21"/>
                      <w14:textFill>
                        <w14:solidFill>
                          <w14:schemeClr w14:val="tx1"/>
                        </w14:solidFill>
                      </w14:textFill>
                    </w:rPr>
                    <w:t>主要</w:t>
                  </w:r>
                  <w:r>
                    <w:rPr>
                      <w:rFonts w:hint="default" w:ascii="Times New Roman" w:hAnsi="Times New Roman" w:eastAsia="宋体" w:cs="Times New Roman"/>
                      <w:color w:val="000000" w:themeColor="text1"/>
                      <w:sz w:val="21"/>
                      <w:szCs w:val="21"/>
                      <w14:textFill>
                        <w14:solidFill>
                          <w14:schemeClr w14:val="tx1"/>
                        </w14:solidFill>
                      </w14:textFill>
                    </w:rPr>
                    <w:t>危险物质：</w:t>
                  </w:r>
                  <w:r>
                    <w:rPr>
                      <w:rFonts w:hint="eastAsia" w:cs="Times New Roman"/>
                      <w:color w:val="000000" w:themeColor="text1"/>
                      <w:sz w:val="21"/>
                      <w:szCs w:val="21"/>
                      <w:lang w:val="en-US" w:eastAsia="zh-CN"/>
                      <w14:textFill>
                        <w14:solidFill>
                          <w14:schemeClr w14:val="tx1"/>
                        </w14:solidFill>
                      </w14:textFill>
                    </w:rPr>
                    <w:t>切削液、润滑油、天然气、危险废物等</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辅料区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危险废物暂存</w:t>
                  </w:r>
                  <w:r>
                    <w:rPr>
                      <w:bCs/>
                      <w:color w:val="000000" w:themeColor="text1"/>
                      <w:sz w:val="21"/>
                      <w:szCs w:val="21"/>
                      <w14:textFill>
                        <w14:solidFill>
                          <w14:schemeClr w14:val="tx1"/>
                        </w14:solidFill>
                      </w14:textFill>
                    </w:rPr>
                    <w:t>间</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天然气管道</w:t>
                  </w:r>
                </w:p>
              </w:tc>
            </w:tr>
            <w:tr w14:paraId="5973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Align w:val="center"/>
                </w:tcPr>
                <w:p w14:paraId="7751B925">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环境影响途径</w:t>
                  </w:r>
                </w:p>
                <w:p w14:paraId="5D0F8DAB">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及危害后果</w:t>
                  </w:r>
                </w:p>
              </w:tc>
              <w:tc>
                <w:tcPr>
                  <w:tcW w:w="4071" w:type="pct"/>
                  <w:vAlign w:val="center"/>
                </w:tcPr>
                <w:p w14:paraId="0ADE7E6C">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液态物料在储存或者使用过程中泄漏后遇明火发生火灾、爆炸事故，产生的有毒、有害物质扩散到大气中产生大气污染，相应的事故、消防废水污染地表水、土壤及地下水环境，造成水污染和土壤污染。</w:t>
                  </w:r>
                </w:p>
              </w:tc>
            </w:tr>
            <w:tr w14:paraId="3296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 w:type="pct"/>
                  <w:vAlign w:val="center"/>
                </w:tcPr>
                <w:p w14:paraId="154BCDFC">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风险防范</w:t>
                  </w:r>
                </w:p>
                <w:p w14:paraId="4416FBF4">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措施要求</w:t>
                  </w:r>
                </w:p>
              </w:tc>
              <w:tc>
                <w:tcPr>
                  <w:tcW w:w="4071" w:type="pct"/>
                  <w:shd w:val="clear" w:color="auto" w:fill="auto"/>
                  <w:vAlign w:val="center"/>
                </w:tcPr>
                <w:p w14:paraId="658F209C">
                  <w:pPr>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rPr>
                    <w:t>原辅料按相关要求贮存，明确贮存注意事项并要求专人负责看管</w:t>
                  </w:r>
                  <w:r>
                    <w:rPr>
                      <w:color w:val="000000"/>
                      <w:sz w:val="21"/>
                      <w:szCs w:val="21"/>
                    </w:rPr>
                    <w:t>。定期对生产设施、包装设施以及相应环保设施等进行安全状况检查，危废暂存间</w:t>
                  </w:r>
                  <w:r>
                    <w:rPr>
                      <w:rFonts w:hint="eastAsia"/>
                      <w:color w:val="000000"/>
                      <w:sz w:val="21"/>
                      <w:szCs w:val="21"/>
                      <w:lang w:eastAsia="zh-CN"/>
                    </w:rPr>
                    <w:t>、</w:t>
                  </w:r>
                  <w:r>
                    <w:rPr>
                      <w:rFonts w:hint="eastAsia"/>
                      <w:color w:val="000000"/>
                      <w:sz w:val="21"/>
                      <w:szCs w:val="21"/>
                      <w:lang w:val="en-US" w:eastAsia="zh-CN"/>
                    </w:rPr>
                    <w:t>辅料区、清洗区</w:t>
                  </w:r>
                  <w:r>
                    <w:rPr>
                      <w:color w:val="000000"/>
                      <w:sz w:val="21"/>
                      <w:szCs w:val="21"/>
                    </w:rPr>
                    <w:t>等应进行防渗、防泄漏措施；车间内配置相应的消防设备、设施、防毒、灭火物资等消防、安全设施；制定严格的运行操作规章制度，发生火灾、爆炸事故后，灭火的同时疏散周边无关人员；制定应急预案等</w:t>
                  </w:r>
                </w:p>
              </w:tc>
            </w:tr>
          </w:tbl>
          <w:p w14:paraId="7F04F5EE">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bCs/>
                <w:color w:val="000000" w:themeColor="text1"/>
                <w14:textFill>
                  <w14:solidFill>
                    <w14:schemeClr w14:val="tx1"/>
                  </w14:solidFill>
                </w14:textFill>
              </w:rPr>
            </w:pPr>
            <w:r>
              <w:rPr>
                <w:b/>
                <w:bCs/>
                <w:color w:val="000000" w:themeColor="text1"/>
                <w14:textFill>
                  <w14:solidFill>
                    <w14:schemeClr w14:val="tx1"/>
                  </w14:solidFill>
                </w14:textFill>
              </w:rPr>
              <w:t>八、电磁辐射</w:t>
            </w:r>
          </w:p>
          <w:p w14:paraId="368C78BA">
            <w:pPr>
              <w:pStyle w:val="85"/>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本项目不涉及电磁辐射，故不对该部分内容进行分析。</w:t>
            </w:r>
          </w:p>
          <w:p w14:paraId="447ADB92">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九</w:t>
            </w:r>
            <w:r>
              <w:rPr>
                <w:b/>
                <w:bCs/>
                <w:color w:val="000000" w:themeColor="text1"/>
                <w14:textFill>
                  <w14:solidFill>
                    <w14:schemeClr w14:val="tx1"/>
                  </w14:solidFill>
                </w14:textFill>
              </w:rPr>
              <w:t>、环境管理计划</w:t>
            </w:r>
          </w:p>
          <w:p w14:paraId="2AB81564">
            <w:pPr>
              <w:spacing w:line="360" w:lineRule="auto"/>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1、环境管理</w:t>
            </w:r>
          </w:p>
          <w:p w14:paraId="2A31D6EE">
            <w:pPr>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企业工程投入运营后，应设置环境管理机构，为公司的生产管理和环境管理提供保证，确保建设项目经济、环境和社会效益协调发展；</w:t>
            </w:r>
            <w:r>
              <w:rPr>
                <w:color w:val="000000" w:themeColor="text1"/>
                <w:kern w:val="0"/>
                <w14:textFill>
                  <w14:solidFill>
                    <w14:schemeClr w14:val="tx1"/>
                  </w14:solidFill>
                </w14:textFill>
              </w:rPr>
              <w:t>环境管理机构负责项目运行期的环境管理与环境监测工作，掌握公司各污染源治理措施工艺、设备、运行及维护等资料，检查公司各环保设备的运行情况，领导和组织公司内部的环境监测工作。制定应急防范措施，一旦发生非正常污染应及时组织做好污染监测工作，并分析原因总结经验教训，杜绝污染事故的再次发生；监督拟建工程环保设备的安装调试等工作，坚持“三同时”原则，保障环保设施的设计、施工、运行与主体工程同时进行。</w:t>
            </w:r>
            <w:r>
              <w:rPr>
                <w:color w:val="000000" w:themeColor="text1"/>
                <w14:textFill>
                  <w14:solidFill>
                    <w14:schemeClr w14:val="tx1"/>
                  </w14:solidFill>
                </w14:textFill>
              </w:rPr>
              <w:t>编制主要生产设施和污染防治设施的环境管理台账等。</w:t>
            </w:r>
          </w:p>
          <w:p w14:paraId="1D117971">
            <w:pPr>
              <w:spacing w:line="360" w:lineRule="auto"/>
              <w:ind w:firstLine="48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2、排污口规范化要求</w:t>
            </w:r>
          </w:p>
          <w:p w14:paraId="30A1692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（1）废水排放口</w:t>
            </w:r>
          </w:p>
          <w:p w14:paraId="6E15554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本项目总排口应设置明显的标志牌。</w:t>
            </w:r>
          </w:p>
          <w:p w14:paraId="79A40511">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（2）废气排放口</w:t>
            </w:r>
          </w:p>
          <w:p w14:paraId="576B707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项目建成后，在排气筒附近地面醒目处设置环保图形标志牌，标明排气筒高度﹑出口内径﹑排放污染物种类等。</w:t>
            </w:r>
          </w:p>
          <w:p w14:paraId="5647E29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（3）固定噪声排放源</w:t>
            </w:r>
          </w:p>
          <w:p w14:paraId="7C1302C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按规定对固定噪声进行治理，并在边界噪声敏感点且对外界影响最大处设置标志牌。</w:t>
            </w:r>
          </w:p>
          <w:p w14:paraId="6158C8A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（4）固定废物贮存场</w:t>
            </w:r>
          </w:p>
          <w:p w14:paraId="2A2D777B">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对各种固体废物应分别收集﹑贮存和运输，设置专用危险废物暂存场所，有防止雨淋﹑防扬散﹑防流失﹑防渗漏等措施，并设置标志牌。</w:t>
            </w:r>
          </w:p>
          <w:p w14:paraId="1CB217B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排污口图形符号见下表。</w:t>
            </w:r>
          </w:p>
          <w:p w14:paraId="75E79E17">
            <w:pPr>
              <w:pStyle w:val="121"/>
              <w:spacing w:beforeLines="0" w:line="240" w:lineRule="auto"/>
              <w:ind w:firstLine="482" w:firstLineChars="200"/>
              <w:rPr>
                <w:rFonts w:eastAsia="宋体" w:cs="Times New Roman"/>
                <w:color w:val="000000" w:themeColor="text1"/>
                <w:szCs w:val="24"/>
                <w14:textFill>
                  <w14:solidFill>
                    <w14:schemeClr w14:val="tx1"/>
                  </w14:solidFill>
                </w14:textFill>
              </w:rPr>
            </w:pPr>
            <w:r>
              <w:rPr>
                <w:rFonts w:eastAsia="宋体" w:cs="Times New Roman"/>
                <w:b/>
                <w:bCs/>
                <w:color w:val="000000" w:themeColor="text1"/>
                <w:szCs w:val="24"/>
                <w14:textFill>
                  <w14:solidFill>
                    <w14:schemeClr w14:val="tx1"/>
                  </w14:solidFill>
                </w14:textFill>
              </w:rPr>
              <w:t>表</w:t>
            </w:r>
            <w:r>
              <w:rPr>
                <w:rFonts w:hint="eastAsia" w:eastAsia="宋体" w:cs="Times New Roman"/>
                <w:b/>
                <w:bCs/>
                <w:color w:val="000000" w:themeColor="text1"/>
                <w:szCs w:val="24"/>
                <w14:textFill>
                  <w14:solidFill>
                    <w14:schemeClr w14:val="tx1"/>
                  </w14:solidFill>
                </w14:textFill>
              </w:rPr>
              <w:t>4</w:t>
            </w:r>
            <w:r>
              <w:rPr>
                <w:rFonts w:hint="eastAsia" w:eastAsia="宋体" w:cs="Times New Roman"/>
                <w:b/>
                <w:bCs/>
                <w:color w:val="000000" w:themeColor="text1"/>
                <w:szCs w:val="24"/>
                <w:lang w:val="en-US" w:eastAsia="zh-CN"/>
                <w14:textFill>
                  <w14:solidFill>
                    <w14:schemeClr w14:val="tx1"/>
                  </w14:solidFill>
                </w14:textFill>
              </w:rPr>
              <w:t>-</w:t>
            </w:r>
            <w:r>
              <w:rPr>
                <w:rFonts w:eastAsia="宋体" w:cs="Times New Roman"/>
                <w:b/>
                <w:bCs/>
                <w:color w:val="000000" w:themeColor="text1"/>
                <w:szCs w:val="24"/>
                <w14:textFill>
                  <w14:solidFill>
                    <w14:schemeClr w14:val="tx1"/>
                  </w14:solidFill>
                </w14:textFill>
              </w:rPr>
              <w:t>2</w:t>
            </w:r>
            <w:r>
              <w:rPr>
                <w:rFonts w:hint="eastAsia" w:eastAsia="宋体" w:cs="Times New Roman"/>
                <w:b/>
                <w:bCs/>
                <w:color w:val="000000" w:themeColor="text1"/>
                <w:szCs w:val="24"/>
                <w:lang w:val="en-US" w:eastAsia="zh-CN"/>
                <w14:textFill>
                  <w14:solidFill>
                    <w14:schemeClr w14:val="tx1"/>
                  </w14:solidFill>
                </w14:textFill>
              </w:rPr>
              <w:t>1</w:t>
            </w:r>
            <w:r>
              <w:rPr>
                <w:rFonts w:eastAsia="宋体" w:cs="Times New Roman"/>
                <w:b/>
                <w:bCs/>
                <w:color w:val="000000" w:themeColor="text1"/>
                <w:szCs w:val="24"/>
                <w14:textFill>
                  <w14:solidFill>
                    <w14:schemeClr w14:val="tx1"/>
                  </w14:solidFill>
                </w14:textFill>
              </w:rPr>
              <w:t xml:space="preserve">  厂区排污口图形符号（提示标志）一览表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700"/>
              <w:gridCol w:w="1745"/>
              <w:gridCol w:w="1443"/>
              <w:gridCol w:w="2649"/>
            </w:tblGrid>
            <w:tr w14:paraId="57FE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2D2F6FEA">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1051" w:type="pct"/>
                  <w:vAlign w:val="center"/>
                </w:tcPr>
                <w:p w14:paraId="507B605E">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提示图形符号</w:t>
                  </w:r>
                </w:p>
              </w:tc>
              <w:tc>
                <w:tcPr>
                  <w:tcW w:w="1079" w:type="pct"/>
                  <w:vAlign w:val="center"/>
                </w:tcPr>
                <w:p w14:paraId="558BEFE6">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警告图形符号</w:t>
                  </w:r>
                </w:p>
              </w:tc>
              <w:tc>
                <w:tcPr>
                  <w:tcW w:w="892" w:type="pct"/>
                  <w:vAlign w:val="center"/>
                </w:tcPr>
                <w:p w14:paraId="36E896C9">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1637" w:type="pct"/>
                  <w:vAlign w:val="center"/>
                </w:tcPr>
                <w:p w14:paraId="7C5A8F74">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功能</w:t>
                  </w:r>
                </w:p>
              </w:tc>
            </w:tr>
            <w:tr w14:paraId="74C0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2C16C5E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51" w:type="pct"/>
                  <w:vAlign w:val="center"/>
                </w:tcPr>
                <w:p w14:paraId="23C1FDBE">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75945" cy="578485"/>
                        <wp:effectExtent l="0" t="0" r="3175" b="63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1"/>
                                <a:stretch>
                                  <a:fillRect/>
                                </a:stretch>
                              </pic:blipFill>
                              <pic:spPr>
                                <a:xfrm>
                                  <a:off x="0" y="0"/>
                                  <a:ext cx="575945" cy="578485"/>
                                </a:xfrm>
                                <a:prstGeom prst="rect">
                                  <a:avLst/>
                                </a:prstGeom>
                                <a:noFill/>
                                <a:ln>
                                  <a:noFill/>
                                </a:ln>
                              </pic:spPr>
                            </pic:pic>
                          </a:graphicData>
                        </a:graphic>
                      </wp:inline>
                    </w:drawing>
                  </w:r>
                </w:p>
              </w:tc>
              <w:tc>
                <w:tcPr>
                  <w:tcW w:w="1079" w:type="pct"/>
                  <w:vAlign w:val="center"/>
                </w:tcPr>
                <w:p w14:paraId="57445D54">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616585" cy="552450"/>
                        <wp:effectExtent l="0" t="0" r="8255" b="1143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2"/>
                                <a:stretch>
                                  <a:fillRect/>
                                </a:stretch>
                              </pic:blipFill>
                              <pic:spPr>
                                <a:xfrm>
                                  <a:off x="0" y="0"/>
                                  <a:ext cx="616585" cy="552450"/>
                                </a:xfrm>
                                <a:prstGeom prst="rect">
                                  <a:avLst/>
                                </a:prstGeom>
                                <a:noFill/>
                                <a:ln>
                                  <a:noFill/>
                                </a:ln>
                              </pic:spPr>
                            </pic:pic>
                          </a:graphicData>
                        </a:graphic>
                      </wp:inline>
                    </w:drawing>
                  </w:r>
                </w:p>
              </w:tc>
              <w:tc>
                <w:tcPr>
                  <w:tcW w:w="892" w:type="pct"/>
                  <w:vAlign w:val="center"/>
                </w:tcPr>
                <w:p w14:paraId="5488C26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废水排放口</w:t>
                  </w:r>
                </w:p>
              </w:tc>
              <w:tc>
                <w:tcPr>
                  <w:tcW w:w="1637" w:type="pct"/>
                  <w:vAlign w:val="center"/>
                </w:tcPr>
                <w:p w14:paraId="6B402E4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废水向水体排放</w:t>
                  </w:r>
                </w:p>
              </w:tc>
            </w:tr>
            <w:tr w14:paraId="012A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7F40600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051" w:type="pct"/>
                  <w:vAlign w:val="center"/>
                </w:tcPr>
                <w:p w14:paraId="279BE373">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71500" cy="569595"/>
                        <wp:effectExtent l="0" t="0" r="7620" b="952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3"/>
                                <a:stretch>
                                  <a:fillRect/>
                                </a:stretch>
                              </pic:blipFill>
                              <pic:spPr>
                                <a:xfrm>
                                  <a:off x="0" y="0"/>
                                  <a:ext cx="571500" cy="569595"/>
                                </a:xfrm>
                                <a:prstGeom prst="rect">
                                  <a:avLst/>
                                </a:prstGeom>
                                <a:noFill/>
                                <a:ln>
                                  <a:noFill/>
                                </a:ln>
                              </pic:spPr>
                            </pic:pic>
                          </a:graphicData>
                        </a:graphic>
                      </wp:inline>
                    </w:drawing>
                  </w:r>
                </w:p>
              </w:tc>
              <w:tc>
                <w:tcPr>
                  <w:tcW w:w="1079" w:type="pct"/>
                  <w:vAlign w:val="center"/>
                </w:tcPr>
                <w:p w14:paraId="6B4E7DC2">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621030" cy="543560"/>
                        <wp:effectExtent l="0" t="0" r="3810" b="508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34"/>
                                <a:stretch>
                                  <a:fillRect/>
                                </a:stretch>
                              </pic:blipFill>
                              <pic:spPr>
                                <a:xfrm>
                                  <a:off x="0" y="0"/>
                                  <a:ext cx="621030" cy="543560"/>
                                </a:xfrm>
                                <a:prstGeom prst="rect">
                                  <a:avLst/>
                                </a:prstGeom>
                                <a:noFill/>
                                <a:ln>
                                  <a:noFill/>
                                </a:ln>
                              </pic:spPr>
                            </pic:pic>
                          </a:graphicData>
                        </a:graphic>
                      </wp:inline>
                    </w:drawing>
                  </w:r>
                </w:p>
              </w:tc>
              <w:tc>
                <w:tcPr>
                  <w:tcW w:w="892" w:type="pct"/>
                  <w:vAlign w:val="center"/>
                </w:tcPr>
                <w:p w14:paraId="164966F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废气排放口</w:t>
                  </w:r>
                </w:p>
              </w:tc>
              <w:tc>
                <w:tcPr>
                  <w:tcW w:w="1637" w:type="pct"/>
                  <w:vAlign w:val="center"/>
                </w:tcPr>
                <w:p w14:paraId="290CC46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废气向大气环境排放</w:t>
                  </w:r>
                </w:p>
              </w:tc>
            </w:tr>
            <w:tr w14:paraId="3476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4C255C7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051" w:type="pct"/>
                  <w:vAlign w:val="center"/>
                </w:tcPr>
                <w:p w14:paraId="07BFFF3D">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73405" cy="551815"/>
                        <wp:effectExtent l="0" t="0" r="5715" b="1206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35"/>
                                <a:stretch>
                                  <a:fillRect/>
                                </a:stretch>
                              </pic:blipFill>
                              <pic:spPr>
                                <a:xfrm>
                                  <a:off x="0" y="0"/>
                                  <a:ext cx="573405" cy="551815"/>
                                </a:xfrm>
                                <a:prstGeom prst="rect">
                                  <a:avLst/>
                                </a:prstGeom>
                                <a:noFill/>
                                <a:ln>
                                  <a:noFill/>
                                </a:ln>
                              </pic:spPr>
                            </pic:pic>
                          </a:graphicData>
                        </a:graphic>
                      </wp:inline>
                    </w:drawing>
                  </w:r>
                </w:p>
              </w:tc>
              <w:tc>
                <w:tcPr>
                  <w:tcW w:w="1079" w:type="pct"/>
                  <w:vAlign w:val="center"/>
                </w:tcPr>
                <w:p w14:paraId="3399A19C">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640715" cy="555625"/>
                        <wp:effectExtent l="0" t="0" r="14605" b="8255"/>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36"/>
                                <a:stretch>
                                  <a:fillRect/>
                                </a:stretch>
                              </pic:blipFill>
                              <pic:spPr>
                                <a:xfrm>
                                  <a:off x="0" y="0"/>
                                  <a:ext cx="640715" cy="555625"/>
                                </a:xfrm>
                                <a:prstGeom prst="rect">
                                  <a:avLst/>
                                </a:prstGeom>
                                <a:noFill/>
                                <a:ln>
                                  <a:noFill/>
                                </a:ln>
                              </pic:spPr>
                            </pic:pic>
                          </a:graphicData>
                        </a:graphic>
                      </wp:inline>
                    </w:drawing>
                  </w:r>
                </w:p>
              </w:tc>
              <w:tc>
                <w:tcPr>
                  <w:tcW w:w="892" w:type="pct"/>
                  <w:vAlign w:val="center"/>
                </w:tcPr>
                <w:p w14:paraId="7587CED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一般固体废物</w:t>
                  </w:r>
                </w:p>
              </w:tc>
              <w:tc>
                <w:tcPr>
                  <w:tcW w:w="1637" w:type="pct"/>
                  <w:vAlign w:val="center"/>
                </w:tcPr>
                <w:p w14:paraId="1F5F80B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一般固体废物贮存、</w:t>
                  </w:r>
                  <w:r>
                    <w:rPr>
                      <w:rFonts w:hint="eastAsia"/>
                      <w:color w:val="000000" w:themeColor="text1"/>
                      <w:sz w:val="21"/>
                      <w:szCs w:val="21"/>
                      <w14:textFill>
                        <w14:solidFill>
                          <w14:schemeClr w14:val="tx1"/>
                        </w14:solidFill>
                      </w14:textFill>
                    </w:rPr>
                    <w:t>处置场</w:t>
                  </w:r>
                </w:p>
              </w:tc>
            </w:tr>
            <w:tr w14:paraId="6C28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737D07A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051" w:type="pct"/>
                  <w:vAlign w:val="center"/>
                </w:tcPr>
                <w:p w14:paraId="589B2F03">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65150" cy="567690"/>
                        <wp:effectExtent l="0" t="0" r="13970" b="11430"/>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37"/>
                                <a:stretch>
                                  <a:fillRect/>
                                </a:stretch>
                              </pic:blipFill>
                              <pic:spPr>
                                <a:xfrm>
                                  <a:off x="0" y="0"/>
                                  <a:ext cx="565150" cy="567690"/>
                                </a:xfrm>
                                <a:prstGeom prst="rect">
                                  <a:avLst/>
                                </a:prstGeom>
                                <a:noFill/>
                                <a:ln>
                                  <a:noFill/>
                                </a:ln>
                              </pic:spPr>
                            </pic:pic>
                          </a:graphicData>
                        </a:graphic>
                      </wp:inline>
                    </w:drawing>
                  </w:r>
                </w:p>
              </w:tc>
              <w:tc>
                <w:tcPr>
                  <w:tcW w:w="1079" w:type="pct"/>
                  <w:vAlign w:val="center"/>
                </w:tcPr>
                <w:p w14:paraId="19E0D34C">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650240" cy="565785"/>
                        <wp:effectExtent l="0" t="0" r="5080" b="1333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38"/>
                                <a:stretch>
                                  <a:fillRect/>
                                </a:stretch>
                              </pic:blipFill>
                              <pic:spPr>
                                <a:xfrm>
                                  <a:off x="0" y="0"/>
                                  <a:ext cx="650240" cy="565785"/>
                                </a:xfrm>
                                <a:prstGeom prst="rect">
                                  <a:avLst/>
                                </a:prstGeom>
                                <a:noFill/>
                                <a:ln>
                                  <a:noFill/>
                                </a:ln>
                              </pic:spPr>
                            </pic:pic>
                          </a:graphicData>
                        </a:graphic>
                      </wp:inline>
                    </w:drawing>
                  </w:r>
                </w:p>
              </w:tc>
              <w:tc>
                <w:tcPr>
                  <w:tcW w:w="892" w:type="pct"/>
                  <w:vAlign w:val="center"/>
                </w:tcPr>
                <w:p w14:paraId="6C14AB7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噪声排放源</w:t>
                  </w:r>
                </w:p>
              </w:tc>
              <w:tc>
                <w:tcPr>
                  <w:tcW w:w="1637" w:type="pct"/>
                  <w:vAlign w:val="center"/>
                </w:tcPr>
                <w:p w14:paraId="2182424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噪声向外环境排放</w:t>
                  </w:r>
                </w:p>
              </w:tc>
            </w:tr>
            <w:tr w14:paraId="7C58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vAlign w:val="center"/>
                </w:tcPr>
                <w:p w14:paraId="22064F2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051" w:type="pct"/>
                  <w:vAlign w:val="center"/>
                </w:tcPr>
                <w:p w14:paraId="0ACE7B04">
                  <w:pPr>
                    <w:jc w:val="center"/>
                    <w:rPr>
                      <w:color w:val="000000" w:themeColor="text1"/>
                      <w:sz w:val="21"/>
                      <w:szCs w:val="21"/>
                      <w14:textFill>
                        <w14:solidFill>
                          <w14:schemeClr w14:val="tx1"/>
                        </w14:solidFill>
                      </w14:textFill>
                    </w:rPr>
                  </w:pPr>
                </w:p>
              </w:tc>
              <w:tc>
                <w:tcPr>
                  <w:tcW w:w="1079" w:type="pct"/>
                  <w:vAlign w:val="center"/>
                </w:tcPr>
                <w:p w14:paraId="4CD9DA51">
                  <w:pPr>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574040" cy="565785"/>
                        <wp:effectExtent l="0" t="0" r="0" b="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4070" cy="565785"/>
                                </a:xfrm>
                                <a:prstGeom prst="rect">
                                  <a:avLst/>
                                </a:prstGeom>
                                <a:noFill/>
                                <a:ln>
                                  <a:noFill/>
                                </a:ln>
                              </pic:spPr>
                            </pic:pic>
                          </a:graphicData>
                        </a:graphic>
                      </wp:inline>
                    </w:drawing>
                  </w:r>
                </w:p>
              </w:tc>
              <w:tc>
                <w:tcPr>
                  <w:tcW w:w="892" w:type="pct"/>
                  <w:vAlign w:val="center"/>
                </w:tcPr>
                <w:p w14:paraId="69E82E2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1637" w:type="pct"/>
                  <w:vAlign w:val="center"/>
                </w:tcPr>
                <w:p w14:paraId="687E54F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危险废物贮存、处置场</w:t>
                  </w:r>
                </w:p>
              </w:tc>
            </w:tr>
          </w:tbl>
          <w:p w14:paraId="0129F95B">
            <w:pPr>
              <w:spacing w:before="156" w:beforeLines="50" w:line="360" w:lineRule="auto"/>
              <w:ind w:firstLine="482"/>
              <w:rPr>
                <w:b/>
                <w:bCs/>
                <w:color w:val="000000" w:themeColor="text1"/>
                <w14:textFill>
                  <w14:solidFill>
                    <w14:schemeClr w14:val="tx1"/>
                  </w14:solidFill>
                </w14:textFill>
              </w:rPr>
            </w:pPr>
            <w:r>
              <w:rPr>
                <w:color w:val="000000" w:themeColor="text1"/>
                <w14:textFill>
                  <w14:solidFill>
                    <w14:schemeClr w14:val="tx1"/>
                  </w14:solidFill>
                </w14:textFill>
              </w:rPr>
              <w:t>建设单位应将有关排污口的情况如：排污口的性质、编号、排污口的位置；主要排放的污染物种类、数量、浓度、排放规律、排放去向；污染治理设施的运行情况等进行建档管理。</w:t>
            </w:r>
          </w:p>
          <w:p w14:paraId="61CA254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、排污许可管理</w:t>
            </w:r>
          </w:p>
          <w:p w14:paraId="2CAD893F">
            <w:pPr>
              <w:pStyle w:val="85"/>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color w:val="000000" w:themeColor="text1"/>
                <w14:textFill>
                  <w14:solidFill>
                    <w14:schemeClr w14:val="tx1"/>
                  </w14:solidFill>
                </w14:textFill>
              </w:rPr>
              <w:t>根据《排污许可管理条例》（中华人民共和国国务院令 第736号）中第二条“依照法律规定实行排污许可管理的企业事业单位和其他生产经营者（以下称排污单位），应当依照本条例规定申请取得排污许可证；未取得排污许可证的，不得排放污染物。”</w:t>
            </w:r>
          </w:p>
          <w:p w14:paraId="14B81F97">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根据《固定污染源排污许可分类管理名录（2019年版）》</w:t>
            </w:r>
            <w:r>
              <w:rPr>
                <w:rFonts w:hint="eastAsia" w:cs="Times New Roman"/>
                <w:b w:val="0"/>
                <w:bCs w:val="0"/>
                <w:color w:val="000000" w:themeColor="text1"/>
                <w:sz w:val="24"/>
                <w:szCs w:val="24"/>
                <w:lang w:val="en-US" w:eastAsia="zh-CN"/>
                <w14:textFill>
                  <w14:solidFill>
                    <w14:schemeClr w14:val="tx1"/>
                  </w14:solidFill>
                </w14:textFill>
              </w:rPr>
              <w:t>十九</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文教、工美、体育和娱乐用品制造业24“41.游艺器材及娱乐用品制造246”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本项目不涉及通用工序中的重点和简化管理，为登记管理</w:t>
            </w:r>
            <w:r>
              <w:rPr>
                <w:rFonts w:hint="eastAsia"/>
                <w:color w:val="000000" w:themeColor="text1"/>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要求企业在建成正式投产排污前</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填报排污登记</w:t>
            </w:r>
            <w:r>
              <w:rPr>
                <w:rFonts w:hint="eastAsia" w:asci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p>
          <w:p w14:paraId="39AB6873">
            <w:pPr>
              <w:snapToGrid w:val="0"/>
              <w:spacing w:line="360" w:lineRule="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十</w:t>
            </w:r>
            <w:r>
              <w:rPr>
                <w:b/>
                <w:bCs/>
                <w:color w:val="000000" w:themeColor="text1"/>
                <w14:textFill>
                  <w14:solidFill>
                    <w14:schemeClr w14:val="tx1"/>
                  </w14:solidFill>
                </w14:textFill>
              </w:rPr>
              <w:t>、环保投资估算</w:t>
            </w:r>
          </w:p>
          <w:p w14:paraId="194ECBA3">
            <w:pPr>
              <w:adjustRightInd w:val="0"/>
              <w:snapToGrid w:val="0"/>
              <w:spacing w:line="360" w:lineRule="auto"/>
              <w:ind w:firstLine="480" w:firstLineChars="200"/>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项目总投资</w:t>
            </w:r>
            <w:r>
              <w:rPr>
                <w:rFonts w:hint="eastAsia" w:cs="Times New Roman"/>
                <w:color w:val="000000" w:themeColor="text1"/>
                <w:lang w:val="en-US" w:eastAsia="zh-CN"/>
                <w14:textFill>
                  <w14:solidFill>
                    <w14:schemeClr w14:val="tx1"/>
                  </w14:solidFill>
                </w14:textFill>
              </w:rPr>
              <w:t>3500</w:t>
            </w:r>
            <w:r>
              <w:rPr>
                <w:rFonts w:hint="eastAsia"/>
                <w:color w:val="000000" w:themeColor="text1"/>
                <w:szCs w:val="32"/>
                <w:lang w:bidi="ar"/>
                <w14:textFill>
                  <w14:solidFill>
                    <w14:schemeClr w14:val="tx1"/>
                  </w14:solidFill>
                </w14:textFill>
              </w:rPr>
              <w:t>万元，其中环保投资</w:t>
            </w:r>
            <w:r>
              <w:rPr>
                <w:rFonts w:hint="eastAsia"/>
                <w:color w:val="000000" w:themeColor="text1"/>
                <w:szCs w:val="32"/>
                <w:lang w:val="en-US" w:eastAsia="zh-CN" w:bidi="ar"/>
                <w14:textFill>
                  <w14:solidFill>
                    <w14:schemeClr w14:val="tx1"/>
                  </w14:solidFill>
                </w14:textFill>
              </w:rPr>
              <w:t>70</w:t>
            </w:r>
            <w:r>
              <w:rPr>
                <w:rFonts w:hint="eastAsia"/>
                <w:color w:val="000000" w:themeColor="text1"/>
                <w:szCs w:val="32"/>
                <w:lang w:bidi="ar"/>
                <w14:textFill>
                  <w14:solidFill>
                    <w14:schemeClr w14:val="tx1"/>
                  </w14:solidFill>
                </w14:textFill>
              </w:rPr>
              <w:t>万元，约占总投资</w:t>
            </w:r>
            <w:r>
              <w:rPr>
                <w:rFonts w:hint="eastAsia"/>
                <w:color w:val="000000" w:themeColor="text1"/>
                <w:szCs w:val="32"/>
                <w:lang w:val="en-US" w:eastAsia="zh-CN" w:bidi="ar"/>
                <w14:textFill>
                  <w14:solidFill>
                    <w14:schemeClr w14:val="tx1"/>
                  </w14:solidFill>
                </w14:textFill>
              </w:rPr>
              <w:t>2</w:t>
            </w:r>
            <w:r>
              <w:rPr>
                <w:rFonts w:hint="eastAsia"/>
                <w:color w:val="000000" w:themeColor="text1"/>
                <w:szCs w:val="32"/>
                <w:lang w:bidi="ar"/>
                <w14:textFill>
                  <w14:solidFill>
                    <w14:schemeClr w14:val="tx1"/>
                  </w14:solidFill>
                </w14:textFill>
              </w:rPr>
              <w:t>%</w:t>
            </w:r>
            <w:r>
              <w:rPr>
                <w:rFonts w:hint="eastAsia"/>
                <w:color w:val="000000" w:themeColor="text1"/>
                <w:szCs w:val="32"/>
                <w:lang w:eastAsia="zh-CN" w:bidi="ar"/>
                <w14:textFill>
                  <w14:solidFill>
                    <w14:schemeClr w14:val="tx1"/>
                  </w14:solidFill>
                </w14:textFill>
              </w:rPr>
              <w:t>，</w:t>
            </w:r>
            <w:r>
              <w:rPr>
                <w:rFonts w:hint="eastAsia"/>
                <w:color w:val="000000" w:themeColor="text1"/>
                <w:szCs w:val="32"/>
                <w:lang w:bidi="ar"/>
                <w14:textFill>
                  <w14:solidFill>
                    <w14:schemeClr w14:val="tx1"/>
                  </w14:solidFill>
                </w14:textFill>
              </w:rPr>
              <w:t>主要用于废水、废气、固体废物和噪声污染的治理。</w:t>
            </w:r>
          </w:p>
          <w:p w14:paraId="7FD33918">
            <w:pPr>
              <w:adjustRightInd w:val="0"/>
              <w:snapToGrid w:val="0"/>
              <w:jc w:val="center"/>
              <w:rPr>
                <w:b/>
                <w:bCs/>
                <w:color w:val="000000" w:themeColor="text1"/>
                <w:szCs w:val="32"/>
                <w:lang w:bidi="ar"/>
                <w14:textFill>
                  <w14:solidFill>
                    <w14:schemeClr w14:val="tx1"/>
                  </w14:solidFill>
                </w14:textFill>
              </w:rPr>
            </w:pPr>
            <w:r>
              <w:rPr>
                <w:rFonts w:hint="eastAsia"/>
                <w:b/>
                <w:bCs/>
                <w:color w:val="000000" w:themeColor="text1"/>
                <w:szCs w:val="32"/>
                <w:lang w:bidi="ar"/>
                <w14:textFill>
                  <w14:solidFill>
                    <w14:schemeClr w14:val="tx1"/>
                  </w14:solidFill>
                </w14:textFill>
              </w:rPr>
              <w:t>表4</w:t>
            </w:r>
            <w:r>
              <w:rPr>
                <w:rFonts w:hint="eastAsia"/>
                <w:b/>
                <w:bCs/>
                <w:color w:val="000000" w:themeColor="text1"/>
                <w:szCs w:val="32"/>
                <w:lang w:val="en-US" w:eastAsia="zh-CN" w:bidi="ar"/>
                <w14:textFill>
                  <w14:solidFill>
                    <w14:schemeClr w14:val="tx1"/>
                  </w14:solidFill>
                </w14:textFill>
              </w:rPr>
              <w:t>-</w:t>
            </w:r>
            <w:r>
              <w:rPr>
                <w:b/>
                <w:bCs/>
                <w:color w:val="000000" w:themeColor="text1"/>
                <w:szCs w:val="32"/>
                <w:lang w:bidi="ar"/>
                <w14:textFill>
                  <w14:solidFill>
                    <w14:schemeClr w14:val="tx1"/>
                  </w14:solidFill>
                </w14:textFill>
              </w:rPr>
              <w:t>2</w:t>
            </w:r>
            <w:r>
              <w:rPr>
                <w:rFonts w:hint="eastAsia"/>
                <w:b/>
                <w:bCs/>
                <w:color w:val="000000" w:themeColor="text1"/>
                <w:szCs w:val="32"/>
                <w:lang w:val="en-US" w:eastAsia="zh-CN" w:bidi="ar"/>
                <w14:textFill>
                  <w14:solidFill>
                    <w14:schemeClr w14:val="tx1"/>
                  </w14:solidFill>
                </w14:textFill>
              </w:rPr>
              <w:t>3</w:t>
            </w:r>
            <w:r>
              <w:rPr>
                <w:b/>
                <w:bCs/>
                <w:color w:val="000000" w:themeColor="text1"/>
                <w:szCs w:val="32"/>
                <w:lang w:bidi="ar"/>
                <w14:textFill>
                  <w14:solidFill>
                    <w14:schemeClr w14:val="tx1"/>
                  </w14:solidFill>
                </w14:textFill>
              </w:rPr>
              <w:t xml:space="preserve">  </w:t>
            </w:r>
            <w:r>
              <w:rPr>
                <w:rFonts w:hint="eastAsia"/>
                <w:b/>
                <w:bCs/>
                <w:color w:val="000000" w:themeColor="text1"/>
                <w:szCs w:val="32"/>
                <w:lang w:bidi="ar"/>
                <w14:textFill>
                  <w14:solidFill>
                    <w14:schemeClr w14:val="tx1"/>
                  </w14:solidFill>
                </w14:textFill>
              </w:rPr>
              <w:t>项目环保防治措施及投资估算表</w:t>
            </w:r>
          </w:p>
          <w:tbl>
            <w:tblPr>
              <w:tblStyle w:val="11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8"/>
              <w:gridCol w:w="1461"/>
              <w:gridCol w:w="5058"/>
              <w:gridCol w:w="948"/>
            </w:tblGrid>
            <w:tr w14:paraId="5098A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vAlign w:val="center"/>
                </w:tcPr>
                <w:p w14:paraId="01678751">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污染类别</w:t>
                  </w:r>
                </w:p>
              </w:tc>
              <w:tc>
                <w:tcPr>
                  <w:tcW w:w="903" w:type="pct"/>
                  <w:vAlign w:val="center"/>
                </w:tcPr>
                <w:p w14:paraId="54620068">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污染防治对象</w:t>
                  </w:r>
                </w:p>
              </w:tc>
              <w:tc>
                <w:tcPr>
                  <w:tcW w:w="3128" w:type="pct"/>
                  <w:vAlign w:val="center"/>
                </w:tcPr>
                <w:p w14:paraId="0A3D7F48">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586" w:type="pct"/>
                  <w:vAlign w:val="center"/>
                </w:tcPr>
                <w:p w14:paraId="389E1816">
                  <w:pPr>
                    <w:pStyle w:val="116"/>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投资估算</w:t>
                  </w:r>
                </w:p>
                <w:p w14:paraId="7CDEFC4D">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（万元）</w:t>
                  </w:r>
                </w:p>
              </w:tc>
            </w:tr>
            <w:tr w14:paraId="2F945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vAlign w:val="center"/>
                </w:tcPr>
                <w:p w14:paraId="1CD7E7EC">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903" w:type="pct"/>
                  <w:vAlign w:val="center"/>
                </w:tcPr>
                <w:p w14:paraId="2F4A4808">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生活污水</w:t>
                  </w:r>
                </w:p>
              </w:tc>
              <w:tc>
                <w:tcPr>
                  <w:tcW w:w="3128" w:type="pct"/>
                  <w:vAlign w:val="center"/>
                </w:tcPr>
                <w:p w14:paraId="7524506F">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依托强宇</w:t>
                  </w:r>
                  <w:r>
                    <w:rPr>
                      <w:rFonts w:hint="default" w:ascii="Times New Roman" w:hAnsi="Times New Roman" w:eastAsia="宋体" w:cs="Times New Roman"/>
                      <w:color w:val="000000" w:themeColor="text1"/>
                      <w:sz w:val="21"/>
                      <w:szCs w:val="21"/>
                      <w14:textFill>
                        <w14:solidFill>
                          <w14:schemeClr w14:val="tx1"/>
                        </w14:solidFill>
                      </w14:textFill>
                    </w:rPr>
                    <w:t>化粪池、污水管网</w:t>
                  </w:r>
                </w:p>
              </w:tc>
              <w:tc>
                <w:tcPr>
                  <w:tcW w:w="586" w:type="pct"/>
                  <w:vAlign w:val="center"/>
                </w:tcPr>
                <w:p w14:paraId="30D6A01D">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r>
            <w:tr w14:paraId="2B1DB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382" w:type="pct"/>
                  <w:vMerge w:val="restart"/>
                  <w:vAlign w:val="center"/>
                </w:tcPr>
                <w:p w14:paraId="554AF62B">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903" w:type="pct"/>
                  <w:vAlign w:val="center"/>
                </w:tcPr>
                <w:p w14:paraId="3F74BB2A">
                  <w:pPr>
                    <w:pStyle w:val="116"/>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下料切割废气</w:t>
                  </w:r>
                </w:p>
              </w:tc>
              <w:tc>
                <w:tcPr>
                  <w:tcW w:w="3128" w:type="pct"/>
                  <w:vAlign w:val="center"/>
                </w:tcPr>
                <w:p w14:paraId="670F759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下料产生的废气经收集后通过袋式除尘器（TA001）处理后经排气筒DA001排放</w:t>
                  </w:r>
                </w:p>
              </w:tc>
              <w:tc>
                <w:tcPr>
                  <w:tcW w:w="586" w:type="pct"/>
                  <w:vAlign w:val="center"/>
                </w:tcPr>
                <w:p w14:paraId="446A9A2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kern w:val="0"/>
                      <w:sz w:val="21"/>
                      <w:szCs w:val="21"/>
                      <w:u w:val="none"/>
                      <w:lang w:val="en-US" w:eastAsia="zh-CN" w:bidi="ar"/>
                    </w:rPr>
                    <w:t>10</w:t>
                  </w:r>
                </w:p>
              </w:tc>
            </w:tr>
            <w:tr w14:paraId="38799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382" w:type="pct"/>
                  <w:vMerge w:val="continue"/>
                  <w:vAlign w:val="center"/>
                </w:tcPr>
                <w:p w14:paraId="41C8F47C">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3" w:type="pct"/>
                  <w:vAlign w:val="center"/>
                </w:tcPr>
                <w:p w14:paraId="67C69FB7">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喷塑废气</w:t>
                  </w:r>
                </w:p>
              </w:tc>
              <w:tc>
                <w:tcPr>
                  <w:tcW w:w="3128" w:type="pct"/>
                  <w:vAlign w:val="center"/>
                </w:tcPr>
                <w:p w14:paraId="72E4DBAC">
                  <w:pPr>
                    <w:adjustRightInd w:val="0"/>
                    <w:snapToGrid w:val="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喷塑产生的废气经收集后通过设备自带二级滤芯+自带旋风（TA002）处理后经排气筒DA002排放</w:t>
                  </w:r>
                </w:p>
              </w:tc>
              <w:tc>
                <w:tcPr>
                  <w:tcW w:w="586" w:type="pct"/>
                  <w:vAlign w:val="center"/>
                </w:tcPr>
                <w:p w14:paraId="45BD46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r>
            <w:tr w14:paraId="6A296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382" w:type="pct"/>
                  <w:vMerge w:val="continue"/>
                  <w:vAlign w:val="center"/>
                </w:tcPr>
                <w:p w14:paraId="1C8F87EB">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3" w:type="pct"/>
                  <w:vAlign w:val="center"/>
                </w:tcPr>
                <w:p w14:paraId="46C34806">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固化及供热燃烧废气</w:t>
                  </w:r>
                </w:p>
              </w:tc>
              <w:tc>
                <w:tcPr>
                  <w:tcW w:w="3128" w:type="pct"/>
                  <w:vAlign w:val="center"/>
                </w:tcPr>
                <w:p w14:paraId="1BB076B1">
                  <w:pPr>
                    <w:adjustRightInd w:val="0"/>
                    <w:snapToGrid w:val="0"/>
                    <w:jc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喷塑后固化工序产生的废气经收集后通过二级活性炭吸附装置（TA003）处理后经排气筒DA003排放；固化供热为燃烧天然气，燃烧废气经低氮燃烧器（TA004）源头控制后经排气筒DA003排放</w:t>
                  </w:r>
                </w:p>
              </w:tc>
              <w:tc>
                <w:tcPr>
                  <w:tcW w:w="586" w:type="pct"/>
                  <w:vAlign w:val="center"/>
                </w:tcPr>
                <w:p w14:paraId="010188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r>
            <w:tr w14:paraId="702AC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382" w:type="pct"/>
                  <w:vMerge w:val="continue"/>
                  <w:vAlign w:val="center"/>
                </w:tcPr>
                <w:p w14:paraId="3DAE1C8F">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3" w:type="pct"/>
                  <w:vAlign w:val="center"/>
                </w:tcPr>
                <w:p w14:paraId="27CBC17E">
                  <w:pPr>
                    <w:pStyle w:val="116"/>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注塑废气</w:t>
                  </w:r>
                </w:p>
              </w:tc>
              <w:tc>
                <w:tcPr>
                  <w:tcW w:w="3128" w:type="pct"/>
                  <w:shd w:val="clear" w:color="auto" w:fill="auto"/>
                  <w:vAlign w:val="center"/>
                </w:tcPr>
                <w:p w14:paraId="5CC8782D">
                  <w:pPr>
                    <w:adjustRightInd w:val="0"/>
                    <w:snapToGrid w:val="0"/>
                    <w:jc w:val="center"/>
                    <w:rPr>
                      <w:rFonts w:hint="eastAsia" w:ascii="Times New Roman" w:hAnsi="Times New Roman" w:eastAsia="宋体" w:cs="Times New Roman"/>
                      <w:color w:val="0000FF"/>
                      <w:kern w:val="2"/>
                      <w:sz w:val="21"/>
                      <w:szCs w:val="21"/>
                      <w:lang w:val="en-US" w:eastAsia="zh-CN" w:bidi="ar"/>
                    </w:rPr>
                  </w:pPr>
                  <w:r>
                    <w:rPr>
                      <w:rFonts w:hint="eastAsia" w:cs="Times New Roman"/>
                      <w:color w:val="000000" w:themeColor="text1"/>
                      <w:sz w:val="21"/>
                      <w:szCs w:val="21"/>
                      <w:lang w:val="en-US" w:eastAsia="zh-CN" w:bidi="ar"/>
                      <w14:textFill>
                        <w14:solidFill>
                          <w14:schemeClr w14:val="tx1"/>
                        </w14:solidFill>
                      </w14:textFill>
                    </w:rPr>
                    <w:t>注塑工序产生的废气经收集后通过二级活性炭吸附装置（TA005）处理后经排气筒DA004排放</w:t>
                  </w:r>
                </w:p>
              </w:tc>
              <w:tc>
                <w:tcPr>
                  <w:tcW w:w="586" w:type="pct"/>
                  <w:vAlign w:val="center"/>
                </w:tcPr>
                <w:p w14:paraId="57B34DA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r>
            <w:tr w14:paraId="02903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vMerge w:val="continue"/>
                  <w:vAlign w:val="center"/>
                </w:tcPr>
                <w:p w14:paraId="702BF6EC">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3" w:type="pct"/>
                  <w:vAlign w:val="center"/>
                </w:tcPr>
                <w:p w14:paraId="6E4DB535">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焊接、打磨烟尘</w:t>
                  </w:r>
                </w:p>
              </w:tc>
              <w:tc>
                <w:tcPr>
                  <w:tcW w:w="3128" w:type="pct"/>
                  <w:vAlign w:val="center"/>
                </w:tcPr>
                <w:p w14:paraId="499E7CE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打磨、焊接工序产生的烟尘经移动式烟尘净化器处理后无组织排放</w:t>
                  </w:r>
                </w:p>
              </w:tc>
              <w:tc>
                <w:tcPr>
                  <w:tcW w:w="586" w:type="pct"/>
                  <w:vAlign w:val="center"/>
                </w:tcPr>
                <w:p w14:paraId="67CC408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kern w:val="0"/>
                      <w:sz w:val="21"/>
                      <w:szCs w:val="21"/>
                      <w:u w:val="none"/>
                      <w:lang w:val="en-US" w:eastAsia="zh-CN" w:bidi="ar"/>
                    </w:rPr>
                    <w:t>2</w:t>
                  </w:r>
                </w:p>
              </w:tc>
            </w:tr>
            <w:tr w14:paraId="04061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vAlign w:val="center"/>
                </w:tcPr>
                <w:p w14:paraId="0BCB36DB">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903" w:type="pct"/>
                  <w:vAlign w:val="center"/>
                </w:tcPr>
                <w:p w14:paraId="569CA31B">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设备噪声等</w:t>
                  </w:r>
                </w:p>
              </w:tc>
              <w:tc>
                <w:tcPr>
                  <w:tcW w:w="3128" w:type="pct"/>
                  <w:vAlign w:val="center"/>
                </w:tcPr>
                <w:p w14:paraId="25801484">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消声、减振、密闭隔声、设备保养等</w:t>
                  </w:r>
                </w:p>
              </w:tc>
              <w:tc>
                <w:tcPr>
                  <w:tcW w:w="586" w:type="pct"/>
                  <w:vAlign w:val="center"/>
                </w:tcPr>
                <w:p w14:paraId="427B7A99">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i w:val="0"/>
                      <w:iCs w:val="0"/>
                      <w:color w:val="000000"/>
                      <w:kern w:val="0"/>
                      <w:sz w:val="21"/>
                      <w:szCs w:val="21"/>
                      <w:u w:val="none"/>
                      <w:lang w:val="en-US" w:eastAsia="zh-CN" w:bidi="ar"/>
                    </w:rPr>
                    <w:t>2</w:t>
                  </w:r>
                </w:p>
              </w:tc>
            </w:tr>
            <w:tr w14:paraId="52D15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vMerge w:val="restart"/>
                  <w:tcBorders>
                    <w:bottom w:val="nil"/>
                  </w:tcBorders>
                  <w:vAlign w:val="center"/>
                </w:tcPr>
                <w:p w14:paraId="19508A86">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903" w:type="pct"/>
                  <w:vAlign w:val="center"/>
                </w:tcPr>
                <w:p w14:paraId="5A7926E8">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3128" w:type="pct"/>
                  <w:vAlign w:val="center"/>
                </w:tcPr>
                <w:p w14:paraId="0442C82A">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垃圾桶等</w:t>
                  </w:r>
                </w:p>
              </w:tc>
              <w:tc>
                <w:tcPr>
                  <w:tcW w:w="586" w:type="pct"/>
                  <w:vAlign w:val="center"/>
                </w:tcPr>
                <w:p w14:paraId="09292A2F">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898E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vMerge w:val="continue"/>
                  <w:tcBorders>
                    <w:top w:val="nil"/>
                    <w:bottom w:val="nil"/>
                  </w:tcBorders>
                  <w:vAlign w:val="center"/>
                </w:tcPr>
                <w:p w14:paraId="6B70AF09">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3" w:type="pct"/>
                  <w:vAlign w:val="center"/>
                </w:tcPr>
                <w:p w14:paraId="1EBED3C1">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一般固体废物</w:t>
                  </w:r>
                </w:p>
              </w:tc>
              <w:tc>
                <w:tcPr>
                  <w:tcW w:w="3128" w:type="pct"/>
                  <w:vAlign w:val="center"/>
                </w:tcPr>
                <w:p w14:paraId="4BA00598">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暂存在一般固废暂存</w:t>
                  </w:r>
                  <w:r>
                    <w:rPr>
                      <w:rFonts w:hint="eastAsia" w:ascii="Times New Roman" w:hAnsi="Times New Roman" w:cs="Times New Roman"/>
                      <w:color w:val="000000" w:themeColor="text1"/>
                      <w:sz w:val="21"/>
                      <w:szCs w:val="21"/>
                      <w:lang w:val="en-US" w:eastAsia="zh-CN"/>
                      <w14:textFill>
                        <w14:solidFill>
                          <w14:schemeClr w14:val="tx1"/>
                        </w14:solidFill>
                      </w14:textFill>
                    </w:rPr>
                    <w:t>区</w:t>
                  </w:r>
                  <w:r>
                    <w:rPr>
                      <w:rFonts w:hint="default" w:ascii="Times New Roman" w:hAnsi="Times New Roman" w:eastAsia="宋体" w:cs="Times New Roman"/>
                      <w:color w:val="000000" w:themeColor="text1"/>
                      <w:sz w:val="21"/>
                      <w:szCs w:val="21"/>
                      <w:lang w:eastAsia="zh-CN"/>
                      <w14:textFill>
                        <w14:solidFill>
                          <w14:schemeClr w14:val="tx1"/>
                        </w14:solidFill>
                      </w14:textFill>
                    </w:rPr>
                    <w:t>，定期外售处理</w:t>
                  </w:r>
                </w:p>
              </w:tc>
              <w:tc>
                <w:tcPr>
                  <w:tcW w:w="586" w:type="pct"/>
                  <w:vAlign w:val="center"/>
                </w:tcPr>
                <w:p w14:paraId="7C45479C">
                  <w:pPr>
                    <w:keepNext w:val="0"/>
                    <w:keepLines w:val="0"/>
                    <w:widowControl/>
                    <w:suppressLineNumbers w:val="0"/>
                    <w:jc w:val="center"/>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i w:val="0"/>
                      <w:iCs w:val="0"/>
                      <w:color w:val="000000"/>
                      <w:kern w:val="0"/>
                      <w:sz w:val="21"/>
                      <w:szCs w:val="21"/>
                      <w:u w:val="none"/>
                      <w:lang w:val="en-US" w:eastAsia="zh-CN" w:bidi="ar"/>
                    </w:rPr>
                    <w:t>3</w:t>
                  </w:r>
                </w:p>
              </w:tc>
            </w:tr>
            <w:tr w14:paraId="4B359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2" w:type="pct"/>
                  <w:vMerge w:val="continue"/>
                  <w:tcBorders>
                    <w:top w:val="nil"/>
                  </w:tcBorders>
                  <w:vAlign w:val="center"/>
                </w:tcPr>
                <w:p w14:paraId="0BB00EEC">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03" w:type="pct"/>
                  <w:vAlign w:val="center"/>
                </w:tcPr>
                <w:p w14:paraId="3349071F">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危险废物</w:t>
                  </w:r>
                </w:p>
              </w:tc>
              <w:tc>
                <w:tcPr>
                  <w:tcW w:w="3128" w:type="pct"/>
                  <w:vAlign w:val="center"/>
                </w:tcPr>
                <w:p w14:paraId="431C2E43">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危险废物暂存</w:t>
                  </w:r>
                  <w:r>
                    <w:rPr>
                      <w:rFonts w:hint="default" w:ascii="Times New Roman" w:hAnsi="Times New Roman" w:cs="Times New Roman"/>
                      <w:color w:val="000000" w:themeColor="text1"/>
                      <w:sz w:val="21"/>
                      <w:szCs w:val="21"/>
                      <w14:textFill>
                        <w14:solidFill>
                          <w14:schemeClr w14:val="tx1"/>
                        </w14:solidFill>
                      </w14:textFill>
                    </w:rPr>
                    <w:t>间（</w:t>
                  </w:r>
                  <w:r>
                    <w:rPr>
                      <w:rFonts w:hint="eastAsia"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位于</w:t>
                  </w:r>
                  <w:r>
                    <w:rPr>
                      <w:rFonts w:hint="eastAsia" w:cs="Times New Roman"/>
                      <w:b w:val="0"/>
                      <w:bCs w:val="0"/>
                      <w:color w:val="000000" w:themeColor="text1"/>
                      <w:sz w:val="21"/>
                      <w:szCs w:val="21"/>
                      <w:lang w:val="en-US" w:eastAsia="zh-CN"/>
                      <w14:textFill>
                        <w14:solidFill>
                          <w14:schemeClr w14:val="tx1"/>
                        </w14:solidFill>
                      </w14:textFill>
                    </w:rPr>
                    <w:t>生产车间东北侧</w:t>
                  </w:r>
                  <w:r>
                    <w:rPr>
                      <w:rFonts w:hint="eastAsia" w:ascii="Times New Roman" w:hAnsi="Times New Roman" w:cs="Times New Roman"/>
                      <w:color w:val="000000" w:themeColor="text1"/>
                      <w:sz w:val="21"/>
                      <w:szCs w:val="21"/>
                      <w:lang w:val="en-US" w:eastAsia="zh-CN"/>
                      <w14:textFill>
                        <w14:solidFill>
                          <w14:schemeClr w14:val="tx1"/>
                        </w14:solidFill>
                      </w14:textFill>
                    </w:rPr>
                    <w:t>，委托有资质单位定期处置</w:t>
                  </w:r>
                </w:p>
              </w:tc>
              <w:tc>
                <w:tcPr>
                  <w:tcW w:w="586" w:type="pct"/>
                  <w:vAlign w:val="center"/>
                </w:tcPr>
                <w:p w14:paraId="0BA7472B">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kern w:val="0"/>
                      <w:sz w:val="21"/>
                      <w:szCs w:val="21"/>
                      <w:u w:val="none"/>
                      <w:lang w:val="en-US" w:eastAsia="zh-CN" w:bidi="ar"/>
                    </w:rPr>
                    <w:t>10</w:t>
                  </w:r>
                </w:p>
              </w:tc>
            </w:tr>
            <w:tr w14:paraId="69587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5" w:type="pct"/>
                  <w:gridSpan w:val="2"/>
                  <w:vAlign w:val="center"/>
                </w:tcPr>
                <w:p w14:paraId="29617B33">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地下水、土壤</w:t>
                  </w:r>
                </w:p>
              </w:tc>
              <w:tc>
                <w:tcPr>
                  <w:tcW w:w="3128" w:type="pct"/>
                  <w:vAlign w:val="center"/>
                </w:tcPr>
                <w:p w14:paraId="6A248F5A">
                  <w:pPr>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分区防渗：</w:t>
                  </w:r>
                </w:p>
                <w:p w14:paraId="0D06EE0D">
                  <w:pPr>
                    <w:pStyle w:val="116"/>
                    <w:numPr>
                      <w:ilvl w:val="0"/>
                      <w:numId w:val="0"/>
                    </w:numPr>
                    <w:jc w:val="left"/>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snapToGrid w:val="0"/>
                      <w:color w:val="000000" w:themeColor="text1"/>
                      <w:kern w:val="0"/>
                      <w:sz w:val="21"/>
                      <w:szCs w:val="21"/>
                      <w:lang w:val="en-US" w:eastAsia="zh-CN" w:bidi="ar-SA"/>
                      <w14:textFill>
                        <w14:solidFill>
                          <w14:schemeClr w14:val="tx1"/>
                        </w14:solidFill>
                      </w14:textFill>
                    </w:rPr>
                    <w:t>重点防渗区：危险废物暂存间、辅料区、清洗区</w:t>
                  </w:r>
                </w:p>
                <w:p w14:paraId="13BE2CA1">
                  <w:pPr>
                    <w:pStyle w:val="116"/>
                    <w:numPr>
                      <w:ilvl w:val="0"/>
                      <w:numId w:val="0"/>
                    </w:numPr>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危险废物暂存间重点防渗，防渗层为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cm/s），或至少2mm厚高密度聚乙烯膜等人工防渗材料（渗透系数不大于10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b w:val="0"/>
                      <w:bCs w:val="0"/>
                      <w:color w:val="000000" w:themeColor="text1"/>
                      <w:sz w:val="21"/>
                      <w:szCs w:val="21"/>
                      <w14:textFill>
                        <w14:solidFill>
                          <w14:schemeClr w14:val="tx1"/>
                        </w14:solidFill>
                      </w14:textFill>
                    </w:rPr>
                    <w:t>cm/s），或其他防渗性能等效的材料</w:t>
                  </w:r>
                </w:p>
                <w:p w14:paraId="2B653315">
                  <w:pPr>
                    <w:pStyle w:val="116"/>
                    <w:numPr>
                      <w:ilvl w:val="0"/>
                      <w:numId w:val="0"/>
                    </w:numPr>
                    <w:jc w:val="left"/>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辅料区、清洗区均</w:t>
                  </w:r>
                  <w:r>
                    <w:rPr>
                      <w:rFonts w:hint="default" w:ascii="Times New Roman" w:hAnsi="Times New Roman" w:eastAsia="宋体" w:cs="Times New Roman"/>
                      <w:b w:val="0"/>
                      <w:bCs w:val="0"/>
                      <w:color w:val="000000" w:themeColor="text1"/>
                      <w:sz w:val="21"/>
                      <w:szCs w:val="21"/>
                      <w14:textFill>
                        <w14:solidFill>
                          <w14:schemeClr w14:val="tx1"/>
                        </w14:solidFill>
                      </w14:textFill>
                    </w:rPr>
                    <w:t>重点防渗，等效黏土防渗层Mb≥6.0m，K≤1.0×10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cm/s；或参照GB 18598执行</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p w14:paraId="58E4ACAD">
                  <w:pPr>
                    <w:pStyle w:val="116"/>
                    <w:jc w:val="left"/>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（2）生产</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车间其他区域</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一般固废暂存间划等一般防渗：等效黏土防水层Mb≥1.5m，K≤1.0×10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cm/s</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或参照GB 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6889</w:t>
                  </w:r>
                  <w:r>
                    <w:rPr>
                      <w:rFonts w:hint="default" w:ascii="Times New Roman" w:hAnsi="Times New Roman" w:eastAsia="宋体" w:cs="Times New Roman"/>
                      <w:b w:val="0"/>
                      <w:bCs w:val="0"/>
                      <w:color w:val="000000" w:themeColor="text1"/>
                      <w:sz w:val="21"/>
                      <w:szCs w:val="21"/>
                      <w14:textFill>
                        <w14:solidFill>
                          <w14:schemeClr w14:val="tx1"/>
                        </w14:solidFill>
                      </w14:textFill>
                    </w:rPr>
                    <w:t>执行</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p w14:paraId="61EDE002">
                  <w:pPr>
                    <w:pStyle w:val="1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（3）办公</w:t>
                  </w:r>
                  <w:r>
                    <w:rPr>
                      <w:rFonts w:hint="eastAsia" w:cs="Times New Roman"/>
                      <w:b w:val="0"/>
                      <w:bCs w:val="0"/>
                      <w:color w:val="000000" w:themeColor="text1"/>
                      <w:sz w:val="21"/>
                      <w:szCs w:val="21"/>
                      <w:lang w:val="en-US" w:eastAsia="zh-CN"/>
                      <w14:textFill>
                        <w14:solidFill>
                          <w14:schemeClr w14:val="tx1"/>
                        </w14:solidFill>
                      </w14:textFill>
                    </w:rPr>
                    <w:t>区等为</w:t>
                  </w:r>
                  <w:r>
                    <w:rPr>
                      <w:rFonts w:hint="default" w:ascii="Times New Roman" w:hAnsi="Times New Roman" w:eastAsia="宋体" w:cs="Times New Roman"/>
                      <w:b w:val="0"/>
                      <w:bCs w:val="0"/>
                      <w:color w:val="000000" w:themeColor="text1"/>
                      <w:sz w:val="21"/>
                      <w:szCs w:val="21"/>
                      <w14:textFill>
                        <w14:solidFill>
                          <w14:schemeClr w14:val="tx1"/>
                        </w14:solidFill>
                      </w14:textFill>
                    </w:rPr>
                    <w:t>简单防渗：一般地面硬化</w:t>
                  </w:r>
                </w:p>
              </w:tc>
              <w:tc>
                <w:tcPr>
                  <w:tcW w:w="586" w:type="pct"/>
                  <w:vAlign w:val="center"/>
                </w:tcPr>
                <w:p w14:paraId="527ACABE">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kern w:val="0"/>
                      <w:sz w:val="21"/>
                      <w:szCs w:val="21"/>
                      <w:u w:val="none"/>
                      <w:lang w:val="en-US" w:eastAsia="zh-CN" w:bidi="ar"/>
                    </w:rPr>
                    <w:t>10</w:t>
                  </w:r>
                </w:p>
              </w:tc>
            </w:tr>
            <w:tr w14:paraId="51063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85" w:type="pct"/>
                  <w:gridSpan w:val="2"/>
                  <w:vAlign w:val="center"/>
                </w:tcPr>
                <w:p w14:paraId="591588F5">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风险</w:t>
                  </w:r>
                </w:p>
              </w:tc>
              <w:tc>
                <w:tcPr>
                  <w:tcW w:w="3128" w:type="pct"/>
                  <w:shd w:val="clear" w:color="auto" w:fill="auto"/>
                  <w:vAlign w:val="center"/>
                </w:tcPr>
                <w:p w14:paraId="1B2943B3">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eastAsia"/>
                      <w:color w:val="000000"/>
                      <w:sz w:val="21"/>
                      <w:szCs w:val="21"/>
                    </w:rPr>
                    <w:t>原辅料按相关要求贮存，明确贮存注意事项并要求专人负责看管</w:t>
                  </w:r>
                  <w:r>
                    <w:rPr>
                      <w:color w:val="000000"/>
                      <w:sz w:val="21"/>
                      <w:szCs w:val="21"/>
                    </w:rPr>
                    <w:t>。定期对生产设施、包装设施以及相应环保设施等进行安全状况检查，危废暂存间</w:t>
                  </w:r>
                  <w:r>
                    <w:rPr>
                      <w:rFonts w:hint="eastAsia"/>
                      <w:color w:val="000000"/>
                      <w:sz w:val="21"/>
                      <w:szCs w:val="21"/>
                      <w:lang w:eastAsia="zh-CN"/>
                    </w:rPr>
                    <w:t>、</w:t>
                  </w:r>
                  <w:r>
                    <w:rPr>
                      <w:rFonts w:hint="eastAsia"/>
                      <w:color w:val="000000"/>
                      <w:sz w:val="21"/>
                      <w:szCs w:val="21"/>
                      <w:lang w:val="en-US" w:eastAsia="zh-CN"/>
                    </w:rPr>
                    <w:t>辅料区、清洗区</w:t>
                  </w:r>
                  <w:r>
                    <w:rPr>
                      <w:color w:val="000000"/>
                      <w:sz w:val="21"/>
                      <w:szCs w:val="21"/>
                    </w:rPr>
                    <w:t>等应进行防渗、防泄漏措施；车间内配置相应的消防设备、设施、防毒、灭火物资等消防、安全设施；制定严格的运行操作规章制度，发生火灾、爆炸事故后，灭火的</w:t>
                  </w:r>
                  <w:r>
                    <w:rPr>
                      <w:color w:val="000000"/>
                      <w:kern w:val="0"/>
                      <w:sz w:val="21"/>
                      <w:szCs w:val="21"/>
                    </w:rPr>
                    <w:t>同时</w:t>
                  </w:r>
                  <w:r>
                    <w:rPr>
                      <w:color w:val="000000"/>
                      <w:sz w:val="21"/>
                      <w:szCs w:val="21"/>
                    </w:rPr>
                    <w:t>疏散周边无关人员；制定应急预案等</w:t>
                  </w:r>
                </w:p>
              </w:tc>
              <w:tc>
                <w:tcPr>
                  <w:tcW w:w="586" w:type="pct"/>
                  <w:vAlign w:val="center"/>
                </w:tcPr>
                <w:p w14:paraId="382EE9B7">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i w:val="0"/>
                      <w:iCs w:val="0"/>
                      <w:color w:val="000000"/>
                      <w:kern w:val="0"/>
                      <w:sz w:val="21"/>
                      <w:szCs w:val="21"/>
                      <w:u w:val="none"/>
                      <w:lang w:val="en-US" w:eastAsia="zh-CN" w:bidi="ar"/>
                    </w:rPr>
                    <w:t>10</w:t>
                  </w:r>
                </w:p>
              </w:tc>
            </w:tr>
            <w:tr w14:paraId="78DEC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413" w:type="pct"/>
                  <w:gridSpan w:val="3"/>
                  <w:vAlign w:val="center"/>
                </w:tcPr>
                <w:p w14:paraId="6DB8ED7A">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586" w:type="pct"/>
                  <w:vAlign w:val="center"/>
                </w:tcPr>
                <w:p w14:paraId="4707A7DF">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w:t>
                  </w:r>
                </w:p>
              </w:tc>
            </w:tr>
          </w:tbl>
          <w:p w14:paraId="0B7F5530">
            <w:pPr>
              <w:adjustRightInd w:val="0"/>
              <w:snapToGrid w:val="0"/>
              <w:spacing w:line="360" w:lineRule="auto"/>
              <w:jc w:val="left"/>
              <w:rPr>
                <w:b/>
                <w:bCs/>
                <w:color w:val="000000" w:themeColor="text1"/>
                <w:szCs w:val="32"/>
                <w:lang w:bidi="ar"/>
                <w14:textFill>
                  <w14:solidFill>
                    <w14:schemeClr w14:val="tx1"/>
                  </w14:solidFill>
                </w14:textFill>
              </w:rPr>
            </w:pPr>
          </w:p>
        </w:tc>
      </w:tr>
    </w:tbl>
    <w:p w14:paraId="07435185">
      <w:pPr>
        <w:pStyle w:val="26"/>
        <w:jc w:val="center"/>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531" w:bottom="2127" w:left="1531" w:header="851" w:footer="851" w:gutter="0"/>
          <w:cols w:space="720" w:num="1"/>
          <w:docGrid w:linePitch="312" w:charSpace="0"/>
        </w:sectPr>
      </w:pPr>
    </w:p>
    <w:p w14:paraId="4A26F8E0">
      <w:pPr>
        <w:pStyle w:val="26"/>
        <w:jc w:val="center"/>
        <w:outlineLvl w:val="0"/>
        <w:rPr>
          <w:rFonts w:hint="eastAsia" w:ascii="宋体" w:hAnsi="宋体" w:eastAsia="宋体" w:cs="宋体"/>
          <w:b/>
          <w:bCs/>
          <w:snapToGrid w:val="0"/>
          <w:color w:val="000000" w:themeColor="text1"/>
          <w:sz w:val="30"/>
          <w:szCs w:val="30"/>
          <w14:textFill>
            <w14:solidFill>
              <w14:schemeClr w14:val="tx1"/>
            </w14:solidFill>
          </w14:textFill>
        </w:rPr>
      </w:pPr>
      <w:r>
        <w:rPr>
          <w:rFonts w:hint="eastAsia" w:ascii="宋体" w:hAnsi="宋体" w:eastAsia="宋体" w:cs="宋体"/>
          <w:b/>
          <w:bCs/>
          <w:snapToGrid w:val="0"/>
          <w:color w:val="000000" w:themeColor="text1"/>
          <w:sz w:val="30"/>
          <w:szCs w:val="30"/>
          <w14:textFill>
            <w14:solidFill>
              <w14:schemeClr w14:val="tx1"/>
            </w14:solidFill>
          </w14:textFill>
        </w:rPr>
        <w:t>五、</w:t>
      </w:r>
      <w:bookmarkStart w:id="41" w:name="_Hlk54167917"/>
      <w:r>
        <w:rPr>
          <w:rFonts w:hint="eastAsia" w:ascii="宋体" w:hAnsi="宋体" w:eastAsia="宋体" w:cs="宋体"/>
          <w:b/>
          <w:bCs/>
          <w:snapToGrid w:val="0"/>
          <w:color w:val="000000" w:themeColor="text1"/>
          <w:sz w:val="30"/>
          <w:szCs w:val="30"/>
          <w14:textFill>
            <w14:solidFill>
              <w14:schemeClr w14:val="tx1"/>
            </w14:solidFill>
          </w14:textFill>
        </w:rPr>
        <w:t>环境保护措施监督检查清单</w:t>
      </w:r>
      <w:bookmarkEnd w:id="41"/>
    </w:p>
    <w:tbl>
      <w:tblPr>
        <w:tblStyle w:val="115"/>
        <w:tblW w:w="533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5"/>
        <w:gridCol w:w="1664"/>
        <w:gridCol w:w="1492"/>
        <w:gridCol w:w="1920"/>
        <w:gridCol w:w="2672"/>
      </w:tblGrid>
      <w:tr w14:paraId="6F712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97" w:type="pct"/>
            <w:tcBorders>
              <w:tl2br w:val="single" w:color="000000" w:sz="4" w:space="0"/>
            </w:tcBorders>
            <w:vAlign w:val="center"/>
          </w:tcPr>
          <w:p w14:paraId="34BA2516">
            <w:pPr>
              <w:pStyle w:val="116"/>
              <w:ind w:firstLine="630" w:firstLineChars="30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内容</w:t>
            </w:r>
          </w:p>
          <w:p w14:paraId="222DE49F">
            <w:pPr>
              <w:pStyle w:val="116"/>
              <w:ind w:firstLine="210" w:firstLineChars="1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要素</w:t>
            </w:r>
          </w:p>
        </w:tc>
        <w:tc>
          <w:tcPr>
            <w:tcW w:w="880" w:type="pct"/>
            <w:vAlign w:val="center"/>
          </w:tcPr>
          <w:p w14:paraId="57617DEA">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排放口（编号、名称）/污染源</w:t>
            </w:r>
          </w:p>
        </w:tc>
        <w:tc>
          <w:tcPr>
            <w:tcW w:w="790" w:type="pct"/>
            <w:vAlign w:val="center"/>
          </w:tcPr>
          <w:p w14:paraId="5BB5EA2E">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污染物项目</w:t>
            </w:r>
          </w:p>
        </w:tc>
        <w:tc>
          <w:tcPr>
            <w:tcW w:w="1016" w:type="pct"/>
            <w:vAlign w:val="center"/>
          </w:tcPr>
          <w:p w14:paraId="254130F7">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环境保护措施</w:t>
            </w:r>
          </w:p>
        </w:tc>
        <w:tc>
          <w:tcPr>
            <w:tcW w:w="1414" w:type="pct"/>
            <w:vAlign w:val="center"/>
          </w:tcPr>
          <w:p w14:paraId="4196EDF2">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执行标准</w:t>
            </w:r>
          </w:p>
        </w:tc>
      </w:tr>
      <w:tr w14:paraId="738B4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jc w:val="center"/>
        </w:trPr>
        <w:tc>
          <w:tcPr>
            <w:tcW w:w="897" w:type="pct"/>
            <w:vMerge w:val="restart"/>
            <w:vAlign w:val="center"/>
          </w:tcPr>
          <w:p w14:paraId="0862DDD0">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880" w:type="pct"/>
            <w:vAlign w:val="center"/>
          </w:tcPr>
          <w:p w14:paraId="4E7895DA">
            <w:pPr>
              <w:pStyle w:val="116"/>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下料废气</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下料</w:t>
            </w:r>
          </w:p>
        </w:tc>
        <w:tc>
          <w:tcPr>
            <w:tcW w:w="790" w:type="pct"/>
            <w:vAlign w:val="center"/>
          </w:tcPr>
          <w:p w14:paraId="54723244">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016" w:type="pct"/>
            <w:tcBorders>
              <w:bottom w:val="single" w:color="auto" w:sz="4" w:space="0"/>
            </w:tcBorders>
            <w:vAlign w:val="center"/>
          </w:tcPr>
          <w:p w14:paraId="7156CB91">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sz w:val="21"/>
                <w:szCs w:val="21"/>
                <w:lang w:val="en-US" w:eastAsia="zh-CN"/>
              </w:rPr>
              <w:t>袋式除尘器</w:t>
            </w:r>
          </w:p>
        </w:tc>
        <w:tc>
          <w:tcPr>
            <w:tcW w:w="1414" w:type="pct"/>
            <w:tcBorders>
              <w:bottom w:val="single" w:color="auto" w:sz="4" w:space="0"/>
            </w:tcBorders>
            <w:vAlign w:val="center"/>
          </w:tcPr>
          <w:p w14:paraId="4F28DEF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《大气污染物综合排放标准》（GB16297-1996）表2新污染源二级排放标准要求</w:t>
            </w:r>
          </w:p>
        </w:tc>
      </w:tr>
      <w:tr w14:paraId="4F5BA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jc w:val="center"/>
        </w:trPr>
        <w:tc>
          <w:tcPr>
            <w:tcW w:w="897" w:type="pct"/>
            <w:vMerge w:val="continue"/>
            <w:vAlign w:val="center"/>
          </w:tcPr>
          <w:p w14:paraId="2A30DE06">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0" w:type="pct"/>
            <w:shd w:val="clear" w:color="auto" w:fill="auto"/>
            <w:vAlign w:val="center"/>
          </w:tcPr>
          <w:p w14:paraId="2F73F014">
            <w:pPr>
              <w:pStyle w:val="116"/>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喷塑废气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喷塑</w:t>
            </w:r>
          </w:p>
        </w:tc>
        <w:tc>
          <w:tcPr>
            <w:tcW w:w="790" w:type="pct"/>
            <w:shd w:val="clear" w:color="auto" w:fill="auto"/>
            <w:vAlign w:val="center"/>
          </w:tcPr>
          <w:p w14:paraId="088B0D3D">
            <w:pPr>
              <w:pStyle w:val="116"/>
              <w:jc w:val="center"/>
              <w:rPr>
                <w:rFonts w:hint="default" w:ascii="Times New Roman" w:hAnsi="Times New Roman" w:eastAsia="宋体"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1016" w:type="pct"/>
            <w:tcBorders>
              <w:top w:val="single" w:color="auto" w:sz="4" w:space="0"/>
            </w:tcBorders>
            <w:shd w:val="clear" w:color="auto" w:fill="auto"/>
            <w:vAlign w:val="center"/>
          </w:tcPr>
          <w:p w14:paraId="730FECE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自带旋风+二级滤芯</w:t>
            </w:r>
          </w:p>
        </w:tc>
        <w:tc>
          <w:tcPr>
            <w:tcW w:w="1414" w:type="pct"/>
            <w:tcBorders>
              <w:top w:val="single" w:color="auto" w:sz="4" w:space="0"/>
            </w:tcBorders>
            <w:shd w:val="clear" w:color="auto" w:fill="auto"/>
            <w:vAlign w:val="center"/>
          </w:tcPr>
          <w:p w14:paraId="5473D1DD">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《大气污染物综合排放标准》（GB16297-1996）表2新污染源二级排放标准要求</w:t>
            </w:r>
          </w:p>
        </w:tc>
      </w:tr>
      <w:tr w14:paraId="393E2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jc w:val="center"/>
        </w:trPr>
        <w:tc>
          <w:tcPr>
            <w:tcW w:w="897" w:type="pct"/>
            <w:vMerge w:val="continue"/>
            <w:vAlign w:val="center"/>
          </w:tcPr>
          <w:p w14:paraId="2DD4E5B1">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0" w:type="pct"/>
            <w:shd w:val="clear" w:color="auto" w:fill="auto"/>
            <w:vAlign w:val="center"/>
          </w:tcPr>
          <w:p w14:paraId="7346A4D1">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DA003固化及供热燃烧废气/固化及供热燃烧</w:t>
            </w:r>
          </w:p>
        </w:tc>
        <w:tc>
          <w:tcPr>
            <w:tcW w:w="790" w:type="pct"/>
            <w:shd w:val="clear" w:color="auto" w:fill="auto"/>
            <w:vAlign w:val="center"/>
          </w:tcPr>
          <w:p w14:paraId="7559B5E7">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非甲烷总烃、颗粒物、二氧化硫、氮氧化物</w:t>
            </w:r>
          </w:p>
        </w:tc>
        <w:tc>
          <w:tcPr>
            <w:tcW w:w="1016" w:type="pct"/>
            <w:shd w:val="clear" w:color="auto" w:fill="auto"/>
            <w:vAlign w:val="center"/>
          </w:tcPr>
          <w:p w14:paraId="79CD4732">
            <w:pPr>
              <w:adjustRightInd w:val="0"/>
              <w:snapToGrid w:val="0"/>
              <w:jc w:val="center"/>
              <w:rPr>
                <w:rFonts w:hint="default"/>
                <w:color w:val="auto"/>
                <w:sz w:val="21"/>
                <w:szCs w:val="21"/>
                <w:lang w:val="en-US" w:eastAsia="zh-CN"/>
              </w:rPr>
            </w:pPr>
            <w:r>
              <w:rPr>
                <w:rFonts w:hint="eastAsia"/>
                <w:color w:val="auto"/>
                <w:sz w:val="21"/>
                <w:szCs w:val="21"/>
                <w:lang w:val="en-US" w:eastAsia="zh-CN"/>
              </w:rPr>
              <w:t>二级活性炭吸附装置、低氮燃烧器</w:t>
            </w:r>
          </w:p>
        </w:tc>
        <w:tc>
          <w:tcPr>
            <w:tcW w:w="1414" w:type="pct"/>
            <w:shd w:val="clear" w:color="auto" w:fill="auto"/>
            <w:vAlign w:val="center"/>
          </w:tcPr>
          <w:p w14:paraId="186BAF7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《大气污染物综合排放标准》（GB16297-1996）表2新污染源二级排放标准要求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；《工业炉窑大气污染综合治理方案》（环大气【2019】56号）</w:t>
            </w:r>
          </w:p>
        </w:tc>
      </w:tr>
      <w:tr w14:paraId="250B0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jc w:val="center"/>
        </w:trPr>
        <w:tc>
          <w:tcPr>
            <w:tcW w:w="897" w:type="pct"/>
            <w:vMerge w:val="continue"/>
            <w:vAlign w:val="center"/>
          </w:tcPr>
          <w:p w14:paraId="4B81FA80">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0" w:type="pct"/>
            <w:shd w:val="clear" w:color="auto" w:fill="auto"/>
            <w:vAlign w:val="center"/>
          </w:tcPr>
          <w:p w14:paraId="59E52786">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DA004注塑废气/注塑</w:t>
            </w:r>
          </w:p>
        </w:tc>
        <w:tc>
          <w:tcPr>
            <w:tcW w:w="790" w:type="pct"/>
            <w:shd w:val="clear" w:color="auto" w:fill="auto"/>
            <w:vAlign w:val="center"/>
          </w:tcPr>
          <w:p w14:paraId="730AAE68">
            <w:pPr>
              <w:pStyle w:val="116"/>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016" w:type="pct"/>
            <w:shd w:val="clear" w:color="auto" w:fill="auto"/>
            <w:vAlign w:val="center"/>
          </w:tcPr>
          <w:p w14:paraId="3078DDDC">
            <w:pPr>
              <w:adjustRightInd w:val="0"/>
              <w:snapToGrid w:val="0"/>
              <w:jc w:val="center"/>
              <w:rPr>
                <w:rFonts w:hint="eastAsia"/>
                <w:color w:val="auto"/>
                <w:sz w:val="21"/>
                <w:szCs w:val="21"/>
                <w:lang w:val="en-US" w:eastAsia="zh-CN"/>
              </w:rPr>
            </w:pPr>
            <w:r>
              <w:rPr>
                <w:rFonts w:hint="eastAsia"/>
                <w:color w:val="auto"/>
                <w:sz w:val="21"/>
                <w:szCs w:val="21"/>
                <w:lang w:val="en-US" w:eastAsia="zh-CN"/>
              </w:rPr>
              <w:t>二级活性炭吸附装置</w:t>
            </w:r>
          </w:p>
        </w:tc>
        <w:tc>
          <w:tcPr>
            <w:tcW w:w="1414" w:type="pct"/>
            <w:shd w:val="clear" w:color="auto" w:fill="auto"/>
            <w:vAlign w:val="center"/>
          </w:tcPr>
          <w:p w14:paraId="7A86BCA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val="0"/>
                <w:bCs w:val="0"/>
                <w:color w:val="auto"/>
                <w:sz w:val="21"/>
                <w:szCs w:val="21"/>
                <w:lang w:val="en-US" w:eastAsia="zh-CN"/>
              </w:rPr>
              <w:t>安徽省</w:t>
            </w:r>
            <w:r>
              <w:rPr>
                <w:rFonts w:hint="eastAsia"/>
                <w:color w:val="auto"/>
                <w:sz w:val="21"/>
                <w:szCs w:val="21"/>
                <w:lang w:val="en-US" w:eastAsia="zh-CN"/>
              </w:rPr>
              <w:t>《</w:t>
            </w:r>
            <w:r>
              <w:rPr>
                <w:sz w:val="21"/>
                <w:szCs w:val="21"/>
              </w:rPr>
              <w:t>固定源挥发性有机物综合排放标准</w:t>
            </w:r>
            <w:r>
              <w:rPr>
                <w:rFonts w:hint="eastAsia"/>
                <w:sz w:val="21"/>
                <w:szCs w:val="21"/>
                <w:lang w:val="en-US" w:eastAsia="zh-CN"/>
              </w:rPr>
              <w:t xml:space="preserve"> </w:t>
            </w:r>
            <w:r>
              <w:rPr>
                <w:sz w:val="21"/>
                <w:szCs w:val="21"/>
              </w:rPr>
              <w:t>第6部分其他行业</w:t>
            </w:r>
            <w:r>
              <w:rPr>
                <w:rFonts w:hint="eastAsia"/>
                <w:color w:val="auto"/>
                <w:sz w:val="21"/>
                <w:szCs w:val="21"/>
                <w:lang w:val="en-US" w:eastAsia="zh-CN"/>
              </w:rPr>
              <w:t>》（DB 34/ 4812.6-2024）表1中排放限值要求</w:t>
            </w:r>
          </w:p>
        </w:tc>
      </w:tr>
      <w:tr w14:paraId="0854A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jc w:val="center"/>
        </w:trPr>
        <w:tc>
          <w:tcPr>
            <w:tcW w:w="897" w:type="pct"/>
            <w:vMerge w:val="continue"/>
            <w:vAlign w:val="center"/>
          </w:tcPr>
          <w:p w14:paraId="7700B0C8">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80" w:type="pct"/>
            <w:shd w:val="clear" w:color="auto" w:fill="auto"/>
            <w:vAlign w:val="center"/>
          </w:tcPr>
          <w:p w14:paraId="7C1907F1">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w:t>
            </w:r>
          </w:p>
        </w:tc>
        <w:tc>
          <w:tcPr>
            <w:tcW w:w="790" w:type="pct"/>
            <w:shd w:val="clear" w:color="auto" w:fill="auto"/>
            <w:vAlign w:val="center"/>
          </w:tcPr>
          <w:p w14:paraId="7D56465E">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颗粒物、非甲烷总烃</w:t>
            </w:r>
          </w:p>
        </w:tc>
        <w:tc>
          <w:tcPr>
            <w:tcW w:w="1016" w:type="pct"/>
            <w:shd w:val="clear" w:color="auto" w:fill="auto"/>
            <w:vAlign w:val="center"/>
          </w:tcPr>
          <w:p w14:paraId="366D3A4D">
            <w:pPr>
              <w:pStyle w:val="116"/>
              <w:jc w:val="cente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焊接</w:t>
            </w: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、打磨</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烟尘经移动式</w:t>
            </w:r>
            <w:r>
              <w:rPr>
                <w:rFonts w:hint="eastAsia" w:ascii="Times New Roman" w:hAnsi="Times New Roman" w:eastAsia="宋体" w:cs="Times New Roman"/>
                <w:color w:val="000000" w:themeColor="text1"/>
                <w:kern w:val="24"/>
                <w:sz w:val="21"/>
                <w:szCs w:val="21"/>
                <w:lang w:val="en-US" w:eastAsia="zh-CN"/>
                <w14:textFill>
                  <w14:solidFill>
                    <w14:schemeClr w14:val="tx1"/>
                  </w14:solidFill>
                </w14:textFill>
              </w:rPr>
              <w:t>烟尘</w:t>
            </w:r>
            <w: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t>净化器处理</w:t>
            </w:r>
          </w:p>
        </w:tc>
        <w:tc>
          <w:tcPr>
            <w:tcW w:w="1414" w:type="pct"/>
            <w:vAlign w:val="center"/>
          </w:tcPr>
          <w:p w14:paraId="69D869C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《大气污染物综合排放标准》（GB16297-1996）表2无组织排放标准限值</w:t>
            </w:r>
          </w:p>
        </w:tc>
      </w:tr>
      <w:tr w14:paraId="662C4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897" w:type="pct"/>
            <w:vAlign w:val="center"/>
          </w:tcPr>
          <w:p w14:paraId="792CE6F0">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w:t>
            </w:r>
          </w:p>
        </w:tc>
        <w:tc>
          <w:tcPr>
            <w:tcW w:w="880" w:type="pct"/>
            <w:vAlign w:val="center"/>
          </w:tcPr>
          <w:p w14:paraId="2F00FF1D">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 w:val="21"/>
                <w:szCs w:val="21"/>
              </w:rPr>
              <w:t>DW001/生活污水</w:t>
            </w:r>
          </w:p>
        </w:tc>
        <w:tc>
          <w:tcPr>
            <w:tcW w:w="790" w:type="pct"/>
            <w:vAlign w:val="center"/>
          </w:tcPr>
          <w:p w14:paraId="79C4EBF4">
            <w:pPr>
              <w:pStyle w:val="116"/>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COD、BOD</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、SS、氨氮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等</w:t>
            </w:r>
          </w:p>
        </w:tc>
        <w:tc>
          <w:tcPr>
            <w:tcW w:w="1016" w:type="pct"/>
            <w:vAlign w:val="center"/>
          </w:tcPr>
          <w:p w14:paraId="1985E01D">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化粪池</w:t>
            </w:r>
          </w:p>
        </w:tc>
        <w:tc>
          <w:tcPr>
            <w:tcW w:w="1414" w:type="pct"/>
            <w:vAlign w:val="center"/>
          </w:tcPr>
          <w:p w14:paraId="37DE289E">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《污水综合排放标准》（GB8978-1996）中的三级排放标准并满足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泗县工业</w:t>
            </w:r>
            <w:r>
              <w:rPr>
                <w:rFonts w:hint="default" w:ascii="Times New Roman" w:hAnsi="Times New Roman" w:eastAsia="宋体" w:cs="Times New Roman"/>
                <w:color w:val="000000" w:themeColor="text1"/>
                <w:sz w:val="21"/>
                <w:szCs w:val="21"/>
                <w14:textFill>
                  <w14:solidFill>
                    <w14:schemeClr w14:val="tx1"/>
                  </w14:solidFill>
                </w14:textFill>
              </w:rPr>
              <w:t>污水处理厂接管要求</w:t>
            </w:r>
          </w:p>
        </w:tc>
      </w:tr>
      <w:tr w14:paraId="27277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97" w:type="pct"/>
            <w:vAlign w:val="center"/>
          </w:tcPr>
          <w:p w14:paraId="10F0F9F3">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880" w:type="pct"/>
            <w:vAlign w:val="center"/>
          </w:tcPr>
          <w:p w14:paraId="0548CB9C">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生产设备</w:t>
            </w:r>
          </w:p>
        </w:tc>
        <w:tc>
          <w:tcPr>
            <w:tcW w:w="790" w:type="pct"/>
            <w:vAlign w:val="center"/>
          </w:tcPr>
          <w:p w14:paraId="1A704008">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设备噪声</w:t>
            </w:r>
          </w:p>
        </w:tc>
        <w:tc>
          <w:tcPr>
            <w:tcW w:w="1016" w:type="pct"/>
            <w:vAlign w:val="center"/>
          </w:tcPr>
          <w:p w14:paraId="6C92E61E">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厂房隔声，使用低噪设备，合理安排工作时间等</w:t>
            </w:r>
          </w:p>
        </w:tc>
        <w:tc>
          <w:tcPr>
            <w:tcW w:w="1414" w:type="pct"/>
            <w:vAlign w:val="center"/>
          </w:tcPr>
          <w:p w14:paraId="02589BFE">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《工业企业厂界环境噪声排放标准》（GB12348-2008）中的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类标准</w:t>
            </w:r>
          </w:p>
        </w:tc>
      </w:tr>
      <w:tr w14:paraId="4A78F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897" w:type="pct"/>
            <w:vAlign w:val="center"/>
          </w:tcPr>
          <w:p w14:paraId="228F55A0">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电磁辐射</w:t>
            </w:r>
          </w:p>
        </w:tc>
        <w:tc>
          <w:tcPr>
            <w:tcW w:w="4102" w:type="pct"/>
            <w:gridSpan w:val="4"/>
            <w:vAlign w:val="center"/>
          </w:tcPr>
          <w:p w14:paraId="5A8A247E">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无</w:t>
            </w:r>
          </w:p>
        </w:tc>
      </w:tr>
      <w:tr w14:paraId="0DD17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6" w:hRule="atLeast"/>
          <w:jc w:val="center"/>
        </w:trPr>
        <w:tc>
          <w:tcPr>
            <w:tcW w:w="897" w:type="pct"/>
            <w:vAlign w:val="center"/>
          </w:tcPr>
          <w:p w14:paraId="0CF033CC">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c>
          <w:tcPr>
            <w:tcW w:w="4102" w:type="pct"/>
            <w:gridSpan w:val="4"/>
            <w:vAlign w:val="center"/>
          </w:tcPr>
          <w:p w14:paraId="4D6396EC">
            <w:pPr>
              <w:pStyle w:val="116"/>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1"/>
                <w:szCs w:val="21"/>
              </w:rPr>
              <w:t>项目产生的一般固废暂存在一般固废暂存间，分类收集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分类处置；危险废物主要为</w:t>
            </w:r>
            <w:r>
              <w:rPr>
                <w:rFonts w:hint="eastAsia" w:cs="Times New Roman"/>
                <w:color w:val="auto"/>
                <w:sz w:val="21"/>
                <w:szCs w:val="21"/>
                <w:lang w:val="en-US" w:eastAsia="zh-CN"/>
              </w:rPr>
              <w:t>底渣、废清洗液、废包装桶、废胶及包装物、废活性炭、废切削液、废切削液桶、废润滑油、废润滑油桶</w:t>
            </w:r>
            <w:r>
              <w:rPr>
                <w:rFonts w:hint="default" w:ascii="Times New Roman" w:hAnsi="Times New Roman" w:eastAsia="宋体" w:cs="Times New Roman"/>
                <w:color w:val="auto"/>
                <w:sz w:val="21"/>
                <w:szCs w:val="21"/>
              </w:rPr>
              <w:t>等，暂存在危险废物暂存间，委托有相关处置资质单位处置，危险废废物暂存间建筑面积</w:t>
            </w: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w:t>
            </w:r>
            <w:r>
              <w:rPr>
                <w:rFonts w:hint="eastAsia" w:cs="Times New Roman"/>
                <w:b w:val="0"/>
                <w:bCs w:val="0"/>
                <w:color w:val="000000" w:themeColor="text1"/>
                <w:sz w:val="21"/>
                <w:szCs w:val="21"/>
                <w:lang w:val="en-US" w:eastAsia="zh-CN"/>
                <w14:textFill>
                  <w14:solidFill>
                    <w14:schemeClr w14:val="tx1"/>
                  </w14:solidFill>
                </w14:textFill>
              </w:rPr>
              <w:t>生产车间东北侧</w:t>
            </w:r>
            <w:r>
              <w:rPr>
                <w:rFonts w:hint="default" w:ascii="Times New Roman" w:hAnsi="Times New Roman" w:eastAsia="宋体" w:cs="Times New Roman"/>
                <w:color w:val="auto"/>
                <w:sz w:val="21"/>
                <w:szCs w:val="21"/>
              </w:rPr>
              <w:t>；一般工业固体废物暂存间建设满足《一般工业固体废物贮存和填埋场污染控制标准》（GB18599-2020）；危险废物暂存间建设</w:t>
            </w:r>
            <w:r>
              <w:rPr>
                <w:rFonts w:hint="default" w:ascii="Times New Roman" w:hAnsi="Times New Roman" w:eastAsia="宋体" w:cs="Times New Roman"/>
                <w:color w:val="auto"/>
                <w:sz w:val="21"/>
                <w:szCs w:val="21"/>
                <w:lang w:val="en-US" w:eastAsia="zh-CN"/>
              </w:rPr>
              <w:t>需满足</w:t>
            </w:r>
            <w:r>
              <w:rPr>
                <w:rFonts w:hint="default" w:ascii="Times New Roman" w:hAnsi="Times New Roman" w:eastAsia="宋体" w:cs="Times New Roman"/>
                <w:color w:val="auto"/>
                <w:sz w:val="21"/>
                <w:szCs w:val="21"/>
              </w:rPr>
              <w:t>《危险废物贮存污染控制标准》（GB18597-20</w:t>
            </w:r>
            <w:r>
              <w:rPr>
                <w:rFonts w:hint="default"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rPr>
              <w:t>）有关规定。</w:t>
            </w:r>
          </w:p>
        </w:tc>
      </w:tr>
      <w:tr w14:paraId="17E37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4" w:hRule="atLeast"/>
          <w:jc w:val="center"/>
        </w:trPr>
        <w:tc>
          <w:tcPr>
            <w:tcW w:w="897" w:type="pct"/>
            <w:vAlign w:val="center"/>
          </w:tcPr>
          <w:p w14:paraId="7FBD9FE3">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土壤及地下水污染防治措施</w:t>
            </w:r>
          </w:p>
        </w:tc>
        <w:tc>
          <w:tcPr>
            <w:tcW w:w="4102" w:type="pct"/>
            <w:gridSpan w:val="4"/>
            <w:vAlign w:val="top"/>
          </w:tcPr>
          <w:p w14:paraId="2FB454C8">
            <w:pPr>
              <w:keepNext w:val="0"/>
              <w:keepLines w:val="0"/>
              <w:pageBreakBefore w:val="0"/>
              <w:widowControl w:val="0"/>
              <w:kinsoku/>
              <w:wordWrap/>
              <w:overflowPunct/>
              <w:topLinePunct w:val="0"/>
              <w:autoSpaceDE/>
              <w:autoSpaceDN/>
              <w:bidi w:val="0"/>
              <w:adjustRightInd w:val="0"/>
              <w:snapToGrid w:val="0"/>
              <w:spacing w:before="157" w:beforeLines="50"/>
              <w:jc w:val="left"/>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分区防渗：</w:t>
            </w:r>
          </w:p>
          <w:p w14:paraId="3B490320">
            <w:pPr>
              <w:pStyle w:val="116"/>
              <w:numPr>
                <w:ilvl w:val="0"/>
                <w:numId w:val="0"/>
              </w:numPr>
              <w:jc w:val="left"/>
              <w:rPr>
                <w:rFonts w:hint="default" w:ascii="Times New Roman" w:hAnsi="Times New Roman" w:eastAsia="宋体" w:cs="Times New Roman"/>
                <w:b w:val="0"/>
                <w:bCs w:val="0"/>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snapToGrid w:val="0"/>
                <w:color w:val="000000" w:themeColor="text1"/>
                <w:kern w:val="0"/>
                <w:sz w:val="21"/>
                <w:szCs w:val="21"/>
                <w:lang w:val="en-US" w:eastAsia="zh-CN" w:bidi="ar-SA"/>
                <w14:textFill>
                  <w14:solidFill>
                    <w14:schemeClr w14:val="tx1"/>
                  </w14:solidFill>
                </w14:textFill>
              </w:rPr>
              <w:t>重点防渗区：危险废物暂存间、辅料区、清洗区</w:t>
            </w:r>
          </w:p>
          <w:p w14:paraId="0F7579EB">
            <w:pPr>
              <w:pStyle w:val="116"/>
              <w:numPr>
                <w:ilvl w:val="0"/>
                <w:numId w:val="0"/>
              </w:numPr>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lang w:val="en-US" w:eastAsia="en-US" w:bidi="ar-SA"/>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危险废物暂存间重点防渗，防渗层为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cm/s），或至少2mm厚高密度聚乙烯膜等人工防渗材料（渗透系数不大于10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b w:val="0"/>
                <w:bCs w:val="0"/>
                <w:color w:val="000000" w:themeColor="text1"/>
                <w:sz w:val="21"/>
                <w:szCs w:val="21"/>
                <w14:textFill>
                  <w14:solidFill>
                    <w14:schemeClr w14:val="tx1"/>
                  </w14:solidFill>
                </w14:textFill>
              </w:rPr>
              <w:t>cm/s），或其他防渗性能等效的材料</w:t>
            </w:r>
          </w:p>
          <w:p w14:paraId="4193DE30">
            <w:pPr>
              <w:pStyle w:val="116"/>
              <w:numPr>
                <w:ilvl w:val="0"/>
                <w:numId w:val="0"/>
              </w:numPr>
              <w:jc w:val="left"/>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辅料区、清洗区均</w:t>
            </w:r>
            <w:r>
              <w:rPr>
                <w:rFonts w:hint="default" w:ascii="Times New Roman" w:hAnsi="Times New Roman" w:eastAsia="宋体" w:cs="Times New Roman"/>
                <w:b w:val="0"/>
                <w:bCs w:val="0"/>
                <w:color w:val="000000" w:themeColor="text1"/>
                <w:sz w:val="21"/>
                <w:szCs w:val="21"/>
                <w14:textFill>
                  <w14:solidFill>
                    <w14:schemeClr w14:val="tx1"/>
                  </w14:solidFill>
                </w14:textFill>
              </w:rPr>
              <w:t>重点防渗，等效黏土防渗层Mb≥6.0m，K≤1.0×10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cm/s；或参照GB 18598执行</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p w14:paraId="0DE99850">
            <w:pPr>
              <w:pStyle w:val="116"/>
              <w:jc w:val="left"/>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（2）生产</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车间其他区域</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一般固废暂存间划等一般防渗：等效黏土防水层Mb≥1.5m，K≤1.0×10</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 w:val="0"/>
                <w:bCs w:val="0"/>
                <w:color w:val="000000" w:themeColor="text1"/>
                <w:sz w:val="21"/>
                <w:szCs w:val="21"/>
                <w14:textFill>
                  <w14:solidFill>
                    <w14:schemeClr w14:val="tx1"/>
                  </w14:solidFill>
                </w14:textFill>
              </w:rPr>
              <w:t>cm/s</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或参照GB 1</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6889</w:t>
            </w:r>
            <w:r>
              <w:rPr>
                <w:rFonts w:hint="default" w:ascii="Times New Roman" w:hAnsi="Times New Roman" w:eastAsia="宋体" w:cs="Times New Roman"/>
                <w:b w:val="0"/>
                <w:bCs w:val="0"/>
                <w:color w:val="000000" w:themeColor="text1"/>
                <w:sz w:val="21"/>
                <w:szCs w:val="21"/>
                <w14:textFill>
                  <w14:solidFill>
                    <w14:schemeClr w14:val="tx1"/>
                  </w14:solidFill>
                </w14:textFill>
              </w:rPr>
              <w:t>执行</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p w14:paraId="33F96F15">
            <w:pPr>
              <w:pStyle w:val="116"/>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（3）办公</w:t>
            </w:r>
            <w:r>
              <w:rPr>
                <w:rFonts w:hint="eastAsia" w:cs="Times New Roman"/>
                <w:b w:val="0"/>
                <w:bCs w:val="0"/>
                <w:color w:val="000000" w:themeColor="text1"/>
                <w:sz w:val="21"/>
                <w:szCs w:val="21"/>
                <w:lang w:val="en-US" w:eastAsia="zh-CN"/>
                <w14:textFill>
                  <w14:solidFill>
                    <w14:schemeClr w14:val="tx1"/>
                  </w14:solidFill>
                </w14:textFill>
              </w:rPr>
              <w:t>区等为</w:t>
            </w:r>
            <w:r>
              <w:rPr>
                <w:rFonts w:hint="default" w:ascii="Times New Roman" w:hAnsi="Times New Roman" w:eastAsia="宋体" w:cs="Times New Roman"/>
                <w:b w:val="0"/>
                <w:bCs w:val="0"/>
                <w:color w:val="000000" w:themeColor="text1"/>
                <w:sz w:val="21"/>
                <w:szCs w:val="21"/>
                <w14:textFill>
                  <w14:solidFill>
                    <w14:schemeClr w14:val="tx1"/>
                  </w14:solidFill>
                </w14:textFill>
              </w:rPr>
              <w:t>简单防渗：一般地面硬化</w:t>
            </w:r>
          </w:p>
        </w:tc>
      </w:tr>
      <w:tr w14:paraId="742DF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jc w:val="center"/>
        </w:trPr>
        <w:tc>
          <w:tcPr>
            <w:tcW w:w="897" w:type="pct"/>
            <w:vAlign w:val="center"/>
          </w:tcPr>
          <w:p w14:paraId="5A2EF5DB">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生态保护措施</w:t>
            </w:r>
          </w:p>
        </w:tc>
        <w:tc>
          <w:tcPr>
            <w:tcW w:w="4102" w:type="pct"/>
            <w:gridSpan w:val="4"/>
            <w:vAlign w:val="center"/>
          </w:tcPr>
          <w:p w14:paraId="20327275">
            <w:pPr>
              <w:pStyle w:val="116"/>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项目区域附近无自然保护区，人文景观和名胜古迹等环境敏感点，周围没有需要特殊保护的生态环境。项目建设不会对周围生态环境造成影响</w:t>
            </w:r>
          </w:p>
        </w:tc>
      </w:tr>
      <w:tr w14:paraId="62B60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jc w:val="center"/>
        </w:trPr>
        <w:tc>
          <w:tcPr>
            <w:tcW w:w="897" w:type="pct"/>
            <w:vAlign w:val="center"/>
          </w:tcPr>
          <w:p w14:paraId="137C349B">
            <w:pPr>
              <w:pStyle w:val="116"/>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5"/>
                <w:sz w:val="21"/>
                <w:szCs w:val="21"/>
                <w:lang w:eastAsia="zh-CN"/>
                <w14:textFill>
                  <w14:solidFill>
                    <w14:schemeClr w14:val="tx1"/>
                  </w14:solidFill>
                </w14:textFill>
              </w:rPr>
              <w:t>环境风险防范措施</w:t>
            </w:r>
          </w:p>
        </w:tc>
        <w:tc>
          <w:tcPr>
            <w:tcW w:w="4102" w:type="pct"/>
            <w:gridSpan w:val="4"/>
            <w:vAlign w:val="top"/>
          </w:tcPr>
          <w:p w14:paraId="2235A396">
            <w:pPr>
              <w:pStyle w:val="116"/>
              <w:keepNext w:val="0"/>
              <w:keepLines w:val="0"/>
              <w:pageBreakBefore w:val="0"/>
              <w:widowControl/>
              <w:numPr>
                <w:ilvl w:val="0"/>
                <w:numId w:val="0"/>
              </w:numPr>
              <w:kinsoku w:val="0"/>
              <w:wordWrap/>
              <w:overflowPunct/>
              <w:topLinePunct w:val="0"/>
              <w:autoSpaceDE w:val="0"/>
              <w:autoSpaceDN w:val="0"/>
              <w:bidi w:val="0"/>
              <w:adjustRightInd w:val="0"/>
              <w:snapToGrid w:val="0"/>
              <w:spacing w:before="157" w:beforeLines="50"/>
              <w:jc w:val="left"/>
              <w:textAlignment w:val="baseline"/>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000000"/>
                <w:sz w:val="21"/>
                <w:szCs w:val="21"/>
              </w:rPr>
              <w:t>原辅料按相关要求贮存，明确贮存注意事项并要求专人负责看管</w:t>
            </w:r>
            <w:r>
              <w:rPr>
                <w:color w:val="000000"/>
                <w:sz w:val="21"/>
                <w:szCs w:val="21"/>
              </w:rPr>
              <w:t>。定期对生产设施、包装设施以及相应环保设施等进行安全状况检查，危废暂存间</w:t>
            </w:r>
            <w:r>
              <w:rPr>
                <w:rFonts w:hint="eastAsia"/>
                <w:color w:val="000000"/>
                <w:sz w:val="21"/>
                <w:szCs w:val="21"/>
                <w:lang w:eastAsia="zh-CN"/>
              </w:rPr>
              <w:t>、</w:t>
            </w:r>
            <w:r>
              <w:rPr>
                <w:rFonts w:hint="eastAsia"/>
                <w:color w:val="000000"/>
                <w:sz w:val="21"/>
                <w:szCs w:val="21"/>
                <w:lang w:val="en-US" w:eastAsia="zh-CN"/>
              </w:rPr>
              <w:t>辅料区、清洗区</w:t>
            </w:r>
            <w:r>
              <w:rPr>
                <w:color w:val="000000"/>
                <w:sz w:val="21"/>
                <w:szCs w:val="21"/>
              </w:rPr>
              <w:t>等应进行防渗、防泄漏措施；车间内配置相应的消防设备、设施、防毒、灭火物资等消防、安全设施；制定严格的运行操作规章制度，发生火灾、爆炸事故后，灭火的同时疏散周边无关人员；制定应急预案等</w:t>
            </w:r>
          </w:p>
        </w:tc>
      </w:tr>
      <w:tr w14:paraId="251E4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97" w:type="pct"/>
            <w:vAlign w:val="center"/>
          </w:tcPr>
          <w:p w14:paraId="048B12F8">
            <w:pPr>
              <w:pStyle w:val="116"/>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position w:val="5"/>
                <w:sz w:val="21"/>
                <w:szCs w:val="21"/>
                <w:lang w:eastAsia="zh-CN"/>
                <w14:textFill>
                  <w14:solidFill>
                    <w14:schemeClr w14:val="tx1"/>
                  </w14:solidFill>
                </w14:textFill>
              </w:rPr>
              <w:t>其他环境管理要求</w:t>
            </w:r>
          </w:p>
        </w:tc>
        <w:tc>
          <w:tcPr>
            <w:tcW w:w="4102" w:type="pct"/>
            <w:gridSpan w:val="4"/>
            <w:vAlign w:val="center"/>
          </w:tcPr>
          <w:p w14:paraId="506FF10D">
            <w:pPr>
              <w:keepNext w:val="0"/>
              <w:keepLines w:val="0"/>
              <w:pageBreakBefore w:val="0"/>
              <w:widowControl w:val="0"/>
              <w:kinsoku/>
              <w:wordWrap/>
              <w:overflowPunct/>
              <w:topLinePunct w:val="0"/>
              <w:autoSpaceDE/>
              <w:autoSpaceDN/>
              <w:bidi w:val="0"/>
              <w:adjustRightInd w:val="0"/>
              <w:snapToGrid w:val="0"/>
              <w:spacing w:before="157" w:beforeLines="5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（1）企业应加强日常环境管理，规范排污口设置，强化环境管理，按照环保要求落实各项环保措施，确保污染物稳定达标排放和妥善处置。</w:t>
            </w:r>
          </w:p>
          <w:p w14:paraId="0E134A3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根据《固定污染源排污许可分类管理名录（2019年版）》十九、文教、工美、体育和娱乐用品制造业24</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41.游艺器材及娱乐用品制造246</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；本项目不涉及通用工序中的重点和简化管理，为登记管理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shd w:val="clear" w:color="auto" w:fill="auto"/>
                <w:lang w:val="en-US" w:eastAsia="zh-CN"/>
                <w14:textFill>
                  <w14:solidFill>
                    <w14:schemeClr w14:val="tx1"/>
                  </w14:solidFill>
                </w14:textFill>
              </w:rPr>
              <w:t>要求企业在建成正式投产排污前填报排污登记</w:t>
            </w:r>
            <w:r>
              <w:rPr>
                <w:rFonts w:hint="default" w:ascii="Times New Roman" w:hAnsi="Times New Roman" w:eastAsia="宋体" w:cs="Times New Roman"/>
                <w:color w:val="auto"/>
                <w:sz w:val="21"/>
                <w:szCs w:val="21"/>
              </w:rPr>
              <w:t>。</w:t>
            </w:r>
          </w:p>
          <w:p w14:paraId="7885FCD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（3）根据《建设项目竣工环境保护验收暂行办法》的规定，建设项目竣工后，建设单位应当如实查验、监测、记载建设项目环境保护设施的建设和调试情况，编制验收监测报告。</w:t>
            </w:r>
          </w:p>
          <w:p w14:paraId="146B8DC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position w:val="17"/>
                <w:sz w:val="21"/>
                <w:szCs w:val="21"/>
                <w:lang w:val="en-US" w:eastAsia="zh-CN"/>
                <w14:textFill>
                  <w14:solidFill>
                    <w14:schemeClr w14:val="tx1"/>
                  </w14:solidFill>
                </w14:textFill>
              </w:rPr>
            </w:pPr>
          </w:p>
        </w:tc>
      </w:tr>
    </w:tbl>
    <w:p w14:paraId="133C7C72">
      <w:pPr>
        <w:pStyle w:val="26"/>
        <w:jc w:val="center"/>
        <w:outlineLvl w:val="0"/>
        <w:rPr>
          <w:rFonts w:ascii="Times New Roman" w:hAnsi="Times New Roman"/>
          <w:snapToGrid w:val="0"/>
          <w:color w:val="000000" w:themeColor="text1"/>
          <w:sz w:val="30"/>
          <w:szCs w:val="30"/>
          <w14:textFill>
            <w14:solidFill>
              <w14:schemeClr w14:val="tx1"/>
            </w14:solidFill>
          </w14:textFill>
        </w:rPr>
        <w:sectPr>
          <w:pgSz w:w="11906" w:h="16838"/>
          <w:pgMar w:top="1701" w:right="1531" w:bottom="1701" w:left="1531" w:header="851" w:footer="851" w:gutter="0"/>
          <w:cols w:space="720" w:num="1"/>
          <w:docGrid w:linePitch="312" w:charSpace="0"/>
        </w:sectPr>
      </w:pPr>
    </w:p>
    <w:p w14:paraId="6F25E3DE">
      <w:pPr>
        <w:pStyle w:val="26"/>
        <w:jc w:val="center"/>
        <w:outlineLvl w:val="0"/>
        <w:rPr>
          <w:rFonts w:hint="eastAsia" w:ascii="宋体" w:hAnsi="宋体" w:eastAsia="宋体" w:cs="宋体"/>
          <w:b/>
          <w:bCs/>
          <w:snapToGrid w:val="0"/>
          <w:color w:val="000000" w:themeColor="text1"/>
          <w:sz w:val="30"/>
          <w:szCs w:val="30"/>
          <w14:textFill>
            <w14:solidFill>
              <w14:schemeClr w14:val="tx1"/>
            </w14:solidFill>
          </w14:textFill>
        </w:rPr>
      </w:pPr>
      <w:r>
        <w:rPr>
          <w:rFonts w:hint="eastAsia" w:ascii="宋体" w:hAnsi="宋体" w:eastAsia="宋体" w:cs="宋体"/>
          <w:b/>
          <w:bCs/>
          <w:snapToGrid w:val="0"/>
          <w:color w:val="000000" w:themeColor="text1"/>
          <w:sz w:val="30"/>
          <w:szCs w:val="30"/>
          <w14:textFill>
            <w14:solidFill>
              <w14:schemeClr w14:val="tx1"/>
            </w14:solidFill>
          </w14:textFill>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7D27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ED2EA26">
            <w:pPr>
              <w:adjustRightInd w:val="0"/>
              <w:snapToGrid w:val="0"/>
              <w:spacing w:line="360" w:lineRule="auto"/>
              <w:ind w:firstLine="480" w:firstLineChars="200"/>
              <w:jc w:val="left"/>
              <w:rPr>
                <w:color w:val="000000" w:themeColor="text1"/>
                <w14:textFill>
                  <w14:solidFill>
                    <w14:schemeClr w14:val="tx1"/>
                  </w14:solidFill>
                </w14:textFill>
              </w:rPr>
            </w:pPr>
          </w:p>
          <w:p w14:paraId="0E7C0E3C">
            <w:pPr>
              <w:adjustRightInd w:val="0"/>
              <w:snapToGrid w:val="0"/>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本项目的建设符合国家和地方产业政策要求，项目选址符合当地规划要求。项目运行期产生的污染物在采取了本报告表提出的防治措施并严格落实后，可保证污染物稳定达标排放。因此，从环境</w:t>
            </w:r>
            <w:r>
              <w:rPr>
                <w:rFonts w:hint="eastAsia"/>
                <w:color w:val="000000" w:themeColor="text1"/>
                <w:lang w:val="en-US" w:eastAsia="zh-CN"/>
                <w14:textFill>
                  <w14:solidFill>
                    <w14:schemeClr w14:val="tx1"/>
                  </w14:solidFill>
                </w14:textFill>
              </w:rPr>
              <w:t>影响</w:t>
            </w:r>
            <w:r>
              <w:rPr>
                <w:color w:val="000000" w:themeColor="text1"/>
                <w14:textFill>
                  <w14:solidFill>
                    <w14:schemeClr w14:val="tx1"/>
                  </w14:solidFill>
                </w14:textFill>
              </w:rPr>
              <w:t>的角度分析，本项目的建设是可行的。</w:t>
            </w:r>
          </w:p>
        </w:tc>
      </w:tr>
    </w:tbl>
    <w:p w14:paraId="0A6E9D44">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19F4B9DD">
      <w:pPr>
        <w:pStyle w:val="26"/>
        <w:adjustRightInd w:val="0"/>
        <w:snapToGrid w:val="0"/>
        <w:spacing w:before="0" w:beforeAutospacing="0" w:after="0" w:afterAutospacing="0" w:line="360" w:lineRule="auto"/>
        <w:rPr>
          <w:rFonts w:ascii="Times New Roman" w:hAnsi="Times New Roman"/>
          <w:b/>
          <w:bCs/>
          <w:snapToGrid w:val="0"/>
          <w:color w:val="000000" w:themeColor="text1"/>
          <w:sz w:val="32"/>
          <w:szCs w:val="32"/>
          <w14:textFill>
            <w14:solidFill>
              <w14:schemeClr w14:val="tx1"/>
            </w14:solidFill>
          </w14:textFill>
        </w:rPr>
      </w:pPr>
      <w:r>
        <w:rPr>
          <w:rFonts w:ascii="Times New Roman" w:hAnsi="Times New Roman"/>
          <w:b/>
          <w:bCs/>
          <w:snapToGrid w:val="0"/>
          <w:color w:val="000000" w:themeColor="text1"/>
          <w:sz w:val="32"/>
          <w:szCs w:val="32"/>
          <w14:textFill>
            <w14:solidFill>
              <w14:schemeClr w14:val="tx1"/>
            </w14:solidFill>
          </w14:textFill>
        </w:rPr>
        <w:t>附表</w:t>
      </w:r>
    </w:p>
    <w:p w14:paraId="649DBBE4">
      <w:pPr>
        <w:pStyle w:val="26"/>
        <w:adjustRightInd w:val="0"/>
        <w:snapToGrid w:val="0"/>
        <w:spacing w:before="0" w:beforeAutospacing="0" w:after="0" w:afterAutospacing="0"/>
        <w:jc w:val="center"/>
        <w:rPr>
          <w:rFonts w:ascii="Times New Roman" w:hAnsi="Times New Roman"/>
          <w:b/>
          <w:bCs/>
          <w:snapToGrid w:val="0"/>
          <w:color w:val="000000" w:themeColor="text1"/>
          <w:sz w:val="38"/>
          <w:szCs w:val="38"/>
          <w14:textFill>
            <w14:solidFill>
              <w14:schemeClr w14:val="tx1"/>
            </w14:solidFill>
          </w14:textFill>
        </w:rPr>
      </w:pPr>
      <w:r>
        <w:rPr>
          <w:rFonts w:ascii="Times New Roman" w:hAnsi="Times New Roman"/>
          <w:b/>
          <w:bCs/>
          <w:snapToGrid w:val="0"/>
          <w:color w:val="000000" w:themeColor="text1"/>
          <w:sz w:val="38"/>
          <w:szCs w:val="38"/>
          <w14:textFill>
            <w14:solidFill>
              <w14:schemeClr w14:val="tx1"/>
            </w14:solidFill>
          </w14:textFill>
        </w:rPr>
        <w:t>建设项目污染物排放量汇总表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497"/>
        <w:gridCol w:w="1554"/>
        <w:gridCol w:w="1250"/>
        <w:gridCol w:w="1664"/>
        <w:gridCol w:w="1525"/>
        <w:gridCol w:w="1578"/>
        <w:gridCol w:w="1629"/>
        <w:gridCol w:w="1242"/>
      </w:tblGrid>
      <w:tr w14:paraId="7211E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tcBorders>
              <w:tl2br w:val="single" w:color="auto" w:sz="4" w:space="0"/>
            </w:tcBorders>
            <w:tcMar>
              <w:left w:w="28" w:type="dxa"/>
              <w:right w:w="28" w:type="dxa"/>
            </w:tcMar>
            <w:vAlign w:val="center"/>
          </w:tcPr>
          <w:p w14:paraId="0D5CE09A">
            <w:pPr>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rPr>
              <w:t>项目</w:t>
            </w:r>
          </w:p>
          <w:p w14:paraId="5C947CF6">
            <w:pPr>
              <w:rPr>
                <w:rFonts w:hint="eastAsia" w:ascii="宋体" w:hAnsi="宋体" w:eastAsia="宋体" w:cs="宋体"/>
                <w:b w:val="0"/>
                <w:bCs w:val="0"/>
                <w:sz w:val="21"/>
                <w:szCs w:val="21"/>
              </w:rPr>
            </w:pPr>
            <w:r>
              <w:rPr>
                <w:rFonts w:hint="eastAsia" w:ascii="宋体" w:hAnsi="宋体" w:eastAsia="宋体" w:cs="宋体"/>
                <w:b w:val="0"/>
                <w:bCs w:val="0"/>
                <w:sz w:val="21"/>
                <w:szCs w:val="21"/>
              </w:rPr>
              <w:t>分类</w:t>
            </w:r>
          </w:p>
        </w:tc>
        <w:tc>
          <w:tcPr>
            <w:tcW w:w="1497" w:type="dxa"/>
            <w:tcMar>
              <w:left w:w="28" w:type="dxa"/>
              <w:right w:w="28" w:type="dxa"/>
            </w:tcMar>
            <w:vAlign w:val="center"/>
          </w:tcPr>
          <w:p w14:paraId="6CCA273A">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污染物名称</w:t>
            </w:r>
          </w:p>
        </w:tc>
        <w:tc>
          <w:tcPr>
            <w:tcW w:w="1554" w:type="dxa"/>
            <w:tcMar>
              <w:left w:w="28" w:type="dxa"/>
              <w:right w:w="28" w:type="dxa"/>
            </w:tcMar>
            <w:vAlign w:val="center"/>
          </w:tcPr>
          <w:p w14:paraId="3A6F2A47">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现有工程</w:t>
            </w:r>
          </w:p>
          <w:p w14:paraId="3AEB61BF">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排放量（固体废物产生量）</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 1 \* GB3 \* MERGEFORMAT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sz w:val="21"/>
                <w:szCs w:val="21"/>
              </w:rPr>
              <w:t>①</w:t>
            </w:r>
            <w:r>
              <w:rPr>
                <w:rFonts w:hint="default" w:ascii="Times New Roman" w:hAnsi="Times New Roman" w:eastAsia="宋体" w:cs="Times New Roman"/>
                <w:b w:val="0"/>
                <w:bCs w:val="0"/>
                <w:sz w:val="21"/>
                <w:szCs w:val="21"/>
              </w:rPr>
              <w:fldChar w:fldCharType="end"/>
            </w:r>
          </w:p>
        </w:tc>
        <w:tc>
          <w:tcPr>
            <w:tcW w:w="1250" w:type="dxa"/>
            <w:tcMar>
              <w:left w:w="28" w:type="dxa"/>
              <w:right w:w="28" w:type="dxa"/>
            </w:tcMar>
            <w:vAlign w:val="center"/>
          </w:tcPr>
          <w:p w14:paraId="30F82D83">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现有工程</w:t>
            </w:r>
          </w:p>
          <w:p w14:paraId="7CDCF7FF">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许可排放量</w:t>
            </w:r>
          </w:p>
          <w:p w14:paraId="773CF898">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 2 \* GB3 \* MERGEFORMAT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sz w:val="21"/>
                <w:szCs w:val="21"/>
              </w:rPr>
              <w:t>②</w:t>
            </w:r>
            <w:r>
              <w:rPr>
                <w:rFonts w:hint="default" w:ascii="Times New Roman" w:hAnsi="Times New Roman" w:eastAsia="宋体" w:cs="Times New Roman"/>
                <w:b w:val="0"/>
                <w:bCs w:val="0"/>
                <w:sz w:val="21"/>
                <w:szCs w:val="21"/>
              </w:rPr>
              <w:fldChar w:fldCharType="end"/>
            </w:r>
          </w:p>
        </w:tc>
        <w:tc>
          <w:tcPr>
            <w:tcW w:w="1664" w:type="dxa"/>
            <w:tcMar>
              <w:left w:w="28" w:type="dxa"/>
              <w:right w:w="28" w:type="dxa"/>
            </w:tcMar>
            <w:vAlign w:val="center"/>
          </w:tcPr>
          <w:p w14:paraId="199CD5DA">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在建工程</w:t>
            </w:r>
          </w:p>
          <w:p w14:paraId="291B396D">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排放量（固体废物产生量）</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 3 \* GB3 \* MERGEFORMAT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sz w:val="21"/>
                <w:szCs w:val="21"/>
              </w:rPr>
              <w:t>③</w:t>
            </w:r>
            <w:r>
              <w:rPr>
                <w:rFonts w:hint="default" w:ascii="Times New Roman" w:hAnsi="Times New Roman" w:eastAsia="宋体" w:cs="Times New Roman"/>
                <w:b w:val="0"/>
                <w:bCs w:val="0"/>
                <w:sz w:val="21"/>
                <w:szCs w:val="21"/>
              </w:rPr>
              <w:fldChar w:fldCharType="end"/>
            </w:r>
          </w:p>
        </w:tc>
        <w:tc>
          <w:tcPr>
            <w:tcW w:w="1525" w:type="dxa"/>
            <w:tcMar>
              <w:left w:w="28" w:type="dxa"/>
              <w:right w:w="28" w:type="dxa"/>
            </w:tcMar>
            <w:vAlign w:val="center"/>
          </w:tcPr>
          <w:p w14:paraId="41FC5A8C">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本项目</w:t>
            </w:r>
          </w:p>
          <w:p w14:paraId="47548B6D">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排放量（固体废物产生量）</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 4 \* GB3 \* MERGEFORMAT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sz w:val="21"/>
                <w:szCs w:val="21"/>
              </w:rPr>
              <w:t>④</w:t>
            </w:r>
            <w:r>
              <w:rPr>
                <w:rFonts w:hint="default" w:ascii="Times New Roman" w:hAnsi="Times New Roman" w:eastAsia="宋体" w:cs="Times New Roman"/>
                <w:b w:val="0"/>
                <w:bCs w:val="0"/>
                <w:sz w:val="21"/>
                <w:szCs w:val="21"/>
              </w:rPr>
              <w:fldChar w:fldCharType="end"/>
            </w:r>
          </w:p>
        </w:tc>
        <w:tc>
          <w:tcPr>
            <w:tcW w:w="1578" w:type="dxa"/>
            <w:tcMar>
              <w:left w:w="28" w:type="dxa"/>
              <w:right w:w="28" w:type="dxa"/>
            </w:tcMar>
            <w:vAlign w:val="center"/>
          </w:tcPr>
          <w:p w14:paraId="49B56E30">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以新带老削减量</w:t>
            </w:r>
          </w:p>
          <w:p w14:paraId="1F8AF533">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（新建项目不填）</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 5 \* GB3 \* MERGEFORMAT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sz w:val="21"/>
                <w:szCs w:val="21"/>
              </w:rPr>
              <w:t>⑤</w:t>
            </w:r>
            <w:r>
              <w:rPr>
                <w:rFonts w:hint="default" w:ascii="Times New Roman" w:hAnsi="Times New Roman" w:eastAsia="宋体" w:cs="Times New Roman"/>
                <w:b w:val="0"/>
                <w:bCs w:val="0"/>
                <w:sz w:val="21"/>
                <w:szCs w:val="21"/>
              </w:rPr>
              <w:fldChar w:fldCharType="end"/>
            </w:r>
          </w:p>
        </w:tc>
        <w:tc>
          <w:tcPr>
            <w:tcW w:w="1629" w:type="dxa"/>
            <w:tcMar>
              <w:left w:w="28" w:type="dxa"/>
              <w:right w:w="28" w:type="dxa"/>
            </w:tcMar>
            <w:vAlign w:val="center"/>
          </w:tcPr>
          <w:p w14:paraId="0F6BF2A3">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本项目建成后</w:t>
            </w:r>
          </w:p>
          <w:p w14:paraId="54FB0B99">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全厂排放量（固体废物产生量）</w:t>
            </w: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 6 \* GB3 \* MERGEFORMAT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sz w:val="21"/>
                <w:szCs w:val="21"/>
              </w:rPr>
              <w:t>⑥</w:t>
            </w:r>
            <w:r>
              <w:rPr>
                <w:rFonts w:hint="default" w:ascii="Times New Roman" w:hAnsi="Times New Roman" w:eastAsia="宋体" w:cs="Times New Roman"/>
                <w:b w:val="0"/>
                <w:bCs w:val="0"/>
                <w:sz w:val="21"/>
                <w:szCs w:val="21"/>
              </w:rPr>
              <w:fldChar w:fldCharType="end"/>
            </w:r>
          </w:p>
        </w:tc>
        <w:tc>
          <w:tcPr>
            <w:tcW w:w="1242" w:type="dxa"/>
            <w:tcMar>
              <w:left w:w="28" w:type="dxa"/>
              <w:right w:w="28" w:type="dxa"/>
            </w:tcMar>
            <w:vAlign w:val="center"/>
          </w:tcPr>
          <w:p w14:paraId="2432AEFE">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变化量</w:t>
            </w:r>
          </w:p>
          <w:p w14:paraId="4783CAC9">
            <w:pPr>
              <w:adjustRightInd w:val="0"/>
              <w:snapToGrid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fldChar w:fldCharType="begin"/>
            </w:r>
            <w:r>
              <w:rPr>
                <w:rFonts w:hint="default" w:ascii="Times New Roman" w:hAnsi="Times New Roman" w:eastAsia="宋体" w:cs="Times New Roman"/>
                <w:b w:val="0"/>
                <w:bCs w:val="0"/>
                <w:sz w:val="21"/>
                <w:szCs w:val="21"/>
              </w:rPr>
              <w:instrText xml:space="preserve"> = 7 \* GB3 \* MERGEFORMAT </w:instrText>
            </w:r>
            <w:r>
              <w:rPr>
                <w:rFonts w:hint="default" w:ascii="Times New Roman" w:hAnsi="Times New Roman" w:eastAsia="宋体" w:cs="Times New Roman"/>
                <w:b w:val="0"/>
                <w:bCs w:val="0"/>
                <w:sz w:val="21"/>
                <w:szCs w:val="21"/>
              </w:rPr>
              <w:fldChar w:fldCharType="separate"/>
            </w:r>
            <w:r>
              <w:rPr>
                <w:rFonts w:hint="default" w:ascii="Times New Roman" w:hAnsi="Times New Roman" w:eastAsia="宋体" w:cs="Times New Roman"/>
                <w:b w:val="0"/>
                <w:bCs w:val="0"/>
                <w:sz w:val="21"/>
                <w:szCs w:val="21"/>
              </w:rPr>
              <w:t>⑦</w:t>
            </w:r>
            <w:r>
              <w:rPr>
                <w:rFonts w:hint="default" w:ascii="Times New Roman" w:hAnsi="Times New Roman" w:eastAsia="宋体" w:cs="Times New Roman"/>
                <w:b w:val="0"/>
                <w:bCs w:val="0"/>
                <w:sz w:val="21"/>
                <w:szCs w:val="21"/>
              </w:rPr>
              <w:fldChar w:fldCharType="end"/>
            </w:r>
          </w:p>
        </w:tc>
      </w:tr>
      <w:tr w14:paraId="3A6C7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6132471A">
            <w:pPr>
              <w:spacing w:beforeLines="0" w:afterLines="0" w:line="240" w:lineRule="auto"/>
              <w:jc w:val="center"/>
              <w:rPr>
                <w:rFonts w:hAnsi="宋体" w:cs="宋体"/>
                <w:snapToGrid w:val="0"/>
                <w:kern w:val="21"/>
                <w:sz w:val="21"/>
                <w:szCs w:val="21"/>
              </w:rPr>
            </w:pPr>
            <w:r>
              <w:rPr>
                <w:rFonts w:hint="eastAsia" w:hAnsi="宋体" w:cs="宋体"/>
                <w:snapToGrid w:val="0"/>
                <w:kern w:val="21"/>
                <w:sz w:val="21"/>
                <w:szCs w:val="21"/>
              </w:rPr>
              <w:t>废气</w:t>
            </w:r>
          </w:p>
        </w:tc>
        <w:tc>
          <w:tcPr>
            <w:tcW w:w="1497" w:type="dxa"/>
            <w:vAlign w:val="center"/>
          </w:tcPr>
          <w:p w14:paraId="2D9A1450">
            <w:pPr>
              <w:spacing w:beforeLines="0" w:afterLines="0" w:line="240" w:lineRule="auto"/>
              <w:jc w:val="center"/>
              <w:rPr>
                <w:rFonts w:hint="eastAsia" w:ascii="Times New Roman" w:hAnsi="宋体" w:eastAsia="宋体" w:cs="宋体"/>
                <w:snapToGrid w:val="0"/>
                <w:kern w:val="21"/>
                <w:sz w:val="21"/>
                <w:szCs w:val="21"/>
                <w:lang w:val="en-US" w:eastAsia="zh-CN"/>
              </w:rPr>
            </w:pPr>
            <w:r>
              <w:rPr>
                <w:rFonts w:hint="eastAsia" w:ascii="Times New Roman" w:hAnsi="宋体" w:eastAsia="宋体" w:cs="宋体"/>
                <w:snapToGrid w:val="0"/>
                <w:kern w:val="21"/>
                <w:sz w:val="21"/>
                <w:szCs w:val="21"/>
                <w:lang w:val="en-US" w:eastAsia="zh-CN"/>
              </w:rPr>
              <w:t>颗粒物</w:t>
            </w:r>
          </w:p>
        </w:tc>
        <w:tc>
          <w:tcPr>
            <w:tcW w:w="1554" w:type="dxa"/>
            <w:vAlign w:val="center"/>
          </w:tcPr>
          <w:p w14:paraId="10378B06">
            <w:pPr>
              <w:spacing w:beforeLines="0" w:afterLines="0" w:line="240" w:lineRule="auto"/>
              <w:jc w:val="center"/>
              <w:rPr>
                <w:rFonts w:hint="default" w:ascii="Times New Roman" w:hAnsi="宋体" w:eastAsia="宋体" w:cs="宋体"/>
                <w:snapToGrid w:val="0"/>
                <w:kern w:val="21"/>
                <w:sz w:val="21"/>
                <w:szCs w:val="21"/>
                <w:lang w:val="en-US" w:eastAsia="zh-CN" w:bidi="ar-SA"/>
              </w:rPr>
            </w:pPr>
            <w:r>
              <w:rPr>
                <w:rFonts w:ascii="Times New Roman"/>
                <w:snapToGrid w:val="0"/>
                <w:kern w:val="21"/>
                <w:sz w:val="21"/>
                <w:szCs w:val="21"/>
              </w:rPr>
              <w:t>/</w:t>
            </w:r>
          </w:p>
        </w:tc>
        <w:tc>
          <w:tcPr>
            <w:tcW w:w="1250" w:type="dxa"/>
            <w:vAlign w:val="center"/>
          </w:tcPr>
          <w:p w14:paraId="15CD5E13">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3836029D">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2286AD3E">
            <w:pPr>
              <w:jc w:val="center"/>
              <w:rPr>
                <w:rFonts w:hint="default" w:eastAsia="宋体"/>
                <w:snapToGrid w:val="0"/>
                <w:kern w:val="21"/>
                <w:sz w:val="21"/>
                <w:szCs w:val="21"/>
                <w:highlight w:val="none"/>
                <w:lang w:val="en-US" w:eastAsia="zh-CN"/>
              </w:rPr>
            </w:pPr>
            <w:r>
              <w:rPr>
                <w:rFonts w:hint="eastAsia" w:eastAsia="宋体"/>
                <w:snapToGrid w:val="0"/>
                <w:kern w:val="21"/>
                <w:sz w:val="21"/>
                <w:szCs w:val="21"/>
                <w:highlight w:val="none"/>
                <w:lang w:val="en-US" w:eastAsia="zh-CN"/>
              </w:rPr>
              <w:t>0.588t/a</w:t>
            </w:r>
          </w:p>
        </w:tc>
        <w:tc>
          <w:tcPr>
            <w:tcW w:w="1578" w:type="dxa"/>
            <w:vAlign w:val="center"/>
          </w:tcPr>
          <w:p w14:paraId="23C408C2">
            <w:pPr>
              <w:jc w:val="center"/>
              <w:rPr>
                <w:snapToGrid w:val="0"/>
                <w:kern w:val="21"/>
                <w:sz w:val="21"/>
                <w:szCs w:val="21"/>
              </w:rPr>
            </w:pPr>
            <w:r>
              <w:rPr>
                <w:snapToGrid w:val="0"/>
                <w:kern w:val="21"/>
                <w:sz w:val="21"/>
                <w:szCs w:val="21"/>
              </w:rPr>
              <w:t>/</w:t>
            </w:r>
          </w:p>
        </w:tc>
        <w:tc>
          <w:tcPr>
            <w:tcW w:w="1629" w:type="dxa"/>
            <w:vAlign w:val="center"/>
          </w:tcPr>
          <w:p w14:paraId="5522DC44">
            <w:pPr>
              <w:jc w:val="center"/>
              <w:rPr>
                <w:rFonts w:hint="default" w:eastAsia="宋体"/>
                <w:snapToGrid w:val="0"/>
                <w:kern w:val="21"/>
                <w:sz w:val="21"/>
                <w:szCs w:val="21"/>
                <w:lang w:val="en-US" w:eastAsia="zh-CN"/>
              </w:rPr>
            </w:pPr>
            <w:r>
              <w:rPr>
                <w:rFonts w:hint="eastAsia" w:eastAsia="宋体"/>
                <w:snapToGrid w:val="0"/>
                <w:kern w:val="21"/>
                <w:sz w:val="21"/>
                <w:szCs w:val="21"/>
                <w:highlight w:val="none"/>
                <w:lang w:val="en-US" w:eastAsia="zh-CN"/>
              </w:rPr>
              <w:t>0.588t/a</w:t>
            </w:r>
          </w:p>
        </w:tc>
        <w:tc>
          <w:tcPr>
            <w:tcW w:w="1242" w:type="dxa"/>
            <w:vAlign w:val="center"/>
          </w:tcPr>
          <w:p w14:paraId="291B8FDE">
            <w:pPr>
              <w:jc w:val="center"/>
              <w:rPr>
                <w:b/>
                <w:bCs/>
                <w:snapToGrid w:val="0"/>
                <w:kern w:val="21"/>
                <w:sz w:val="21"/>
                <w:szCs w:val="21"/>
              </w:rPr>
            </w:pPr>
            <w:r>
              <w:rPr>
                <w:rFonts w:hint="eastAsia" w:eastAsia="宋体"/>
                <w:snapToGrid w:val="0"/>
                <w:kern w:val="21"/>
                <w:sz w:val="21"/>
                <w:szCs w:val="21"/>
                <w:highlight w:val="none"/>
                <w:lang w:val="en-US" w:eastAsia="zh-CN"/>
              </w:rPr>
              <w:t>0.588t/a</w:t>
            </w:r>
          </w:p>
        </w:tc>
      </w:tr>
      <w:tr w14:paraId="5E0C8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7868A762">
            <w:pPr>
              <w:spacing w:beforeLines="0" w:afterLines="0" w:line="240" w:lineRule="auto"/>
              <w:jc w:val="center"/>
              <w:rPr>
                <w:rFonts w:hint="eastAsia" w:hAnsi="宋体" w:cs="宋体"/>
                <w:snapToGrid w:val="0"/>
                <w:kern w:val="21"/>
                <w:sz w:val="21"/>
                <w:szCs w:val="21"/>
              </w:rPr>
            </w:pPr>
          </w:p>
        </w:tc>
        <w:tc>
          <w:tcPr>
            <w:tcW w:w="1497" w:type="dxa"/>
            <w:vAlign w:val="center"/>
          </w:tcPr>
          <w:p w14:paraId="09C8D91B">
            <w:pPr>
              <w:spacing w:beforeLines="0" w:afterLines="0" w:line="240" w:lineRule="auto"/>
              <w:jc w:val="center"/>
              <w:rPr>
                <w:rFonts w:hint="default" w:ascii="Times New Roman" w:hAnsi="宋体" w:eastAsia="宋体" w:cs="宋体"/>
                <w:snapToGrid w:val="0"/>
                <w:kern w:val="21"/>
                <w:sz w:val="21"/>
                <w:szCs w:val="21"/>
                <w:lang w:val="en-US" w:eastAsia="zh-CN"/>
              </w:rPr>
            </w:pPr>
            <w:r>
              <w:rPr>
                <w:rFonts w:hint="eastAsia" w:ascii="Times New Roman" w:hAnsi="宋体" w:eastAsia="宋体" w:cs="宋体"/>
                <w:snapToGrid w:val="0"/>
                <w:kern w:val="21"/>
                <w:sz w:val="21"/>
                <w:szCs w:val="21"/>
                <w:lang w:val="en-US" w:eastAsia="zh-CN"/>
              </w:rPr>
              <w:t>非甲烷总烃</w:t>
            </w:r>
          </w:p>
        </w:tc>
        <w:tc>
          <w:tcPr>
            <w:tcW w:w="1554" w:type="dxa"/>
            <w:vAlign w:val="center"/>
          </w:tcPr>
          <w:p w14:paraId="171784E4">
            <w:pPr>
              <w:spacing w:beforeLines="0" w:afterLines="0" w:line="240" w:lineRule="auto"/>
              <w:jc w:val="center"/>
              <w:rPr>
                <w:rFonts w:hint="default" w:ascii="Times New Roman" w:hAnsi="宋体" w:eastAsia="宋体" w:cs="宋体"/>
                <w:snapToGrid w:val="0"/>
                <w:kern w:val="21"/>
                <w:sz w:val="21"/>
                <w:szCs w:val="21"/>
                <w:lang w:val="en-US" w:eastAsia="zh-CN" w:bidi="ar-SA"/>
              </w:rPr>
            </w:pPr>
            <w:r>
              <w:rPr>
                <w:rFonts w:ascii="Times New Roman"/>
                <w:snapToGrid w:val="0"/>
                <w:kern w:val="21"/>
                <w:sz w:val="21"/>
                <w:szCs w:val="21"/>
              </w:rPr>
              <w:t>/</w:t>
            </w:r>
          </w:p>
        </w:tc>
        <w:tc>
          <w:tcPr>
            <w:tcW w:w="1250" w:type="dxa"/>
            <w:vAlign w:val="center"/>
          </w:tcPr>
          <w:p w14:paraId="482F1155">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73F1A0F5">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0C71A9F1">
            <w:pPr>
              <w:jc w:val="center"/>
              <w:rPr>
                <w:rFonts w:hint="default"/>
                <w:bCs/>
                <w:sz w:val="21"/>
                <w:szCs w:val="21"/>
                <w:highlight w:val="none"/>
                <w:lang w:val="en-US" w:eastAsia="zh-CN"/>
              </w:rPr>
            </w:pPr>
            <w:r>
              <w:rPr>
                <w:rFonts w:hint="eastAsia"/>
                <w:bCs/>
                <w:sz w:val="21"/>
                <w:szCs w:val="21"/>
                <w:highlight w:val="none"/>
                <w:lang w:val="en-US" w:eastAsia="zh-CN"/>
              </w:rPr>
              <w:t>0.116</w:t>
            </w:r>
            <w:r>
              <w:rPr>
                <w:rFonts w:hint="eastAsia" w:eastAsia="宋体"/>
                <w:snapToGrid w:val="0"/>
                <w:kern w:val="21"/>
                <w:sz w:val="21"/>
                <w:szCs w:val="21"/>
                <w:highlight w:val="none"/>
                <w:lang w:val="en-US" w:eastAsia="zh-CN"/>
              </w:rPr>
              <w:t>t/a</w:t>
            </w:r>
          </w:p>
        </w:tc>
        <w:tc>
          <w:tcPr>
            <w:tcW w:w="1578" w:type="dxa"/>
            <w:vAlign w:val="center"/>
          </w:tcPr>
          <w:p w14:paraId="735D0FCB">
            <w:pPr>
              <w:jc w:val="center"/>
              <w:rPr>
                <w:snapToGrid w:val="0"/>
                <w:kern w:val="21"/>
                <w:sz w:val="21"/>
                <w:szCs w:val="21"/>
              </w:rPr>
            </w:pPr>
            <w:r>
              <w:rPr>
                <w:snapToGrid w:val="0"/>
                <w:kern w:val="21"/>
                <w:sz w:val="21"/>
                <w:szCs w:val="21"/>
              </w:rPr>
              <w:t>/</w:t>
            </w:r>
          </w:p>
        </w:tc>
        <w:tc>
          <w:tcPr>
            <w:tcW w:w="1629" w:type="dxa"/>
            <w:vAlign w:val="center"/>
          </w:tcPr>
          <w:p w14:paraId="310235D4">
            <w:pPr>
              <w:jc w:val="center"/>
              <w:rPr>
                <w:rFonts w:hint="default" w:eastAsia="宋体"/>
                <w:bCs/>
                <w:sz w:val="21"/>
                <w:szCs w:val="21"/>
                <w:highlight w:val="none"/>
                <w:lang w:val="en-US" w:eastAsia="zh-CN"/>
              </w:rPr>
            </w:pPr>
            <w:r>
              <w:rPr>
                <w:rFonts w:hint="eastAsia"/>
                <w:bCs/>
                <w:sz w:val="21"/>
                <w:szCs w:val="21"/>
                <w:highlight w:val="none"/>
                <w:lang w:val="en-US" w:eastAsia="zh-CN"/>
              </w:rPr>
              <w:t>0.116</w:t>
            </w:r>
            <w:r>
              <w:rPr>
                <w:rFonts w:hint="eastAsia" w:eastAsia="宋体"/>
                <w:snapToGrid w:val="0"/>
                <w:kern w:val="21"/>
                <w:sz w:val="21"/>
                <w:szCs w:val="21"/>
                <w:highlight w:val="none"/>
                <w:lang w:val="en-US" w:eastAsia="zh-CN"/>
              </w:rPr>
              <w:t>t/a</w:t>
            </w:r>
          </w:p>
        </w:tc>
        <w:tc>
          <w:tcPr>
            <w:tcW w:w="1242" w:type="dxa"/>
            <w:vAlign w:val="center"/>
          </w:tcPr>
          <w:p w14:paraId="5E5E3AA4">
            <w:pPr>
              <w:jc w:val="center"/>
              <w:rPr>
                <w:rFonts w:hint="default"/>
                <w:bCs/>
                <w:sz w:val="21"/>
                <w:szCs w:val="21"/>
                <w:lang w:val="en-US" w:eastAsia="zh-CN"/>
              </w:rPr>
            </w:pPr>
            <w:r>
              <w:rPr>
                <w:rFonts w:hint="eastAsia"/>
                <w:bCs/>
                <w:sz w:val="21"/>
                <w:szCs w:val="21"/>
                <w:highlight w:val="none"/>
                <w:lang w:val="en-US" w:eastAsia="zh-CN"/>
              </w:rPr>
              <w:t>0.116</w:t>
            </w:r>
            <w:r>
              <w:rPr>
                <w:rFonts w:hint="eastAsia" w:eastAsia="宋体"/>
                <w:snapToGrid w:val="0"/>
                <w:kern w:val="21"/>
                <w:sz w:val="21"/>
                <w:szCs w:val="21"/>
                <w:highlight w:val="none"/>
                <w:lang w:val="en-US" w:eastAsia="zh-CN"/>
              </w:rPr>
              <w:t>t/a</w:t>
            </w:r>
          </w:p>
        </w:tc>
      </w:tr>
      <w:tr w14:paraId="68744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0E655100">
            <w:pPr>
              <w:spacing w:beforeLines="0" w:afterLines="0" w:line="240" w:lineRule="auto"/>
              <w:jc w:val="center"/>
              <w:rPr>
                <w:rFonts w:hint="eastAsia" w:hAnsi="宋体" w:cs="宋体"/>
                <w:snapToGrid w:val="0"/>
                <w:kern w:val="21"/>
                <w:sz w:val="21"/>
                <w:szCs w:val="21"/>
              </w:rPr>
            </w:pPr>
          </w:p>
        </w:tc>
        <w:tc>
          <w:tcPr>
            <w:tcW w:w="1497" w:type="dxa"/>
            <w:vAlign w:val="center"/>
          </w:tcPr>
          <w:p w14:paraId="7C527A4F">
            <w:pPr>
              <w:pStyle w:val="67"/>
              <w:spacing w:beforeLines="0" w:afterLines="0" w:line="240" w:lineRule="auto"/>
              <w:rPr>
                <w:rFonts w:hint="default" w:ascii="Times New Roman" w:hAnsi="宋体" w:eastAsia="宋体" w:cs="宋体"/>
                <w:snapToGrid w:val="0"/>
                <w:kern w:val="21"/>
                <w:sz w:val="21"/>
                <w:szCs w:val="21"/>
                <w:lang w:val="en-US" w:eastAsia="zh-CN" w:bidi="ar-SA"/>
              </w:rPr>
            </w:pPr>
            <w:r>
              <w:rPr>
                <w:rFonts w:hint="eastAsia" w:ascii="Times New Roman" w:hAnsi="宋体" w:cs="宋体"/>
                <w:snapToGrid w:val="0"/>
                <w:kern w:val="21"/>
                <w:sz w:val="21"/>
                <w:szCs w:val="21"/>
                <w:lang w:val="en-US" w:eastAsia="zh-CN" w:bidi="ar-SA"/>
              </w:rPr>
              <w:t>二氧化硫</w:t>
            </w:r>
          </w:p>
        </w:tc>
        <w:tc>
          <w:tcPr>
            <w:tcW w:w="1554" w:type="dxa"/>
            <w:vAlign w:val="center"/>
          </w:tcPr>
          <w:p w14:paraId="1E19C59B">
            <w:pPr>
              <w:spacing w:beforeLines="0" w:afterLines="0" w:line="240" w:lineRule="auto"/>
              <w:jc w:val="center"/>
              <w:rPr>
                <w:rFonts w:hint="default" w:ascii="Times New Roman" w:hAnsi="宋体" w:eastAsia="宋体" w:cs="宋体"/>
                <w:snapToGrid w:val="0"/>
                <w:kern w:val="21"/>
                <w:sz w:val="21"/>
                <w:szCs w:val="21"/>
                <w:lang w:val="en-US" w:eastAsia="zh-CN" w:bidi="ar-SA"/>
              </w:rPr>
            </w:pPr>
            <w:r>
              <w:rPr>
                <w:rFonts w:ascii="Times New Roman"/>
                <w:snapToGrid w:val="0"/>
                <w:kern w:val="21"/>
                <w:sz w:val="21"/>
                <w:szCs w:val="21"/>
              </w:rPr>
              <w:t>/</w:t>
            </w:r>
          </w:p>
        </w:tc>
        <w:tc>
          <w:tcPr>
            <w:tcW w:w="1250" w:type="dxa"/>
            <w:vAlign w:val="center"/>
          </w:tcPr>
          <w:p w14:paraId="47FDB300">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65316F99">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1519F83F">
            <w:pPr>
              <w:jc w:val="center"/>
              <w:rPr>
                <w:rFonts w:hint="default"/>
                <w:bCs/>
                <w:sz w:val="21"/>
                <w:szCs w:val="21"/>
                <w:highlight w:val="none"/>
                <w:lang w:val="en-US" w:eastAsia="zh-CN"/>
              </w:rPr>
            </w:pPr>
            <w:r>
              <w:rPr>
                <w:rFonts w:hint="eastAsia" w:eastAsia="宋体"/>
                <w:snapToGrid w:val="0"/>
                <w:kern w:val="21"/>
                <w:sz w:val="21"/>
                <w:szCs w:val="21"/>
                <w:highlight w:val="none"/>
                <w:lang w:val="en-US" w:eastAsia="zh-CN"/>
              </w:rPr>
              <w:t>0.04t/a</w:t>
            </w:r>
          </w:p>
        </w:tc>
        <w:tc>
          <w:tcPr>
            <w:tcW w:w="1578" w:type="dxa"/>
            <w:vAlign w:val="center"/>
          </w:tcPr>
          <w:p w14:paraId="7C2E2268">
            <w:pPr>
              <w:jc w:val="center"/>
              <w:rPr>
                <w:snapToGrid w:val="0"/>
                <w:kern w:val="21"/>
                <w:sz w:val="21"/>
                <w:szCs w:val="21"/>
              </w:rPr>
            </w:pPr>
            <w:r>
              <w:rPr>
                <w:snapToGrid w:val="0"/>
                <w:kern w:val="21"/>
                <w:sz w:val="21"/>
                <w:szCs w:val="21"/>
              </w:rPr>
              <w:t>/</w:t>
            </w:r>
          </w:p>
        </w:tc>
        <w:tc>
          <w:tcPr>
            <w:tcW w:w="1629" w:type="dxa"/>
            <w:vAlign w:val="center"/>
          </w:tcPr>
          <w:p w14:paraId="2EF8637C">
            <w:pPr>
              <w:jc w:val="center"/>
              <w:rPr>
                <w:rFonts w:hint="default" w:eastAsia="宋体"/>
                <w:bCs/>
                <w:sz w:val="21"/>
                <w:szCs w:val="21"/>
                <w:highlight w:val="none"/>
                <w:lang w:val="en-US" w:eastAsia="zh-CN"/>
              </w:rPr>
            </w:pPr>
            <w:r>
              <w:rPr>
                <w:rFonts w:hint="eastAsia" w:eastAsia="宋体"/>
                <w:snapToGrid w:val="0"/>
                <w:kern w:val="21"/>
                <w:sz w:val="21"/>
                <w:szCs w:val="21"/>
                <w:highlight w:val="none"/>
                <w:lang w:val="en-US" w:eastAsia="zh-CN"/>
              </w:rPr>
              <w:t>0.04t/a</w:t>
            </w:r>
          </w:p>
        </w:tc>
        <w:tc>
          <w:tcPr>
            <w:tcW w:w="1242" w:type="dxa"/>
            <w:vAlign w:val="center"/>
          </w:tcPr>
          <w:p w14:paraId="167D1CE5">
            <w:pPr>
              <w:jc w:val="center"/>
              <w:rPr>
                <w:rFonts w:hint="eastAsia"/>
                <w:bCs/>
                <w:sz w:val="21"/>
                <w:szCs w:val="21"/>
                <w:lang w:val="en-US" w:eastAsia="zh-CN"/>
              </w:rPr>
            </w:pPr>
            <w:r>
              <w:rPr>
                <w:rFonts w:hint="eastAsia" w:eastAsia="宋体"/>
                <w:snapToGrid w:val="0"/>
                <w:kern w:val="21"/>
                <w:sz w:val="21"/>
                <w:szCs w:val="21"/>
                <w:highlight w:val="none"/>
                <w:lang w:val="en-US" w:eastAsia="zh-CN"/>
              </w:rPr>
              <w:t>0.04t/a</w:t>
            </w:r>
          </w:p>
        </w:tc>
      </w:tr>
      <w:tr w14:paraId="36287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4B308C61">
            <w:pPr>
              <w:spacing w:beforeLines="0" w:afterLines="0" w:line="240" w:lineRule="auto"/>
              <w:jc w:val="center"/>
              <w:rPr>
                <w:rFonts w:hint="eastAsia" w:hAnsi="宋体" w:cs="宋体"/>
                <w:snapToGrid w:val="0"/>
                <w:kern w:val="21"/>
                <w:sz w:val="21"/>
                <w:szCs w:val="21"/>
              </w:rPr>
            </w:pPr>
          </w:p>
        </w:tc>
        <w:tc>
          <w:tcPr>
            <w:tcW w:w="1497" w:type="dxa"/>
            <w:vAlign w:val="center"/>
          </w:tcPr>
          <w:p w14:paraId="0540DAFA">
            <w:pPr>
              <w:pStyle w:val="67"/>
              <w:spacing w:beforeLines="0" w:afterLines="0" w:line="240" w:lineRule="auto"/>
              <w:rPr>
                <w:rFonts w:hint="default" w:ascii="Times New Roman" w:hAnsi="宋体" w:eastAsia="宋体" w:cs="宋体"/>
                <w:snapToGrid w:val="0"/>
                <w:kern w:val="21"/>
                <w:sz w:val="21"/>
                <w:szCs w:val="21"/>
                <w:lang w:val="en-US" w:eastAsia="zh-CN" w:bidi="ar-SA"/>
              </w:rPr>
            </w:pPr>
            <w:r>
              <w:rPr>
                <w:rFonts w:hint="eastAsia" w:ascii="Times New Roman" w:hAnsi="宋体" w:cs="宋体"/>
                <w:snapToGrid w:val="0"/>
                <w:kern w:val="21"/>
                <w:sz w:val="21"/>
                <w:szCs w:val="21"/>
                <w:lang w:val="en-US" w:eastAsia="zh-CN" w:bidi="ar-SA"/>
              </w:rPr>
              <w:t>氮氧化物</w:t>
            </w:r>
          </w:p>
        </w:tc>
        <w:tc>
          <w:tcPr>
            <w:tcW w:w="1554" w:type="dxa"/>
            <w:vAlign w:val="center"/>
          </w:tcPr>
          <w:p w14:paraId="0056EE8C">
            <w:pPr>
              <w:spacing w:beforeLines="0" w:afterLines="0" w:line="240" w:lineRule="auto"/>
              <w:jc w:val="center"/>
              <w:rPr>
                <w:rFonts w:hint="default" w:ascii="Times New Roman" w:hAnsi="宋体" w:eastAsia="宋体" w:cs="宋体"/>
                <w:snapToGrid w:val="0"/>
                <w:kern w:val="21"/>
                <w:sz w:val="21"/>
                <w:szCs w:val="21"/>
                <w:lang w:val="en-US" w:eastAsia="zh-CN" w:bidi="ar-SA"/>
              </w:rPr>
            </w:pPr>
            <w:r>
              <w:rPr>
                <w:rFonts w:ascii="Times New Roman"/>
                <w:snapToGrid w:val="0"/>
                <w:kern w:val="21"/>
                <w:sz w:val="21"/>
                <w:szCs w:val="21"/>
              </w:rPr>
              <w:t>/</w:t>
            </w:r>
          </w:p>
        </w:tc>
        <w:tc>
          <w:tcPr>
            <w:tcW w:w="1250" w:type="dxa"/>
            <w:vAlign w:val="center"/>
          </w:tcPr>
          <w:p w14:paraId="47CAC82B">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06D1F4C6">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2C72EDB8">
            <w:pPr>
              <w:jc w:val="center"/>
              <w:rPr>
                <w:rFonts w:hint="default"/>
                <w:bCs/>
                <w:sz w:val="21"/>
                <w:szCs w:val="21"/>
                <w:highlight w:val="none"/>
                <w:lang w:val="en-US" w:eastAsia="zh-CN"/>
              </w:rPr>
            </w:pPr>
            <w:r>
              <w:rPr>
                <w:rFonts w:hint="eastAsia" w:eastAsia="宋体"/>
                <w:snapToGrid w:val="0"/>
                <w:kern w:val="21"/>
                <w:sz w:val="21"/>
                <w:szCs w:val="21"/>
                <w:highlight w:val="none"/>
                <w:lang w:val="en-US" w:eastAsia="zh-CN"/>
              </w:rPr>
              <w:t>0.187t/a</w:t>
            </w:r>
          </w:p>
        </w:tc>
        <w:tc>
          <w:tcPr>
            <w:tcW w:w="1578" w:type="dxa"/>
            <w:vAlign w:val="center"/>
          </w:tcPr>
          <w:p w14:paraId="588B802F">
            <w:pPr>
              <w:jc w:val="center"/>
              <w:rPr>
                <w:snapToGrid w:val="0"/>
                <w:kern w:val="21"/>
                <w:sz w:val="21"/>
                <w:szCs w:val="21"/>
              </w:rPr>
            </w:pPr>
            <w:r>
              <w:rPr>
                <w:snapToGrid w:val="0"/>
                <w:kern w:val="21"/>
                <w:sz w:val="21"/>
                <w:szCs w:val="21"/>
              </w:rPr>
              <w:t>/</w:t>
            </w:r>
          </w:p>
        </w:tc>
        <w:tc>
          <w:tcPr>
            <w:tcW w:w="1629" w:type="dxa"/>
            <w:vAlign w:val="center"/>
          </w:tcPr>
          <w:p w14:paraId="164E5ABC">
            <w:pPr>
              <w:jc w:val="center"/>
              <w:rPr>
                <w:rFonts w:hint="default" w:eastAsia="宋体"/>
                <w:bCs/>
                <w:sz w:val="21"/>
                <w:szCs w:val="21"/>
                <w:highlight w:val="none"/>
                <w:lang w:val="en-US" w:eastAsia="zh-CN"/>
              </w:rPr>
            </w:pPr>
            <w:r>
              <w:rPr>
                <w:rFonts w:hint="eastAsia" w:eastAsia="宋体"/>
                <w:snapToGrid w:val="0"/>
                <w:kern w:val="21"/>
                <w:sz w:val="21"/>
                <w:szCs w:val="21"/>
                <w:highlight w:val="none"/>
                <w:lang w:val="en-US" w:eastAsia="zh-CN"/>
              </w:rPr>
              <w:t>0.187t/a</w:t>
            </w:r>
          </w:p>
        </w:tc>
        <w:tc>
          <w:tcPr>
            <w:tcW w:w="1242" w:type="dxa"/>
            <w:vAlign w:val="center"/>
          </w:tcPr>
          <w:p w14:paraId="17AEC6C6">
            <w:pPr>
              <w:jc w:val="center"/>
              <w:rPr>
                <w:rFonts w:hint="eastAsia"/>
                <w:bCs/>
                <w:sz w:val="21"/>
                <w:szCs w:val="21"/>
                <w:lang w:val="en-US" w:eastAsia="zh-CN"/>
              </w:rPr>
            </w:pPr>
            <w:r>
              <w:rPr>
                <w:rFonts w:hint="eastAsia" w:eastAsia="宋体"/>
                <w:snapToGrid w:val="0"/>
                <w:kern w:val="21"/>
                <w:sz w:val="21"/>
                <w:szCs w:val="21"/>
                <w:highlight w:val="none"/>
                <w:lang w:val="en-US" w:eastAsia="zh-CN"/>
              </w:rPr>
              <w:t>0.187t/a</w:t>
            </w:r>
          </w:p>
        </w:tc>
      </w:tr>
      <w:tr w14:paraId="4CE42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51A5A0EC">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废水</w:t>
            </w:r>
          </w:p>
        </w:tc>
        <w:tc>
          <w:tcPr>
            <w:tcW w:w="1497" w:type="dxa"/>
            <w:vAlign w:val="center"/>
          </w:tcPr>
          <w:p w14:paraId="73044162">
            <w:pPr>
              <w:spacing w:beforeLines="0" w:afterLines="0" w:line="240" w:lineRule="auto"/>
              <w:jc w:val="center"/>
              <w:rPr>
                <w:rFonts w:hint="eastAsia"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废水量</w:t>
            </w:r>
          </w:p>
        </w:tc>
        <w:tc>
          <w:tcPr>
            <w:tcW w:w="1554" w:type="dxa"/>
            <w:vAlign w:val="center"/>
          </w:tcPr>
          <w:p w14:paraId="6ACD5408">
            <w:pPr>
              <w:jc w:val="center"/>
              <w:rPr>
                <w:rFonts w:hint="eastAsia" w:ascii="Times New Roman" w:hAnsi="Times New Roman" w:eastAsia="宋体" w:cs="Times New Roman"/>
                <w:snapToGrid w:val="0"/>
                <w:kern w:val="21"/>
                <w:sz w:val="21"/>
                <w:szCs w:val="21"/>
              </w:rPr>
            </w:pPr>
            <w:r>
              <w:rPr>
                <w:rFonts w:ascii="Times New Roman"/>
                <w:snapToGrid w:val="0"/>
                <w:kern w:val="21"/>
                <w:sz w:val="21"/>
                <w:szCs w:val="21"/>
              </w:rPr>
              <w:t>/</w:t>
            </w:r>
          </w:p>
        </w:tc>
        <w:tc>
          <w:tcPr>
            <w:tcW w:w="1250" w:type="dxa"/>
            <w:vAlign w:val="center"/>
          </w:tcPr>
          <w:p w14:paraId="7CC30354">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664" w:type="dxa"/>
            <w:vAlign w:val="center"/>
          </w:tcPr>
          <w:p w14:paraId="73DE1966">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525" w:type="dxa"/>
            <w:vAlign w:val="center"/>
          </w:tcPr>
          <w:p w14:paraId="3DC15161">
            <w:pPr>
              <w:spacing w:beforeLines="0" w:afterLines="0" w:line="240" w:lineRule="auto"/>
              <w:jc w:val="center"/>
              <w:rPr>
                <w:rFonts w:hint="default" w:eastAsia="宋体"/>
                <w:snapToGrid w:val="0"/>
                <w:kern w:val="21"/>
                <w:sz w:val="21"/>
                <w:szCs w:val="21"/>
                <w:highlight w:val="yellow"/>
                <w:lang w:val="en-US" w:eastAsia="zh-CN"/>
              </w:rPr>
            </w:pPr>
            <w:r>
              <w:rPr>
                <w:rFonts w:hint="eastAsia" w:eastAsia="宋体"/>
                <w:snapToGrid w:val="0"/>
                <w:kern w:val="21"/>
                <w:sz w:val="21"/>
                <w:szCs w:val="21"/>
                <w:highlight w:val="none"/>
                <w:lang w:val="en-US" w:eastAsia="zh-CN"/>
              </w:rPr>
              <w:t>1008t/a</w:t>
            </w:r>
          </w:p>
        </w:tc>
        <w:tc>
          <w:tcPr>
            <w:tcW w:w="1578" w:type="dxa"/>
            <w:vAlign w:val="center"/>
          </w:tcPr>
          <w:p w14:paraId="67A38B58">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629" w:type="dxa"/>
            <w:vAlign w:val="center"/>
          </w:tcPr>
          <w:p w14:paraId="28D6C449">
            <w:pPr>
              <w:jc w:val="center"/>
              <w:rPr>
                <w:snapToGrid w:val="0"/>
                <w:kern w:val="21"/>
                <w:sz w:val="21"/>
                <w:szCs w:val="21"/>
                <w:highlight w:val="yellow"/>
              </w:rPr>
            </w:pPr>
            <w:r>
              <w:rPr>
                <w:rFonts w:hint="eastAsia" w:eastAsia="宋体"/>
                <w:snapToGrid w:val="0"/>
                <w:kern w:val="21"/>
                <w:sz w:val="21"/>
                <w:szCs w:val="21"/>
                <w:highlight w:val="none"/>
                <w:lang w:val="en-US" w:eastAsia="zh-CN"/>
              </w:rPr>
              <w:t>1008t/a</w:t>
            </w:r>
          </w:p>
        </w:tc>
        <w:tc>
          <w:tcPr>
            <w:tcW w:w="1242" w:type="dxa"/>
            <w:vAlign w:val="center"/>
          </w:tcPr>
          <w:p w14:paraId="226235AA">
            <w:pPr>
              <w:jc w:val="center"/>
              <w:rPr>
                <w:rFonts w:hint="default" w:eastAsia="宋体"/>
                <w:b/>
                <w:bCs/>
                <w:snapToGrid w:val="0"/>
                <w:kern w:val="21"/>
                <w:sz w:val="21"/>
                <w:szCs w:val="21"/>
                <w:highlight w:val="yellow"/>
                <w:lang w:val="en-US" w:eastAsia="zh-CN"/>
              </w:rPr>
            </w:pPr>
            <w:r>
              <w:rPr>
                <w:rFonts w:hint="eastAsia" w:eastAsia="宋体"/>
                <w:snapToGrid w:val="0"/>
                <w:kern w:val="21"/>
                <w:sz w:val="21"/>
                <w:szCs w:val="21"/>
                <w:highlight w:val="none"/>
                <w:lang w:val="en-US" w:eastAsia="zh-CN"/>
              </w:rPr>
              <w:t>1008t/a</w:t>
            </w:r>
          </w:p>
        </w:tc>
      </w:tr>
      <w:tr w14:paraId="07CE8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258216F2">
            <w:pPr>
              <w:spacing w:beforeLines="0" w:afterLines="0" w:line="240" w:lineRule="auto"/>
              <w:jc w:val="center"/>
              <w:rPr>
                <w:rFonts w:hint="eastAsia" w:ascii="Times New Roman" w:hAnsi="Times New Roman" w:eastAsia="宋体" w:cs="Times New Roman"/>
                <w:snapToGrid w:val="0"/>
                <w:kern w:val="21"/>
                <w:sz w:val="21"/>
                <w:szCs w:val="21"/>
              </w:rPr>
            </w:pPr>
          </w:p>
        </w:tc>
        <w:tc>
          <w:tcPr>
            <w:tcW w:w="1497" w:type="dxa"/>
            <w:vAlign w:val="center"/>
          </w:tcPr>
          <w:p w14:paraId="798AA01C">
            <w:pPr>
              <w:spacing w:beforeLines="0" w:afterLines="0" w:line="240" w:lineRule="auto"/>
              <w:jc w:val="center"/>
              <w:rPr>
                <w:rFonts w:hint="eastAsia"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COD</w:t>
            </w:r>
          </w:p>
        </w:tc>
        <w:tc>
          <w:tcPr>
            <w:tcW w:w="1554" w:type="dxa"/>
            <w:vAlign w:val="center"/>
          </w:tcPr>
          <w:p w14:paraId="162B680F">
            <w:pPr>
              <w:jc w:val="center"/>
              <w:rPr>
                <w:rFonts w:ascii="Times New Roman"/>
                <w:snapToGrid w:val="0"/>
                <w:kern w:val="21"/>
                <w:sz w:val="21"/>
                <w:szCs w:val="21"/>
              </w:rPr>
            </w:pPr>
            <w:r>
              <w:rPr>
                <w:rFonts w:ascii="Times New Roman"/>
                <w:snapToGrid w:val="0"/>
                <w:kern w:val="21"/>
                <w:sz w:val="21"/>
                <w:szCs w:val="21"/>
              </w:rPr>
              <w:t>/</w:t>
            </w:r>
          </w:p>
        </w:tc>
        <w:tc>
          <w:tcPr>
            <w:tcW w:w="1250" w:type="dxa"/>
            <w:vAlign w:val="center"/>
          </w:tcPr>
          <w:p w14:paraId="67EBF4DC">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664" w:type="dxa"/>
            <w:vAlign w:val="center"/>
          </w:tcPr>
          <w:p w14:paraId="4DC71A30">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525" w:type="dxa"/>
            <w:vAlign w:val="center"/>
          </w:tcPr>
          <w:p w14:paraId="46EC4F9A">
            <w:pPr>
              <w:spacing w:beforeLines="0" w:afterLines="0" w:line="240" w:lineRule="auto"/>
              <w:jc w:val="center"/>
              <w:rPr>
                <w:rFonts w:hint="default" w:cs="Times New Roman"/>
                <w:snapToGrid w:val="0"/>
                <w:kern w:val="21"/>
                <w:sz w:val="21"/>
                <w:szCs w:val="21"/>
                <w:lang w:val="en-US" w:eastAsia="zh-CN"/>
              </w:rPr>
            </w:pPr>
            <w:r>
              <w:rPr>
                <w:rFonts w:hint="eastAsia" w:cs="Times New Roman"/>
                <w:snapToGrid w:val="0"/>
                <w:kern w:val="21"/>
                <w:sz w:val="21"/>
                <w:szCs w:val="21"/>
                <w:lang w:val="en-US" w:eastAsia="zh-CN"/>
              </w:rPr>
              <w:t>0.257t/a</w:t>
            </w:r>
          </w:p>
        </w:tc>
        <w:tc>
          <w:tcPr>
            <w:tcW w:w="1578" w:type="dxa"/>
            <w:vAlign w:val="center"/>
          </w:tcPr>
          <w:p w14:paraId="41050BEA">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629" w:type="dxa"/>
            <w:vAlign w:val="center"/>
          </w:tcPr>
          <w:p w14:paraId="74396348">
            <w:pPr>
              <w:spacing w:beforeLines="0" w:afterLines="0" w:line="240" w:lineRule="auto"/>
              <w:jc w:val="center"/>
              <w:rPr>
                <w:rFonts w:hint="eastAsia"/>
                <w:bCs/>
                <w:sz w:val="21"/>
                <w:szCs w:val="21"/>
                <w:lang w:val="en-US" w:eastAsia="zh-CN"/>
              </w:rPr>
            </w:pPr>
            <w:r>
              <w:rPr>
                <w:rFonts w:hint="eastAsia" w:cs="Times New Roman"/>
                <w:snapToGrid w:val="0"/>
                <w:kern w:val="21"/>
                <w:sz w:val="21"/>
                <w:szCs w:val="21"/>
                <w:lang w:val="en-US" w:eastAsia="zh-CN"/>
              </w:rPr>
              <w:t>0.257t/a</w:t>
            </w:r>
          </w:p>
        </w:tc>
        <w:tc>
          <w:tcPr>
            <w:tcW w:w="1242" w:type="dxa"/>
            <w:vAlign w:val="center"/>
          </w:tcPr>
          <w:p w14:paraId="001AC4D5">
            <w:pPr>
              <w:spacing w:beforeLines="0" w:afterLines="0" w:line="240" w:lineRule="auto"/>
              <w:jc w:val="center"/>
              <w:rPr>
                <w:rFonts w:hint="eastAsia"/>
                <w:bCs/>
                <w:sz w:val="21"/>
                <w:szCs w:val="21"/>
                <w:lang w:val="en-US" w:eastAsia="zh-CN"/>
              </w:rPr>
            </w:pPr>
            <w:r>
              <w:rPr>
                <w:rFonts w:hint="eastAsia" w:cs="Times New Roman"/>
                <w:snapToGrid w:val="0"/>
                <w:kern w:val="21"/>
                <w:sz w:val="21"/>
                <w:szCs w:val="21"/>
                <w:lang w:val="en-US" w:eastAsia="zh-CN"/>
              </w:rPr>
              <w:t>0.257t/a</w:t>
            </w:r>
          </w:p>
        </w:tc>
      </w:tr>
      <w:tr w14:paraId="03DAF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4865C589">
            <w:pPr>
              <w:spacing w:beforeLines="0" w:afterLines="0" w:line="240" w:lineRule="auto"/>
              <w:jc w:val="center"/>
              <w:rPr>
                <w:rFonts w:hint="eastAsia" w:ascii="Times New Roman" w:hAnsi="Times New Roman" w:eastAsia="宋体" w:cs="Times New Roman"/>
                <w:snapToGrid w:val="0"/>
                <w:kern w:val="21"/>
                <w:sz w:val="21"/>
                <w:szCs w:val="21"/>
              </w:rPr>
            </w:pPr>
          </w:p>
        </w:tc>
        <w:tc>
          <w:tcPr>
            <w:tcW w:w="1497" w:type="dxa"/>
            <w:vAlign w:val="center"/>
          </w:tcPr>
          <w:p w14:paraId="5008D782">
            <w:pPr>
              <w:spacing w:beforeLines="0" w:afterLines="0" w:line="240" w:lineRule="auto"/>
              <w:jc w:val="center"/>
              <w:rPr>
                <w:rFonts w:hint="eastAsia" w:ascii="Times New Roman" w:hAnsi="Times New Roman" w:eastAsia="宋体" w:cs="Times New Roman"/>
                <w:snapToGrid w:val="0"/>
                <w:kern w:val="21"/>
                <w:sz w:val="21"/>
                <w:szCs w:val="21"/>
                <w:lang w:val="en-US" w:eastAsia="zh-CN"/>
              </w:rPr>
            </w:pPr>
            <w:r>
              <w:rPr>
                <w:rFonts w:hint="eastAsia" w:ascii="Times New Roman" w:hAnsi="Times New Roman" w:eastAsia="宋体" w:cs="Times New Roman"/>
                <w:snapToGrid w:val="0"/>
                <w:kern w:val="21"/>
                <w:sz w:val="21"/>
                <w:szCs w:val="21"/>
                <w:lang w:val="en-US" w:eastAsia="zh-CN"/>
              </w:rPr>
              <w:t>NH</w:t>
            </w:r>
            <w:r>
              <w:rPr>
                <w:rFonts w:hint="eastAsia" w:ascii="Times New Roman" w:hAnsi="Times New Roman" w:eastAsia="宋体" w:cs="Times New Roman"/>
                <w:snapToGrid w:val="0"/>
                <w:kern w:val="21"/>
                <w:sz w:val="21"/>
                <w:szCs w:val="21"/>
                <w:vertAlign w:val="subscript"/>
                <w:lang w:val="en-US" w:eastAsia="zh-CN"/>
              </w:rPr>
              <w:t>3</w:t>
            </w:r>
            <w:r>
              <w:rPr>
                <w:rFonts w:hint="eastAsia" w:ascii="Times New Roman" w:hAnsi="Times New Roman" w:eastAsia="宋体" w:cs="Times New Roman"/>
                <w:snapToGrid w:val="0"/>
                <w:kern w:val="21"/>
                <w:sz w:val="21"/>
                <w:szCs w:val="21"/>
                <w:lang w:val="en-US" w:eastAsia="zh-CN"/>
              </w:rPr>
              <w:t>-N</w:t>
            </w:r>
          </w:p>
        </w:tc>
        <w:tc>
          <w:tcPr>
            <w:tcW w:w="1554" w:type="dxa"/>
            <w:vAlign w:val="center"/>
          </w:tcPr>
          <w:p w14:paraId="7B355340">
            <w:pPr>
              <w:jc w:val="center"/>
              <w:rPr>
                <w:rFonts w:hint="eastAsia" w:ascii="Times New Roman" w:hAnsi="Times New Roman" w:eastAsia="宋体" w:cs="Times New Roman"/>
                <w:snapToGrid w:val="0"/>
                <w:kern w:val="21"/>
                <w:sz w:val="21"/>
                <w:szCs w:val="21"/>
              </w:rPr>
            </w:pPr>
            <w:r>
              <w:rPr>
                <w:rFonts w:ascii="Times New Roman"/>
                <w:snapToGrid w:val="0"/>
                <w:kern w:val="21"/>
                <w:sz w:val="21"/>
                <w:szCs w:val="21"/>
              </w:rPr>
              <w:t>/</w:t>
            </w:r>
          </w:p>
        </w:tc>
        <w:tc>
          <w:tcPr>
            <w:tcW w:w="1250" w:type="dxa"/>
            <w:vAlign w:val="center"/>
          </w:tcPr>
          <w:p w14:paraId="2804DBEB">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664" w:type="dxa"/>
            <w:vAlign w:val="center"/>
          </w:tcPr>
          <w:p w14:paraId="0E68818D">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525" w:type="dxa"/>
            <w:vAlign w:val="center"/>
          </w:tcPr>
          <w:p w14:paraId="020FE446">
            <w:pPr>
              <w:spacing w:beforeLines="0" w:afterLines="0" w:line="240" w:lineRule="auto"/>
              <w:jc w:val="center"/>
              <w:rPr>
                <w:rFonts w:hint="default" w:eastAsia="宋体"/>
                <w:snapToGrid w:val="0"/>
                <w:kern w:val="21"/>
                <w:sz w:val="21"/>
                <w:szCs w:val="21"/>
                <w:highlight w:val="none"/>
                <w:lang w:val="en-US" w:eastAsia="zh-CN"/>
              </w:rPr>
            </w:pPr>
            <w:r>
              <w:rPr>
                <w:rFonts w:hint="eastAsia" w:eastAsia="宋体"/>
                <w:snapToGrid w:val="0"/>
                <w:kern w:val="21"/>
                <w:sz w:val="21"/>
                <w:szCs w:val="21"/>
                <w:highlight w:val="none"/>
                <w:lang w:val="en-US" w:eastAsia="zh-CN"/>
              </w:rPr>
              <w:t>0.024</w:t>
            </w:r>
            <w:r>
              <w:rPr>
                <w:rFonts w:hint="eastAsia" w:cs="Times New Roman"/>
                <w:snapToGrid w:val="0"/>
                <w:kern w:val="21"/>
                <w:sz w:val="21"/>
                <w:szCs w:val="21"/>
                <w:highlight w:val="none"/>
                <w:lang w:val="en-US" w:eastAsia="zh-CN"/>
              </w:rPr>
              <w:t>t/a</w:t>
            </w:r>
          </w:p>
        </w:tc>
        <w:tc>
          <w:tcPr>
            <w:tcW w:w="1578" w:type="dxa"/>
            <w:vAlign w:val="center"/>
          </w:tcPr>
          <w:p w14:paraId="61EDF020">
            <w:pPr>
              <w:spacing w:beforeLines="0" w:afterLines="0" w:line="240" w:lineRule="auto"/>
              <w:jc w:val="center"/>
              <w:rPr>
                <w:rFonts w:hint="eastAsia" w:ascii="Times New Roman" w:hAnsi="Times New Roman" w:eastAsia="宋体" w:cs="Times New Roman"/>
                <w:snapToGrid w:val="0"/>
                <w:kern w:val="21"/>
                <w:sz w:val="21"/>
                <w:szCs w:val="21"/>
              </w:rPr>
            </w:pPr>
            <w:r>
              <w:rPr>
                <w:rFonts w:hint="eastAsia" w:ascii="Times New Roman" w:hAnsi="Times New Roman" w:eastAsia="宋体" w:cs="Times New Roman"/>
                <w:snapToGrid w:val="0"/>
                <w:kern w:val="21"/>
                <w:sz w:val="21"/>
                <w:szCs w:val="21"/>
              </w:rPr>
              <w:t>/</w:t>
            </w:r>
          </w:p>
        </w:tc>
        <w:tc>
          <w:tcPr>
            <w:tcW w:w="1629" w:type="dxa"/>
            <w:vAlign w:val="center"/>
          </w:tcPr>
          <w:p w14:paraId="498E8C1E">
            <w:pPr>
              <w:spacing w:beforeLines="0" w:afterLines="0" w:line="240" w:lineRule="auto"/>
              <w:jc w:val="center"/>
              <w:rPr>
                <w:snapToGrid w:val="0"/>
                <w:kern w:val="21"/>
                <w:sz w:val="21"/>
                <w:szCs w:val="21"/>
                <w:highlight w:val="yellow"/>
              </w:rPr>
            </w:pPr>
            <w:r>
              <w:rPr>
                <w:rFonts w:hint="eastAsia" w:eastAsia="宋体"/>
                <w:snapToGrid w:val="0"/>
                <w:kern w:val="21"/>
                <w:sz w:val="21"/>
                <w:szCs w:val="21"/>
                <w:highlight w:val="none"/>
                <w:lang w:val="en-US" w:eastAsia="zh-CN"/>
              </w:rPr>
              <w:t>0.024</w:t>
            </w:r>
            <w:r>
              <w:rPr>
                <w:rFonts w:hint="eastAsia" w:cs="Times New Roman"/>
                <w:snapToGrid w:val="0"/>
                <w:kern w:val="21"/>
                <w:sz w:val="21"/>
                <w:szCs w:val="21"/>
                <w:highlight w:val="none"/>
                <w:lang w:val="en-US" w:eastAsia="zh-CN"/>
              </w:rPr>
              <w:t>t/a</w:t>
            </w:r>
          </w:p>
        </w:tc>
        <w:tc>
          <w:tcPr>
            <w:tcW w:w="1242" w:type="dxa"/>
            <w:vAlign w:val="center"/>
          </w:tcPr>
          <w:p w14:paraId="0C5550D6">
            <w:pPr>
              <w:spacing w:beforeLines="0" w:afterLines="0" w:line="240" w:lineRule="auto"/>
              <w:jc w:val="center"/>
              <w:rPr>
                <w:b/>
                <w:bCs/>
                <w:snapToGrid w:val="0"/>
                <w:kern w:val="21"/>
                <w:sz w:val="21"/>
                <w:szCs w:val="21"/>
                <w:highlight w:val="yellow"/>
              </w:rPr>
            </w:pPr>
            <w:r>
              <w:rPr>
                <w:rFonts w:hint="eastAsia" w:eastAsia="宋体"/>
                <w:snapToGrid w:val="0"/>
                <w:kern w:val="21"/>
                <w:sz w:val="21"/>
                <w:szCs w:val="21"/>
                <w:highlight w:val="none"/>
                <w:lang w:val="en-US" w:eastAsia="zh-CN"/>
              </w:rPr>
              <w:t>0.024</w:t>
            </w:r>
            <w:r>
              <w:rPr>
                <w:rFonts w:hint="eastAsia" w:cs="Times New Roman"/>
                <w:snapToGrid w:val="0"/>
                <w:kern w:val="21"/>
                <w:sz w:val="21"/>
                <w:szCs w:val="21"/>
                <w:highlight w:val="none"/>
                <w:lang w:val="en-US" w:eastAsia="zh-CN"/>
              </w:rPr>
              <w:t>t/a</w:t>
            </w:r>
          </w:p>
        </w:tc>
      </w:tr>
      <w:tr w14:paraId="0D880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22FB93CD">
            <w:pPr>
              <w:spacing w:beforeLines="0" w:afterLines="0" w:line="240" w:lineRule="auto"/>
              <w:jc w:val="center"/>
              <w:rPr>
                <w:rFonts w:hAnsi="宋体" w:cs="宋体"/>
                <w:snapToGrid w:val="0"/>
                <w:kern w:val="21"/>
                <w:sz w:val="21"/>
                <w:szCs w:val="21"/>
              </w:rPr>
            </w:pPr>
            <w:r>
              <w:rPr>
                <w:rFonts w:hint="eastAsia" w:hAnsi="宋体" w:cs="宋体"/>
                <w:snapToGrid w:val="0"/>
                <w:kern w:val="21"/>
                <w:sz w:val="21"/>
                <w:szCs w:val="21"/>
              </w:rPr>
              <w:t>一般工业</w:t>
            </w:r>
          </w:p>
          <w:p w14:paraId="0CFE0705">
            <w:pPr>
              <w:spacing w:beforeLines="0" w:afterLines="0" w:line="240" w:lineRule="auto"/>
              <w:jc w:val="center"/>
              <w:rPr>
                <w:rFonts w:hAnsi="宋体" w:cs="宋体"/>
                <w:snapToGrid w:val="0"/>
                <w:kern w:val="21"/>
                <w:sz w:val="21"/>
                <w:szCs w:val="21"/>
              </w:rPr>
            </w:pPr>
            <w:r>
              <w:rPr>
                <w:rFonts w:hint="eastAsia" w:hAnsi="宋体" w:cs="宋体"/>
                <w:snapToGrid w:val="0"/>
                <w:kern w:val="21"/>
                <w:sz w:val="21"/>
                <w:szCs w:val="21"/>
              </w:rPr>
              <w:t>固体废物</w:t>
            </w:r>
          </w:p>
        </w:tc>
        <w:tc>
          <w:tcPr>
            <w:tcW w:w="1497" w:type="dxa"/>
            <w:vAlign w:val="center"/>
          </w:tcPr>
          <w:p w14:paraId="21D1F323">
            <w:pPr>
              <w:jc w:val="center"/>
              <w:outlineLvl w:val="0"/>
              <w:rPr>
                <w:rFonts w:hint="eastAsia" w:ascii="Times New Roman" w:hAnsi="宋体" w:eastAsia="宋体" w:cs="宋体"/>
                <w:snapToGrid w:val="0"/>
                <w:kern w:val="21"/>
                <w:sz w:val="21"/>
                <w:szCs w:val="21"/>
                <w:lang w:val="en-US" w:eastAsia="zh-CN" w:bidi="ar-SA"/>
              </w:rPr>
            </w:pPr>
            <w:r>
              <w:rPr>
                <w:rFonts w:hint="eastAsia" w:eastAsia="宋体"/>
                <w:sz w:val="21"/>
                <w:szCs w:val="21"/>
                <w:lang w:val="en-US" w:eastAsia="zh-CN"/>
              </w:rPr>
              <w:t>废边角料</w:t>
            </w:r>
          </w:p>
        </w:tc>
        <w:tc>
          <w:tcPr>
            <w:tcW w:w="1554" w:type="dxa"/>
            <w:vAlign w:val="center"/>
          </w:tcPr>
          <w:p w14:paraId="2E555608">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5A333D5D">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664" w:type="dxa"/>
            <w:vAlign w:val="center"/>
          </w:tcPr>
          <w:p w14:paraId="7CC27331">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525" w:type="dxa"/>
            <w:vAlign w:val="center"/>
          </w:tcPr>
          <w:p w14:paraId="534182B1">
            <w:pPr>
              <w:jc w:val="center"/>
              <w:rPr>
                <w:color w:val="000000"/>
                <w:sz w:val="21"/>
                <w:szCs w:val="21"/>
              </w:rPr>
            </w:pPr>
            <w:r>
              <w:rPr>
                <w:rFonts w:hint="eastAsia"/>
                <w:sz w:val="21"/>
                <w:szCs w:val="21"/>
                <w:lang w:val="en-US" w:eastAsia="zh-CN" w:bidi="ar"/>
              </w:rPr>
              <w:t>1.5</w:t>
            </w:r>
            <w:r>
              <w:rPr>
                <w:rFonts w:hint="eastAsia" w:cs="Times New Roman"/>
                <w:snapToGrid w:val="0"/>
                <w:kern w:val="21"/>
                <w:sz w:val="21"/>
                <w:szCs w:val="21"/>
                <w:highlight w:val="none"/>
                <w:lang w:val="en-US" w:eastAsia="zh-CN"/>
              </w:rPr>
              <w:t>t/a</w:t>
            </w:r>
          </w:p>
        </w:tc>
        <w:tc>
          <w:tcPr>
            <w:tcW w:w="1578" w:type="dxa"/>
            <w:vAlign w:val="center"/>
          </w:tcPr>
          <w:p w14:paraId="4BA56BBE">
            <w:pPr>
              <w:jc w:val="center"/>
              <w:rPr>
                <w:rFonts w:hAnsi="宋体" w:cs="宋体"/>
                <w:snapToGrid w:val="0"/>
                <w:kern w:val="21"/>
                <w:sz w:val="21"/>
                <w:szCs w:val="21"/>
              </w:rPr>
            </w:pPr>
            <w:r>
              <w:rPr>
                <w:snapToGrid w:val="0"/>
                <w:kern w:val="21"/>
                <w:sz w:val="21"/>
                <w:szCs w:val="21"/>
              </w:rPr>
              <w:t>/</w:t>
            </w:r>
          </w:p>
        </w:tc>
        <w:tc>
          <w:tcPr>
            <w:tcW w:w="1629" w:type="dxa"/>
            <w:vAlign w:val="center"/>
          </w:tcPr>
          <w:p w14:paraId="0A146DFD">
            <w:pPr>
              <w:jc w:val="center"/>
              <w:rPr>
                <w:rFonts w:hAnsi="宋体" w:cs="宋体"/>
                <w:snapToGrid w:val="0"/>
                <w:kern w:val="21"/>
                <w:sz w:val="21"/>
                <w:szCs w:val="21"/>
              </w:rPr>
            </w:pPr>
            <w:r>
              <w:rPr>
                <w:rFonts w:hint="eastAsia"/>
                <w:sz w:val="21"/>
                <w:szCs w:val="21"/>
                <w:lang w:val="en-US" w:eastAsia="zh-CN" w:bidi="ar"/>
              </w:rPr>
              <w:t>1.5</w:t>
            </w:r>
            <w:r>
              <w:rPr>
                <w:rFonts w:hint="eastAsia" w:cs="Times New Roman"/>
                <w:snapToGrid w:val="0"/>
                <w:kern w:val="21"/>
                <w:sz w:val="21"/>
                <w:szCs w:val="21"/>
                <w:highlight w:val="none"/>
                <w:lang w:val="en-US" w:eastAsia="zh-CN"/>
              </w:rPr>
              <w:t>t/a</w:t>
            </w:r>
          </w:p>
        </w:tc>
        <w:tc>
          <w:tcPr>
            <w:tcW w:w="1242" w:type="dxa"/>
            <w:vAlign w:val="center"/>
          </w:tcPr>
          <w:p w14:paraId="014A9023">
            <w:pPr>
              <w:jc w:val="center"/>
              <w:rPr>
                <w:rFonts w:hint="eastAsia" w:hAnsi="宋体" w:eastAsia="宋体" w:cs="宋体"/>
                <w:snapToGrid w:val="0"/>
                <w:kern w:val="21"/>
                <w:sz w:val="21"/>
                <w:szCs w:val="21"/>
                <w:lang w:val="en-US" w:eastAsia="zh-CN"/>
              </w:rPr>
            </w:pPr>
            <w:r>
              <w:rPr>
                <w:rFonts w:hint="eastAsia"/>
                <w:sz w:val="21"/>
                <w:szCs w:val="21"/>
                <w:lang w:val="en-US" w:eastAsia="zh-CN" w:bidi="ar"/>
              </w:rPr>
              <w:t>1.5</w:t>
            </w:r>
            <w:r>
              <w:rPr>
                <w:rFonts w:hint="eastAsia" w:cs="Times New Roman"/>
                <w:snapToGrid w:val="0"/>
                <w:kern w:val="21"/>
                <w:sz w:val="21"/>
                <w:szCs w:val="21"/>
                <w:highlight w:val="none"/>
                <w:lang w:val="en-US" w:eastAsia="zh-CN"/>
              </w:rPr>
              <w:t>t/a</w:t>
            </w:r>
          </w:p>
        </w:tc>
      </w:tr>
      <w:tr w14:paraId="4D5B2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2044D91A">
            <w:pPr>
              <w:spacing w:beforeLines="0" w:afterLines="0" w:line="240" w:lineRule="auto"/>
              <w:jc w:val="center"/>
              <w:rPr>
                <w:rFonts w:hAnsi="宋体" w:cs="宋体"/>
                <w:snapToGrid w:val="0"/>
                <w:kern w:val="21"/>
                <w:sz w:val="21"/>
                <w:szCs w:val="21"/>
              </w:rPr>
            </w:pPr>
          </w:p>
        </w:tc>
        <w:tc>
          <w:tcPr>
            <w:tcW w:w="1497" w:type="dxa"/>
            <w:vAlign w:val="center"/>
          </w:tcPr>
          <w:p w14:paraId="6288C2BF">
            <w:pPr>
              <w:jc w:val="center"/>
              <w:outlineLvl w:val="0"/>
              <w:rPr>
                <w:rFonts w:hint="eastAsia" w:ascii="Times New Roman" w:hAnsi="宋体" w:eastAsia="宋体" w:cs="宋体"/>
                <w:snapToGrid w:val="0"/>
                <w:kern w:val="21"/>
                <w:sz w:val="21"/>
                <w:szCs w:val="21"/>
                <w:lang w:val="en-US" w:eastAsia="zh-CN" w:bidi="ar-SA"/>
              </w:rPr>
            </w:pPr>
            <w:r>
              <w:rPr>
                <w:rFonts w:hint="eastAsia"/>
                <w:sz w:val="21"/>
                <w:szCs w:val="21"/>
                <w:lang w:val="en-US" w:eastAsia="zh-CN"/>
              </w:rPr>
              <w:t>焊渣</w:t>
            </w:r>
          </w:p>
        </w:tc>
        <w:tc>
          <w:tcPr>
            <w:tcW w:w="1554" w:type="dxa"/>
            <w:vAlign w:val="center"/>
          </w:tcPr>
          <w:p w14:paraId="2CC2DE76">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54127F79">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664" w:type="dxa"/>
            <w:vAlign w:val="center"/>
          </w:tcPr>
          <w:p w14:paraId="32B2C9C3">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525" w:type="dxa"/>
            <w:vAlign w:val="center"/>
          </w:tcPr>
          <w:p w14:paraId="78988D7C">
            <w:pPr>
              <w:jc w:val="center"/>
              <w:rPr>
                <w:color w:val="000000"/>
                <w:sz w:val="21"/>
                <w:szCs w:val="21"/>
              </w:rPr>
            </w:pPr>
            <w:r>
              <w:rPr>
                <w:rFonts w:hint="eastAsia"/>
                <w:sz w:val="21"/>
                <w:szCs w:val="21"/>
                <w:lang w:val="en-US" w:eastAsia="zh-CN" w:bidi="ar"/>
              </w:rPr>
              <w:t>0.655</w:t>
            </w:r>
            <w:r>
              <w:rPr>
                <w:rFonts w:hint="eastAsia" w:cs="Times New Roman"/>
                <w:snapToGrid w:val="0"/>
                <w:kern w:val="21"/>
                <w:sz w:val="21"/>
                <w:szCs w:val="21"/>
                <w:highlight w:val="none"/>
                <w:lang w:val="en-US" w:eastAsia="zh-CN"/>
              </w:rPr>
              <w:t>t/a</w:t>
            </w:r>
          </w:p>
        </w:tc>
        <w:tc>
          <w:tcPr>
            <w:tcW w:w="1578" w:type="dxa"/>
            <w:vAlign w:val="center"/>
          </w:tcPr>
          <w:p w14:paraId="4F17283C">
            <w:pPr>
              <w:jc w:val="center"/>
              <w:rPr>
                <w:rFonts w:hAnsi="宋体" w:cs="宋体"/>
                <w:snapToGrid w:val="0"/>
                <w:kern w:val="21"/>
                <w:sz w:val="21"/>
                <w:szCs w:val="21"/>
              </w:rPr>
            </w:pPr>
            <w:r>
              <w:rPr>
                <w:snapToGrid w:val="0"/>
                <w:kern w:val="21"/>
                <w:sz w:val="21"/>
                <w:szCs w:val="21"/>
              </w:rPr>
              <w:t>/</w:t>
            </w:r>
          </w:p>
        </w:tc>
        <w:tc>
          <w:tcPr>
            <w:tcW w:w="1629" w:type="dxa"/>
            <w:vAlign w:val="center"/>
          </w:tcPr>
          <w:p w14:paraId="1342CE84">
            <w:pPr>
              <w:jc w:val="center"/>
              <w:rPr>
                <w:rFonts w:hAnsi="宋体" w:cs="宋体"/>
                <w:snapToGrid w:val="0"/>
                <w:kern w:val="21"/>
                <w:sz w:val="21"/>
                <w:szCs w:val="21"/>
              </w:rPr>
            </w:pPr>
            <w:r>
              <w:rPr>
                <w:rFonts w:hint="eastAsia"/>
                <w:sz w:val="21"/>
                <w:szCs w:val="21"/>
                <w:lang w:val="en-US" w:eastAsia="zh-CN" w:bidi="ar"/>
              </w:rPr>
              <w:t>0.655</w:t>
            </w:r>
            <w:r>
              <w:rPr>
                <w:rFonts w:hint="eastAsia" w:cs="Times New Roman"/>
                <w:snapToGrid w:val="0"/>
                <w:kern w:val="21"/>
                <w:sz w:val="21"/>
                <w:szCs w:val="21"/>
                <w:highlight w:val="none"/>
                <w:lang w:val="en-US" w:eastAsia="zh-CN"/>
              </w:rPr>
              <w:t>t/a</w:t>
            </w:r>
          </w:p>
        </w:tc>
        <w:tc>
          <w:tcPr>
            <w:tcW w:w="1242" w:type="dxa"/>
            <w:vAlign w:val="center"/>
          </w:tcPr>
          <w:p w14:paraId="51CF51C1">
            <w:pPr>
              <w:jc w:val="center"/>
              <w:rPr>
                <w:rFonts w:hint="eastAsia" w:hAnsi="宋体" w:eastAsia="宋体" w:cs="宋体"/>
                <w:snapToGrid w:val="0"/>
                <w:kern w:val="21"/>
                <w:sz w:val="21"/>
                <w:szCs w:val="21"/>
                <w:lang w:val="en-US" w:eastAsia="zh-CN"/>
              </w:rPr>
            </w:pPr>
            <w:r>
              <w:rPr>
                <w:rFonts w:hint="eastAsia"/>
                <w:sz w:val="21"/>
                <w:szCs w:val="21"/>
                <w:lang w:val="en-US" w:eastAsia="zh-CN" w:bidi="ar"/>
              </w:rPr>
              <w:t>0.655</w:t>
            </w:r>
            <w:r>
              <w:rPr>
                <w:rFonts w:hint="eastAsia" w:cs="Times New Roman"/>
                <w:snapToGrid w:val="0"/>
                <w:kern w:val="21"/>
                <w:sz w:val="21"/>
                <w:szCs w:val="21"/>
                <w:highlight w:val="none"/>
                <w:lang w:val="en-US" w:eastAsia="zh-CN"/>
              </w:rPr>
              <w:t>t/a</w:t>
            </w:r>
          </w:p>
        </w:tc>
      </w:tr>
      <w:tr w14:paraId="07D3E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3B073422">
            <w:pPr>
              <w:spacing w:beforeLines="0" w:afterLines="0" w:line="240" w:lineRule="auto"/>
              <w:jc w:val="center"/>
              <w:rPr>
                <w:rFonts w:hAnsi="宋体" w:cs="宋体"/>
                <w:snapToGrid w:val="0"/>
                <w:kern w:val="21"/>
                <w:sz w:val="21"/>
                <w:szCs w:val="21"/>
              </w:rPr>
            </w:pPr>
          </w:p>
        </w:tc>
        <w:tc>
          <w:tcPr>
            <w:tcW w:w="1497" w:type="dxa"/>
            <w:vAlign w:val="center"/>
          </w:tcPr>
          <w:p w14:paraId="0EB76001">
            <w:pPr>
              <w:jc w:val="center"/>
              <w:outlineLvl w:val="0"/>
              <w:rPr>
                <w:rFonts w:hint="eastAsia" w:ascii="Times New Roman" w:hAnsi="宋体" w:eastAsia="宋体" w:cs="宋体"/>
                <w:snapToGrid w:val="0"/>
                <w:kern w:val="21"/>
                <w:sz w:val="21"/>
                <w:szCs w:val="21"/>
                <w:lang w:val="en-US" w:eastAsia="zh-CN" w:bidi="ar-SA"/>
              </w:rPr>
            </w:pPr>
            <w:r>
              <w:rPr>
                <w:rFonts w:hint="eastAsia"/>
                <w:sz w:val="21"/>
                <w:szCs w:val="21"/>
                <w:lang w:val="en-US" w:eastAsia="zh-CN"/>
              </w:rPr>
              <w:t>金属沉渣</w:t>
            </w:r>
          </w:p>
        </w:tc>
        <w:tc>
          <w:tcPr>
            <w:tcW w:w="1554" w:type="dxa"/>
            <w:vAlign w:val="center"/>
          </w:tcPr>
          <w:p w14:paraId="57951AEF">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123A85FA">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664" w:type="dxa"/>
            <w:vAlign w:val="center"/>
          </w:tcPr>
          <w:p w14:paraId="0E783EA1">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525" w:type="dxa"/>
            <w:vAlign w:val="center"/>
          </w:tcPr>
          <w:p w14:paraId="5B0D994A">
            <w:pPr>
              <w:jc w:val="center"/>
              <w:rPr>
                <w:rFonts w:hAnsi="宋体" w:cs="宋体"/>
                <w:snapToGrid w:val="0"/>
                <w:kern w:val="21"/>
                <w:sz w:val="21"/>
                <w:szCs w:val="21"/>
              </w:rPr>
            </w:pPr>
            <w:r>
              <w:rPr>
                <w:rFonts w:hint="eastAsia"/>
                <w:sz w:val="21"/>
                <w:szCs w:val="21"/>
                <w:lang w:val="en-US" w:eastAsia="zh-CN" w:bidi="ar"/>
              </w:rPr>
              <w:t>3.555</w:t>
            </w:r>
            <w:r>
              <w:rPr>
                <w:rFonts w:hint="eastAsia" w:cs="Times New Roman"/>
                <w:snapToGrid w:val="0"/>
                <w:kern w:val="21"/>
                <w:sz w:val="21"/>
                <w:szCs w:val="21"/>
                <w:highlight w:val="none"/>
                <w:lang w:val="en-US" w:eastAsia="zh-CN"/>
              </w:rPr>
              <w:t>t/a</w:t>
            </w:r>
          </w:p>
        </w:tc>
        <w:tc>
          <w:tcPr>
            <w:tcW w:w="1578" w:type="dxa"/>
            <w:vAlign w:val="center"/>
          </w:tcPr>
          <w:p w14:paraId="170915FE">
            <w:pPr>
              <w:jc w:val="center"/>
              <w:rPr>
                <w:rFonts w:hAnsi="宋体" w:cs="宋体"/>
                <w:snapToGrid w:val="0"/>
                <w:kern w:val="21"/>
                <w:sz w:val="21"/>
                <w:szCs w:val="21"/>
              </w:rPr>
            </w:pPr>
            <w:r>
              <w:rPr>
                <w:snapToGrid w:val="0"/>
                <w:kern w:val="21"/>
                <w:sz w:val="21"/>
                <w:szCs w:val="21"/>
              </w:rPr>
              <w:t>/</w:t>
            </w:r>
          </w:p>
        </w:tc>
        <w:tc>
          <w:tcPr>
            <w:tcW w:w="1629" w:type="dxa"/>
            <w:vAlign w:val="center"/>
          </w:tcPr>
          <w:p w14:paraId="3567A38C">
            <w:pPr>
              <w:jc w:val="center"/>
              <w:rPr>
                <w:rFonts w:hAnsi="宋体" w:cs="宋体"/>
                <w:snapToGrid w:val="0"/>
                <w:kern w:val="21"/>
                <w:sz w:val="21"/>
                <w:szCs w:val="21"/>
              </w:rPr>
            </w:pPr>
            <w:r>
              <w:rPr>
                <w:rFonts w:hint="eastAsia"/>
                <w:sz w:val="21"/>
                <w:szCs w:val="21"/>
                <w:lang w:val="en-US" w:eastAsia="zh-CN" w:bidi="ar"/>
              </w:rPr>
              <w:t>3.555</w:t>
            </w:r>
            <w:r>
              <w:rPr>
                <w:rFonts w:hint="eastAsia" w:cs="Times New Roman"/>
                <w:snapToGrid w:val="0"/>
                <w:kern w:val="21"/>
                <w:sz w:val="21"/>
                <w:szCs w:val="21"/>
                <w:highlight w:val="none"/>
                <w:lang w:val="en-US" w:eastAsia="zh-CN"/>
              </w:rPr>
              <w:t>t/a</w:t>
            </w:r>
          </w:p>
        </w:tc>
        <w:tc>
          <w:tcPr>
            <w:tcW w:w="1242" w:type="dxa"/>
            <w:vAlign w:val="center"/>
          </w:tcPr>
          <w:p w14:paraId="30604740">
            <w:pPr>
              <w:jc w:val="center"/>
              <w:rPr>
                <w:rFonts w:hint="eastAsia" w:hAnsi="宋体" w:eastAsia="宋体" w:cs="宋体"/>
                <w:snapToGrid w:val="0"/>
                <w:kern w:val="21"/>
                <w:sz w:val="21"/>
                <w:szCs w:val="21"/>
                <w:lang w:val="en-US" w:eastAsia="zh-CN"/>
              </w:rPr>
            </w:pPr>
            <w:r>
              <w:rPr>
                <w:rFonts w:hint="eastAsia"/>
                <w:sz w:val="21"/>
                <w:szCs w:val="21"/>
                <w:lang w:val="en-US" w:eastAsia="zh-CN" w:bidi="ar"/>
              </w:rPr>
              <w:t>3.555</w:t>
            </w:r>
            <w:r>
              <w:rPr>
                <w:rFonts w:hint="eastAsia" w:cs="Times New Roman"/>
                <w:snapToGrid w:val="0"/>
                <w:kern w:val="21"/>
                <w:sz w:val="21"/>
                <w:szCs w:val="21"/>
                <w:highlight w:val="none"/>
                <w:lang w:val="en-US" w:eastAsia="zh-CN"/>
              </w:rPr>
              <w:t>t/a</w:t>
            </w:r>
          </w:p>
        </w:tc>
      </w:tr>
      <w:tr w14:paraId="71A1A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39E93A8C">
            <w:pPr>
              <w:spacing w:beforeLines="0" w:afterLines="0" w:line="240" w:lineRule="auto"/>
              <w:jc w:val="center"/>
              <w:rPr>
                <w:rFonts w:hAnsi="宋体" w:cs="宋体"/>
                <w:snapToGrid w:val="0"/>
                <w:kern w:val="21"/>
                <w:sz w:val="21"/>
                <w:szCs w:val="21"/>
              </w:rPr>
            </w:pPr>
          </w:p>
        </w:tc>
        <w:tc>
          <w:tcPr>
            <w:tcW w:w="1497" w:type="dxa"/>
            <w:vAlign w:val="center"/>
          </w:tcPr>
          <w:p w14:paraId="27D6BEDE">
            <w:pPr>
              <w:jc w:val="center"/>
              <w:outlineLvl w:val="0"/>
              <w:rPr>
                <w:rFonts w:hint="default" w:ascii="Times New Roman" w:hAnsi="宋体" w:eastAsia="宋体" w:cs="宋体"/>
                <w:snapToGrid w:val="0"/>
                <w:kern w:val="21"/>
                <w:sz w:val="21"/>
                <w:szCs w:val="21"/>
                <w:lang w:val="en-US" w:eastAsia="zh-CN" w:bidi="ar-SA"/>
              </w:rPr>
            </w:pPr>
            <w:r>
              <w:rPr>
                <w:rFonts w:hint="eastAsia" w:eastAsia="宋体"/>
                <w:sz w:val="21"/>
                <w:szCs w:val="21"/>
                <w:lang w:val="en-US" w:eastAsia="zh-CN"/>
              </w:rPr>
              <w:t>废包装材料</w:t>
            </w:r>
          </w:p>
        </w:tc>
        <w:tc>
          <w:tcPr>
            <w:tcW w:w="1554" w:type="dxa"/>
            <w:vAlign w:val="center"/>
          </w:tcPr>
          <w:p w14:paraId="4B0FCBBD">
            <w:pPr>
              <w:jc w:val="center"/>
              <w:rPr>
                <w:rFonts w:hint="eastAsia" w:ascii="Times New Roman" w:hAnsi="宋体" w:eastAsia="宋体" w:cs="宋体"/>
                <w:snapToGrid w:val="0"/>
                <w:kern w:val="21"/>
                <w:sz w:val="21"/>
                <w:szCs w:val="21"/>
                <w:lang w:val="en-US" w:eastAsia="zh-CN"/>
              </w:rPr>
            </w:pPr>
            <w:r>
              <w:rPr>
                <w:rFonts w:ascii="Times New Roman"/>
                <w:snapToGrid w:val="0"/>
                <w:kern w:val="21"/>
                <w:sz w:val="21"/>
                <w:szCs w:val="21"/>
              </w:rPr>
              <w:t>/</w:t>
            </w:r>
          </w:p>
        </w:tc>
        <w:tc>
          <w:tcPr>
            <w:tcW w:w="1250" w:type="dxa"/>
            <w:vAlign w:val="center"/>
          </w:tcPr>
          <w:p w14:paraId="777B173D">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712EF606">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2A92A7C6">
            <w:pPr>
              <w:jc w:val="center"/>
              <w:rPr>
                <w:rFonts w:hint="default"/>
                <w:bCs/>
                <w:sz w:val="21"/>
                <w:szCs w:val="21"/>
                <w:lang w:val="en-US" w:eastAsia="zh-CN"/>
              </w:rPr>
            </w:pPr>
            <w:r>
              <w:rPr>
                <w:rFonts w:hint="eastAsia"/>
                <w:sz w:val="21"/>
                <w:szCs w:val="21"/>
                <w:lang w:val="en-US" w:eastAsia="zh-CN" w:bidi="ar"/>
              </w:rPr>
              <w:t>0.25</w:t>
            </w:r>
            <w:r>
              <w:rPr>
                <w:rFonts w:hint="eastAsia" w:cs="Times New Roman"/>
                <w:snapToGrid w:val="0"/>
                <w:kern w:val="21"/>
                <w:sz w:val="21"/>
                <w:szCs w:val="21"/>
                <w:highlight w:val="none"/>
                <w:lang w:val="en-US" w:eastAsia="zh-CN"/>
              </w:rPr>
              <w:t>t/a</w:t>
            </w:r>
          </w:p>
        </w:tc>
        <w:tc>
          <w:tcPr>
            <w:tcW w:w="1578" w:type="dxa"/>
            <w:vAlign w:val="center"/>
          </w:tcPr>
          <w:p w14:paraId="0A0532D9">
            <w:pPr>
              <w:spacing w:beforeLines="0" w:afterLines="0" w:line="240" w:lineRule="auto"/>
              <w:jc w:val="center"/>
              <w:rPr>
                <w:rFonts w:ascii="Times New Roman" w:hAnsi="宋体" w:eastAsia="宋体" w:cs="宋体"/>
                <w:snapToGrid w:val="0"/>
                <w:kern w:val="21"/>
                <w:sz w:val="21"/>
                <w:szCs w:val="21"/>
                <w:lang w:val="en-US" w:eastAsia="zh-CN" w:bidi="ar-SA"/>
              </w:rPr>
            </w:pPr>
            <w:r>
              <w:rPr>
                <w:rFonts w:ascii="Times New Roman"/>
                <w:snapToGrid w:val="0"/>
                <w:kern w:val="21"/>
                <w:sz w:val="21"/>
                <w:szCs w:val="21"/>
              </w:rPr>
              <w:t>/</w:t>
            </w:r>
          </w:p>
        </w:tc>
        <w:tc>
          <w:tcPr>
            <w:tcW w:w="1629" w:type="dxa"/>
            <w:vAlign w:val="center"/>
          </w:tcPr>
          <w:p w14:paraId="5FC015E8">
            <w:pPr>
              <w:jc w:val="center"/>
              <w:rPr>
                <w:rFonts w:hint="eastAsia" w:ascii="Times New Roman" w:hAnsi="宋体" w:eastAsia="宋体" w:cs="宋体"/>
                <w:snapToGrid w:val="0"/>
                <w:kern w:val="21"/>
                <w:sz w:val="21"/>
                <w:szCs w:val="21"/>
                <w:lang w:val="en-US" w:eastAsia="zh-CN" w:bidi="ar-SA"/>
              </w:rPr>
            </w:pPr>
            <w:r>
              <w:rPr>
                <w:rFonts w:hint="eastAsia"/>
                <w:sz w:val="21"/>
                <w:szCs w:val="21"/>
                <w:lang w:val="en-US" w:eastAsia="zh-CN" w:bidi="ar"/>
              </w:rPr>
              <w:t>0.25</w:t>
            </w:r>
            <w:r>
              <w:rPr>
                <w:rFonts w:hint="eastAsia" w:cs="Times New Roman"/>
                <w:snapToGrid w:val="0"/>
                <w:kern w:val="21"/>
                <w:sz w:val="21"/>
                <w:szCs w:val="21"/>
                <w:highlight w:val="none"/>
                <w:lang w:val="en-US" w:eastAsia="zh-CN"/>
              </w:rPr>
              <w:t>t/a</w:t>
            </w:r>
          </w:p>
        </w:tc>
        <w:tc>
          <w:tcPr>
            <w:tcW w:w="1242" w:type="dxa"/>
            <w:vAlign w:val="center"/>
          </w:tcPr>
          <w:p w14:paraId="4124B749">
            <w:pPr>
              <w:jc w:val="center"/>
              <w:rPr>
                <w:rFonts w:hint="eastAsia" w:eastAsia="宋体"/>
                <w:bCs/>
                <w:sz w:val="21"/>
                <w:szCs w:val="21"/>
                <w:lang w:val="en-US" w:eastAsia="zh-CN"/>
              </w:rPr>
            </w:pPr>
            <w:r>
              <w:rPr>
                <w:rFonts w:hint="eastAsia"/>
                <w:sz w:val="21"/>
                <w:szCs w:val="21"/>
                <w:lang w:val="en-US" w:eastAsia="zh-CN" w:bidi="ar"/>
              </w:rPr>
              <w:t>0.25</w:t>
            </w:r>
            <w:r>
              <w:rPr>
                <w:rFonts w:hint="eastAsia" w:cs="Times New Roman"/>
                <w:snapToGrid w:val="0"/>
                <w:kern w:val="21"/>
                <w:sz w:val="21"/>
                <w:szCs w:val="21"/>
                <w:highlight w:val="none"/>
                <w:lang w:val="en-US" w:eastAsia="zh-CN"/>
              </w:rPr>
              <w:t>t/a</w:t>
            </w:r>
          </w:p>
        </w:tc>
      </w:tr>
      <w:tr w14:paraId="47249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01332E0F">
            <w:pPr>
              <w:spacing w:beforeLines="0" w:afterLines="0" w:line="240" w:lineRule="auto"/>
              <w:jc w:val="center"/>
              <w:rPr>
                <w:rFonts w:hAnsi="宋体" w:cs="宋体"/>
                <w:snapToGrid w:val="0"/>
                <w:kern w:val="21"/>
                <w:sz w:val="21"/>
                <w:szCs w:val="21"/>
              </w:rPr>
            </w:pPr>
          </w:p>
        </w:tc>
        <w:tc>
          <w:tcPr>
            <w:tcW w:w="1497" w:type="dxa"/>
            <w:vAlign w:val="center"/>
          </w:tcPr>
          <w:p w14:paraId="309255D3">
            <w:pPr>
              <w:jc w:val="center"/>
              <w:outlineLvl w:val="0"/>
              <w:rPr>
                <w:rFonts w:hint="eastAsia" w:hAnsi="宋体" w:cs="宋体"/>
                <w:snapToGrid w:val="0"/>
                <w:kern w:val="21"/>
                <w:sz w:val="21"/>
                <w:szCs w:val="21"/>
                <w:lang w:val="en-US" w:eastAsia="zh-CN" w:bidi="ar-SA"/>
              </w:rPr>
            </w:pPr>
            <w:r>
              <w:rPr>
                <w:rFonts w:hint="eastAsia"/>
                <w:sz w:val="21"/>
                <w:szCs w:val="21"/>
                <w:lang w:val="en-US" w:eastAsia="zh-CN"/>
              </w:rPr>
              <w:t>废料</w:t>
            </w:r>
          </w:p>
        </w:tc>
        <w:tc>
          <w:tcPr>
            <w:tcW w:w="1554" w:type="dxa"/>
            <w:vAlign w:val="center"/>
          </w:tcPr>
          <w:p w14:paraId="2C849C73">
            <w:pPr>
              <w:jc w:val="center"/>
              <w:rPr>
                <w:rFonts w:hint="eastAsia" w:hAnsi="宋体" w:cs="宋体"/>
                <w:snapToGrid w:val="0"/>
                <w:kern w:val="21"/>
                <w:sz w:val="21"/>
                <w:szCs w:val="21"/>
                <w:lang w:val="en-US" w:eastAsia="zh-CN"/>
              </w:rPr>
            </w:pPr>
            <w:r>
              <w:rPr>
                <w:rFonts w:ascii="Times New Roman"/>
                <w:snapToGrid w:val="0"/>
                <w:kern w:val="21"/>
                <w:sz w:val="21"/>
                <w:szCs w:val="21"/>
              </w:rPr>
              <w:t>/</w:t>
            </w:r>
          </w:p>
        </w:tc>
        <w:tc>
          <w:tcPr>
            <w:tcW w:w="1250" w:type="dxa"/>
            <w:vAlign w:val="center"/>
          </w:tcPr>
          <w:p w14:paraId="211BE73A">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678121B9">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3D9E3D28">
            <w:pPr>
              <w:jc w:val="center"/>
              <w:rPr>
                <w:rFonts w:hint="eastAsia"/>
                <w:bCs/>
                <w:sz w:val="21"/>
                <w:szCs w:val="21"/>
                <w:lang w:val="en-US" w:eastAsia="zh-CN"/>
              </w:rPr>
            </w:pPr>
            <w:r>
              <w:rPr>
                <w:rFonts w:hint="eastAsia"/>
                <w:sz w:val="21"/>
                <w:szCs w:val="21"/>
                <w:lang w:val="en-US" w:eastAsia="zh-CN" w:bidi="ar"/>
              </w:rPr>
              <w:t>0.5</w:t>
            </w:r>
            <w:r>
              <w:rPr>
                <w:rFonts w:hint="eastAsia" w:cs="Times New Roman"/>
                <w:snapToGrid w:val="0"/>
                <w:kern w:val="21"/>
                <w:sz w:val="21"/>
                <w:szCs w:val="21"/>
                <w:highlight w:val="none"/>
                <w:lang w:val="en-US" w:eastAsia="zh-CN"/>
              </w:rPr>
              <w:t>t/a</w:t>
            </w:r>
          </w:p>
        </w:tc>
        <w:tc>
          <w:tcPr>
            <w:tcW w:w="1578" w:type="dxa"/>
            <w:vAlign w:val="center"/>
          </w:tcPr>
          <w:p w14:paraId="4D951A15">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29" w:type="dxa"/>
            <w:vAlign w:val="center"/>
          </w:tcPr>
          <w:p w14:paraId="6E76ABBA">
            <w:pPr>
              <w:jc w:val="center"/>
              <w:rPr>
                <w:rFonts w:hint="eastAsia"/>
                <w:bCs/>
                <w:sz w:val="21"/>
                <w:szCs w:val="21"/>
                <w:lang w:val="en-US" w:eastAsia="zh-CN"/>
              </w:rPr>
            </w:pPr>
            <w:r>
              <w:rPr>
                <w:rFonts w:hint="eastAsia"/>
                <w:sz w:val="21"/>
                <w:szCs w:val="21"/>
                <w:lang w:val="en-US" w:eastAsia="zh-CN" w:bidi="ar"/>
              </w:rPr>
              <w:t>0.5</w:t>
            </w:r>
            <w:r>
              <w:rPr>
                <w:rFonts w:hint="eastAsia" w:cs="Times New Roman"/>
                <w:snapToGrid w:val="0"/>
                <w:kern w:val="21"/>
                <w:sz w:val="21"/>
                <w:szCs w:val="21"/>
                <w:highlight w:val="none"/>
                <w:lang w:val="en-US" w:eastAsia="zh-CN"/>
              </w:rPr>
              <w:t>t/a</w:t>
            </w:r>
          </w:p>
        </w:tc>
        <w:tc>
          <w:tcPr>
            <w:tcW w:w="1242" w:type="dxa"/>
            <w:vAlign w:val="center"/>
          </w:tcPr>
          <w:p w14:paraId="7ED4CE86">
            <w:pPr>
              <w:jc w:val="center"/>
              <w:rPr>
                <w:rFonts w:hint="eastAsia"/>
                <w:bCs/>
                <w:sz w:val="21"/>
                <w:szCs w:val="21"/>
                <w:lang w:val="en-US" w:eastAsia="zh-CN"/>
              </w:rPr>
            </w:pPr>
            <w:r>
              <w:rPr>
                <w:rFonts w:hint="eastAsia"/>
                <w:sz w:val="21"/>
                <w:szCs w:val="21"/>
                <w:lang w:val="en-US" w:eastAsia="zh-CN" w:bidi="ar"/>
              </w:rPr>
              <w:t>0.5</w:t>
            </w:r>
            <w:r>
              <w:rPr>
                <w:rFonts w:hint="eastAsia" w:cs="Times New Roman"/>
                <w:snapToGrid w:val="0"/>
                <w:kern w:val="21"/>
                <w:sz w:val="21"/>
                <w:szCs w:val="21"/>
                <w:highlight w:val="none"/>
                <w:lang w:val="en-US" w:eastAsia="zh-CN"/>
              </w:rPr>
              <w:t>t/a</w:t>
            </w:r>
          </w:p>
        </w:tc>
      </w:tr>
      <w:tr w14:paraId="266F9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6BEBBA17">
            <w:pPr>
              <w:spacing w:beforeLines="0" w:afterLines="0" w:line="240" w:lineRule="auto"/>
              <w:jc w:val="center"/>
              <w:rPr>
                <w:rFonts w:hAnsi="宋体" w:cs="宋体"/>
                <w:snapToGrid w:val="0"/>
                <w:kern w:val="21"/>
                <w:sz w:val="21"/>
                <w:szCs w:val="21"/>
              </w:rPr>
            </w:pPr>
          </w:p>
        </w:tc>
        <w:tc>
          <w:tcPr>
            <w:tcW w:w="1497" w:type="dxa"/>
            <w:vAlign w:val="center"/>
          </w:tcPr>
          <w:p w14:paraId="7DE3DB5F">
            <w:pPr>
              <w:jc w:val="center"/>
              <w:outlineLvl w:val="0"/>
              <w:rPr>
                <w:rFonts w:hint="eastAsia" w:hAnsi="宋体" w:cs="宋体"/>
                <w:snapToGrid w:val="0"/>
                <w:kern w:val="21"/>
                <w:sz w:val="21"/>
                <w:szCs w:val="21"/>
                <w:lang w:val="en-US" w:eastAsia="zh-CN" w:bidi="ar-SA"/>
              </w:rPr>
            </w:pPr>
            <w:r>
              <w:rPr>
                <w:rFonts w:hint="eastAsia"/>
                <w:sz w:val="21"/>
                <w:szCs w:val="21"/>
                <w:lang w:val="en-US" w:eastAsia="zh-CN"/>
              </w:rPr>
              <w:t>塑料不合格品</w:t>
            </w:r>
          </w:p>
        </w:tc>
        <w:tc>
          <w:tcPr>
            <w:tcW w:w="1554" w:type="dxa"/>
            <w:vAlign w:val="center"/>
          </w:tcPr>
          <w:p w14:paraId="5096BB35">
            <w:pPr>
              <w:jc w:val="center"/>
              <w:rPr>
                <w:rFonts w:hint="eastAsia" w:hAnsi="宋体" w:cs="宋体"/>
                <w:snapToGrid w:val="0"/>
                <w:kern w:val="21"/>
                <w:sz w:val="21"/>
                <w:szCs w:val="21"/>
                <w:lang w:val="en-US" w:eastAsia="zh-CN"/>
              </w:rPr>
            </w:pPr>
            <w:r>
              <w:rPr>
                <w:rFonts w:ascii="Times New Roman"/>
                <w:snapToGrid w:val="0"/>
                <w:kern w:val="21"/>
                <w:sz w:val="21"/>
                <w:szCs w:val="21"/>
              </w:rPr>
              <w:t>/</w:t>
            </w:r>
          </w:p>
        </w:tc>
        <w:tc>
          <w:tcPr>
            <w:tcW w:w="1250" w:type="dxa"/>
            <w:vAlign w:val="center"/>
          </w:tcPr>
          <w:p w14:paraId="1DC7FA38">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369905B8">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41E16F7B">
            <w:pPr>
              <w:jc w:val="center"/>
              <w:rPr>
                <w:rFonts w:hint="eastAsia"/>
                <w:bCs/>
                <w:sz w:val="21"/>
                <w:szCs w:val="21"/>
                <w:lang w:val="en-US" w:eastAsia="zh-CN"/>
              </w:rPr>
            </w:pPr>
            <w:r>
              <w:rPr>
                <w:rFonts w:hint="eastAsia"/>
                <w:sz w:val="21"/>
                <w:szCs w:val="21"/>
                <w:lang w:val="en-US" w:eastAsia="zh-CN" w:bidi="ar"/>
              </w:rPr>
              <w:t>0.5</w:t>
            </w:r>
            <w:r>
              <w:rPr>
                <w:rFonts w:hint="eastAsia" w:cs="Times New Roman"/>
                <w:snapToGrid w:val="0"/>
                <w:kern w:val="21"/>
                <w:sz w:val="21"/>
                <w:szCs w:val="21"/>
                <w:highlight w:val="none"/>
                <w:lang w:val="en-US" w:eastAsia="zh-CN"/>
              </w:rPr>
              <w:t>t/a</w:t>
            </w:r>
          </w:p>
        </w:tc>
        <w:tc>
          <w:tcPr>
            <w:tcW w:w="1578" w:type="dxa"/>
            <w:vAlign w:val="center"/>
          </w:tcPr>
          <w:p w14:paraId="670E300F">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29" w:type="dxa"/>
            <w:vAlign w:val="center"/>
          </w:tcPr>
          <w:p w14:paraId="5CB3E079">
            <w:pPr>
              <w:jc w:val="center"/>
              <w:rPr>
                <w:rFonts w:hint="eastAsia"/>
                <w:bCs/>
                <w:sz w:val="21"/>
                <w:szCs w:val="21"/>
                <w:lang w:val="en-US" w:eastAsia="zh-CN"/>
              </w:rPr>
            </w:pPr>
            <w:r>
              <w:rPr>
                <w:rFonts w:hint="eastAsia"/>
                <w:sz w:val="21"/>
                <w:szCs w:val="21"/>
                <w:lang w:val="en-US" w:eastAsia="zh-CN" w:bidi="ar"/>
              </w:rPr>
              <w:t>0.5</w:t>
            </w:r>
            <w:r>
              <w:rPr>
                <w:rFonts w:hint="eastAsia" w:cs="Times New Roman"/>
                <w:snapToGrid w:val="0"/>
                <w:kern w:val="21"/>
                <w:sz w:val="21"/>
                <w:szCs w:val="21"/>
                <w:highlight w:val="none"/>
                <w:lang w:val="en-US" w:eastAsia="zh-CN"/>
              </w:rPr>
              <w:t>t/a</w:t>
            </w:r>
          </w:p>
        </w:tc>
        <w:tc>
          <w:tcPr>
            <w:tcW w:w="1242" w:type="dxa"/>
            <w:vAlign w:val="center"/>
          </w:tcPr>
          <w:p w14:paraId="5C4FFE53">
            <w:pPr>
              <w:jc w:val="center"/>
              <w:rPr>
                <w:rFonts w:hint="eastAsia"/>
                <w:bCs/>
                <w:sz w:val="21"/>
                <w:szCs w:val="21"/>
                <w:lang w:val="en-US" w:eastAsia="zh-CN"/>
              </w:rPr>
            </w:pPr>
            <w:r>
              <w:rPr>
                <w:rFonts w:hint="eastAsia"/>
                <w:sz w:val="21"/>
                <w:szCs w:val="21"/>
                <w:lang w:val="en-US" w:eastAsia="zh-CN" w:bidi="ar"/>
              </w:rPr>
              <w:t>0.5</w:t>
            </w:r>
            <w:r>
              <w:rPr>
                <w:rFonts w:hint="eastAsia" w:cs="Times New Roman"/>
                <w:snapToGrid w:val="0"/>
                <w:kern w:val="21"/>
                <w:sz w:val="21"/>
                <w:szCs w:val="21"/>
                <w:highlight w:val="none"/>
                <w:lang w:val="en-US" w:eastAsia="zh-CN"/>
              </w:rPr>
              <w:t>t/a</w:t>
            </w:r>
          </w:p>
        </w:tc>
      </w:tr>
      <w:tr w14:paraId="664BE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525845C8">
            <w:pPr>
              <w:spacing w:beforeLines="0" w:afterLines="0" w:line="240" w:lineRule="auto"/>
              <w:jc w:val="center"/>
              <w:rPr>
                <w:rFonts w:hAnsi="宋体" w:cs="宋体"/>
                <w:snapToGrid w:val="0"/>
                <w:kern w:val="21"/>
                <w:sz w:val="21"/>
                <w:szCs w:val="21"/>
              </w:rPr>
            </w:pPr>
          </w:p>
        </w:tc>
        <w:tc>
          <w:tcPr>
            <w:tcW w:w="1497" w:type="dxa"/>
            <w:vAlign w:val="center"/>
          </w:tcPr>
          <w:p w14:paraId="2CA02812">
            <w:pPr>
              <w:jc w:val="center"/>
              <w:outlineLvl w:val="0"/>
              <w:rPr>
                <w:rFonts w:hint="eastAsia" w:hAnsi="宋体" w:cs="宋体"/>
                <w:snapToGrid w:val="0"/>
                <w:kern w:val="21"/>
                <w:sz w:val="21"/>
                <w:szCs w:val="21"/>
                <w:lang w:val="en-US" w:eastAsia="zh-CN" w:bidi="ar-SA"/>
              </w:rPr>
            </w:pPr>
            <w:r>
              <w:rPr>
                <w:rFonts w:hint="eastAsia"/>
                <w:sz w:val="21"/>
                <w:szCs w:val="21"/>
                <w:lang w:val="en-US" w:eastAsia="zh-CN"/>
              </w:rPr>
              <w:t>滤筒收集的粉尘</w:t>
            </w:r>
          </w:p>
        </w:tc>
        <w:tc>
          <w:tcPr>
            <w:tcW w:w="1554" w:type="dxa"/>
            <w:vAlign w:val="center"/>
          </w:tcPr>
          <w:p w14:paraId="2D901825">
            <w:pPr>
              <w:jc w:val="center"/>
              <w:rPr>
                <w:rFonts w:hint="eastAsia" w:hAnsi="宋体" w:cs="宋体"/>
                <w:snapToGrid w:val="0"/>
                <w:kern w:val="21"/>
                <w:sz w:val="21"/>
                <w:szCs w:val="21"/>
                <w:lang w:val="en-US" w:eastAsia="zh-CN"/>
              </w:rPr>
            </w:pPr>
            <w:r>
              <w:rPr>
                <w:rFonts w:ascii="Times New Roman"/>
                <w:snapToGrid w:val="0"/>
                <w:kern w:val="21"/>
                <w:sz w:val="21"/>
                <w:szCs w:val="21"/>
              </w:rPr>
              <w:t>/</w:t>
            </w:r>
          </w:p>
        </w:tc>
        <w:tc>
          <w:tcPr>
            <w:tcW w:w="1250" w:type="dxa"/>
            <w:vAlign w:val="center"/>
          </w:tcPr>
          <w:p w14:paraId="6F92B297">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1D682982">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3C2BAE1E">
            <w:pPr>
              <w:jc w:val="center"/>
              <w:rPr>
                <w:rFonts w:hint="eastAsia"/>
                <w:bCs/>
                <w:sz w:val="21"/>
                <w:szCs w:val="21"/>
                <w:lang w:val="en-US" w:eastAsia="zh-CN"/>
              </w:rPr>
            </w:pPr>
            <w:r>
              <w:rPr>
                <w:rFonts w:hint="eastAsia"/>
                <w:sz w:val="21"/>
                <w:szCs w:val="21"/>
                <w:lang w:val="en-US" w:eastAsia="zh-CN" w:bidi="ar"/>
              </w:rPr>
              <w:t>22.344</w:t>
            </w:r>
            <w:r>
              <w:rPr>
                <w:rFonts w:hint="eastAsia" w:cs="Times New Roman"/>
                <w:snapToGrid w:val="0"/>
                <w:kern w:val="21"/>
                <w:sz w:val="21"/>
                <w:szCs w:val="21"/>
                <w:highlight w:val="none"/>
                <w:lang w:val="en-US" w:eastAsia="zh-CN"/>
              </w:rPr>
              <w:t>t/a</w:t>
            </w:r>
          </w:p>
        </w:tc>
        <w:tc>
          <w:tcPr>
            <w:tcW w:w="1578" w:type="dxa"/>
            <w:vAlign w:val="center"/>
          </w:tcPr>
          <w:p w14:paraId="2ABC695A">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29" w:type="dxa"/>
            <w:vAlign w:val="center"/>
          </w:tcPr>
          <w:p w14:paraId="0FD07232">
            <w:pPr>
              <w:jc w:val="center"/>
              <w:rPr>
                <w:rFonts w:hint="eastAsia"/>
                <w:bCs/>
                <w:sz w:val="21"/>
                <w:szCs w:val="21"/>
                <w:lang w:val="en-US" w:eastAsia="zh-CN"/>
              </w:rPr>
            </w:pPr>
            <w:r>
              <w:rPr>
                <w:rFonts w:hint="eastAsia"/>
                <w:sz w:val="21"/>
                <w:szCs w:val="21"/>
                <w:lang w:val="en-US" w:eastAsia="zh-CN" w:bidi="ar"/>
              </w:rPr>
              <w:t>22.344</w:t>
            </w:r>
            <w:r>
              <w:rPr>
                <w:rFonts w:hint="eastAsia" w:cs="Times New Roman"/>
                <w:snapToGrid w:val="0"/>
                <w:kern w:val="21"/>
                <w:sz w:val="21"/>
                <w:szCs w:val="21"/>
                <w:highlight w:val="none"/>
                <w:lang w:val="en-US" w:eastAsia="zh-CN"/>
              </w:rPr>
              <w:t>t/a</w:t>
            </w:r>
          </w:p>
        </w:tc>
        <w:tc>
          <w:tcPr>
            <w:tcW w:w="1242" w:type="dxa"/>
            <w:vAlign w:val="center"/>
          </w:tcPr>
          <w:p w14:paraId="562D8098">
            <w:pPr>
              <w:jc w:val="center"/>
              <w:rPr>
                <w:rFonts w:hint="eastAsia"/>
                <w:bCs/>
                <w:sz w:val="21"/>
                <w:szCs w:val="21"/>
                <w:lang w:val="en-US" w:eastAsia="zh-CN"/>
              </w:rPr>
            </w:pPr>
            <w:r>
              <w:rPr>
                <w:rFonts w:hint="eastAsia"/>
                <w:sz w:val="21"/>
                <w:szCs w:val="21"/>
                <w:lang w:val="en-US" w:eastAsia="zh-CN" w:bidi="ar"/>
              </w:rPr>
              <w:t>22.344</w:t>
            </w:r>
            <w:r>
              <w:rPr>
                <w:rFonts w:hint="eastAsia" w:cs="Times New Roman"/>
                <w:snapToGrid w:val="0"/>
                <w:kern w:val="21"/>
                <w:sz w:val="21"/>
                <w:szCs w:val="21"/>
                <w:highlight w:val="none"/>
                <w:lang w:val="en-US" w:eastAsia="zh-CN"/>
              </w:rPr>
              <w:t>t/a</w:t>
            </w:r>
          </w:p>
        </w:tc>
      </w:tr>
      <w:tr w14:paraId="3E2BE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52327E86">
            <w:pPr>
              <w:spacing w:beforeLines="0" w:afterLines="0" w:line="240" w:lineRule="auto"/>
              <w:jc w:val="center"/>
              <w:rPr>
                <w:rFonts w:hAnsi="宋体" w:cs="宋体"/>
                <w:snapToGrid w:val="0"/>
                <w:kern w:val="21"/>
                <w:sz w:val="21"/>
                <w:szCs w:val="21"/>
              </w:rPr>
            </w:pPr>
          </w:p>
        </w:tc>
        <w:tc>
          <w:tcPr>
            <w:tcW w:w="1497" w:type="dxa"/>
            <w:vAlign w:val="center"/>
          </w:tcPr>
          <w:p w14:paraId="31B02A83">
            <w:pPr>
              <w:jc w:val="center"/>
              <w:outlineLvl w:val="0"/>
              <w:rPr>
                <w:rFonts w:hint="eastAsia" w:hAnsi="宋体" w:cs="宋体"/>
                <w:snapToGrid w:val="0"/>
                <w:kern w:val="21"/>
                <w:sz w:val="21"/>
                <w:szCs w:val="21"/>
                <w:lang w:val="en-US" w:eastAsia="zh-CN" w:bidi="ar-SA"/>
              </w:rPr>
            </w:pPr>
            <w:r>
              <w:rPr>
                <w:rFonts w:hint="eastAsia"/>
                <w:sz w:val="21"/>
                <w:szCs w:val="21"/>
                <w:lang w:val="en-US" w:eastAsia="zh-CN"/>
              </w:rPr>
              <w:t>除尘器收集的粉尘</w:t>
            </w:r>
          </w:p>
        </w:tc>
        <w:tc>
          <w:tcPr>
            <w:tcW w:w="1554" w:type="dxa"/>
            <w:vAlign w:val="center"/>
          </w:tcPr>
          <w:p w14:paraId="5D335323">
            <w:pPr>
              <w:jc w:val="center"/>
              <w:rPr>
                <w:rFonts w:hint="eastAsia" w:hAnsi="宋体" w:cs="宋体"/>
                <w:snapToGrid w:val="0"/>
                <w:kern w:val="21"/>
                <w:sz w:val="21"/>
                <w:szCs w:val="21"/>
                <w:lang w:val="en-US" w:eastAsia="zh-CN"/>
              </w:rPr>
            </w:pPr>
            <w:r>
              <w:rPr>
                <w:rFonts w:ascii="Times New Roman"/>
                <w:snapToGrid w:val="0"/>
                <w:kern w:val="21"/>
                <w:sz w:val="21"/>
                <w:szCs w:val="21"/>
              </w:rPr>
              <w:t>/</w:t>
            </w:r>
          </w:p>
        </w:tc>
        <w:tc>
          <w:tcPr>
            <w:tcW w:w="1250" w:type="dxa"/>
            <w:vAlign w:val="center"/>
          </w:tcPr>
          <w:p w14:paraId="416DF474">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73E28A94">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4F7E8340">
            <w:pPr>
              <w:jc w:val="center"/>
              <w:rPr>
                <w:rFonts w:hint="eastAsia"/>
                <w:bCs/>
                <w:sz w:val="21"/>
                <w:szCs w:val="21"/>
                <w:lang w:val="en-US" w:eastAsia="zh-CN"/>
              </w:rPr>
            </w:pPr>
            <w:r>
              <w:rPr>
                <w:rFonts w:hint="eastAsia"/>
                <w:sz w:val="21"/>
                <w:szCs w:val="21"/>
                <w:lang w:val="en-US" w:eastAsia="zh-CN" w:bidi="ar"/>
              </w:rPr>
              <w:t>1.631</w:t>
            </w:r>
            <w:r>
              <w:rPr>
                <w:rFonts w:hint="eastAsia" w:cs="Times New Roman"/>
                <w:snapToGrid w:val="0"/>
                <w:kern w:val="21"/>
                <w:sz w:val="21"/>
                <w:szCs w:val="21"/>
                <w:highlight w:val="none"/>
                <w:lang w:val="en-US" w:eastAsia="zh-CN"/>
              </w:rPr>
              <w:t>t/a</w:t>
            </w:r>
          </w:p>
        </w:tc>
        <w:tc>
          <w:tcPr>
            <w:tcW w:w="1578" w:type="dxa"/>
            <w:vAlign w:val="center"/>
          </w:tcPr>
          <w:p w14:paraId="12DEAFBD">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29" w:type="dxa"/>
            <w:vAlign w:val="center"/>
          </w:tcPr>
          <w:p w14:paraId="43A9FFB7">
            <w:pPr>
              <w:jc w:val="center"/>
              <w:rPr>
                <w:rFonts w:hint="eastAsia"/>
                <w:bCs/>
                <w:sz w:val="21"/>
                <w:szCs w:val="21"/>
                <w:lang w:val="en-US" w:eastAsia="zh-CN"/>
              </w:rPr>
            </w:pPr>
            <w:r>
              <w:rPr>
                <w:rFonts w:hint="eastAsia"/>
                <w:sz w:val="21"/>
                <w:szCs w:val="21"/>
                <w:lang w:val="en-US" w:eastAsia="zh-CN" w:bidi="ar"/>
              </w:rPr>
              <w:t>1.631</w:t>
            </w:r>
            <w:r>
              <w:rPr>
                <w:rFonts w:hint="eastAsia" w:cs="Times New Roman"/>
                <w:snapToGrid w:val="0"/>
                <w:kern w:val="21"/>
                <w:sz w:val="21"/>
                <w:szCs w:val="21"/>
                <w:highlight w:val="none"/>
                <w:lang w:val="en-US" w:eastAsia="zh-CN"/>
              </w:rPr>
              <w:t>t/a</w:t>
            </w:r>
          </w:p>
        </w:tc>
        <w:tc>
          <w:tcPr>
            <w:tcW w:w="1242" w:type="dxa"/>
            <w:vAlign w:val="center"/>
          </w:tcPr>
          <w:p w14:paraId="6091CB77">
            <w:pPr>
              <w:jc w:val="center"/>
              <w:rPr>
                <w:rFonts w:hint="eastAsia"/>
                <w:bCs/>
                <w:sz w:val="21"/>
                <w:szCs w:val="21"/>
                <w:lang w:val="en-US" w:eastAsia="zh-CN"/>
              </w:rPr>
            </w:pPr>
            <w:r>
              <w:rPr>
                <w:rFonts w:hint="eastAsia"/>
                <w:sz w:val="21"/>
                <w:szCs w:val="21"/>
                <w:lang w:val="en-US" w:eastAsia="zh-CN" w:bidi="ar"/>
              </w:rPr>
              <w:t>1.631</w:t>
            </w:r>
            <w:r>
              <w:rPr>
                <w:rFonts w:hint="eastAsia" w:cs="Times New Roman"/>
                <w:snapToGrid w:val="0"/>
                <w:kern w:val="21"/>
                <w:sz w:val="21"/>
                <w:szCs w:val="21"/>
                <w:highlight w:val="none"/>
                <w:lang w:val="en-US" w:eastAsia="zh-CN"/>
              </w:rPr>
              <w:t>t/a</w:t>
            </w:r>
          </w:p>
        </w:tc>
      </w:tr>
      <w:tr w14:paraId="13D05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restart"/>
            <w:vAlign w:val="center"/>
          </w:tcPr>
          <w:p w14:paraId="01C83171">
            <w:pPr>
              <w:spacing w:beforeLines="0" w:afterLines="0" w:line="240" w:lineRule="auto"/>
              <w:jc w:val="center"/>
              <w:rPr>
                <w:rFonts w:hAnsi="宋体" w:cs="宋体"/>
                <w:snapToGrid w:val="0"/>
                <w:kern w:val="21"/>
                <w:sz w:val="21"/>
                <w:szCs w:val="21"/>
              </w:rPr>
            </w:pPr>
            <w:r>
              <w:rPr>
                <w:rFonts w:hint="eastAsia" w:hAnsi="宋体" w:cs="宋体"/>
                <w:snapToGrid w:val="0"/>
                <w:kern w:val="21"/>
                <w:sz w:val="21"/>
                <w:szCs w:val="21"/>
              </w:rPr>
              <w:t>危险废物</w:t>
            </w:r>
          </w:p>
        </w:tc>
        <w:tc>
          <w:tcPr>
            <w:tcW w:w="1497" w:type="dxa"/>
            <w:vAlign w:val="center"/>
          </w:tcPr>
          <w:p w14:paraId="642A9684">
            <w:pPr>
              <w:jc w:val="center"/>
              <w:outlineLvl w:val="0"/>
              <w:rPr>
                <w:rFonts w:hint="eastAsia" w:ascii="Times New Roman" w:hAnsi="宋体" w:eastAsia="宋体" w:cs="宋体"/>
                <w:snapToGrid w:val="0"/>
                <w:kern w:val="21"/>
                <w:sz w:val="21"/>
                <w:szCs w:val="21"/>
                <w:lang w:val="en-US" w:eastAsia="zh-CN" w:bidi="ar-SA"/>
              </w:rPr>
            </w:pPr>
            <w:r>
              <w:rPr>
                <w:rFonts w:hint="eastAsia"/>
                <w:color w:val="000000" w:themeColor="text1"/>
                <w:sz w:val="21"/>
                <w:szCs w:val="21"/>
                <w:lang w:val="en-US" w:eastAsia="zh-CN"/>
                <w14:textFill>
                  <w14:solidFill>
                    <w14:schemeClr w14:val="tx1"/>
                  </w14:solidFill>
                </w14:textFill>
              </w:rPr>
              <w:t>清洗槽清捞底渣</w:t>
            </w:r>
          </w:p>
        </w:tc>
        <w:tc>
          <w:tcPr>
            <w:tcW w:w="1554" w:type="dxa"/>
            <w:vAlign w:val="center"/>
          </w:tcPr>
          <w:p w14:paraId="5357C918">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0D564380">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664" w:type="dxa"/>
            <w:vAlign w:val="center"/>
          </w:tcPr>
          <w:p w14:paraId="1F349EE4">
            <w:pPr>
              <w:spacing w:beforeLines="0" w:afterLines="0" w:line="240" w:lineRule="auto"/>
              <w:jc w:val="center"/>
              <w:rPr>
                <w:rFonts w:hAnsi="宋体" w:cs="宋体"/>
                <w:snapToGrid w:val="0"/>
                <w:kern w:val="21"/>
                <w:sz w:val="21"/>
                <w:szCs w:val="21"/>
              </w:rPr>
            </w:pPr>
            <w:r>
              <w:rPr>
                <w:rFonts w:ascii="Times New Roman"/>
                <w:snapToGrid w:val="0"/>
                <w:kern w:val="21"/>
                <w:sz w:val="21"/>
                <w:szCs w:val="21"/>
              </w:rPr>
              <w:t>/</w:t>
            </w:r>
          </w:p>
        </w:tc>
        <w:tc>
          <w:tcPr>
            <w:tcW w:w="1525" w:type="dxa"/>
            <w:vAlign w:val="center"/>
          </w:tcPr>
          <w:p w14:paraId="669F1629">
            <w:pPr>
              <w:jc w:val="center"/>
              <w:rPr>
                <w:rFonts w:hint="default" w:hAnsi="宋体" w:cs="宋体"/>
                <w:snapToGrid w:val="0"/>
                <w:kern w:val="21"/>
                <w:sz w:val="21"/>
                <w:szCs w:val="21"/>
                <w:lang w:val="en-US"/>
              </w:rPr>
            </w:pPr>
            <w:r>
              <w:rPr>
                <w:rFonts w:hint="eastAsia"/>
                <w:sz w:val="21"/>
                <w:szCs w:val="21"/>
                <w:lang w:val="en-US" w:eastAsia="zh-CN" w:bidi="ar"/>
              </w:rPr>
              <w:t>0.26t/a</w:t>
            </w:r>
          </w:p>
        </w:tc>
        <w:tc>
          <w:tcPr>
            <w:tcW w:w="1578" w:type="dxa"/>
            <w:vAlign w:val="center"/>
          </w:tcPr>
          <w:p w14:paraId="7587B9DD">
            <w:pPr>
              <w:jc w:val="center"/>
              <w:rPr>
                <w:rFonts w:hAnsi="宋体" w:cs="宋体"/>
                <w:snapToGrid w:val="0"/>
                <w:kern w:val="21"/>
                <w:sz w:val="21"/>
                <w:szCs w:val="21"/>
              </w:rPr>
            </w:pPr>
            <w:r>
              <w:rPr>
                <w:snapToGrid w:val="0"/>
                <w:kern w:val="21"/>
                <w:sz w:val="21"/>
                <w:szCs w:val="21"/>
              </w:rPr>
              <w:t>/</w:t>
            </w:r>
          </w:p>
        </w:tc>
        <w:tc>
          <w:tcPr>
            <w:tcW w:w="1629" w:type="dxa"/>
            <w:vAlign w:val="center"/>
          </w:tcPr>
          <w:p w14:paraId="0655AA96">
            <w:pPr>
              <w:jc w:val="center"/>
              <w:rPr>
                <w:rFonts w:hAnsi="宋体" w:cs="宋体"/>
                <w:snapToGrid w:val="0"/>
                <w:kern w:val="21"/>
                <w:sz w:val="21"/>
                <w:szCs w:val="21"/>
              </w:rPr>
            </w:pPr>
            <w:r>
              <w:rPr>
                <w:rFonts w:hint="eastAsia"/>
                <w:sz w:val="21"/>
                <w:szCs w:val="21"/>
                <w:lang w:val="en-US" w:eastAsia="zh-CN" w:bidi="ar"/>
              </w:rPr>
              <w:t>0.26t/a</w:t>
            </w:r>
          </w:p>
        </w:tc>
        <w:tc>
          <w:tcPr>
            <w:tcW w:w="1242" w:type="dxa"/>
            <w:vAlign w:val="center"/>
          </w:tcPr>
          <w:p w14:paraId="35BAA7F6">
            <w:pPr>
              <w:jc w:val="center"/>
              <w:rPr>
                <w:rFonts w:hAnsi="宋体" w:cs="宋体"/>
                <w:snapToGrid w:val="0"/>
                <w:kern w:val="21"/>
                <w:sz w:val="21"/>
                <w:szCs w:val="21"/>
              </w:rPr>
            </w:pPr>
            <w:r>
              <w:rPr>
                <w:rFonts w:hint="eastAsia"/>
                <w:sz w:val="21"/>
                <w:szCs w:val="21"/>
                <w:lang w:val="en-US" w:eastAsia="zh-CN" w:bidi="ar"/>
              </w:rPr>
              <w:t>0.26t/a</w:t>
            </w:r>
          </w:p>
        </w:tc>
      </w:tr>
      <w:tr w14:paraId="77366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616226B3">
            <w:pPr>
              <w:spacing w:beforeLines="0" w:afterLines="0" w:line="240" w:lineRule="auto"/>
              <w:jc w:val="center"/>
              <w:rPr>
                <w:rFonts w:hAnsi="宋体" w:cs="宋体"/>
                <w:snapToGrid w:val="0"/>
                <w:kern w:val="21"/>
                <w:sz w:val="21"/>
                <w:szCs w:val="21"/>
              </w:rPr>
            </w:pPr>
          </w:p>
        </w:tc>
        <w:tc>
          <w:tcPr>
            <w:tcW w:w="1497" w:type="dxa"/>
            <w:vAlign w:val="center"/>
          </w:tcPr>
          <w:p w14:paraId="014A9A69">
            <w:pPr>
              <w:jc w:val="center"/>
              <w:outlineLvl w:val="0"/>
              <w:rPr>
                <w:rFonts w:hint="eastAsia" w:ascii="Times New Roman" w:hAnsi="宋体" w:eastAsia="宋体" w:cs="宋体"/>
                <w:snapToGrid w:val="0"/>
                <w:kern w:val="21"/>
                <w:sz w:val="21"/>
                <w:szCs w:val="21"/>
                <w:lang w:val="en-US" w:eastAsia="zh-CN" w:bidi="ar-SA"/>
              </w:rPr>
            </w:pPr>
            <w:r>
              <w:rPr>
                <w:rFonts w:hint="eastAsia"/>
                <w:color w:val="000000" w:themeColor="text1"/>
                <w:sz w:val="21"/>
                <w:szCs w:val="21"/>
                <w:lang w:val="en-US" w:eastAsia="zh-CN"/>
                <w14:textFill>
                  <w14:solidFill>
                    <w14:schemeClr w14:val="tx1"/>
                  </w14:solidFill>
                </w14:textFill>
              </w:rPr>
              <w:t>废清洗液</w:t>
            </w:r>
          </w:p>
        </w:tc>
        <w:tc>
          <w:tcPr>
            <w:tcW w:w="1554" w:type="dxa"/>
            <w:vAlign w:val="center"/>
          </w:tcPr>
          <w:p w14:paraId="501CC35D">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74C97E79">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2CEA6FF9">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065165F9">
            <w:pPr>
              <w:jc w:val="center"/>
              <w:rPr>
                <w:snapToGrid w:val="0"/>
                <w:kern w:val="21"/>
                <w:sz w:val="21"/>
                <w:szCs w:val="21"/>
              </w:rPr>
            </w:pPr>
            <w:r>
              <w:rPr>
                <w:rFonts w:hint="eastAsia"/>
                <w:sz w:val="21"/>
                <w:szCs w:val="21"/>
                <w:lang w:val="en-US" w:eastAsia="zh-CN" w:bidi="ar"/>
              </w:rPr>
              <w:t>0.9t/a</w:t>
            </w:r>
          </w:p>
        </w:tc>
        <w:tc>
          <w:tcPr>
            <w:tcW w:w="1578" w:type="dxa"/>
            <w:vAlign w:val="center"/>
          </w:tcPr>
          <w:p w14:paraId="03F4D451">
            <w:pPr>
              <w:jc w:val="center"/>
              <w:rPr>
                <w:snapToGrid w:val="0"/>
                <w:kern w:val="21"/>
                <w:sz w:val="21"/>
                <w:szCs w:val="21"/>
              </w:rPr>
            </w:pPr>
            <w:r>
              <w:rPr>
                <w:snapToGrid w:val="0"/>
                <w:kern w:val="21"/>
                <w:sz w:val="21"/>
                <w:szCs w:val="21"/>
              </w:rPr>
              <w:t>/</w:t>
            </w:r>
          </w:p>
        </w:tc>
        <w:tc>
          <w:tcPr>
            <w:tcW w:w="1629" w:type="dxa"/>
            <w:vAlign w:val="center"/>
          </w:tcPr>
          <w:p w14:paraId="05E2E277">
            <w:pPr>
              <w:jc w:val="center"/>
              <w:rPr>
                <w:rFonts w:hAnsi="宋体" w:cs="宋体"/>
                <w:snapToGrid w:val="0"/>
                <w:kern w:val="21"/>
                <w:sz w:val="21"/>
                <w:szCs w:val="21"/>
              </w:rPr>
            </w:pPr>
            <w:r>
              <w:rPr>
                <w:rFonts w:hint="eastAsia"/>
                <w:sz w:val="21"/>
                <w:szCs w:val="21"/>
                <w:lang w:val="en-US" w:eastAsia="zh-CN" w:bidi="ar"/>
              </w:rPr>
              <w:t>0.9t/a</w:t>
            </w:r>
          </w:p>
        </w:tc>
        <w:tc>
          <w:tcPr>
            <w:tcW w:w="1242" w:type="dxa"/>
            <w:vAlign w:val="center"/>
          </w:tcPr>
          <w:p w14:paraId="14B1023B">
            <w:pPr>
              <w:jc w:val="center"/>
              <w:rPr>
                <w:rFonts w:hAnsi="宋体" w:cs="宋体"/>
                <w:snapToGrid w:val="0"/>
                <w:kern w:val="21"/>
                <w:sz w:val="21"/>
                <w:szCs w:val="21"/>
              </w:rPr>
            </w:pPr>
            <w:r>
              <w:rPr>
                <w:rFonts w:hint="eastAsia"/>
                <w:sz w:val="21"/>
                <w:szCs w:val="21"/>
                <w:lang w:val="en-US" w:eastAsia="zh-CN" w:bidi="ar"/>
              </w:rPr>
              <w:t>0.9t/a</w:t>
            </w:r>
          </w:p>
        </w:tc>
      </w:tr>
      <w:tr w14:paraId="22002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53E7B307">
            <w:pPr>
              <w:spacing w:beforeLines="0" w:afterLines="0" w:line="240" w:lineRule="auto"/>
              <w:jc w:val="center"/>
              <w:rPr>
                <w:rFonts w:hAnsi="宋体" w:cs="宋体"/>
                <w:snapToGrid w:val="0"/>
                <w:kern w:val="21"/>
                <w:sz w:val="21"/>
                <w:szCs w:val="21"/>
              </w:rPr>
            </w:pPr>
          </w:p>
        </w:tc>
        <w:tc>
          <w:tcPr>
            <w:tcW w:w="1497" w:type="dxa"/>
            <w:vAlign w:val="center"/>
          </w:tcPr>
          <w:p w14:paraId="5A08E4AE">
            <w:pPr>
              <w:jc w:val="center"/>
              <w:outlineLvl w:val="0"/>
              <w:rPr>
                <w:rFonts w:hint="eastAsia" w:ascii="Times New Roman" w:hAnsi="宋体" w:eastAsia="宋体" w:cs="宋体"/>
                <w:snapToGrid w:val="0"/>
                <w:kern w:val="21"/>
                <w:sz w:val="21"/>
                <w:szCs w:val="21"/>
                <w:lang w:val="en-US" w:eastAsia="zh-CN" w:bidi="ar-SA"/>
              </w:rPr>
            </w:pPr>
            <w:r>
              <w:rPr>
                <w:rFonts w:hint="eastAsia"/>
                <w:color w:val="000000" w:themeColor="text1"/>
                <w:sz w:val="21"/>
                <w:szCs w:val="21"/>
                <w:lang w:val="en-US" w:eastAsia="zh-CN"/>
                <w14:textFill>
                  <w14:solidFill>
                    <w14:schemeClr w14:val="tx1"/>
                  </w14:solidFill>
                </w14:textFill>
              </w:rPr>
              <w:t>废包装桶</w:t>
            </w:r>
          </w:p>
        </w:tc>
        <w:tc>
          <w:tcPr>
            <w:tcW w:w="1554" w:type="dxa"/>
            <w:vAlign w:val="center"/>
          </w:tcPr>
          <w:p w14:paraId="7D88E3EF">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14C41669">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79FF094E">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731E9F80">
            <w:pPr>
              <w:jc w:val="center"/>
              <w:rPr>
                <w:sz w:val="21"/>
                <w:szCs w:val="21"/>
                <w:lang w:bidi="ar"/>
              </w:rPr>
            </w:pPr>
            <w:r>
              <w:rPr>
                <w:rFonts w:hint="eastAsia"/>
                <w:sz w:val="21"/>
                <w:szCs w:val="21"/>
                <w:lang w:val="en-US" w:eastAsia="zh-CN" w:bidi="ar"/>
              </w:rPr>
              <w:t>0.02t/a</w:t>
            </w:r>
          </w:p>
        </w:tc>
        <w:tc>
          <w:tcPr>
            <w:tcW w:w="1578" w:type="dxa"/>
            <w:vAlign w:val="center"/>
          </w:tcPr>
          <w:p w14:paraId="4FFC0893">
            <w:pPr>
              <w:jc w:val="center"/>
              <w:rPr>
                <w:snapToGrid w:val="0"/>
                <w:kern w:val="21"/>
                <w:sz w:val="21"/>
                <w:szCs w:val="21"/>
              </w:rPr>
            </w:pPr>
            <w:r>
              <w:rPr>
                <w:snapToGrid w:val="0"/>
                <w:kern w:val="21"/>
                <w:sz w:val="21"/>
                <w:szCs w:val="21"/>
              </w:rPr>
              <w:t>/</w:t>
            </w:r>
          </w:p>
        </w:tc>
        <w:tc>
          <w:tcPr>
            <w:tcW w:w="1629" w:type="dxa"/>
            <w:vAlign w:val="center"/>
          </w:tcPr>
          <w:p w14:paraId="3146E21C">
            <w:pPr>
              <w:jc w:val="center"/>
              <w:rPr>
                <w:sz w:val="21"/>
                <w:szCs w:val="21"/>
                <w:lang w:bidi="ar"/>
              </w:rPr>
            </w:pPr>
            <w:r>
              <w:rPr>
                <w:rFonts w:hint="eastAsia"/>
                <w:sz w:val="21"/>
                <w:szCs w:val="21"/>
                <w:lang w:val="en-US" w:eastAsia="zh-CN" w:bidi="ar"/>
              </w:rPr>
              <w:t>0.02t/a</w:t>
            </w:r>
          </w:p>
        </w:tc>
        <w:tc>
          <w:tcPr>
            <w:tcW w:w="1242" w:type="dxa"/>
            <w:vAlign w:val="center"/>
          </w:tcPr>
          <w:p w14:paraId="60394A7F">
            <w:pPr>
              <w:jc w:val="center"/>
              <w:rPr>
                <w:sz w:val="21"/>
                <w:szCs w:val="21"/>
                <w:lang w:bidi="ar"/>
              </w:rPr>
            </w:pPr>
            <w:r>
              <w:rPr>
                <w:rFonts w:hint="eastAsia"/>
                <w:sz w:val="21"/>
                <w:szCs w:val="21"/>
                <w:lang w:val="en-US" w:eastAsia="zh-CN" w:bidi="ar"/>
              </w:rPr>
              <w:t>0.02t/a</w:t>
            </w:r>
          </w:p>
        </w:tc>
      </w:tr>
      <w:tr w14:paraId="40A5F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5F54C030">
            <w:pPr>
              <w:spacing w:beforeLines="0" w:afterLines="0" w:line="240" w:lineRule="auto"/>
              <w:jc w:val="center"/>
              <w:rPr>
                <w:rFonts w:hAnsi="宋体" w:cs="宋体"/>
                <w:snapToGrid w:val="0"/>
                <w:kern w:val="21"/>
                <w:sz w:val="21"/>
                <w:szCs w:val="21"/>
              </w:rPr>
            </w:pPr>
          </w:p>
        </w:tc>
        <w:tc>
          <w:tcPr>
            <w:tcW w:w="1497" w:type="dxa"/>
            <w:vAlign w:val="center"/>
          </w:tcPr>
          <w:p w14:paraId="5F206BBD">
            <w:pPr>
              <w:jc w:val="center"/>
              <w:outlineLvl w:val="0"/>
              <w:rPr>
                <w:rFonts w:hint="eastAsia" w:ascii="Times New Roman" w:hAnsi="宋体" w:eastAsia="宋体" w:cs="宋体"/>
                <w:snapToGrid w:val="0"/>
                <w:kern w:val="21"/>
                <w:sz w:val="21"/>
                <w:szCs w:val="21"/>
                <w:lang w:val="en-US" w:eastAsia="zh-CN" w:bidi="ar-SA"/>
              </w:rPr>
            </w:pPr>
            <w:r>
              <w:rPr>
                <w:rFonts w:hint="eastAsia"/>
                <w:color w:val="000000" w:themeColor="text1"/>
                <w:sz w:val="21"/>
                <w:szCs w:val="21"/>
                <w:lang w:val="en-US" w:eastAsia="zh-CN"/>
                <w14:textFill>
                  <w14:solidFill>
                    <w14:schemeClr w14:val="tx1"/>
                  </w14:solidFill>
                </w14:textFill>
              </w:rPr>
              <w:t>废胶及包装物</w:t>
            </w:r>
          </w:p>
        </w:tc>
        <w:tc>
          <w:tcPr>
            <w:tcW w:w="1554" w:type="dxa"/>
            <w:vAlign w:val="center"/>
          </w:tcPr>
          <w:p w14:paraId="031698FF">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39B04E38">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36C8FA8F">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28404A85">
            <w:pPr>
              <w:jc w:val="center"/>
              <w:rPr>
                <w:sz w:val="21"/>
                <w:szCs w:val="21"/>
                <w:lang w:bidi="ar"/>
              </w:rPr>
            </w:pPr>
            <w:r>
              <w:rPr>
                <w:sz w:val="21"/>
                <w:szCs w:val="21"/>
                <w:lang w:bidi="ar"/>
              </w:rPr>
              <w:t>0.</w:t>
            </w:r>
            <w:r>
              <w:rPr>
                <w:rFonts w:hint="eastAsia"/>
                <w:sz w:val="21"/>
                <w:szCs w:val="21"/>
                <w:lang w:val="en-US" w:eastAsia="zh-CN" w:bidi="ar"/>
              </w:rPr>
              <w:t>01t/a</w:t>
            </w:r>
          </w:p>
        </w:tc>
        <w:tc>
          <w:tcPr>
            <w:tcW w:w="1578" w:type="dxa"/>
            <w:vAlign w:val="center"/>
          </w:tcPr>
          <w:p w14:paraId="4B36526B">
            <w:pPr>
              <w:spacing w:beforeLines="0" w:afterLines="0" w:line="240" w:lineRule="auto"/>
              <w:jc w:val="center"/>
              <w:rPr>
                <w:snapToGrid w:val="0"/>
                <w:kern w:val="21"/>
                <w:sz w:val="21"/>
                <w:szCs w:val="21"/>
              </w:rPr>
            </w:pPr>
            <w:r>
              <w:rPr>
                <w:rFonts w:ascii="Times New Roman"/>
                <w:snapToGrid w:val="0"/>
                <w:kern w:val="21"/>
                <w:sz w:val="21"/>
                <w:szCs w:val="21"/>
              </w:rPr>
              <w:t>/</w:t>
            </w:r>
          </w:p>
        </w:tc>
        <w:tc>
          <w:tcPr>
            <w:tcW w:w="1629" w:type="dxa"/>
            <w:vAlign w:val="center"/>
          </w:tcPr>
          <w:p w14:paraId="625AE9D6">
            <w:pPr>
              <w:jc w:val="center"/>
              <w:rPr>
                <w:rFonts w:hint="eastAsia"/>
                <w:sz w:val="21"/>
                <w:szCs w:val="21"/>
                <w:lang w:val="en-US" w:eastAsia="zh-CN" w:bidi="ar"/>
              </w:rPr>
            </w:pPr>
            <w:r>
              <w:rPr>
                <w:sz w:val="21"/>
                <w:szCs w:val="21"/>
                <w:lang w:bidi="ar"/>
              </w:rPr>
              <w:t>0.</w:t>
            </w:r>
            <w:r>
              <w:rPr>
                <w:rFonts w:hint="eastAsia"/>
                <w:sz w:val="21"/>
                <w:szCs w:val="21"/>
                <w:lang w:val="en-US" w:eastAsia="zh-CN" w:bidi="ar"/>
              </w:rPr>
              <w:t>01t/a</w:t>
            </w:r>
          </w:p>
        </w:tc>
        <w:tc>
          <w:tcPr>
            <w:tcW w:w="1242" w:type="dxa"/>
            <w:vAlign w:val="center"/>
          </w:tcPr>
          <w:p w14:paraId="154EDB3C">
            <w:pPr>
              <w:jc w:val="center"/>
              <w:rPr>
                <w:rFonts w:hint="eastAsia"/>
                <w:sz w:val="21"/>
                <w:szCs w:val="21"/>
                <w:lang w:val="en-US" w:eastAsia="zh-CN" w:bidi="ar"/>
              </w:rPr>
            </w:pPr>
            <w:r>
              <w:rPr>
                <w:sz w:val="21"/>
                <w:szCs w:val="21"/>
                <w:lang w:bidi="ar"/>
              </w:rPr>
              <w:t>0.</w:t>
            </w:r>
            <w:r>
              <w:rPr>
                <w:rFonts w:hint="eastAsia"/>
                <w:sz w:val="21"/>
                <w:szCs w:val="21"/>
                <w:lang w:val="en-US" w:eastAsia="zh-CN" w:bidi="ar"/>
              </w:rPr>
              <w:t>01t/a</w:t>
            </w:r>
          </w:p>
        </w:tc>
      </w:tr>
      <w:tr w14:paraId="061AF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622118EE">
            <w:pPr>
              <w:spacing w:beforeLines="0" w:afterLines="0" w:line="240" w:lineRule="auto"/>
              <w:jc w:val="center"/>
              <w:rPr>
                <w:rFonts w:hAnsi="宋体" w:cs="宋体"/>
                <w:snapToGrid w:val="0"/>
                <w:kern w:val="21"/>
                <w:sz w:val="21"/>
                <w:szCs w:val="21"/>
              </w:rPr>
            </w:pPr>
          </w:p>
        </w:tc>
        <w:tc>
          <w:tcPr>
            <w:tcW w:w="1497" w:type="dxa"/>
            <w:vAlign w:val="center"/>
          </w:tcPr>
          <w:p w14:paraId="7450F0D5">
            <w:pPr>
              <w:jc w:val="center"/>
              <w:outlineLvl w:val="0"/>
              <w:rPr>
                <w:rFonts w:hint="eastAsia" w:ascii="Times New Roman" w:hAnsi="宋体" w:eastAsia="宋体" w:cs="宋体"/>
                <w:snapToGrid w:val="0"/>
                <w:kern w:val="21"/>
                <w:sz w:val="21"/>
                <w:szCs w:val="21"/>
                <w:lang w:val="en-US" w:eastAsia="zh-CN" w:bidi="ar-SA"/>
              </w:rPr>
            </w:pPr>
            <w:r>
              <w:rPr>
                <w:rFonts w:hint="eastAsia"/>
                <w:sz w:val="21"/>
                <w:szCs w:val="21"/>
              </w:rPr>
              <w:t>废活性炭</w:t>
            </w:r>
          </w:p>
        </w:tc>
        <w:tc>
          <w:tcPr>
            <w:tcW w:w="1554" w:type="dxa"/>
            <w:vAlign w:val="center"/>
          </w:tcPr>
          <w:p w14:paraId="21ADD680">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5831E83F">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2E050806">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7FDF6469">
            <w:pPr>
              <w:jc w:val="center"/>
              <w:rPr>
                <w:sz w:val="21"/>
                <w:szCs w:val="21"/>
                <w:lang w:bidi="ar"/>
              </w:rPr>
            </w:pPr>
            <w:r>
              <w:rPr>
                <w:rFonts w:hint="eastAsia"/>
                <w:sz w:val="21"/>
                <w:szCs w:val="21"/>
                <w:lang w:val="en-US" w:eastAsia="zh-CN" w:bidi="ar"/>
              </w:rPr>
              <w:t>5.031t/a</w:t>
            </w:r>
          </w:p>
        </w:tc>
        <w:tc>
          <w:tcPr>
            <w:tcW w:w="1578" w:type="dxa"/>
            <w:vAlign w:val="center"/>
          </w:tcPr>
          <w:p w14:paraId="0D53AB39">
            <w:pPr>
              <w:spacing w:beforeLines="0" w:afterLines="0" w:line="240" w:lineRule="auto"/>
              <w:jc w:val="center"/>
              <w:rPr>
                <w:snapToGrid w:val="0"/>
                <w:kern w:val="21"/>
                <w:sz w:val="21"/>
                <w:szCs w:val="21"/>
              </w:rPr>
            </w:pPr>
            <w:r>
              <w:rPr>
                <w:rFonts w:ascii="Times New Roman"/>
                <w:snapToGrid w:val="0"/>
                <w:kern w:val="21"/>
                <w:sz w:val="21"/>
                <w:szCs w:val="21"/>
              </w:rPr>
              <w:t>/</w:t>
            </w:r>
          </w:p>
        </w:tc>
        <w:tc>
          <w:tcPr>
            <w:tcW w:w="1629" w:type="dxa"/>
            <w:vAlign w:val="center"/>
          </w:tcPr>
          <w:p w14:paraId="43D78457">
            <w:pPr>
              <w:jc w:val="center"/>
              <w:rPr>
                <w:rFonts w:hint="eastAsia"/>
                <w:sz w:val="21"/>
                <w:szCs w:val="21"/>
                <w:lang w:val="en-US" w:eastAsia="zh-CN" w:bidi="ar"/>
              </w:rPr>
            </w:pPr>
            <w:r>
              <w:rPr>
                <w:rFonts w:hint="eastAsia"/>
                <w:sz w:val="21"/>
                <w:szCs w:val="21"/>
                <w:lang w:val="en-US" w:eastAsia="zh-CN" w:bidi="ar"/>
              </w:rPr>
              <w:t>5.031t/a</w:t>
            </w:r>
          </w:p>
        </w:tc>
        <w:tc>
          <w:tcPr>
            <w:tcW w:w="1242" w:type="dxa"/>
            <w:vAlign w:val="center"/>
          </w:tcPr>
          <w:p w14:paraId="56B75543">
            <w:pPr>
              <w:jc w:val="center"/>
              <w:rPr>
                <w:rFonts w:hint="eastAsia"/>
                <w:sz w:val="21"/>
                <w:szCs w:val="21"/>
                <w:lang w:val="en-US" w:eastAsia="zh-CN" w:bidi="ar"/>
              </w:rPr>
            </w:pPr>
            <w:r>
              <w:rPr>
                <w:rFonts w:hint="eastAsia"/>
                <w:sz w:val="21"/>
                <w:szCs w:val="21"/>
                <w:lang w:val="en-US" w:eastAsia="zh-CN" w:bidi="ar"/>
              </w:rPr>
              <w:t>5.031t/a</w:t>
            </w:r>
          </w:p>
        </w:tc>
      </w:tr>
      <w:tr w14:paraId="120DE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7FCD5BAF">
            <w:pPr>
              <w:spacing w:beforeLines="0" w:afterLines="0" w:line="240" w:lineRule="auto"/>
              <w:jc w:val="center"/>
              <w:rPr>
                <w:rFonts w:hAnsi="宋体" w:cs="宋体"/>
                <w:snapToGrid w:val="0"/>
                <w:kern w:val="21"/>
                <w:sz w:val="21"/>
                <w:szCs w:val="21"/>
              </w:rPr>
            </w:pPr>
          </w:p>
        </w:tc>
        <w:tc>
          <w:tcPr>
            <w:tcW w:w="1497" w:type="dxa"/>
            <w:vAlign w:val="center"/>
          </w:tcPr>
          <w:p w14:paraId="21608287">
            <w:pPr>
              <w:jc w:val="center"/>
              <w:outlineLvl w:val="0"/>
              <w:rPr>
                <w:rFonts w:hint="eastAsia" w:ascii="Times New Roman" w:hAnsi="宋体" w:eastAsia="宋体" w:cs="宋体"/>
                <w:snapToGrid w:val="0"/>
                <w:kern w:val="21"/>
                <w:sz w:val="21"/>
                <w:szCs w:val="21"/>
                <w:lang w:val="en-US" w:eastAsia="zh-CN" w:bidi="ar-SA"/>
              </w:rPr>
            </w:pPr>
            <w:r>
              <w:rPr>
                <w:rFonts w:hint="eastAsia"/>
                <w:sz w:val="21"/>
                <w:szCs w:val="21"/>
              </w:rPr>
              <w:t>废</w:t>
            </w:r>
            <w:r>
              <w:rPr>
                <w:rFonts w:hint="eastAsia"/>
                <w:sz w:val="21"/>
                <w:szCs w:val="21"/>
                <w:lang w:val="en-US" w:eastAsia="zh-CN"/>
              </w:rPr>
              <w:t>切削</w:t>
            </w:r>
            <w:r>
              <w:rPr>
                <w:rFonts w:hint="eastAsia"/>
                <w:sz w:val="21"/>
                <w:szCs w:val="21"/>
              </w:rPr>
              <w:t>液</w:t>
            </w:r>
          </w:p>
        </w:tc>
        <w:tc>
          <w:tcPr>
            <w:tcW w:w="1554" w:type="dxa"/>
            <w:vAlign w:val="center"/>
          </w:tcPr>
          <w:p w14:paraId="2E796526">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46354AA0">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23B2A4CF">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1BF1FF6A">
            <w:pPr>
              <w:jc w:val="center"/>
              <w:rPr>
                <w:sz w:val="21"/>
                <w:szCs w:val="21"/>
                <w:lang w:bidi="ar"/>
              </w:rPr>
            </w:pPr>
            <w:r>
              <w:rPr>
                <w:rFonts w:hint="eastAsia"/>
                <w:sz w:val="21"/>
                <w:szCs w:val="21"/>
                <w:lang w:val="en-US" w:eastAsia="zh-CN" w:bidi="ar"/>
              </w:rPr>
              <w:t>1.5t/a</w:t>
            </w:r>
          </w:p>
        </w:tc>
        <w:tc>
          <w:tcPr>
            <w:tcW w:w="1578" w:type="dxa"/>
            <w:vAlign w:val="center"/>
          </w:tcPr>
          <w:p w14:paraId="6C1A7432">
            <w:pPr>
              <w:spacing w:beforeLines="0" w:afterLines="0" w:line="240" w:lineRule="auto"/>
              <w:jc w:val="center"/>
              <w:rPr>
                <w:snapToGrid w:val="0"/>
                <w:kern w:val="21"/>
                <w:sz w:val="21"/>
                <w:szCs w:val="21"/>
              </w:rPr>
            </w:pPr>
            <w:r>
              <w:rPr>
                <w:rFonts w:ascii="Times New Roman"/>
                <w:snapToGrid w:val="0"/>
                <w:kern w:val="21"/>
                <w:sz w:val="21"/>
                <w:szCs w:val="21"/>
              </w:rPr>
              <w:t>/</w:t>
            </w:r>
          </w:p>
        </w:tc>
        <w:tc>
          <w:tcPr>
            <w:tcW w:w="1629" w:type="dxa"/>
            <w:vAlign w:val="center"/>
          </w:tcPr>
          <w:p w14:paraId="486CF0A0">
            <w:pPr>
              <w:jc w:val="center"/>
              <w:rPr>
                <w:rFonts w:hint="eastAsia"/>
                <w:sz w:val="21"/>
                <w:szCs w:val="21"/>
                <w:lang w:val="en-US" w:eastAsia="zh-CN" w:bidi="ar"/>
              </w:rPr>
            </w:pPr>
            <w:r>
              <w:rPr>
                <w:rFonts w:hint="eastAsia"/>
                <w:sz w:val="21"/>
                <w:szCs w:val="21"/>
                <w:lang w:val="en-US" w:eastAsia="zh-CN" w:bidi="ar"/>
              </w:rPr>
              <w:t>1.5t/a</w:t>
            </w:r>
          </w:p>
        </w:tc>
        <w:tc>
          <w:tcPr>
            <w:tcW w:w="1242" w:type="dxa"/>
            <w:vAlign w:val="center"/>
          </w:tcPr>
          <w:p w14:paraId="5EF15923">
            <w:pPr>
              <w:jc w:val="center"/>
              <w:rPr>
                <w:rFonts w:hint="eastAsia"/>
                <w:sz w:val="21"/>
                <w:szCs w:val="21"/>
                <w:lang w:val="en-US" w:eastAsia="zh-CN" w:bidi="ar"/>
              </w:rPr>
            </w:pPr>
            <w:r>
              <w:rPr>
                <w:rFonts w:hint="eastAsia"/>
                <w:sz w:val="21"/>
                <w:szCs w:val="21"/>
                <w:lang w:val="en-US" w:eastAsia="zh-CN" w:bidi="ar"/>
              </w:rPr>
              <w:t>1.5t/a</w:t>
            </w:r>
          </w:p>
        </w:tc>
      </w:tr>
      <w:tr w14:paraId="50C30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22A65C1A">
            <w:pPr>
              <w:spacing w:beforeLines="0" w:afterLines="0" w:line="240" w:lineRule="auto"/>
              <w:jc w:val="center"/>
              <w:rPr>
                <w:rFonts w:hAnsi="宋体" w:cs="宋体"/>
                <w:snapToGrid w:val="0"/>
                <w:kern w:val="21"/>
                <w:sz w:val="21"/>
                <w:szCs w:val="21"/>
              </w:rPr>
            </w:pPr>
          </w:p>
        </w:tc>
        <w:tc>
          <w:tcPr>
            <w:tcW w:w="1497" w:type="dxa"/>
            <w:vAlign w:val="center"/>
          </w:tcPr>
          <w:p w14:paraId="2580EEF5">
            <w:pPr>
              <w:jc w:val="center"/>
              <w:outlineLvl w:val="0"/>
              <w:rPr>
                <w:rFonts w:hint="eastAsia" w:ascii="Times New Roman" w:hAnsi="宋体" w:eastAsia="宋体" w:cs="宋体"/>
                <w:snapToGrid w:val="0"/>
                <w:kern w:val="21"/>
                <w:sz w:val="21"/>
                <w:szCs w:val="21"/>
                <w:lang w:val="en-US" w:eastAsia="zh-CN" w:bidi="ar-SA"/>
              </w:rPr>
            </w:pPr>
            <w:r>
              <w:rPr>
                <w:rFonts w:hint="eastAsia"/>
                <w:sz w:val="21"/>
                <w:szCs w:val="21"/>
              </w:rPr>
              <w:t>废</w:t>
            </w:r>
            <w:r>
              <w:rPr>
                <w:rFonts w:hint="eastAsia"/>
                <w:sz w:val="21"/>
                <w:szCs w:val="21"/>
                <w:lang w:val="en-US" w:eastAsia="zh-CN"/>
              </w:rPr>
              <w:t>切削</w:t>
            </w:r>
            <w:r>
              <w:rPr>
                <w:rFonts w:hint="eastAsia"/>
                <w:sz w:val="21"/>
                <w:szCs w:val="21"/>
              </w:rPr>
              <w:t>液</w:t>
            </w:r>
            <w:r>
              <w:rPr>
                <w:rFonts w:hint="eastAsia"/>
                <w:sz w:val="21"/>
                <w:szCs w:val="21"/>
                <w:lang w:val="en-US" w:eastAsia="zh-CN"/>
              </w:rPr>
              <w:t>桶</w:t>
            </w:r>
          </w:p>
        </w:tc>
        <w:tc>
          <w:tcPr>
            <w:tcW w:w="1554" w:type="dxa"/>
            <w:vAlign w:val="center"/>
          </w:tcPr>
          <w:p w14:paraId="0C53CD5B">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1D0DEEF8">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54FA58A9">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73B3FEA5">
            <w:pPr>
              <w:jc w:val="center"/>
              <w:rPr>
                <w:sz w:val="21"/>
                <w:szCs w:val="21"/>
                <w:lang w:bidi="ar"/>
              </w:rPr>
            </w:pPr>
            <w:r>
              <w:rPr>
                <w:rFonts w:hint="eastAsia"/>
                <w:sz w:val="21"/>
                <w:szCs w:val="21"/>
                <w:lang w:val="en-US" w:eastAsia="zh-CN" w:bidi="ar"/>
              </w:rPr>
              <w:t>0.02t/a</w:t>
            </w:r>
          </w:p>
        </w:tc>
        <w:tc>
          <w:tcPr>
            <w:tcW w:w="1578" w:type="dxa"/>
            <w:vAlign w:val="center"/>
          </w:tcPr>
          <w:p w14:paraId="637EF184">
            <w:pPr>
              <w:spacing w:beforeLines="0" w:afterLines="0" w:line="240" w:lineRule="auto"/>
              <w:jc w:val="center"/>
              <w:rPr>
                <w:snapToGrid w:val="0"/>
                <w:kern w:val="21"/>
                <w:sz w:val="21"/>
                <w:szCs w:val="21"/>
              </w:rPr>
            </w:pPr>
            <w:r>
              <w:rPr>
                <w:rFonts w:ascii="Times New Roman"/>
                <w:snapToGrid w:val="0"/>
                <w:kern w:val="21"/>
                <w:sz w:val="21"/>
                <w:szCs w:val="21"/>
              </w:rPr>
              <w:t>/</w:t>
            </w:r>
          </w:p>
        </w:tc>
        <w:tc>
          <w:tcPr>
            <w:tcW w:w="1629" w:type="dxa"/>
            <w:vAlign w:val="center"/>
          </w:tcPr>
          <w:p w14:paraId="4DA926D5">
            <w:pPr>
              <w:jc w:val="center"/>
              <w:rPr>
                <w:rFonts w:hint="eastAsia"/>
                <w:sz w:val="21"/>
                <w:szCs w:val="21"/>
                <w:lang w:val="en-US" w:eastAsia="zh-CN" w:bidi="ar"/>
              </w:rPr>
            </w:pPr>
            <w:r>
              <w:rPr>
                <w:rFonts w:hint="eastAsia"/>
                <w:sz w:val="21"/>
                <w:szCs w:val="21"/>
                <w:lang w:val="en-US" w:eastAsia="zh-CN" w:bidi="ar"/>
              </w:rPr>
              <w:t>0.02t/a</w:t>
            </w:r>
          </w:p>
        </w:tc>
        <w:tc>
          <w:tcPr>
            <w:tcW w:w="1242" w:type="dxa"/>
            <w:vAlign w:val="center"/>
          </w:tcPr>
          <w:p w14:paraId="38181FB4">
            <w:pPr>
              <w:jc w:val="center"/>
              <w:rPr>
                <w:rFonts w:hint="eastAsia"/>
                <w:sz w:val="21"/>
                <w:szCs w:val="21"/>
                <w:lang w:val="en-US" w:eastAsia="zh-CN" w:bidi="ar"/>
              </w:rPr>
            </w:pPr>
            <w:r>
              <w:rPr>
                <w:rFonts w:hint="eastAsia"/>
                <w:sz w:val="21"/>
                <w:szCs w:val="21"/>
                <w:lang w:val="en-US" w:eastAsia="zh-CN" w:bidi="ar"/>
              </w:rPr>
              <w:t>0.02t/a</w:t>
            </w:r>
          </w:p>
        </w:tc>
      </w:tr>
      <w:tr w14:paraId="7A0D9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6A3EF6AD">
            <w:pPr>
              <w:spacing w:beforeLines="0" w:afterLines="0" w:line="240" w:lineRule="auto"/>
              <w:jc w:val="center"/>
              <w:rPr>
                <w:rFonts w:hAnsi="宋体" w:cs="宋体"/>
                <w:snapToGrid w:val="0"/>
                <w:kern w:val="21"/>
                <w:sz w:val="21"/>
                <w:szCs w:val="21"/>
              </w:rPr>
            </w:pPr>
          </w:p>
        </w:tc>
        <w:tc>
          <w:tcPr>
            <w:tcW w:w="1497" w:type="dxa"/>
            <w:vAlign w:val="center"/>
          </w:tcPr>
          <w:p w14:paraId="216F4379">
            <w:pPr>
              <w:jc w:val="center"/>
              <w:outlineLvl w:val="0"/>
              <w:rPr>
                <w:rFonts w:hint="eastAsia" w:ascii="Times New Roman" w:hAnsi="宋体" w:eastAsia="宋体" w:cs="宋体"/>
                <w:snapToGrid w:val="0"/>
                <w:kern w:val="21"/>
                <w:sz w:val="21"/>
                <w:szCs w:val="21"/>
                <w:lang w:val="en-US" w:eastAsia="zh-CN" w:bidi="ar-SA"/>
              </w:rPr>
            </w:pPr>
            <w:r>
              <w:rPr>
                <w:rFonts w:hint="eastAsia"/>
                <w:sz w:val="21"/>
                <w:szCs w:val="21"/>
                <w:lang w:val="en-US" w:eastAsia="zh-CN"/>
              </w:rPr>
              <w:t>废润滑油</w:t>
            </w:r>
          </w:p>
        </w:tc>
        <w:tc>
          <w:tcPr>
            <w:tcW w:w="1554" w:type="dxa"/>
            <w:vAlign w:val="center"/>
          </w:tcPr>
          <w:p w14:paraId="0D7F6CE5">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635D0E73">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055A8100">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5AE8631E">
            <w:pPr>
              <w:jc w:val="center"/>
              <w:rPr>
                <w:sz w:val="21"/>
                <w:szCs w:val="21"/>
                <w:lang w:bidi="ar"/>
              </w:rPr>
            </w:pPr>
            <w:r>
              <w:rPr>
                <w:rFonts w:hint="eastAsia"/>
                <w:sz w:val="21"/>
                <w:szCs w:val="21"/>
                <w:lang w:val="en-US" w:eastAsia="zh-CN" w:bidi="ar"/>
              </w:rPr>
              <w:t>0.01t/a</w:t>
            </w:r>
          </w:p>
        </w:tc>
        <w:tc>
          <w:tcPr>
            <w:tcW w:w="1578" w:type="dxa"/>
            <w:vAlign w:val="center"/>
          </w:tcPr>
          <w:p w14:paraId="26C60DA1">
            <w:pPr>
              <w:spacing w:beforeLines="0" w:afterLines="0" w:line="240" w:lineRule="auto"/>
              <w:jc w:val="center"/>
              <w:rPr>
                <w:snapToGrid w:val="0"/>
                <w:kern w:val="21"/>
                <w:sz w:val="21"/>
                <w:szCs w:val="21"/>
              </w:rPr>
            </w:pPr>
            <w:r>
              <w:rPr>
                <w:rFonts w:ascii="Times New Roman"/>
                <w:snapToGrid w:val="0"/>
                <w:kern w:val="21"/>
                <w:sz w:val="21"/>
                <w:szCs w:val="21"/>
              </w:rPr>
              <w:t>/</w:t>
            </w:r>
          </w:p>
        </w:tc>
        <w:tc>
          <w:tcPr>
            <w:tcW w:w="1629" w:type="dxa"/>
            <w:vAlign w:val="center"/>
          </w:tcPr>
          <w:p w14:paraId="0F33C768">
            <w:pPr>
              <w:jc w:val="center"/>
              <w:rPr>
                <w:rFonts w:hint="eastAsia"/>
                <w:sz w:val="21"/>
                <w:szCs w:val="21"/>
                <w:lang w:val="en-US" w:eastAsia="zh-CN" w:bidi="ar"/>
              </w:rPr>
            </w:pPr>
            <w:r>
              <w:rPr>
                <w:rFonts w:hint="eastAsia"/>
                <w:sz w:val="21"/>
                <w:szCs w:val="21"/>
                <w:lang w:val="en-US" w:eastAsia="zh-CN" w:bidi="ar"/>
              </w:rPr>
              <w:t>0.01t/a</w:t>
            </w:r>
          </w:p>
        </w:tc>
        <w:tc>
          <w:tcPr>
            <w:tcW w:w="1242" w:type="dxa"/>
            <w:vAlign w:val="center"/>
          </w:tcPr>
          <w:p w14:paraId="55DC2521">
            <w:pPr>
              <w:jc w:val="center"/>
              <w:rPr>
                <w:rFonts w:hint="eastAsia"/>
                <w:sz w:val="21"/>
                <w:szCs w:val="21"/>
                <w:lang w:val="en-US" w:eastAsia="zh-CN" w:bidi="ar"/>
              </w:rPr>
            </w:pPr>
            <w:r>
              <w:rPr>
                <w:rFonts w:hint="eastAsia"/>
                <w:sz w:val="21"/>
                <w:szCs w:val="21"/>
                <w:lang w:val="en-US" w:eastAsia="zh-CN" w:bidi="ar"/>
              </w:rPr>
              <w:t>0.01t/a</w:t>
            </w:r>
          </w:p>
        </w:tc>
      </w:tr>
      <w:tr w14:paraId="5115D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3" w:type="dxa"/>
            <w:vMerge w:val="continue"/>
            <w:vAlign w:val="center"/>
          </w:tcPr>
          <w:p w14:paraId="729D8AF2">
            <w:pPr>
              <w:spacing w:beforeLines="0" w:afterLines="0" w:line="240" w:lineRule="auto"/>
              <w:jc w:val="center"/>
              <w:rPr>
                <w:rFonts w:hAnsi="宋体" w:cs="宋体"/>
                <w:snapToGrid w:val="0"/>
                <w:kern w:val="21"/>
                <w:sz w:val="21"/>
                <w:szCs w:val="21"/>
              </w:rPr>
            </w:pPr>
          </w:p>
        </w:tc>
        <w:tc>
          <w:tcPr>
            <w:tcW w:w="1497" w:type="dxa"/>
            <w:vAlign w:val="center"/>
          </w:tcPr>
          <w:p w14:paraId="6C26C484">
            <w:pPr>
              <w:jc w:val="center"/>
              <w:outlineLvl w:val="0"/>
              <w:rPr>
                <w:rFonts w:hint="eastAsia" w:ascii="Times New Roman" w:hAnsi="宋体" w:eastAsia="宋体" w:cs="宋体"/>
                <w:snapToGrid w:val="0"/>
                <w:kern w:val="21"/>
                <w:sz w:val="21"/>
                <w:szCs w:val="21"/>
                <w:lang w:val="en-US" w:eastAsia="zh-CN" w:bidi="ar-SA"/>
              </w:rPr>
            </w:pPr>
            <w:r>
              <w:rPr>
                <w:rFonts w:hint="eastAsia"/>
                <w:sz w:val="21"/>
                <w:szCs w:val="21"/>
                <w:lang w:val="en-US" w:eastAsia="zh-CN"/>
              </w:rPr>
              <w:t>废润滑油桶</w:t>
            </w:r>
          </w:p>
        </w:tc>
        <w:tc>
          <w:tcPr>
            <w:tcW w:w="1554" w:type="dxa"/>
            <w:vAlign w:val="center"/>
          </w:tcPr>
          <w:p w14:paraId="1C860261">
            <w:pPr>
              <w:jc w:val="center"/>
              <w:rPr>
                <w:rFonts w:hint="eastAsia" w:ascii="Times New Roman" w:hAnsi="宋体" w:eastAsia="宋体" w:cs="宋体"/>
                <w:snapToGrid w:val="0"/>
                <w:kern w:val="21"/>
                <w:sz w:val="21"/>
                <w:szCs w:val="21"/>
              </w:rPr>
            </w:pPr>
            <w:r>
              <w:rPr>
                <w:rFonts w:ascii="Times New Roman"/>
                <w:snapToGrid w:val="0"/>
                <w:kern w:val="21"/>
                <w:sz w:val="21"/>
                <w:szCs w:val="21"/>
              </w:rPr>
              <w:t>/</w:t>
            </w:r>
          </w:p>
        </w:tc>
        <w:tc>
          <w:tcPr>
            <w:tcW w:w="1250" w:type="dxa"/>
            <w:vAlign w:val="center"/>
          </w:tcPr>
          <w:p w14:paraId="746D9215">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664" w:type="dxa"/>
            <w:vAlign w:val="center"/>
          </w:tcPr>
          <w:p w14:paraId="56990255">
            <w:pPr>
              <w:spacing w:beforeLines="0" w:afterLines="0" w:line="240" w:lineRule="auto"/>
              <w:jc w:val="center"/>
              <w:rPr>
                <w:rFonts w:ascii="Times New Roman"/>
                <w:snapToGrid w:val="0"/>
                <w:kern w:val="21"/>
                <w:sz w:val="21"/>
                <w:szCs w:val="21"/>
              </w:rPr>
            </w:pPr>
            <w:r>
              <w:rPr>
                <w:rFonts w:ascii="Times New Roman"/>
                <w:snapToGrid w:val="0"/>
                <w:kern w:val="21"/>
                <w:sz w:val="21"/>
                <w:szCs w:val="21"/>
              </w:rPr>
              <w:t>/</w:t>
            </w:r>
          </w:p>
        </w:tc>
        <w:tc>
          <w:tcPr>
            <w:tcW w:w="1525" w:type="dxa"/>
            <w:vAlign w:val="center"/>
          </w:tcPr>
          <w:p w14:paraId="1470A2B2">
            <w:pPr>
              <w:jc w:val="center"/>
              <w:rPr>
                <w:sz w:val="21"/>
                <w:szCs w:val="21"/>
                <w:lang w:bidi="ar"/>
              </w:rPr>
            </w:pPr>
            <w:r>
              <w:rPr>
                <w:rFonts w:hint="eastAsia"/>
                <w:sz w:val="21"/>
                <w:szCs w:val="21"/>
                <w:lang w:val="en-US" w:eastAsia="zh-CN" w:bidi="ar"/>
              </w:rPr>
              <w:t>0.01t/a</w:t>
            </w:r>
          </w:p>
        </w:tc>
        <w:tc>
          <w:tcPr>
            <w:tcW w:w="1578" w:type="dxa"/>
            <w:vAlign w:val="center"/>
          </w:tcPr>
          <w:p w14:paraId="0F1246B5">
            <w:pPr>
              <w:spacing w:beforeLines="0" w:afterLines="0" w:line="240" w:lineRule="auto"/>
              <w:jc w:val="center"/>
              <w:rPr>
                <w:snapToGrid w:val="0"/>
                <w:kern w:val="21"/>
                <w:sz w:val="21"/>
                <w:szCs w:val="21"/>
              </w:rPr>
            </w:pPr>
            <w:r>
              <w:rPr>
                <w:rFonts w:ascii="Times New Roman"/>
                <w:snapToGrid w:val="0"/>
                <w:kern w:val="21"/>
                <w:sz w:val="21"/>
                <w:szCs w:val="21"/>
              </w:rPr>
              <w:t>/</w:t>
            </w:r>
          </w:p>
        </w:tc>
        <w:tc>
          <w:tcPr>
            <w:tcW w:w="1629" w:type="dxa"/>
            <w:vAlign w:val="center"/>
          </w:tcPr>
          <w:p w14:paraId="1D16F4E9">
            <w:pPr>
              <w:jc w:val="center"/>
              <w:rPr>
                <w:rFonts w:hint="eastAsia"/>
                <w:sz w:val="21"/>
                <w:szCs w:val="21"/>
                <w:lang w:val="en-US" w:eastAsia="zh-CN" w:bidi="ar"/>
              </w:rPr>
            </w:pPr>
            <w:r>
              <w:rPr>
                <w:rFonts w:hint="eastAsia"/>
                <w:sz w:val="21"/>
                <w:szCs w:val="21"/>
                <w:lang w:val="en-US" w:eastAsia="zh-CN" w:bidi="ar"/>
              </w:rPr>
              <w:t>0.01t/a</w:t>
            </w:r>
          </w:p>
        </w:tc>
        <w:tc>
          <w:tcPr>
            <w:tcW w:w="1242" w:type="dxa"/>
            <w:vAlign w:val="center"/>
          </w:tcPr>
          <w:p w14:paraId="3484A688">
            <w:pPr>
              <w:jc w:val="center"/>
              <w:rPr>
                <w:rFonts w:hint="eastAsia"/>
                <w:sz w:val="21"/>
                <w:szCs w:val="21"/>
                <w:lang w:val="en-US" w:eastAsia="zh-CN" w:bidi="ar"/>
              </w:rPr>
            </w:pPr>
            <w:r>
              <w:rPr>
                <w:rFonts w:hint="eastAsia"/>
                <w:sz w:val="21"/>
                <w:szCs w:val="21"/>
                <w:lang w:val="en-US" w:eastAsia="zh-CN" w:bidi="ar"/>
              </w:rPr>
              <w:t>0.01t/a</w:t>
            </w:r>
          </w:p>
        </w:tc>
      </w:tr>
    </w:tbl>
    <w:p w14:paraId="5ABB01EF">
      <w:pPr>
        <w:pStyle w:val="67"/>
        <w:tabs>
          <w:tab w:val="left" w:pos="9306"/>
        </w:tabs>
        <w:spacing w:before="192" w:beforeLines="80" w:after="24"/>
        <w:jc w:val="left"/>
        <w:rPr>
          <w:rFonts w:ascii="Times New Roman"/>
          <w:snapToGrid w:val="0"/>
          <w:color w:val="000000" w:themeColor="text1"/>
          <w:spacing w:val="0"/>
          <w:kern w:val="21"/>
          <w:szCs w:val="21"/>
          <w14:textFill>
            <w14:solidFill>
              <w14:schemeClr w14:val="tx1"/>
            </w14:solidFill>
          </w14:textFill>
        </w:rPr>
      </w:pPr>
      <w:r>
        <w:rPr>
          <w:rFonts w:ascii="Times New Roman"/>
          <w:snapToGrid w:val="0"/>
          <w:color w:val="000000" w:themeColor="text1"/>
          <w:spacing w:val="0"/>
          <w:kern w:val="21"/>
          <w:szCs w:val="21"/>
          <w14:textFill>
            <w14:solidFill>
              <w14:schemeClr w14:val="tx1"/>
            </w14:solidFill>
          </w14:textFill>
        </w:rPr>
        <w:t>注：</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6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⑥</w:t>
      </w:r>
      <w:r>
        <w:rPr>
          <w:rFonts w:ascii="Times New Roman"/>
          <w:snapToGrid w:val="0"/>
          <w:color w:val="000000" w:themeColor="text1"/>
          <w:spacing w:val="0"/>
          <w:kern w:val="21"/>
          <w:szCs w:val="21"/>
          <w14:textFill>
            <w14:solidFill>
              <w14:schemeClr w14:val="tx1"/>
            </w14:solidFill>
          </w14:textFill>
        </w:rPr>
        <w:fldChar w:fldCharType="end"/>
      </w:r>
      <w:r>
        <w:rPr>
          <w:rFonts w:ascii="Times New Roman"/>
          <w:snapToGrid w:val="0"/>
          <w:color w:val="000000" w:themeColor="text1"/>
          <w:spacing w:val="0"/>
          <w:kern w:val="21"/>
          <w:szCs w:val="21"/>
          <w14:textFill>
            <w14:solidFill>
              <w14:schemeClr w14:val="tx1"/>
            </w14:solidFill>
          </w14:textFill>
        </w:rPr>
        <w:t>=</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1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①</w:t>
      </w:r>
      <w:r>
        <w:rPr>
          <w:rFonts w:ascii="Times New Roman"/>
          <w:snapToGrid w:val="0"/>
          <w:color w:val="000000" w:themeColor="text1"/>
          <w:spacing w:val="0"/>
          <w:kern w:val="21"/>
          <w:szCs w:val="21"/>
          <w14:textFill>
            <w14:solidFill>
              <w14:schemeClr w14:val="tx1"/>
            </w14:solidFill>
          </w14:textFill>
        </w:rPr>
        <w:fldChar w:fldCharType="end"/>
      </w:r>
      <w:r>
        <w:rPr>
          <w:rFonts w:ascii="Times New Roman"/>
          <w:snapToGrid w:val="0"/>
          <w:color w:val="000000" w:themeColor="text1"/>
          <w:spacing w:val="0"/>
          <w:kern w:val="21"/>
          <w:szCs w:val="21"/>
          <w14:textFill>
            <w14:solidFill>
              <w14:schemeClr w14:val="tx1"/>
            </w14:solidFill>
          </w14:textFill>
        </w:rPr>
        <w:t>+</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3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③</w:t>
      </w:r>
      <w:r>
        <w:rPr>
          <w:rFonts w:ascii="Times New Roman"/>
          <w:snapToGrid w:val="0"/>
          <w:color w:val="000000" w:themeColor="text1"/>
          <w:spacing w:val="0"/>
          <w:kern w:val="21"/>
          <w:szCs w:val="21"/>
          <w14:textFill>
            <w14:solidFill>
              <w14:schemeClr w14:val="tx1"/>
            </w14:solidFill>
          </w14:textFill>
        </w:rPr>
        <w:fldChar w:fldCharType="end"/>
      </w:r>
      <w:r>
        <w:rPr>
          <w:rFonts w:ascii="Times New Roman"/>
          <w:snapToGrid w:val="0"/>
          <w:color w:val="000000" w:themeColor="text1"/>
          <w:spacing w:val="0"/>
          <w:kern w:val="21"/>
          <w:szCs w:val="21"/>
          <w14:textFill>
            <w14:solidFill>
              <w14:schemeClr w14:val="tx1"/>
            </w14:solidFill>
          </w14:textFill>
        </w:rPr>
        <w:t>+</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4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④</w:t>
      </w:r>
      <w:r>
        <w:rPr>
          <w:rFonts w:ascii="Times New Roman"/>
          <w:snapToGrid w:val="0"/>
          <w:color w:val="000000" w:themeColor="text1"/>
          <w:spacing w:val="0"/>
          <w:kern w:val="21"/>
          <w:szCs w:val="21"/>
          <w14:textFill>
            <w14:solidFill>
              <w14:schemeClr w14:val="tx1"/>
            </w14:solidFill>
          </w14:textFill>
        </w:rPr>
        <w:fldChar w:fldCharType="end"/>
      </w:r>
      <w:r>
        <w:rPr>
          <w:rFonts w:ascii="Times New Roman"/>
          <w:snapToGrid w:val="0"/>
          <w:color w:val="000000" w:themeColor="text1"/>
          <w:spacing w:val="0"/>
          <w:kern w:val="21"/>
          <w:szCs w:val="21"/>
          <w14:textFill>
            <w14:solidFill>
              <w14:schemeClr w14:val="tx1"/>
            </w14:solidFill>
          </w14:textFill>
        </w:rPr>
        <w:t>-</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5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⑤</w:t>
      </w:r>
      <w:r>
        <w:rPr>
          <w:rFonts w:ascii="Times New Roman"/>
          <w:snapToGrid w:val="0"/>
          <w:color w:val="000000" w:themeColor="text1"/>
          <w:spacing w:val="0"/>
          <w:kern w:val="21"/>
          <w:szCs w:val="21"/>
          <w14:textFill>
            <w14:solidFill>
              <w14:schemeClr w14:val="tx1"/>
            </w14:solidFill>
          </w14:textFill>
        </w:rPr>
        <w:fldChar w:fldCharType="end"/>
      </w:r>
      <w:r>
        <w:rPr>
          <w:rFonts w:ascii="Times New Roman"/>
          <w:snapToGrid w:val="0"/>
          <w:color w:val="000000" w:themeColor="text1"/>
          <w:spacing w:val="0"/>
          <w:kern w:val="21"/>
          <w:szCs w:val="21"/>
          <w14:textFill>
            <w14:solidFill>
              <w14:schemeClr w14:val="tx1"/>
            </w14:solidFill>
          </w14:textFill>
        </w:rPr>
        <w:t>；</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7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⑦</w:t>
      </w:r>
      <w:r>
        <w:rPr>
          <w:rFonts w:ascii="Times New Roman"/>
          <w:snapToGrid w:val="0"/>
          <w:color w:val="000000" w:themeColor="text1"/>
          <w:spacing w:val="0"/>
          <w:kern w:val="21"/>
          <w:szCs w:val="21"/>
          <w14:textFill>
            <w14:solidFill>
              <w14:schemeClr w14:val="tx1"/>
            </w14:solidFill>
          </w14:textFill>
        </w:rPr>
        <w:fldChar w:fldCharType="end"/>
      </w:r>
      <w:r>
        <w:rPr>
          <w:rFonts w:ascii="Times New Roman"/>
          <w:snapToGrid w:val="0"/>
          <w:color w:val="000000" w:themeColor="text1"/>
          <w:spacing w:val="0"/>
          <w:kern w:val="21"/>
          <w:szCs w:val="21"/>
          <w14:textFill>
            <w14:solidFill>
              <w14:schemeClr w14:val="tx1"/>
            </w14:solidFill>
          </w14:textFill>
        </w:rPr>
        <w:t>=</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6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⑥</w:t>
      </w:r>
      <w:r>
        <w:rPr>
          <w:rFonts w:ascii="Times New Roman"/>
          <w:snapToGrid w:val="0"/>
          <w:color w:val="000000" w:themeColor="text1"/>
          <w:spacing w:val="0"/>
          <w:kern w:val="21"/>
          <w:szCs w:val="21"/>
          <w14:textFill>
            <w14:solidFill>
              <w14:schemeClr w14:val="tx1"/>
            </w14:solidFill>
          </w14:textFill>
        </w:rPr>
        <w:fldChar w:fldCharType="end"/>
      </w:r>
      <w:r>
        <w:rPr>
          <w:rFonts w:ascii="Times New Roman"/>
          <w:snapToGrid w:val="0"/>
          <w:color w:val="000000" w:themeColor="text1"/>
          <w:spacing w:val="0"/>
          <w:kern w:val="21"/>
          <w:szCs w:val="21"/>
          <w14:textFill>
            <w14:solidFill>
              <w14:schemeClr w14:val="tx1"/>
            </w14:solidFill>
          </w14:textFill>
        </w:rPr>
        <w:t>-</w:t>
      </w:r>
      <w:r>
        <w:rPr>
          <w:rFonts w:ascii="Times New Roman"/>
          <w:snapToGrid w:val="0"/>
          <w:color w:val="000000" w:themeColor="text1"/>
          <w:spacing w:val="0"/>
          <w:kern w:val="21"/>
          <w:szCs w:val="21"/>
          <w14:textFill>
            <w14:solidFill>
              <w14:schemeClr w14:val="tx1"/>
            </w14:solidFill>
          </w14:textFill>
        </w:rPr>
        <w:fldChar w:fldCharType="begin"/>
      </w:r>
      <w:r>
        <w:rPr>
          <w:rFonts w:ascii="Times New Roman"/>
          <w:snapToGrid w:val="0"/>
          <w:color w:val="000000" w:themeColor="text1"/>
          <w:spacing w:val="0"/>
          <w:kern w:val="21"/>
          <w:szCs w:val="21"/>
          <w14:textFill>
            <w14:solidFill>
              <w14:schemeClr w14:val="tx1"/>
            </w14:solidFill>
          </w14:textFill>
        </w:rPr>
        <w:instrText xml:space="preserve"> = 1 \* GB3 \* MERGEFORMAT </w:instrText>
      </w:r>
      <w:r>
        <w:rPr>
          <w:rFonts w:ascii="Times New Roman"/>
          <w:snapToGrid w:val="0"/>
          <w:color w:val="000000" w:themeColor="text1"/>
          <w:spacing w:val="0"/>
          <w:kern w:val="21"/>
          <w:szCs w:val="21"/>
          <w14:textFill>
            <w14:solidFill>
              <w14:schemeClr w14:val="tx1"/>
            </w14:solidFill>
          </w14:textFill>
        </w:rPr>
        <w:fldChar w:fldCharType="separate"/>
      </w:r>
      <w:r>
        <w:rPr>
          <w:rFonts w:hint="eastAsia" w:ascii="Times New Roman" w:cs="宋体"/>
          <w:color w:val="000000" w:themeColor="text1"/>
          <w:spacing w:val="0"/>
          <w:szCs w:val="21"/>
          <w14:textFill>
            <w14:solidFill>
              <w14:schemeClr w14:val="tx1"/>
            </w14:solidFill>
          </w14:textFill>
        </w:rPr>
        <w:t>①</w:t>
      </w:r>
      <w:r>
        <w:rPr>
          <w:rFonts w:ascii="Times New Roman"/>
          <w:snapToGrid w:val="0"/>
          <w:color w:val="000000" w:themeColor="text1"/>
          <w:spacing w:val="0"/>
          <w:kern w:val="21"/>
          <w:szCs w:val="21"/>
          <w14:textFill>
            <w14:solidFill>
              <w14:schemeClr w14:val="tx1"/>
            </w14:solidFill>
          </w14:textFill>
        </w:rPr>
        <w:fldChar w:fldCharType="end"/>
      </w:r>
    </w:p>
    <w:p w14:paraId="152A752C">
      <w:pPr>
        <w:widowControl/>
        <w:jc w:val="left"/>
        <w:rPr>
          <w:snapToGrid w:val="0"/>
          <w:color w:val="000000" w:themeColor="text1"/>
          <w:kern w:val="21"/>
          <w:sz w:val="2"/>
          <w:szCs w:val="2"/>
          <w14:textFill>
            <w14:solidFill>
              <w14:schemeClr w14:val="tx1"/>
            </w14:solidFill>
          </w14:textFill>
        </w:rPr>
      </w:pP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gbsnu54">
    <w:altName w:val="Times New Roman"/>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57387">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95082">
    <w:pPr>
      <w:pStyle w:val="20"/>
      <w:framePr w:wrap="around" w:vAnchor="text" w:hAnchor="margin" w:xAlign="center" w:y="1"/>
      <w:rPr>
        <w:rStyle w:val="34"/>
      </w:rPr>
    </w:pPr>
    <w:r>
      <w:fldChar w:fldCharType="begin"/>
    </w:r>
    <w:r>
      <w:rPr>
        <w:rStyle w:val="34"/>
      </w:rPr>
      <w:instrText xml:space="preserve">PAGE  </w:instrText>
    </w:r>
    <w:r>
      <w:fldChar w:fldCharType="end"/>
    </w:r>
  </w:p>
  <w:p w14:paraId="4D03879D">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3134046"/>
      <w:docPartObj>
        <w:docPartGallery w:val="autotext"/>
      </w:docPartObj>
    </w:sdtPr>
    <w:sdtContent>
      <w:p w14:paraId="4A19452A">
        <w:pPr>
          <w:pStyle w:val="20"/>
          <w:jc w:val="center"/>
        </w:pPr>
        <w:r>
          <w:fldChar w:fldCharType="begin"/>
        </w:r>
        <w:r>
          <w:instrText xml:space="preserve">PAGE   \* MERGEFORMAT</w:instrText>
        </w:r>
        <w:r>
          <w:fldChar w:fldCharType="separate"/>
        </w:r>
        <w:r>
          <w:rPr>
            <w:lang w:val="zh-CN"/>
          </w:rPr>
          <w:t>2</w:t>
        </w:r>
        <w:r>
          <w:fldChar w:fldCharType="end"/>
        </w:r>
      </w:p>
    </w:sdtContent>
  </w:sdt>
  <w:p w14:paraId="73EC05FE">
    <w:pPr>
      <w:pStyle w:val="2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2667954"/>
      <w:docPartObj>
        <w:docPartGallery w:val="autotext"/>
      </w:docPartObj>
    </w:sdtPr>
    <w:sdtContent>
      <w:p w14:paraId="20D090D5">
        <w:pPr>
          <w:pStyle w:val="20"/>
          <w:jc w:val="center"/>
        </w:pPr>
        <w:r>
          <w:fldChar w:fldCharType="begin"/>
        </w:r>
        <w:r>
          <w:instrText xml:space="preserve">PAGE   \* MERGEFORMAT</w:instrText>
        </w:r>
        <w:r>
          <w:fldChar w:fldCharType="separate"/>
        </w:r>
        <w:r>
          <w:rPr>
            <w:lang w:val="zh-CN"/>
          </w:rPr>
          <w:t>2</w:t>
        </w:r>
        <w:r>
          <w:fldChar w:fldCharType="end"/>
        </w:r>
      </w:p>
    </w:sdtContent>
  </w:sdt>
  <w:p w14:paraId="7CEC9896">
    <w:pPr>
      <w:pStyle w:val="2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58ADD">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03322">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330D6">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6EA88"/>
    <w:multiLevelType w:val="singleLevel"/>
    <w:tmpl w:val="D166EA88"/>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1">
    <w:nsid w:val="24690A55"/>
    <w:multiLevelType w:val="multilevel"/>
    <w:tmpl w:val="24690A55"/>
    <w:lvl w:ilvl="0" w:tentative="0">
      <w:start w:val="1"/>
      <w:numFmt w:val="upperRoman"/>
      <w:lvlText w:val="%1."/>
      <w:lvlJc w:val="left"/>
      <w:pPr>
        <w:tabs>
          <w:tab w:val="left" w:pos="425"/>
        </w:tabs>
        <w:ind w:left="0" w:firstLine="0"/>
      </w:pPr>
    </w:lvl>
    <w:lvl w:ilvl="1" w:tentative="0">
      <w:start w:val="1"/>
      <w:numFmt w:val="upperLetter"/>
      <w:lvlText w:val="%2."/>
      <w:lvlJc w:val="left"/>
      <w:pPr>
        <w:tabs>
          <w:tab w:val="left" w:pos="1505"/>
        </w:tabs>
        <w:ind w:left="1080" w:firstLine="0"/>
      </w:pPr>
    </w:lvl>
    <w:lvl w:ilvl="2" w:tentative="0">
      <w:start w:val="1"/>
      <w:numFmt w:val="decimal"/>
      <w:pStyle w:val="4"/>
      <w:lvlText w:val="%3."/>
      <w:lvlJc w:val="left"/>
      <w:pPr>
        <w:tabs>
          <w:tab w:val="left" w:pos="2126"/>
        </w:tabs>
        <w:ind w:left="1701" w:firstLine="0"/>
      </w:pPr>
    </w:lvl>
    <w:lvl w:ilvl="3" w:tentative="0">
      <w:start w:val="1"/>
      <w:numFmt w:val="lowerLetter"/>
      <w:lvlText w:val="%4)"/>
      <w:lvlJc w:val="left"/>
      <w:pPr>
        <w:tabs>
          <w:tab w:val="left" w:pos="2976"/>
        </w:tabs>
        <w:ind w:left="2551" w:firstLine="0"/>
      </w:pPr>
    </w:lvl>
    <w:lvl w:ilvl="4" w:tentative="0">
      <w:start w:val="1"/>
      <w:numFmt w:val="decimal"/>
      <w:pStyle w:val="6"/>
      <w:lvlText w:val="(%5)"/>
      <w:lvlJc w:val="left"/>
      <w:pPr>
        <w:tabs>
          <w:tab w:val="left" w:pos="3827"/>
        </w:tabs>
        <w:ind w:left="3402" w:firstLine="0"/>
      </w:pPr>
    </w:lvl>
    <w:lvl w:ilvl="5" w:tentative="0">
      <w:start w:val="1"/>
      <w:numFmt w:val="lowerLetter"/>
      <w:lvlText w:val="(%6)"/>
      <w:lvlJc w:val="left"/>
      <w:pPr>
        <w:tabs>
          <w:tab w:val="left" w:pos="4677"/>
        </w:tabs>
        <w:ind w:left="4252" w:firstLine="0"/>
      </w:p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abstractNum w:abstractNumId="2">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lvlRestart w:val="2"/>
      <w:pStyle w:val="94"/>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isplayHorizontalDrawingGridEvery w:val="1"/>
  <w:displayVerticalDrawingGridEvery w:val="1"/>
  <w:noPunctuationKerning w:val="1"/>
  <w:characterSpacingControl w:val="doNotCompress"/>
  <w:noLineBreaksAfter w:lang="zh-CN" w:val="([{·‘“〈《「『【〔〖（．［｛￡￥"/>
  <w:noLineBreaksBefore w:lang="zh-CN" w:val="!),.:;?]}¨·ˇˉ―‖’”…∶、。〃々〉》」』】〕〗！＂＇），．：；？］｀｜｝～￠"/>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wNmMyMWQyNjI5MWViMDc0YjhiNjYzODkwODM2NDIifQ=="/>
  </w:docVars>
  <w:rsids>
    <w:rsidRoot w:val="00172A27"/>
    <w:rsid w:val="0000317B"/>
    <w:rsid w:val="000060B3"/>
    <w:rsid w:val="000272F6"/>
    <w:rsid w:val="00034875"/>
    <w:rsid w:val="00035291"/>
    <w:rsid w:val="00040F6C"/>
    <w:rsid w:val="0004364B"/>
    <w:rsid w:val="00044564"/>
    <w:rsid w:val="00055794"/>
    <w:rsid w:val="00061B1F"/>
    <w:rsid w:val="000733C4"/>
    <w:rsid w:val="00074783"/>
    <w:rsid w:val="0008070B"/>
    <w:rsid w:val="000810AC"/>
    <w:rsid w:val="00081A02"/>
    <w:rsid w:val="00082231"/>
    <w:rsid w:val="00086B08"/>
    <w:rsid w:val="00091C34"/>
    <w:rsid w:val="00092CDB"/>
    <w:rsid w:val="00092D38"/>
    <w:rsid w:val="0009377B"/>
    <w:rsid w:val="00095181"/>
    <w:rsid w:val="000A20C9"/>
    <w:rsid w:val="000A28D9"/>
    <w:rsid w:val="000A63CF"/>
    <w:rsid w:val="000B058F"/>
    <w:rsid w:val="000B4467"/>
    <w:rsid w:val="000B4DB9"/>
    <w:rsid w:val="000B4F4C"/>
    <w:rsid w:val="000B582B"/>
    <w:rsid w:val="000B6B27"/>
    <w:rsid w:val="000C09AC"/>
    <w:rsid w:val="000C767F"/>
    <w:rsid w:val="000D0BEC"/>
    <w:rsid w:val="000D300A"/>
    <w:rsid w:val="000D5A44"/>
    <w:rsid w:val="000D6350"/>
    <w:rsid w:val="000D77DB"/>
    <w:rsid w:val="000E03D4"/>
    <w:rsid w:val="000E0A16"/>
    <w:rsid w:val="000E3ED2"/>
    <w:rsid w:val="000E68DF"/>
    <w:rsid w:val="000F792E"/>
    <w:rsid w:val="0011016E"/>
    <w:rsid w:val="0011206D"/>
    <w:rsid w:val="00115428"/>
    <w:rsid w:val="00117563"/>
    <w:rsid w:val="001250CE"/>
    <w:rsid w:val="00131F42"/>
    <w:rsid w:val="0013249C"/>
    <w:rsid w:val="001357F1"/>
    <w:rsid w:val="00136112"/>
    <w:rsid w:val="001405FA"/>
    <w:rsid w:val="00140FA8"/>
    <w:rsid w:val="001416E8"/>
    <w:rsid w:val="00141A0D"/>
    <w:rsid w:val="00142FEB"/>
    <w:rsid w:val="00143A2D"/>
    <w:rsid w:val="00145A41"/>
    <w:rsid w:val="00151675"/>
    <w:rsid w:val="00157435"/>
    <w:rsid w:val="00164C26"/>
    <w:rsid w:val="0017504D"/>
    <w:rsid w:val="0017671A"/>
    <w:rsid w:val="00177422"/>
    <w:rsid w:val="00181AAF"/>
    <w:rsid w:val="00184590"/>
    <w:rsid w:val="001870D1"/>
    <w:rsid w:val="0018781E"/>
    <w:rsid w:val="00191D2B"/>
    <w:rsid w:val="0019262D"/>
    <w:rsid w:val="00194611"/>
    <w:rsid w:val="00196D6D"/>
    <w:rsid w:val="001A1B35"/>
    <w:rsid w:val="001A48A2"/>
    <w:rsid w:val="001A5AA0"/>
    <w:rsid w:val="001A62EE"/>
    <w:rsid w:val="001A6F61"/>
    <w:rsid w:val="001B72B8"/>
    <w:rsid w:val="001C478C"/>
    <w:rsid w:val="001C69B3"/>
    <w:rsid w:val="001D2511"/>
    <w:rsid w:val="001D3163"/>
    <w:rsid w:val="001D5595"/>
    <w:rsid w:val="001D7874"/>
    <w:rsid w:val="001D7F22"/>
    <w:rsid w:val="001F0F17"/>
    <w:rsid w:val="001F1F6F"/>
    <w:rsid w:val="001F3347"/>
    <w:rsid w:val="001F69E4"/>
    <w:rsid w:val="00202C29"/>
    <w:rsid w:val="0021004B"/>
    <w:rsid w:val="00210E67"/>
    <w:rsid w:val="002125B4"/>
    <w:rsid w:val="002155B8"/>
    <w:rsid w:val="00215C04"/>
    <w:rsid w:val="00224839"/>
    <w:rsid w:val="002249B2"/>
    <w:rsid w:val="00226574"/>
    <w:rsid w:val="00227702"/>
    <w:rsid w:val="002278EC"/>
    <w:rsid w:val="0023194C"/>
    <w:rsid w:val="0023280E"/>
    <w:rsid w:val="002377D1"/>
    <w:rsid w:val="002506BC"/>
    <w:rsid w:val="00254345"/>
    <w:rsid w:val="002562EE"/>
    <w:rsid w:val="00264557"/>
    <w:rsid w:val="00272905"/>
    <w:rsid w:val="002805AB"/>
    <w:rsid w:val="00284204"/>
    <w:rsid w:val="00286007"/>
    <w:rsid w:val="00286914"/>
    <w:rsid w:val="00291773"/>
    <w:rsid w:val="002A168C"/>
    <w:rsid w:val="002A1914"/>
    <w:rsid w:val="002A3DC7"/>
    <w:rsid w:val="002A5221"/>
    <w:rsid w:val="002A67B9"/>
    <w:rsid w:val="002B49E2"/>
    <w:rsid w:val="002B7B00"/>
    <w:rsid w:val="002B7C44"/>
    <w:rsid w:val="002C2B17"/>
    <w:rsid w:val="002D3DD0"/>
    <w:rsid w:val="002E05D2"/>
    <w:rsid w:val="002E1F3A"/>
    <w:rsid w:val="002E298A"/>
    <w:rsid w:val="0030116F"/>
    <w:rsid w:val="00301978"/>
    <w:rsid w:val="0030332C"/>
    <w:rsid w:val="003051C2"/>
    <w:rsid w:val="00311F90"/>
    <w:rsid w:val="00312296"/>
    <w:rsid w:val="00314F0E"/>
    <w:rsid w:val="00321D8E"/>
    <w:rsid w:val="00325928"/>
    <w:rsid w:val="00332863"/>
    <w:rsid w:val="0033684D"/>
    <w:rsid w:val="00337B42"/>
    <w:rsid w:val="003404CC"/>
    <w:rsid w:val="003410E4"/>
    <w:rsid w:val="00341B42"/>
    <w:rsid w:val="0034348F"/>
    <w:rsid w:val="00345E25"/>
    <w:rsid w:val="00350AB6"/>
    <w:rsid w:val="00356653"/>
    <w:rsid w:val="0035743F"/>
    <w:rsid w:val="00357BE2"/>
    <w:rsid w:val="0036170C"/>
    <w:rsid w:val="00366E0F"/>
    <w:rsid w:val="00370059"/>
    <w:rsid w:val="003807F3"/>
    <w:rsid w:val="00381A72"/>
    <w:rsid w:val="00384676"/>
    <w:rsid w:val="00390857"/>
    <w:rsid w:val="003A247E"/>
    <w:rsid w:val="003A4BF3"/>
    <w:rsid w:val="003B420D"/>
    <w:rsid w:val="003C3D0A"/>
    <w:rsid w:val="003C6C16"/>
    <w:rsid w:val="003D794D"/>
    <w:rsid w:val="003E3058"/>
    <w:rsid w:val="003E76A9"/>
    <w:rsid w:val="003F0809"/>
    <w:rsid w:val="003F6A8C"/>
    <w:rsid w:val="003F755C"/>
    <w:rsid w:val="004061FE"/>
    <w:rsid w:val="00406F01"/>
    <w:rsid w:val="0040752A"/>
    <w:rsid w:val="0041353F"/>
    <w:rsid w:val="00414848"/>
    <w:rsid w:val="00416D50"/>
    <w:rsid w:val="00416FD5"/>
    <w:rsid w:val="00417772"/>
    <w:rsid w:val="00420E6A"/>
    <w:rsid w:val="004239F0"/>
    <w:rsid w:val="00425A9E"/>
    <w:rsid w:val="00426D6B"/>
    <w:rsid w:val="00431E6C"/>
    <w:rsid w:val="00433CE7"/>
    <w:rsid w:val="00433F1B"/>
    <w:rsid w:val="00440CD6"/>
    <w:rsid w:val="00446EE9"/>
    <w:rsid w:val="00452738"/>
    <w:rsid w:val="00456091"/>
    <w:rsid w:val="00465597"/>
    <w:rsid w:val="00466321"/>
    <w:rsid w:val="00473E87"/>
    <w:rsid w:val="004801C3"/>
    <w:rsid w:val="00484B9B"/>
    <w:rsid w:val="004855F6"/>
    <w:rsid w:val="0048661E"/>
    <w:rsid w:val="00494670"/>
    <w:rsid w:val="004968F1"/>
    <w:rsid w:val="004A3823"/>
    <w:rsid w:val="004C32F4"/>
    <w:rsid w:val="004C374C"/>
    <w:rsid w:val="004D1B1C"/>
    <w:rsid w:val="004E16BD"/>
    <w:rsid w:val="004E3999"/>
    <w:rsid w:val="004E413B"/>
    <w:rsid w:val="004E42E4"/>
    <w:rsid w:val="004E6946"/>
    <w:rsid w:val="004E7777"/>
    <w:rsid w:val="004E782F"/>
    <w:rsid w:val="004F162A"/>
    <w:rsid w:val="004F1AD8"/>
    <w:rsid w:val="005039CB"/>
    <w:rsid w:val="0050558F"/>
    <w:rsid w:val="00506286"/>
    <w:rsid w:val="00510813"/>
    <w:rsid w:val="00511990"/>
    <w:rsid w:val="00511DE0"/>
    <w:rsid w:val="00514870"/>
    <w:rsid w:val="00514B9B"/>
    <w:rsid w:val="00517F02"/>
    <w:rsid w:val="00522DB6"/>
    <w:rsid w:val="00524303"/>
    <w:rsid w:val="005258A2"/>
    <w:rsid w:val="005401AE"/>
    <w:rsid w:val="00541A77"/>
    <w:rsid w:val="0054295F"/>
    <w:rsid w:val="00542E07"/>
    <w:rsid w:val="00545424"/>
    <w:rsid w:val="00554A7B"/>
    <w:rsid w:val="0055572C"/>
    <w:rsid w:val="0056106A"/>
    <w:rsid w:val="005662BC"/>
    <w:rsid w:val="0056673A"/>
    <w:rsid w:val="00571B82"/>
    <w:rsid w:val="005720AE"/>
    <w:rsid w:val="00586687"/>
    <w:rsid w:val="00587D5B"/>
    <w:rsid w:val="00594D77"/>
    <w:rsid w:val="005969E4"/>
    <w:rsid w:val="00596F35"/>
    <w:rsid w:val="005A06B7"/>
    <w:rsid w:val="005A07E0"/>
    <w:rsid w:val="005A1759"/>
    <w:rsid w:val="005A21D2"/>
    <w:rsid w:val="005A22FD"/>
    <w:rsid w:val="005A3F66"/>
    <w:rsid w:val="005A68A7"/>
    <w:rsid w:val="005B0212"/>
    <w:rsid w:val="005C37D1"/>
    <w:rsid w:val="005C3D78"/>
    <w:rsid w:val="005D36AB"/>
    <w:rsid w:val="005D7E5E"/>
    <w:rsid w:val="005E71DB"/>
    <w:rsid w:val="00610106"/>
    <w:rsid w:val="00617CC3"/>
    <w:rsid w:val="006219C4"/>
    <w:rsid w:val="00625FA6"/>
    <w:rsid w:val="00630769"/>
    <w:rsid w:val="006377A6"/>
    <w:rsid w:val="00637A3D"/>
    <w:rsid w:val="006411EF"/>
    <w:rsid w:val="00641813"/>
    <w:rsid w:val="00646136"/>
    <w:rsid w:val="00652E92"/>
    <w:rsid w:val="00653000"/>
    <w:rsid w:val="00653B1F"/>
    <w:rsid w:val="00665568"/>
    <w:rsid w:val="0066795B"/>
    <w:rsid w:val="006748B8"/>
    <w:rsid w:val="0067750F"/>
    <w:rsid w:val="006775C3"/>
    <w:rsid w:val="00681425"/>
    <w:rsid w:val="0068709B"/>
    <w:rsid w:val="00690C8F"/>
    <w:rsid w:val="0069290A"/>
    <w:rsid w:val="006955B3"/>
    <w:rsid w:val="0069775A"/>
    <w:rsid w:val="00697813"/>
    <w:rsid w:val="006A3EE8"/>
    <w:rsid w:val="006A72BF"/>
    <w:rsid w:val="006B03F2"/>
    <w:rsid w:val="006B37DC"/>
    <w:rsid w:val="006B4F68"/>
    <w:rsid w:val="006C0592"/>
    <w:rsid w:val="006C272E"/>
    <w:rsid w:val="006C5479"/>
    <w:rsid w:val="006D13B5"/>
    <w:rsid w:val="006E12FF"/>
    <w:rsid w:val="006E1498"/>
    <w:rsid w:val="006E3512"/>
    <w:rsid w:val="006E607E"/>
    <w:rsid w:val="00706C5D"/>
    <w:rsid w:val="0072555F"/>
    <w:rsid w:val="007318D2"/>
    <w:rsid w:val="00732922"/>
    <w:rsid w:val="0074075F"/>
    <w:rsid w:val="007457E9"/>
    <w:rsid w:val="0075162E"/>
    <w:rsid w:val="00754034"/>
    <w:rsid w:val="00756556"/>
    <w:rsid w:val="007618C4"/>
    <w:rsid w:val="00762770"/>
    <w:rsid w:val="00767980"/>
    <w:rsid w:val="00770B19"/>
    <w:rsid w:val="00772547"/>
    <w:rsid w:val="0077463F"/>
    <w:rsid w:val="00782D35"/>
    <w:rsid w:val="007836EA"/>
    <w:rsid w:val="00784CDA"/>
    <w:rsid w:val="007906C4"/>
    <w:rsid w:val="007940EA"/>
    <w:rsid w:val="007967E8"/>
    <w:rsid w:val="007A1CC5"/>
    <w:rsid w:val="007A2170"/>
    <w:rsid w:val="007A22BF"/>
    <w:rsid w:val="007A3323"/>
    <w:rsid w:val="007A463A"/>
    <w:rsid w:val="007A60E0"/>
    <w:rsid w:val="007B2A6C"/>
    <w:rsid w:val="007B5096"/>
    <w:rsid w:val="007B72B8"/>
    <w:rsid w:val="007B7A58"/>
    <w:rsid w:val="007C21B5"/>
    <w:rsid w:val="007C478D"/>
    <w:rsid w:val="007C7F96"/>
    <w:rsid w:val="007E3E60"/>
    <w:rsid w:val="007E4BD2"/>
    <w:rsid w:val="007E5B3D"/>
    <w:rsid w:val="007E740D"/>
    <w:rsid w:val="00801393"/>
    <w:rsid w:val="00802F88"/>
    <w:rsid w:val="0081293E"/>
    <w:rsid w:val="00815465"/>
    <w:rsid w:val="008157AE"/>
    <w:rsid w:val="00817E9A"/>
    <w:rsid w:val="008306BD"/>
    <w:rsid w:val="00831A80"/>
    <w:rsid w:val="00833743"/>
    <w:rsid w:val="008340A4"/>
    <w:rsid w:val="00842362"/>
    <w:rsid w:val="00844884"/>
    <w:rsid w:val="00846331"/>
    <w:rsid w:val="008606BA"/>
    <w:rsid w:val="0086198A"/>
    <w:rsid w:val="00864522"/>
    <w:rsid w:val="0087135F"/>
    <w:rsid w:val="00872D94"/>
    <w:rsid w:val="008739E6"/>
    <w:rsid w:val="00880364"/>
    <w:rsid w:val="0088714F"/>
    <w:rsid w:val="00891592"/>
    <w:rsid w:val="00891E9E"/>
    <w:rsid w:val="00893FA5"/>
    <w:rsid w:val="00895426"/>
    <w:rsid w:val="008A2F68"/>
    <w:rsid w:val="008A5F1C"/>
    <w:rsid w:val="008A6561"/>
    <w:rsid w:val="008B28A9"/>
    <w:rsid w:val="008B4FA6"/>
    <w:rsid w:val="008B5282"/>
    <w:rsid w:val="008B7C17"/>
    <w:rsid w:val="008C2D01"/>
    <w:rsid w:val="008C40E6"/>
    <w:rsid w:val="008C6C9F"/>
    <w:rsid w:val="008C7BD9"/>
    <w:rsid w:val="008D0F7A"/>
    <w:rsid w:val="008D138C"/>
    <w:rsid w:val="008D4753"/>
    <w:rsid w:val="008D68E4"/>
    <w:rsid w:val="008E0506"/>
    <w:rsid w:val="008E0CFF"/>
    <w:rsid w:val="008E2BBE"/>
    <w:rsid w:val="008E5D6B"/>
    <w:rsid w:val="008E76F0"/>
    <w:rsid w:val="008F15FE"/>
    <w:rsid w:val="008F2D29"/>
    <w:rsid w:val="008F5187"/>
    <w:rsid w:val="008F60D8"/>
    <w:rsid w:val="008F757C"/>
    <w:rsid w:val="008F7BAF"/>
    <w:rsid w:val="0090053C"/>
    <w:rsid w:val="00902727"/>
    <w:rsid w:val="0090312B"/>
    <w:rsid w:val="0090566E"/>
    <w:rsid w:val="0091375C"/>
    <w:rsid w:val="0091736D"/>
    <w:rsid w:val="00925DBF"/>
    <w:rsid w:val="0093037A"/>
    <w:rsid w:val="0094154D"/>
    <w:rsid w:val="0095155F"/>
    <w:rsid w:val="00954429"/>
    <w:rsid w:val="00954EC9"/>
    <w:rsid w:val="009563CE"/>
    <w:rsid w:val="00962F69"/>
    <w:rsid w:val="009674CD"/>
    <w:rsid w:val="00973CC8"/>
    <w:rsid w:val="00976328"/>
    <w:rsid w:val="0097680D"/>
    <w:rsid w:val="009778A4"/>
    <w:rsid w:val="00982438"/>
    <w:rsid w:val="0098404C"/>
    <w:rsid w:val="00985283"/>
    <w:rsid w:val="00995992"/>
    <w:rsid w:val="009979CE"/>
    <w:rsid w:val="009A03E5"/>
    <w:rsid w:val="009A0F3B"/>
    <w:rsid w:val="009A1BB4"/>
    <w:rsid w:val="009A1EEF"/>
    <w:rsid w:val="009A2628"/>
    <w:rsid w:val="009A3200"/>
    <w:rsid w:val="009A456F"/>
    <w:rsid w:val="009A7CD4"/>
    <w:rsid w:val="009B0897"/>
    <w:rsid w:val="009B0E27"/>
    <w:rsid w:val="009B7BD9"/>
    <w:rsid w:val="009C7DD5"/>
    <w:rsid w:val="009E227D"/>
    <w:rsid w:val="009E5019"/>
    <w:rsid w:val="009F258B"/>
    <w:rsid w:val="00A00819"/>
    <w:rsid w:val="00A04F1B"/>
    <w:rsid w:val="00A0501B"/>
    <w:rsid w:val="00A116BD"/>
    <w:rsid w:val="00A14947"/>
    <w:rsid w:val="00A22079"/>
    <w:rsid w:val="00A270C4"/>
    <w:rsid w:val="00A2721B"/>
    <w:rsid w:val="00A32A83"/>
    <w:rsid w:val="00A335BC"/>
    <w:rsid w:val="00A34266"/>
    <w:rsid w:val="00A347B6"/>
    <w:rsid w:val="00A368DB"/>
    <w:rsid w:val="00A423AA"/>
    <w:rsid w:val="00A42E14"/>
    <w:rsid w:val="00A53AFD"/>
    <w:rsid w:val="00A53EC6"/>
    <w:rsid w:val="00A55C0F"/>
    <w:rsid w:val="00A64376"/>
    <w:rsid w:val="00A7105F"/>
    <w:rsid w:val="00A837B2"/>
    <w:rsid w:val="00A8713F"/>
    <w:rsid w:val="00A8735A"/>
    <w:rsid w:val="00A90BA1"/>
    <w:rsid w:val="00A929F8"/>
    <w:rsid w:val="00A97A9A"/>
    <w:rsid w:val="00AA0671"/>
    <w:rsid w:val="00AA2531"/>
    <w:rsid w:val="00AA27E5"/>
    <w:rsid w:val="00AA3590"/>
    <w:rsid w:val="00AA40D2"/>
    <w:rsid w:val="00AB1812"/>
    <w:rsid w:val="00AB1E09"/>
    <w:rsid w:val="00AB5330"/>
    <w:rsid w:val="00AB7747"/>
    <w:rsid w:val="00AC14CE"/>
    <w:rsid w:val="00AC2A56"/>
    <w:rsid w:val="00AD055E"/>
    <w:rsid w:val="00AD069D"/>
    <w:rsid w:val="00AD29BA"/>
    <w:rsid w:val="00AD47A7"/>
    <w:rsid w:val="00AD584D"/>
    <w:rsid w:val="00AF0CBF"/>
    <w:rsid w:val="00AF257F"/>
    <w:rsid w:val="00AF33CF"/>
    <w:rsid w:val="00AF4D50"/>
    <w:rsid w:val="00AF6179"/>
    <w:rsid w:val="00AF7B07"/>
    <w:rsid w:val="00B00300"/>
    <w:rsid w:val="00B031B3"/>
    <w:rsid w:val="00B05BEE"/>
    <w:rsid w:val="00B06013"/>
    <w:rsid w:val="00B107EF"/>
    <w:rsid w:val="00B1295A"/>
    <w:rsid w:val="00B20A45"/>
    <w:rsid w:val="00B2199B"/>
    <w:rsid w:val="00B22C5C"/>
    <w:rsid w:val="00B24AD8"/>
    <w:rsid w:val="00B24F30"/>
    <w:rsid w:val="00B31ABF"/>
    <w:rsid w:val="00B33BE3"/>
    <w:rsid w:val="00B3412F"/>
    <w:rsid w:val="00B4131B"/>
    <w:rsid w:val="00B53B5D"/>
    <w:rsid w:val="00B6055E"/>
    <w:rsid w:val="00B61F47"/>
    <w:rsid w:val="00B6317D"/>
    <w:rsid w:val="00B6631A"/>
    <w:rsid w:val="00B7723F"/>
    <w:rsid w:val="00B80534"/>
    <w:rsid w:val="00B8433C"/>
    <w:rsid w:val="00B87491"/>
    <w:rsid w:val="00BA29E9"/>
    <w:rsid w:val="00BA3015"/>
    <w:rsid w:val="00BA7142"/>
    <w:rsid w:val="00BB1E72"/>
    <w:rsid w:val="00BB237C"/>
    <w:rsid w:val="00BB41A3"/>
    <w:rsid w:val="00BC32DC"/>
    <w:rsid w:val="00BC35B6"/>
    <w:rsid w:val="00BD1B51"/>
    <w:rsid w:val="00BD4596"/>
    <w:rsid w:val="00BD5532"/>
    <w:rsid w:val="00BE1405"/>
    <w:rsid w:val="00BE312D"/>
    <w:rsid w:val="00BF1C20"/>
    <w:rsid w:val="00BF2C2B"/>
    <w:rsid w:val="00C037B6"/>
    <w:rsid w:val="00C10578"/>
    <w:rsid w:val="00C135BC"/>
    <w:rsid w:val="00C15926"/>
    <w:rsid w:val="00C15C95"/>
    <w:rsid w:val="00C17D82"/>
    <w:rsid w:val="00C21FBF"/>
    <w:rsid w:val="00C2596A"/>
    <w:rsid w:val="00C27537"/>
    <w:rsid w:val="00C324E8"/>
    <w:rsid w:val="00C328FE"/>
    <w:rsid w:val="00C33507"/>
    <w:rsid w:val="00C4409D"/>
    <w:rsid w:val="00C44E72"/>
    <w:rsid w:val="00C45A06"/>
    <w:rsid w:val="00C45E57"/>
    <w:rsid w:val="00C47E5B"/>
    <w:rsid w:val="00C61E4B"/>
    <w:rsid w:val="00C64BFF"/>
    <w:rsid w:val="00C65742"/>
    <w:rsid w:val="00C66711"/>
    <w:rsid w:val="00C704E9"/>
    <w:rsid w:val="00C746D9"/>
    <w:rsid w:val="00C74CEB"/>
    <w:rsid w:val="00C763C9"/>
    <w:rsid w:val="00C80057"/>
    <w:rsid w:val="00C82232"/>
    <w:rsid w:val="00C82913"/>
    <w:rsid w:val="00C832F8"/>
    <w:rsid w:val="00C86158"/>
    <w:rsid w:val="00C972B1"/>
    <w:rsid w:val="00CA2CCE"/>
    <w:rsid w:val="00CA3E19"/>
    <w:rsid w:val="00CA43FD"/>
    <w:rsid w:val="00CA7EF8"/>
    <w:rsid w:val="00CC442A"/>
    <w:rsid w:val="00CC489B"/>
    <w:rsid w:val="00CD2BCD"/>
    <w:rsid w:val="00CD3A4C"/>
    <w:rsid w:val="00CD5E19"/>
    <w:rsid w:val="00CD7F50"/>
    <w:rsid w:val="00CE10E9"/>
    <w:rsid w:val="00CE2910"/>
    <w:rsid w:val="00CE31F7"/>
    <w:rsid w:val="00CE5393"/>
    <w:rsid w:val="00CF36BE"/>
    <w:rsid w:val="00CF389F"/>
    <w:rsid w:val="00CF6000"/>
    <w:rsid w:val="00CF6C7E"/>
    <w:rsid w:val="00D003F3"/>
    <w:rsid w:val="00D022BA"/>
    <w:rsid w:val="00D0364F"/>
    <w:rsid w:val="00D06834"/>
    <w:rsid w:val="00D13841"/>
    <w:rsid w:val="00D16A5F"/>
    <w:rsid w:val="00D308ED"/>
    <w:rsid w:val="00D36D86"/>
    <w:rsid w:val="00D428AA"/>
    <w:rsid w:val="00D432B3"/>
    <w:rsid w:val="00D50A34"/>
    <w:rsid w:val="00D52E8F"/>
    <w:rsid w:val="00D53EFA"/>
    <w:rsid w:val="00D571D6"/>
    <w:rsid w:val="00D607AA"/>
    <w:rsid w:val="00D64406"/>
    <w:rsid w:val="00D74F2F"/>
    <w:rsid w:val="00D81D3F"/>
    <w:rsid w:val="00D91713"/>
    <w:rsid w:val="00D94A7C"/>
    <w:rsid w:val="00D95896"/>
    <w:rsid w:val="00DA3EA5"/>
    <w:rsid w:val="00DA5326"/>
    <w:rsid w:val="00DB11FC"/>
    <w:rsid w:val="00DB2983"/>
    <w:rsid w:val="00DC1257"/>
    <w:rsid w:val="00DC2AA7"/>
    <w:rsid w:val="00DC3DC0"/>
    <w:rsid w:val="00DC5B2B"/>
    <w:rsid w:val="00DD318D"/>
    <w:rsid w:val="00DF153D"/>
    <w:rsid w:val="00DF2C50"/>
    <w:rsid w:val="00DF2E12"/>
    <w:rsid w:val="00DF4E13"/>
    <w:rsid w:val="00DF514A"/>
    <w:rsid w:val="00DF6690"/>
    <w:rsid w:val="00DF6804"/>
    <w:rsid w:val="00E0358D"/>
    <w:rsid w:val="00E04323"/>
    <w:rsid w:val="00E070A2"/>
    <w:rsid w:val="00E1126B"/>
    <w:rsid w:val="00E14F24"/>
    <w:rsid w:val="00E16707"/>
    <w:rsid w:val="00E21269"/>
    <w:rsid w:val="00E2656A"/>
    <w:rsid w:val="00E35190"/>
    <w:rsid w:val="00E412D0"/>
    <w:rsid w:val="00E56322"/>
    <w:rsid w:val="00E57F0E"/>
    <w:rsid w:val="00E60982"/>
    <w:rsid w:val="00E62C62"/>
    <w:rsid w:val="00E654C1"/>
    <w:rsid w:val="00E65D97"/>
    <w:rsid w:val="00E72A5A"/>
    <w:rsid w:val="00E73354"/>
    <w:rsid w:val="00E806A3"/>
    <w:rsid w:val="00E9025F"/>
    <w:rsid w:val="00E91277"/>
    <w:rsid w:val="00E9242D"/>
    <w:rsid w:val="00EB5255"/>
    <w:rsid w:val="00EB5C47"/>
    <w:rsid w:val="00EB74F7"/>
    <w:rsid w:val="00EC271B"/>
    <w:rsid w:val="00EC6558"/>
    <w:rsid w:val="00ED0639"/>
    <w:rsid w:val="00ED4B09"/>
    <w:rsid w:val="00ED6369"/>
    <w:rsid w:val="00EE2C33"/>
    <w:rsid w:val="00EE5AA6"/>
    <w:rsid w:val="00EF060D"/>
    <w:rsid w:val="00EF4634"/>
    <w:rsid w:val="00EF4755"/>
    <w:rsid w:val="00EF7135"/>
    <w:rsid w:val="00F027DB"/>
    <w:rsid w:val="00F04E45"/>
    <w:rsid w:val="00F13D69"/>
    <w:rsid w:val="00F14A7A"/>
    <w:rsid w:val="00F15F70"/>
    <w:rsid w:val="00F22985"/>
    <w:rsid w:val="00F25BDF"/>
    <w:rsid w:val="00F3383E"/>
    <w:rsid w:val="00F34808"/>
    <w:rsid w:val="00F43910"/>
    <w:rsid w:val="00F4578A"/>
    <w:rsid w:val="00F465A7"/>
    <w:rsid w:val="00F50B7C"/>
    <w:rsid w:val="00F550E6"/>
    <w:rsid w:val="00F56215"/>
    <w:rsid w:val="00F73E76"/>
    <w:rsid w:val="00F74050"/>
    <w:rsid w:val="00F74345"/>
    <w:rsid w:val="00F80A0A"/>
    <w:rsid w:val="00F82B19"/>
    <w:rsid w:val="00F9212D"/>
    <w:rsid w:val="00F965DA"/>
    <w:rsid w:val="00FA406A"/>
    <w:rsid w:val="00FB3CE5"/>
    <w:rsid w:val="00FB503A"/>
    <w:rsid w:val="00FB516C"/>
    <w:rsid w:val="00FC2ED2"/>
    <w:rsid w:val="00FC3711"/>
    <w:rsid w:val="00FC3E1B"/>
    <w:rsid w:val="00FD0236"/>
    <w:rsid w:val="00FD18F4"/>
    <w:rsid w:val="00FD54DB"/>
    <w:rsid w:val="00FD619F"/>
    <w:rsid w:val="00FE7923"/>
    <w:rsid w:val="00FF2895"/>
    <w:rsid w:val="011949CD"/>
    <w:rsid w:val="01290F7E"/>
    <w:rsid w:val="012D66CB"/>
    <w:rsid w:val="013C06BC"/>
    <w:rsid w:val="014179AC"/>
    <w:rsid w:val="015B4FE6"/>
    <w:rsid w:val="015D1E09"/>
    <w:rsid w:val="0176597C"/>
    <w:rsid w:val="019E4ED3"/>
    <w:rsid w:val="022D7ED3"/>
    <w:rsid w:val="024843B8"/>
    <w:rsid w:val="025F0B06"/>
    <w:rsid w:val="02697903"/>
    <w:rsid w:val="029A38EC"/>
    <w:rsid w:val="02DA018C"/>
    <w:rsid w:val="02ED1C6E"/>
    <w:rsid w:val="02ED6112"/>
    <w:rsid w:val="02F96569"/>
    <w:rsid w:val="02FC6355"/>
    <w:rsid w:val="031306A7"/>
    <w:rsid w:val="031E0683"/>
    <w:rsid w:val="034D344C"/>
    <w:rsid w:val="03CB1875"/>
    <w:rsid w:val="03EA7B21"/>
    <w:rsid w:val="03EE2141"/>
    <w:rsid w:val="03F11232"/>
    <w:rsid w:val="04212517"/>
    <w:rsid w:val="045342FA"/>
    <w:rsid w:val="04650D32"/>
    <w:rsid w:val="047B2AB9"/>
    <w:rsid w:val="04893C18"/>
    <w:rsid w:val="04964A25"/>
    <w:rsid w:val="04BC4BEF"/>
    <w:rsid w:val="04C5566D"/>
    <w:rsid w:val="052140C5"/>
    <w:rsid w:val="055565A5"/>
    <w:rsid w:val="055B61CA"/>
    <w:rsid w:val="055C30DB"/>
    <w:rsid w:val="056D52E8"/>
    <w:rsid w:val="0593685B"/>
    <w:rsid w:val="05B11678"/>
    <w:rsid w:val="05F83EAE"/>
    <w:rsid w:val="05FE23E4"/>
    <w:rsid w:val="0608596B"/>
    <w:rsid w:val="06155A2B"/>
    <w:rsid w:val="063A2498"/>
    <w:rsid w:val="063E7D85"/>
    <w:rsid w:val="068C5C42"/>
    <w:rsid w:val="069B6CCC"/>
    <w:rsid w:val="06BF7D82"/>
    <w:rsid w:val="06EA6B24"/>
    <w:rsid w:val="06EE25FF"/>
    <w:rsid w:val="07047ECE"/>
    <w:rsid w:val="070E0EFE"/>
    <w:rsid w:val="07293586"/>
    <w:rsid w:val="07295285"/>
    <w:rsid w:val="07375B44"/>
    <w:rsid w:val="074D7A78"/>
    <w:rsid w:val="07632E46"/>
    <w:rsid w:val="07636392"/>
    <w:rsid w:val="07663572"/>
    <w:rsid w:val="07770C56"/>
    <w:rsid w:val="07926EDC"/>
    <w:rsid w:val="07A44149"/>
    <w:rsid w:val="07C43A23"/>
    <w:rsid w:val="07F835C1"/>
    <w:rsid w:val="08122176"/>
    <w:rsid w:val="08395719"/>
    <w:rsid w:val="086E55FF"/>
    <w:rsid w:val="088A62C2"/>
    <w:rsid w:val="08BD6586"/>
    <w:rsid w:val="08F22718"/>
    <w:rsid w:val="08F3287C"/>
    <w:rsid w:val="090137FA"/>
    <w:rsid w:val="090D408D"/>
    <w:rsid w:val="092217DD"/>
    <w:rsid w:val="092E2FE0"/>
    <w:rsid w:val="093A7294"/>
    <w:rsid w:val="094A025A"/>
    <w:rsid w:val="095B153D"/>
    <w:rsid w:val="098205B6"/>
    <w:rsid w:val="09970B85"/>
    <w:rsid w:val="09A45050"/>
    <w:rsid w:val="09C9785C"/>
    <w:rsid w:val="0A263993"/>
    <w:rsid w:val="0A2D3AC2"/>
    <w:rsid w:val="0A2D637A"/>
    <w:rsid w:val="0A5B1BB3"/>
    <w:rsid w:val="0A7257AE"/>
    <w:rsid w:val="0AA755DF"/>
    <w:rsid w:val="0AA9130F"/>
    <w:rsid w:val="0AF470A4"/>
    <w:rsid w:val="0B120D44"/>
    <w:rsid w:val="0B144E55"/>
    <w:rsid w:val="0B280BE4"/>
    <w:rsid w:val="0B640F3B"/>
    <w:rsid w:val="0B92607E"/>
    <w:rsid w:val="0B980BE5"/>
    <w:rsid w:val="0BD27BF6"/>
    <w:rsid w:val="0BE300B2"/>
    <w:rsid w:val="0BF73B5D"/>
    <w:rsid w:val="0C27052E"/>
    <w:rsid w:val="0C3B3C7D"/>
    <w:rsid w:val="0C423793"/>
    <w:rsid w:val="0C4F74F5"/>
    <w:rsid w:val="0C71390F"/>
    <w:rsid w:val="0C8353F1"/>
    <w:rsid w:val="0C8A7A6F"/>
    <w:rsid w:val="0C8F2C33"/>
    <w:rsid w:val="0C9709A3"/>
    <w:rsid w:val="0CAB2EAE"/>
    <w:rsid w:val="0CC24FC1"/>
    <w:rsid w:val="0D022C62"/>
    <w:rsid w:val="0D0273AB"/>
    <w:rsid w:val="0D23498C"/>
    <w:rsid w:val="0D261FE0"/>
    <w:rsid w:val="0D3112F1"/>
    <w:rsid w:val="0D3F33D7"/>
    <w:rsid w:val="0D4032E2"/>
    <w:rsid w:val="0D49663A"/>
    <w:rsid w:val="0D496C4D"/>
    <w:rsid w:val="0D4C612B"/>
    <w:rsid w:val="0D56592B"/>
    <w:rsid w:val="0D5A43A4"/>
    <w:rsid w:val="0D621C7D"/>
    <w:rsid w:val="0D6D5D30"/>
    <w:rsid w:val="0D957AD2"/>
    <w:rsid w:val="0DA2626D"/>
    <w:rsid w:val="0DB52802"/>
    <w:rsid w:val="0DC66295"/>
    <w:rsid w:val="0DD100A9"/>
    <w:rsid w:val="0DE3083D"/>
    <w:rsid w:val="0E460A03"/>
    <w:rsid w:val="0E721BC1"/>
    <w:rsid w:val="0E73034D"/>
    <w:rsid w:val="0EB06E41"/>
    <w:rsid w:val="0EC8767D"/>
    <w:rsid w:val="0F13775A"/>
    <w:rsid w:val="0F173E0C"/>
    <w:rsid w:val="0F4672D5"/>
    <w:rsid w:val="0F501F02"/>
    <w:rsid w:val="0F5F45FE"/>
    <w:rsid w:val="0F7077F0"/>
    <w:rsid w:val="0F8E47D8"/>
    <w:rsid w:val="0F9A112B"/>
    <w:rsid w:val="0FA07E42"/>
    <w:rsid w:val="0FD54DDA"/>
    <w:rsid w:val="0FEE3025"/>
    <w:rsid w:val="10142F30"/>
    <w:rsid w:val="1017410C"/>
    <w:rsid w:val="101747CE"/>
    <w:rsid w:val="102E1829"/>
    <w:rsid w:val="106D2F64"/>
    <w:rsid w:val="10710382"/>
    <w:rsid w:val="10904678"/>
    <w:rsid w:val="10A11BCB"/>
    <w:rsid w:val="10B63710"/>
    <w:rsid w:val="10EA0D83"/>
    <w:rsid w:val="10F10820"/>
    <w:rsid w:val="111C2F7A"/>
    <w:rsid w:val="114525FF"/>
    <w:rsid w:val="115061C4"/>
    <w:rsid w:val="11567578"/>
    <w:rsid w:val="11665CA1"/>
    <w:rsid w:val="118440E5"/>
    <w:rsid w:val="11B5604C"/>
    <w:rsid w:val="11EE5A02"/>
    <w:rsid w:val="11FF19BD"/>
    <w:rsid w:val="12105979"/>
    <w:rsid w:val="12301E14"/>
    <w:rsid w:val="12304DF0"/>
    <w:rsid w:val="123526EB"/>
    <w:rsid w:val="125A3098"/>
    <w:rsid w:val="12751C80"/>
    <w:rsid w:val="12D11CBB"/>
    <w:rsid w:val="135534DD"/>
    <w:rsid w:val="137B32C6"/>
    <w:rsid w:val="13951726"/>
    <w:rsid w:val="139A348A"/>
    <w:rsid w:val="13AA5567"/>
    <w:rsid w:val="13BA3984"/>
    <w:rsid w:val="140C5536"/>
    <w:rsid w:val="141C6857"/>
    <w:rsid w:val="142F2A6F"/>
    <w:rsid w:val="14396509"/>
    <w:rsid w:val="143C79A7"/>
    <w:rsid w:val="14C52466"/>
    <w:rsid w:val="14C8253B"/>
    <w:rsid w:val="14CE2AB7"/>
    <w:rsid w:val="14DD2C3C"/>
    <w:rsid w:val="1520048F"/>
    <w:rsid w:val="152E4A94"/>
    <w:rsid w:val="15D121F3"/>
    <w:rsid w:val="15D171CD"/>
    <w:rsid w:val="15D27813"/>
    <w:rsid w:val="16087E1D"/>
    <w:rsid w:val="16144B43"/>
    <w:rsid w:val="167A1674"/>
    <w:rsid w:val="16A42B33"/>
    <w:rsid w:val="16EE6E50"/>
    <w:rsid w:val="16F75359"/>
    <w:rsid w:val="175023F8"/>
    <w:rsid w:val="17502639"/>
    <w:rsid w:val="175468D6"/>
    <w:rsid w:val="17701D14"/>
    <w:rsid w:val="17735226"/>
    <w:rsid w:val="17824C23"/>
    <w:rsid w:val="17915520"/>
    <w:rsid w:val="17F37712"/>
    <w:rsid w:val="18194E5B"/>
    <w:rsid w:val="18292A8B"/>
    <w:rsid w:val="18700F1F"/>
    <w:rsid w:val="187A7FF0"/>
    <w:rsid w:val="189F624C"/>
    <w:rsid w:val="18A35B4B"/>
    <w:rsid w:val="18BF35EA"/>
    <w:rsid w:val="18FD210C"/>
    <w:rsid w:val="190B6E9A"/>
    <w:rsid w:val="19267830"/>
    <w:rsid w:val="192C0B37"/>
    <w:rsid w:val="1945139C"/>
    <w:rsid w:val="195425EF"/>
    <w:rsid w:val="196917A6"/>
    <w:rsid w:val="19A05512"/>
    <w:rsid w:val="19A5109C"/>
    <w:rsid w:val="19DF151F"/>
    <w:rsid w:val="19E70544"/>
    <w:rsid w:val="1A1C66C0"/>
    <w:rsid w:val="1A42393B"/>
    <w:rsid w:val="1A86723E"/>
    <w:rsid w:val="1A8C7C9B"/>
    <w:rsid w:val="1A8F4E78"/>
    <w:rsid w:val="1AAD45DE"/>
    <w:rsid w:val="1AB55F47"/>
    <w:rsid w:val="1B0437FA"/>
    <w:rsid w:val="1B046F80"/>
    <w:rsid w:val="1B3267B5"/>
    <w:rsid w:val="1B40161D"/>
    <w:rsid w:val="1B441859"/>
    <w:rsid w:val="1B5771AB"/>
    <w:rsid w:val="1B5E1503"/>
    <w:rsid w:val="1B6606B1"/>
    <w:rsid w:val="1B8146AA"/>
    <w:rsid w:val="1B846C34"/>
    <w:rsid w:val="1B8A4407"/>
    <w:rsid w:val="1B8C2514"/>
    <w:rsid w:val="1BD04680"/>
    <w:rsid w:val="1BF55BC6"/>
    <w:rsid w:val="1C24198D"/>
    <w:rsid w:val="1C337284"/>
    <w:rsid w:val="1C505E98"/>
    <w:rsid w:val="1C542AC3"/>
    <w:rsid w:val="1C573145"/>
    <w:rsid w:val="1C5E7925"/>
    <w:rsid w:val="1C6074FD"/>
    <w:rsid w:val="1C6E1C1A"/>
    <w:rsid w:val="1C760791"/>
    <w:rsid w:val="1C807250"/>
    <w:rsid w:val="1CDE4EE6"/>
    <w:rsid w:val="1CF17B27"/>
    <w:rsid w:val="1CFD070F"/>
    <w:rsid w:val="1D214EDE"/>
    <w:rsid w:val="1D281EC5"/>
    <w:rsid w:val="1D4B5AB7"/>
    <w:rsid w:val="1D547B75"/>
    <w:rsid w:val="1D5F6196"/>
    <w:rsid w:val="1D6132A5"/>
    <w:rsid w:val="1D630C4E"/>
    <w:rsid w:val="1D8E29C0"/>
    <w:rsid w:val="1D8E56D5"/>
    <w:rsid w:val="1D8F0099"/>
    <w:rsid w:val="1DA5166B"/>
    <w:rsid w:val="1DCE694D"/>
    <w:rsid w:val="1DF75C3F"/>
    <w:rsid w:val="1E283E3B"/>
    <w:rsid w:val="1E4470D6"/>
    <w:rsid w:val="1E4D29C0"/>
    <w:rsid w:val="1E566E09"/>
    <w:rsid w:val="1E5E181A"/>
    <w:rsid w:val="1E7A43DA"/>
    <w:rsid w:val="1E813B10"/>
    <w:rsid w:val="1E890F8D"/>
    <w:rsid w:val="1EA71413"/>
    <w:rsid w:val="1EAF02C7"/>
    <w:rsid w:val="1EC51899"/>
    <w:rsid w:val="1F020419"/>
    <w:rsid w:val="1F280AA0"/>
    <w:rsid w:val="1F2871AC"/>
    <w:rsid w:val="1F2C36C6"/>
    <w:rsid w:val="1F7A7D72"/>
    <w:rsid w:val="1F975606"/>
    <w:rsid w:val="1FA4561B"/>
    <w:rsid w:val="1FBF453A"/>
    <w:rsid w:val="1FD56455"/>
    <w:rsid w:val="1FE7539E"/>
    <w:rsid w:val="1FFD6DD2"/>
    <w:rsid w:val="204F395D"/>
    <w:rsid w:val="20671BE0"/>
    <w:rsid w:val="2079293B"/>
    <w:rsid w:val="208C266E"/>
    <w:rsid w:val="20963CB8"/>
    <w:rsid w:val="20A81A1B"/>
    <w:rsid w:val="20B07FB6"/>
    <w:rsid w:val="20B62B3E"/>
    <w:rsid w:val="20B646FB"/>
    <w:rsid w:val="20BC7BF5"/>
    <w:rsid w:val="20BE2D82"/>
    <w:rsid w:val="20DD4A3D"/>
    <w:rsid w:val="21287BFA"/>
    <w:rsid w:val="213B74B1"/>
    <w:rsid w:val="214660E5"/>
    <w:rsid w:val="21472A39"/>
    <w:rsid w:val="215018EE"/>
    <w:rsid w:val="215A2310"/>
    <w:rsid w:val="21741C96"/>
    <w:rsid w:val="21797736"/>
    <w:rsid w:val="217C0935"/>
    <w:rsid w:val="21821CC3"/>
    <w:rsid w:val="21AD6D40"/>
    <w:rsid w:val="21DE318A"/>
    <w:rsid w:val="21EF5B80"/>
    <w:rsid w:val="21F93D33"/>
    <w:rsid w:val="21FC38B5"/>
    <w:rsid w:val="22390498"/>
    <w:rsid w:val="22576990"/>
    <w:rsid w:val="225D4A8A"/>
    <w:rsid w:val="22804455"/>
    <w:rsid w:val="228F6446"/>
    <w:rsid w:val="22F47480"/>
    <w:rsid w:val="230A01C2"/>
    <w:rsid w:val="2330691C"/>
    <w:rsid w:val="23370B16"/>
    <w:rsid w:val="234D067D"/>
    <w:rsid w:val="2366364A"/>
    <w:rsid w:val="237F295E"/>
    <w:rsid w:val="238E2BA1"/>
    <w:rsid w:val="23977CA8"/>
    <w:rsid w:val="23D507D0"/>
    <w:rsid w:val="23D74AC0"/>
    <w:rsid w:val="23DE1C48"/>
    <w:rsid w:val="23E32EED"/>
    <w:rsid w:val="240210CD"/>
    <w:rsid w:val="241035B6"/>
    <w:rsid w:val="242552B4"/>
    <w:rsid w:val="246001CD"/>
    <w:rsid w:val="246A772A"/>
    <w:rsid w:val="24B134DC"/>
    <w:rsid w:val="24BA6925"/>
    <w:rsid w:val="24BF09F7"/>
    <w:rsid w:val="24CB4D99"/>
    <w:rsid w:val="24CE5BC8"/>
    <w:rsid w:val="24E32A79"/>
    <w:rsid w:val="24F9512E"/>
    <w:rsid w:val="25162E4E"/>
    <w:rsid w:val="25180974"/>
    <w:rsid w:val="252D53FE"/>
    <w:rsid w:val="254259F1"/>
    <w:rsid w:val="255E7880"/>
    <w:rsid w:val="256718FC"/>
    <w:rsid w:val="258567C1"/>
    <w:rsid w:val="259C4E59"/>
    <w:rsid w:val="25AC730F"/>
    <w:rsid w:val="25EC2D81"/>
    <w:rsid w:val="25F77567"/>
    <w:rsid w:val="260D5FFF"/>
    <w:rsid w:val="261E645E"/>
    <w:rsid w:val="262F65DE"/>
    <w:rsid w:val="268362C1"/>
    <w:rsid w:val="268C7923"/>
    <w:rsid w:val="26AA7247"/>
    <w:rsid w:val="26E054C2"/>
    <w:rsid w:val="27004655"/>
    <w:rsid w:val="27070CA1"/>
    <w:rsid w:val="271F0537"/>
    <w:rsid w:val="27395E67"/>
    <w:rsid w:val="275859A0"/>
    <w:rsid w:val="276205CD"/>
    <w:rsid w:val="277057A2"/>
    <w:rsid w:val="27764078"/>
    <w:rsid w:val="278109B5"/>
    <w:rsid w:val="27A72484"/>
    <w:rsid w:val="27AA5AD0"/>
    <w:rsid w:val="27B54BA0"/>
    <w:rsid w:val="28041684"/>
    <w:rsid w:val="283B7AA0"/>
    <w:rsid w:val="283C0E1E"/>
    <w:rsid w:val="284B2E0F"/>
    <w:rsid w:val="28537F15"/>
    <w:rsid w:val="28687E65"/>
    <w:rsid w:val="286A598B"/>
    <w:rsid w:val="286F7236"/>
    <w:rsid w:val="287E4A58"/>
    <w:rsid w:val="289A5B44"/>
    <w:rsid w:val="28A8200F"/>
    <w:rsid w:val="28C42FAB"/>
    <w:rsid w:val="28DA0AB8"/>
    <w:rsid w:val="28FC5C7E"/>
    <w:rsid w:val="290A5C6F"/>
    <w:rsid w:val="29206EB8"/>
    <w:rsid w:val="292A511A"/>
    <w:rsid w:val="29595666"/>
    <w:rsid w:val="295977AD"/>
    <w:rsid w:val="29671ECA"/>
    <w:rsid w:val="29874881"/>
    <w:rsid w:val="298E7457"/>
    <w:rsid w:val="29E325E0"/>
    <w:rsid w:val="29F32C1A"/>
    <w:rsid w:val="29FE3128"/>
    <w:rsid w:val="2A070D58"/>
    <w:rsid w:val="2A32072A"/>
    <w:rsid w:val="2A4246F8"/>
    <w:rsid w:val="2A452503"/>
    <w:rsid w:val="2A6B5235"/>
    <w:rsid w:val="2A7A3E7F"/>
    <w:rsid w:val="2AA2158F"/>
    <w:rsid w:val="2AA7002E"/>
    <w:rsid w:val="2AC33076"/>
    <w:rsid w:val="2AD6555A"/>
    <w:rsid w:val="2B013EA2"/>
    <w:rsid w:val="2B1B1BFA"/>
    <w:rsid w:val="2B1F6C5D"/>
    <w:rsid w:val="2B8D5761"/>
    <w:rsid w:val="2B986852"/>
    <w:rsid w:val="2BA936A8"/>
    <w:rsid w:val="2BE06B00"/>
    <w:rsid w:val="2BE710A1"/>
    <w:rsid w:val="2C153E60"/>
    <w:rsid w:val="2C271DE5"/>
    <w:rsid w:val="2C2755A2"/>
    <w:rsid w:val="2C315A5A"/>
    <w:rsid w:val="2C4B1C25"/>
    <w:rsid w:val="2C4E1120"/>
    <w:rsid w:val="2C5D5807"/>
    <w:rsid w:val="2C673E48"/>
    <w:rsid w:val="2C7613BB"/>
    <w:rsid w:val="2CA376BD"/>
    <w:rsid w:val="2CB46A7B"/>
    <w:rsid w:val="2CE67DCE"/>
    <w:rsid w:val="2D340315"/>
    <w:rsid w:val="2D7B5132"/>
    <w:rsid w:val="2D877C4E"/>
    <w:rsid w:val="2D88252C"/>
    <w:rsid w:val="2D9631E2"/>
    <w:rsid w:val="2D9B3AAF"/>
    <w:rsid w:val="2D9E56F5"/>
    <w:rsid w:val="2DB256DE"/>
    <w:rsid w:val="2DB4377E"/>
    <w:rsid w:val="2DBA2F11"/>
    <w:rsid w:val="2DC21C36"/>
    <w:rsid w:val="2DF37CE9"/>
    <w:rsid w:val="2E5179AA"/>
    <w:rsid w:val="2E5513E2"/>
    <w:rsid w:val="2E667F96"/>
    <w:rsid w:val="2E69445F"/>
    <w:rsid w:val="2E8226AB"/>
    <w:rsid w:val="2E853F5E"/>
    <w:rsid w:val="2E9758C4"/>
    <w:rsid w:val="2ED07168"/>
    <w:rsid w:val="2ED27DE6"/>
    <w:rsid w:val="2EE30FCA"/>
    <w:rsid w:val="2EE93E1C"/>
    <w:rsid w:val="2EF20488"/>
    <w:rsid w:val="2F6548BF"/>
    <w:rsid w:val="2F8A246F"/>
    <w:rsid w:val="2FD065E6"/>
    <w:rsid w:val="2FD31C0A"/>
    <w:rsid w:val="2FD96870"/>
    <w:rsid w:val="300C37CC"/>
    <w:rsid w:val="30186D18"/>
    <w:rsid w:val="301D6293"/>
    <w:rsid w:val="3042411E"/>
    <w:rsid w:val="30550CCF"/>
    <w:rsid w:val="30580BC9"/>
    <w:rsid w:val="30874C00"/>
    <w:rsid w:val="30BD6874"/>
    <w:rsid w:val="30E42D10"/>
    <w:rsid w:val="30F25646"/>
    <w:rsid w:val="310B6F5E"/>
    <w:rsid w:val="311E2ED7"/>
    <w:rsid w:val="315619EE"/>
    <w:rsid w:val="315C449C"/>
    <w:rsid w:val="3161677C"/>
    <w:rsid w:val="317F3AAD"/>
    <w:rsid w:val="31A273ED"/>
    <w:rsid w:val="31B47C77"/>
    <w:rsid w:val="31B82709"/>
    <w:rsid w:val="31B82E65"/>
    <w:rsid w:val="31C205E6"/>
    <w:rsid w:val="31C679AA"/>
    <w:rsid w:val="31D05482"/>
    <w:rsid w:val="31EF6F01"/>
    <w:rsid w:val="31F42769"/>
    <w:rsid w:val="31FF4DC9"/>
    <w:rsid w:val="32171FB4"/>
    <w:rsid w:val="32400B34"/>
    <w:rsid w:val="32477596"/>
    <w:rsid w:val="3265202B"/>
    <w:rsid w:val="32675C30"/>
    <w:rsid w:val="326D7A8B"/>
    <w:rsid w:val="329E6876"/>
    <w:rsid w:val="32A8185C"/>
    <w:rsid w:val="32B07CAF"/>
    <w:rsid w:val="32C752E7"/>
    <w:rsid w:val="32D16548"/>
    <w:rsid w:val="32DA1F1D"/>
    <w:rsid w:val="330778FE"/>
    <w:rsid w:val="330C38CA"/>
    <w:rsid w:val="332112B5"/>
    <w:rsid w:val="333015F2"/>
    <w:rsid w:val="334B6320"/>
    <w:rsid w:val="33557238"/>
    <w:rsid w:val="33A2497B"/>
    <w:rsid w:val="33B96854"/>
    <w:rsid w:val="33BB11D7"/>
    <w:rsid w:val="33C341A1"/>
    <w:rsid w:val="33D934D4"/>
    <w:rsid w:val="33EF53CF"/>
    <w:rsid w:val="33FB507D"/>
    <w:rsid w:val="33FE2F6A"/>
    <w:rsid w:val="34000F51"/>
    <w:rsid w:val="34096175"/>
    <w:rsid w:val="340C5001"/>
    <w:rsid w:val="340E07E5"/>
    <w:rsid w:val="340F25B1"/>
    <w:rsid w:val="34235BF7"/>
    <w:rsid w:val="34273B20"/>
    <w:rsid w:val="34332A77"/>
    <w:rsid w:val="343435B3"/>
    <w:rsid w:val="348E7BCC"/>
    <w:rsid w:val="34DF26A4"/>
    <w:rsid w:val="34E268A9"/>
    <w:rsid w:val="34F07218"/>
    <w:rsid w:val="34F71A81"/>
    <w:rsid w:val="35386C3E"/>
    <w:rsid w:val="356869BA"/>
    <w:rsid w:val="35694415"/>
    <w:rsid w:val="358677AD"/>
    <w:rsid w:val="358C5FA8"/>
    <w:rsid w:val="35957DBF"/>
    <w:rsid w:val="35977305"/>
    <w:rsid w:val="35C15DF1"/>
    <w:rsid w:val="35E05660"/>
    <w:rsid w:val="35F25212"/>
    <w:rsid w:val="35F27884"/>
    <w:rsid w:val="35FA3038"/>
    <w:rsid w:val="36074A7F"/>
    <w:rsid w:val="363268B0"/>
    <w:rsid w:val="363C37FD"/>
    <w:rsid w:val="36443ED0"/>
    <w:rsid w:val="364D069A"/>
    <w:rsid w:val="3664544C"/>
    <w:rsid w:val="3667175C"/>
    <w:rsid w:val="36826596"/>
    <w:rsid w:val="368F480F"/>
    <w:rsid w:val="36923549"/>
    <w:rsid w:val="369E16CD"/>
    <w:rsid w:val="36B75FBF"/>
    <w:rsid w:val="36BD0C45"/>
    <w:rsid w:val="36BE1E78"/>
    <w:rsid w:val="36C83E63"/>
    <w:rsid w:val="37087B71"/>
    <w:rsid w:val="372501DF"/>
    <w:rsid w:val="37406C32"/>
    <w:rsid w:val="374755F6"/>
    <w:rsid w:val="375A79D0"/>
    <w:rsid w:val="37606725"/>
    <w:rsid w:val="376763E1"/>
    <w:rsid w:val="378114F3"/>
    <w:rsid w:val="378E2D18"/>
    <w:rsid w:val="37A83DDA"/>
    <w:rsid w:val="37E00298"/>
    <w:rsid w:val="37EF5949"/>
    <w:rsid w:val="37F511F2"/>
    <w:rsid w:val="38082E10"/>
    <w:rsid w:val="38152550"/>
    <w:rsid w:val="382E6848"/>
    <w:rsid w:val="3833171E"/>
    <w:rsid w:val="38584AC4"/>
    <w:rsid w:val="386D58EB"/>
    <w:rsid w:val="38787C50"/>
    <w:rsid w:val="38817FD9"/>
    <w:rsid w:val="388D52AC"/>
    <w:rsid w:val="38954B7C"/>
    <w:rsid w:val="38AF6E19"/>
    <w:rsid w:val="38B302F9"/>
    <w:rsid w:val="38D1110E"/>
    <w:rsid w:val="38F12CD3"/>
    <w:rsid w:val="38F94775"/>
    <w:rsid w:val="390D2369"/>
    <w:rsid w:val="392971ED"/>
    <w:rsid w:val="39325651"/>
    <w:rsid w:val="393403C1"/>
    <w:rsid w:val="39605333"/>
    <w:rsid w:val="396E0785"/>
    <w:rsid w:val="39831B86"/>
    <w:rsid w:val="39D260A7"/>
    <w:rsid w:val="39FE4185"/>
    <w:rsid w:val="3A085004"/>
    <w:rsid w:val="3A1C5AD0"/>
    <w:rsid w:val="3A1E4827"/>
    <w:rsid w:val="3A253DB7"/>
    <w:rsid w:val="3A255BB6"/>
    <w:rsid w:val="3A377880"/>
    <w:rsid w:val="3A3A17EB"/>
    <w:rsid w:val="3A4B3142"/>
    <w:rsid w:val="3A8721A8"/>
    <w:rsid w:val="3A872856"/>
    <w:rsid w:val="3ACE7FFB"/>
    <w:rsid w:val="3B3763D1"/>
    <w:rsid w:val="3B5878C5"/>
    <w:rsid w:val="3B982A20"/>
    <w:rsid w:val="3BF762E7"/>
    <w:rsid w:val="3BFE66BE"/>
    <w:rsid w:val="3C006010"/>
    <w:rsid w:val="3C2F6E1E"/>
    <w:rsid w:val="3C4F64BA"/>
    <w:rsid w:val="3C677D0F"/>
    <w:rsid w:val="3C942B7F"/>
    <w:rsid w:val="3CA20B6B"/>
    <w:rsid w:val="3CDA245A"/>
    <w:rsid w:val="3CE641E0"/>
    <w:rsid w:val="3D1E06B7"/>
    <w:rsid w:val="3D8E3A72"/>
    <w:rsid w:val="3D953BBE"/>
    <w:rsid w:val="3DBF3C2B"/>
    <w:rsid w:val="3DC96858"/>
    <w:rsid w:val="3DCE273D"/>
    <w:rsid w:val="3DDF607B"/>
    <w:rsid w:val="3DF00289"/>
    <w:rsid w:val="3DF05BE8"/>
    <w:rsid w:val="3DF83714"/>
    <w:rsid w:val="3E1E0B52"/>
    <w:rsid w:val="3E317A73"/>
    <w:rsid w:val="3E524A9F"/>
    <w:rsid w:val="3E8B434B"/>
    <w:rsid w:val="3E9A01F4"/>
    <w:rsid w:val="3EDA0523"/>
    <w:rsid w:val="3EF90566"/>
    <w:rsid w:val="3F261A88"/>
    <w:rsid w:val="3F6C1B91"/>
    <w:rsid w:val="3F6F1681"/>
    <w:rsid w:val="3F780371"/>
    <w:rsid w:val="3FD10489"/>
    <w:rsid w:val="3FD60359"/>
    <w:rsid w:val="3FE0432D"/>
    <w:rsid w:val="3FFD0A3B"/>
    <w:rsid w:val="400022D9"/>
    <w:rsid w:val="4012098A"/>
    <w:rsid w:val="401F30A7"/>
    <w:rsid w:val="402C30CE"/>
    <w:rsid w:val="4057639D"/>
    <w:rsid w:val="407A6407"/>
    <w:rsid w:val="408217BD"/>
    <w:rsid w:val="4092574A"/>
    <w:rsid w:val="40C8729B"/>
    <w:rsid w:val="40D774DE"/>
    <w:rsid w:val="40F57964"/>
    <w:rsid w:val="40FF1047"/>
    <w:rsid w:val="4100653B"/>
    <w:rsid w:val="41024FB4"/>
    <w:rsid w:val="41151DB4"/>
    <w:rsid w:val="412070D7"/>
    <w:rsid w:val="412C44DD"/>
    <w:rsid w:val="41661B76"/>
    <w:rsid w:val="41717932"/>
    <w:rsid w:val="417A49E3"/>
    <w:rsid w:val="41820F87"/>
    <w:rsid w:val="41B976AE"/>
    <w:rsid w:val="41D92442"/>
    <w:rsid w:val="41DB2FFE"/>
    <w:rsid w:val="4200449D"/>
    <w:rsid w:val="421A3B26"/>
    <w:rsid w:val="42366486"/>
    <w:rsid w:val="423A3BCC"/>
    <w:rsid w:val="423A7D24"/>
    <w:rsid w:val="423E37F0"/>
    <w:rsid w:val="42461EC8"/>
    <w:rsid w:val="424E57D2"/>
    <w:rsid w:val="42AE426E"/>
    <w:rsid w:val="42B26C49"/>
    <w:rsid w:val="42DE0EC0"/>
    <w:rsid w:val="42E048A0"/>
    <w:rsid w:val="42FF7CB7"/>
    <w:rsid w:val="43281BA1"/>
    <w:rsid w:val="43344C13"/>
    <w:rsid w:val="433A6FE6"/>
    <w:rsid w:val="43480868"/>
    <w:rsid w:val="4350713C"/>
    <w:rsid w:val="43617533"/>
    <w:rsid w:val="436653E0"/>
    <w:rsid w:val="43913F0E"/>
    <w:rsid w:val="4391606A"/>
    <w:rsid w:val="439A1164"/>
    <w:rsid w:val="43B16F20"/>
    <w:rsid w:val="43BC0491"/>
    <w:rsid w:val="43C4431A"/>
    <w:rsid w:val="43D358AB"/>
    <w:rsid w:val="44006D4C"/>
    <w:rsid w:val="446F7A2D"/>
    <w:rsid w:val="44894F93"/>
    <w:rsid w:val="44A1718A"/>
    <w:rsid w:val="44A41DCD"/>
    <w:rsid w:val="44B32010"/>
    <w:rsid w:val="44B951CC"/>
    <w:rsid w:val="44CD14E0"/>
    <w:rsid w:val="44D073D9"/>
    <w:rsid w:val="44F20B0B"/>
    <w:rsid w:val="44FC5765"/>
    <w:rsid w:val="45071184"/>
    <w:rsid w:val="451C6096"/>
    <w:rsid w:val="452E5F4C"/>
    <w:rsid w:val="453C3DB3"/>
    <w:rsid w:val="455346F1"/>
    <w:rsid w:val="455F026C"/>
    <w:rsid w:val="45605CF4"/>
    <w:rsid w:val="45612018"/>
    <w:rsid w:val="458946E9"/>
    <w:rsid w:val="4589785A"/>
    <w:rsid w:val="45A47C0E"/>
    <w:rsid w:val="45C809AD"/>
    <w:rsid w:val="45C85647"/>
    <w:rsid w:val="45DA5FAC"/>
    <w:rsid w:val="45DD1501"/>
    <w:rsid w:val="45FC0CDF"/>
    <w:rsid w:val="46040D75"/>
    <w:rsid w:val="461B118E"/>
    <w:rsid w:val="461B60BF"/>
    <w:rsid w:val="46577FD6"/>
    <w:rsid w:val="46A85A0C"/>
    <w:rsid w:val="46C10A14"/>
    <w:rsid w:val="46D955A7"/>
    <w:rsid w:val="46E27991"/>
    <w:rsid w:val="46E42955"/>
    <w:rsid w:val="46E93AC7"/>
    <w:rsid w:val="47081408"/>
    <w:rsid w:val="47133957"/>
    <w:rsid w:val="474C107E"/>
    <w:rsid w:val="47A07E0C"/>
    <w:rsid w:val="47FD4576"/>
    <w:rsid w:val="481806BC"/>
    <w:rsid w:val="483E6094"/>
    <w:rsid w:val="486A6E89"/>
    <w:rsid w:val="4870272E"/>
    <w:rsid w:val="48A64365"/>
    <w:rsid w:val="48BC712F"/>
    <w:rsid w:val="48C2073F"/>
    <w:rsid w:val="48D83C43"/>
    <w:rsid w:val="48E05833"/>
    <w:rsid w:val="49017A99"/>
    <w:rsid w:val="495D72B2"/>
    <w:rsid w:val="49654661"/>
    <w:rsid w:val="49C8030C"/>
    <w:rsid w:val="49CF3529"/>
    <w:rsid w:val="49DC7715"/>
    <w:rsid w:val="49E5377D"/>
    <w:rsid w:val="49EB5DA8"/>
    <w:rsid w:val="49F70276"/>
    <w:rsid w:val="49F7258C"/>
    <w:rsid w:val="49FA3644"/>
    <w:rsid w:val="4A023139"/>
    <w:rsid w:val="4A1953F1"/>
    <w:rsid w:val="4A640851"/>
    <w:rsid w:val="4A7B576F"/>
    <w:rsid w:val="4A8F38DA"/>
    <w:rsid w:val="4A965D14"/>
    <w:rsid w:val="4AE42F23"/>
    <w:rsid w:val="4AEC627C"/>
    <w:rsid w:val="4AF561A9"/>
    <w:rsid w:val="4B1B43AF"/>
    <w:rsid w:val="4B2772B4"/>
    <w:rsid w:val="4B5A7A13"/>
    <w:rsid w:val="4B8E651F"/>
    <w:rsid w:val="4BA360CD"/>
    <w:rsid w:val="4BE125DA"/>
    <w:rsid w:val="4BF215DC"/>
    <w:rsid w:val="4C0E1CC4"/>
    <w:rsid w:val="4C0F494A"/>
    <w:rsid w:val="4C1C66ED"/>
    <w:rsid w:val="4C4A0649"/>
    <w:rsid w:val="4C7E5ECA"/>
    <w:rsid w:val="4C876AA5"/>
    <w:rsid w:val="4C9D5A7F"/>
    <w:rsid w:val="4CA30BBC"/>
    <w:rsid w:val="4CB16E35"/>
    <w:rsid w:val="4CC51A03"/>
    <w:rsid w:val="4D0E00FB"/>
    <w:rsid w:val="4D176606"/>
    <w:rsid w:val="4D2834AF"/>
    <w:rsid w:val="4D3F622C"/>
    <w:rsid w:val="4D4C4E9F"/>
    <w:rsid w:val="4D541217"/>
    <w:rsid w:val="4D570052"/>
    <w:rsid w:val="4D5A1F9D"/>
    <w:rsid w:val="4D603F5E"/>
    <w:rsid w:val="4D8652B8"/>
    <w:rsid w:val="4DA05357"/>
    <w:rsid w:val="4DB95DD6"/>
    <w:rsid w:val="4DBA3214"/>
    <w:rsid w:val="4DBC3FDA"/>
    <w:rsid w:val="4DC92260"/>
    <w:rsid w:val="4DEC4FB0"/>
    <w:rsid w:val="4E075D8A"/>
    <w:rsid w:val="4E1D411F"/>
    <w:rsid w:val="4E715B63"/>
    <w:rsid w:val="4E956D0F"/>
    <w:rsid w:val="4E977536"/>
    <w:rsid w:val="4EC00FAD"/>
    <w:rsid w:val="4EE3108F"/>
    <w:rsid w:val="4EF5797F"/>
    <w:rsid w:val="4F161B19"/>
    <w:rsid w:val="4F2C2FDF"/>
    <w:rsid w:val="4F4C72E9"/>
    <w:rsid w:val="4F581277"/>
    <w:rsid w:val="4F5A2306"/>
    <w:rsid w:val="4F5A37B4"/>
    <w:rsid w:val="4F5D5052"/>
    <w:rsid w:val="4F8C25F6"/>
    <w:rsid w:val="4F8E75F4"/>
    <w:rsid w:val="4F9843DC"/>
    <w:rsid w:val="4F9C3DCC"/>
    <w:rsid w:val="4F9F566B"/>
    <w:rsid w:val="4FC62A8C"/>
    <w:rsid w:val="4FE20F0D"/>
    <w:rsid w:val="4FE51552"/>
    <w:rsid w:val="50141FA4"/>
    <w:rsid w:val="50504C4B"/>
    <w:rsid w:val="505969CF"/>
    <w:rsid w:val="509C6E7C"/>
    <w:rsid w:val="50AB5C6B"/>
    <w:rsid w:val="50C4417C"/>
    <w:rsid w:val="510870F7"/>
    <w:rsid w:val="51165E00"/>
    <w:rsid w:val="514C35D0"/>
    <w:rsid w:val="515E55B0"/>
    <w:rsid w:val="5162104E"/>
    <w:rsid w:val="516708B0"/>
    <w:rsid w:val="519079A0"/>
    <w:rsid w:val="51917235"/>
    <w:rsid w:val="51C27A56"/>
    <w:rsid w:val="51C27D36"/>
    <w:rsid w:val="51CF1732"/>
    <w:rsid w:val="51F223CA"/>
    <w:rsid w:val="51F24576"/>
    <w:rsid w:val="51FC3E74"/>
    <w:rsid w:val="521A1920"/>
    <w:rsid w:val="523B7B7B"/>
    <w:rsid w:val="5268268C"/>
    <w:rsid w:val="52687F2F"/>
    <w:rsid w:val="528154FB"/>
    <w:rsid w:val="52880638"/>
    <w:rsid w:val="52C33D66"/>
    <w:rsid w:val="52C964B7"/>
    <w:rsid w:val="52CB6E86"/>
    <w:rsid w:val="52F97788"/>
    <w:rsid w:val="53364538"/>
    <w:rsid w:val="53370878"/>
    <w:rsid w:val="535A6478"/>
    <w:rsid w:val="535A6E67"/>
    <w:rsid w:val="536A378A"/>
    <w:rsid w:val="536E1968"/>
    <w:rsid w:val="53A039CC"/>
    <w:rsid w:val="53A1505A"/>
    <w:rsid w:val="53B11E10"/>
    <w:rsid w:val="53C733E2"/>
    <w:rsid w:val="54063E08"/>
    <w:rsid w:val="54164915"/>
    <w:rsid w:val="542B62D5"/>
    <w:rsid w:val="543437E8"/>
    <w:rsid w:val="54754BEC"/>
    <w:rsid w:val="547F129F"/>
    <w:rsid w:val="54D1276A"/>
    <w:rsid w:val="54F73313"/>
    <w:rsid w:val="54F80955"/>
    <w:rsid w:val="54F84F90"/>
    <w:rsid w:val="55124B31"/>
    <w:rsid w:val="555170A7"/>
    <w:rsid w:val="5564374E"/>
    <w:rsid w:val="556E7FB9"/>
    <w:rsid w:val="5579070C"/>
    <w:rsid w:val="5587107B"/>
    <w:rsid w:val="5587536D"/>
    <w:rsid w:val="558A7726"/>
    <w:rsid w:val="558E2409"/>
    <w:rsid w:val="55932BD4"/>
    <w:rsid w:val="559411A4"/>
    <w:rsid w:val="55983288"/>
    <w:rsid w:val="559B174B"/>
    <w:rsid w:val="55AF2D18"/>
    <w:rsid w:val="55CE0CF4"/>
    <w:rsid w:val="55F75258"/>
    <w:rsid w:val="55F77D8C"/>
    <w:rsid w:val="562E2E04"/>
    <w:rsid w:val="56387CC9"/>
    <w:rsid w:val="568B4B9B"/>
    <w:rsid w:val="569F59C6"/>
    <w:rsid w:val="56B22A9C"/>
    <w:rsid w:val="56D54497"/>
    <w:rsid w:val="56F05E93"/>
    <w:rsid w:val="56F937F2"/>
    <w:rsid w:val="571330D3"/>
    <w:rsid w:val="57221CD0"/>
    <w:rsid w:val="572F2D43"/>
    <w:rsid w:val="574D3DFE"/>
    <w:rsid w:val="5766640D"/>
    <w:rsid w:val="57942197"/>
    <w:rsid w:val="57B72A76"/>
    <w:rsid w:val="57B974E6"/>
    <w:rsid w:val="57C06AC6"/>
    <w:rsid w:val="57C3426C"/>
    <w:rsid w:val="57CE1F93"/>
    <w:rsid w:val="57E91B79"/>
    <w:rsid w:val="580544D9"/>
    <w:rsid w:val="583537E6"/>
    <w:rsid w:val="58407D85"/>
    <w:rsid w:val="586B52B2"/>
    <w:rsid w:val="588743D1"/>
    <w:rsid w:val="5887701A"/>
    <w:rsid w:val="58A12453"/>
    <w:rsid w:val="58AE4529"/>
    <w:rsid w:val="58BD3905"/>
    <w:rsid w:val="58E63664"/>
    <w:rsid w:val="58F9403E"/>
    <w:rsid w:val="59172F86"/>
    <w:rsid w:val="5918416F"/>
    <w:rsid w:val="59351B2D"/>
    <w:rsid w:val="59B91ACE"/>
    <w:rsid w:val="59BE51FF"/>
    <w:rsid w:val="59BE5287"/>
    <w:rsid w:val="59C0439F"/>
    <w:rsid w:val="59C100A3"/>
    <w:rsid w:val="59DB2A03"/>
    <w:rsid w:val="59FD7B5D"/>
    <w:rsid w:val="5A13112F"/>
    <w:rsid w:val="5A1A7879"/>
    <w:rsid w:val="5A306039"/>
    <w:rsid w:val="5A4D0992"/>
    <w:rsid w:val="5A571237"/>
    <w:rsid w:val="5A5C002F"/>
    <w:rsid w:val="5A7359B6"/>
    <w:rsid w:val="5A8365DE"/>
    <w:rsid w:val="5AA91A93"/>
    <w:rsid w:val="5ABE2233"/>
    <w:rsid w:val="5ADC4ABF"/>
    <w:rsid w:val="5AE66844"/>
    <w:rsid w:val="5AF56A87"/>
    <w:rsid w:val="5AF86289"/>
    <w:rsid w:val="5B2630E4"/>
    <w:rsid w:val="5B286E5C"/>
    <w:rsid w:val="5B602EE4"/>
    <w:rsid w:val="5B79092D"/>
    <w:rsid w:val="5B8C18BC"/>
    <w:rsid w:val="5B977B3E"/>
    <w:rsid w:val="5BAA25DC"/>
    <w:rsid w:val="5BD46800"/>
    <w:rsid w:val="5BDF5D95"/>
    <w:rsid w:val="5BEE4B07"/>
    <w:rsid w:val="5BFE7528"/>
    <w:rsid w:val="5C2F1BBF"/>
    <w:rsid w:val="5C7D0879"/>
    <w:rsid w:val="5CB464A7"/>
    <w:rsid w:val="5CDF179C"/>
    <w:rsid w:val="5D2418A5"/>
    <w:rsid w:val="5D4974FA"/>
    <w:rsid w:val="5D7A5920"/>
    <w:rsid w:val="5D8B36D2"/>
    <w:rsid w:val="5D8E4107"/>
    <w:rsid w:val="5DA8577C"/>
    <w:rsid w:val="5DAD3061"/>
    <w:rsid w:val="5DF13B52"/>
    <w:rsid w:val="5DF539F8"/>
    <w:rsid w:val="5E13116E"/>
    <w:rsid w:val="5E1824ED"/>
    <w:rsid w:val="5E2467F1"/>
    <w:rsid w:val="5E2C27BF"/>
    <w:rsid w:val="5E4F2DC5"/>
    <w:rsid w:val="5E59557E"/>
    <w:rsid w:val="5EAD5C4E"/>
    <w:rsid w:val="5EDF3CD6"/>
    <w:rsid w:val="5F036867"/>
    <w:rsid w:val="5F1A2B43"/>
    <w:rsid w:val="5F393B78"/>
    <w:rsid w:val="5F595873"/>
    <w:rsid w:val="5F64242D"/>
    <w:rsid w:val="5F69359F"/>
    <w:rsid w:val="5FB837BB"/>
    <w:rsid w:val="5FCE4BE3"/>
    <w:rsid w:val="600C34E9"/>
    <w:rsid w:val="60146D2D"/>
    <w:rsid w:val="603172B6"/>
    <w:rsid w:val="606D5311"/>
    <w:rsid w:val="60B62814"/>
    <w:rsid w:val="60CC405A"/>
    <w:rsid w:val="60DA29A7"/>
    <w:rsid w:val="610D7E9D"/>
    <w:rsid w:val="61333F86"/>
    <w:rsid w:val="614A57AA"/>
    <w:rsid w:val="61581B1D"/>
    <w:rsid w:val="61B50D1E"/>
    <w:rsid w:val="61C12ECE"/>
    <w:rsid w:val="61C3168D"/>
    <w:rsid w:val="61D76EE6"/>
    <w:rsid w:val="61E215D8"/>
    <w:rsid w:val="61EA6C19"/>
    <w:rsid w:val="61EB473F"/>
    <w:rsid w:val="621B3775"/>
    <w:rsid w:val="621C6F75"/>
    <w:rsid w:val="62364782"/>
    <w:rsid w:val="625E13B5"/>
    <w:rsid w:val="62BD7466"/>
    <w:rsid w:val="62C74D6F"/>
    <w:rsid w:val="62D8228A"/>
    <w:rsid w:val="62E53885"/>
    <w:rsid w:val="62F615EE"/>
    <w:rsid w:val="62F63C01"/>
    <w:rsid w:val="63043D0B"/>
    <w:rsid w:val="63251D36"/>
    <w:rsid w:val="63422A85"/>
    <w:rsid w:val="636A5B5C"/>
    <w:rsid w:val="63715118"/>
    <w:rsid w:val="63770981"/>
    <w:rsid w:val="6394356A"/>
    <w:rsid w:val="639E415F"/>
    <w:rsid w:val="63A772E9"/>
    <w:rsid w:val="63B21CEA"/>
    <w:rsid w:val="63BC6393"/>
    <w:rsid w:val="63BF586B"/>
    <w:rsid w:val="63C61B2C"/>
    <w:rsid w:val="63D40BE9"/>
    <w:rsid w:val="63FA6EBC"/>
    <w:rsid w:val="640F0BB9"/>
    <w:rsid w:val="64102431"/>
    <w:rsid w:val="64236413"/>
    <w:rsid w:val="642926E9"/>
    <w:rsid w:val="642D134C"/>
    <w:rsid w:val="643B434D"/>
    <w:rsid w:val="6450251E"/>
    <w:rsid w:val="64561B5C"/>
    <w:rsid w:val="646D58E0"/>
    <w:rsid w:val="64801AB7"/>
    <w:rsid w:val="648A46E4"/>
    <w:rsid w:val="64A5243A"/>
    <w:rsid w:val="64B508F6"/>
    <w:rsid w:val="64E22403"/>
    <w:rsid w:val="64E77E1F"/>
    <w:rsid w:val="64F531DE"/>
    <w:rsid w:val="64FB2EEB"/>
    <w:rsid w:val="65114EFB"/>
    <w:rsid w:val="65373578"/>
    <w:rsid w:val="656942F9"/>
    <w:rsid w:val="65870C23"/>
    <w:rsid w:val="6598698C"/>
    <w:rsid w:val="65AC068A"/>
    <w:rsid w:val="65B654C1"/>
    <w:rsid w:val="65C22D26"/>
    <w:rsid w:val="65E240AB"/>
    <w:rsid w:val="65E41D35"/>
    <w:rsid w:val="65EB11B2"/>
    <w:rsid w:val="65F20792"/>
    <w:rsid w:val="65FD5337"/>
    <w:rsid w:val="6615153D"/>
    <w:rsid w:val="662242CD"/>
    <w:rsid w:val="662B15AE"/>
    <w:rsid w:val="665705F5"/>
    <w:rsid w:val="6669050E"/>
    <w:rsid w:val="66713A67"/>
    <w:rsid w:val="66971D88"/>
    <w:rsid w:val="66AF5D8A"/>
    <w:rsid w:val="66D6776C"/>
    <w:rsid w:val="66DE0D17"/>
    <w:rsid w:val="66F2031E"/>
    <w:rsid w:val="66F622B5"/>
    <w:rsid w:val="66F81DD8"/>
    <w:rsid w:val="671F124A"/>
    <w:rsid w:val="673831D7"/>
    <w:rsid w:val="673C7C4B"/>
    <w:rsid w:val="6762146F"/>
    <w:rsid w:val="677A33C6"/>
    <w:rsid w:val="67C543FE"/>
    <w:rsid w:val="67CF069A"/>
    <w:rsid w:val="67DB517C"/>
    <w:rsid w:val="67E73BFB"/>
    <w:rsid w:val="681F6961"/>
    <w:rsid w:val="685A617B"/>
    <w:rsid w:val="685C1945"/>
    <w:rsid w:val="68610A2F"/>
    <w:rsid w:val="6873723D"/>
    <w:rsid w:val="687C087F"/>
    <w:rsid w:val="68805514"/>
    <w:rsid w:val="689478DF"/>
    <w:rsid w:val="68BE670A"/>
    <w:rsid w:val="68D51CA5"/>
    <w:rsid w:val="68E17DB6"/>
    <w:rsid w:val="68FB5860"/>
    <w:rsid w:val="690A5DF3"/>
    <w:rsid w:val="690F7A5F"/>
    <w:rsid w:val="691379E1"/>
    <w:rsid w:val="691E01A2"/>
    <w:rsid w:val="69316E2F"/>
    <w:rsid w:val="694E2071"/>
    <w:rsid w:val="69766163"/>
    <w:rsid w:val="697A3B33"/>
    <w:rsid w:val="697D2A6B"/>
    <w:rsid w:val="69A566EB"/>
    <w:rsid w:val="69AE7562"/>
    <w:rsid w:val="69D44760"/>
    <w:rsid w:val="6A1811F2"/>
    <w:rsid w:val="6A2717C4"/>
    <w:rsid w:val="6A2D2598"/>
    <w:rsid w:val="6A3F7D1E"/>
    <w:rsid w:val="6A415844"/>
    <w:rsid w:val="6A520EC7"/>
    <w:rsid w:val="6A9C26DF"/>
    <w:rsid w:val="6AAB00D2"/>
    <w:rsid w:val="6AE54422"/>
    <w:rsid w:val="6AF64881"/>
    <w:rsid w:val="6AF87E20"/>
    <w:rsid w:val="6AFB6E09"/>
    <w:rsid w:val="6B0853DB"/>
    <w:rsid w:val="6B0A20DA"/>
    <w:rsid w:val="6B0C558D"/>
    <w:rsid w:val="6B244F62"/>
    <w:rsid w:val="6B322639"/>
    <w:rsid w:val="6B426526"/>
    <w:rsid w:val="6B6970BF"/>
    <w:rsid w:val="6B78643D"/>
    <w:rsid w:val="6B932CE7"/>
    <w:rsid w:val="6B9D4CFC"/>
    <w:rsid w:val="6BB60D75"/>
    <w:rsid w:val="6BE11263"/>
    <w:rsid w:val="6BF84629"/>
    <w:rsid w:val="6C1721B9"/>
    <w:rsid w:val="6C30791F"/>
    <w:rsid w:val="6C5D3861"/>
    <w:rsid w:val="6C60067B"/>
    <w:rsid w:val="6C636C38"/>
    <w:rsid w:val="6C8639E2"/>
    <w:rsid w:val="6C92516B"/>
    <w:rsid w:val="6CB217B3"/>
    <w:rsid w:val="6CB70040"/>
    <w:rsid w:val="6CC62031"/>
    <w:rsid w:val="6CCF7653"/>
    <w:rsid w:val="6D020114"/>
    <w:rsid w:val="6D035033"/>
    <w:rsid w:val="6D0472F1"/>
    <w:rsid w:val="6D1E18F3"/>
    <w:rsid w:val="6D2531FB"/>
    <w:rsid w:val="6D2E310C"/>
    <w:rsid w:val="6D4A7ED7"/>
    <w:rsid w:val="6D741A8D"/>
    <w:rsid w:val="6D74233B"/>
    <w:rsid w:val="6D774B35"/>
    <w:rsid w:val="6D7C7BCE"/>
    <w:rsid w:val="6D8A2782"/>
    <w:rsid w:val="6D8F4B19"/>
    <w:rsid w:val="6DB34098"/>
    <w:rsid w:val="6DB545B6"/>
    <w:rsid w:val="6DBF6906"/>
    <w:rsid w:val="6DE02FB4"/>
    <w:rsid w:val="6DFB4ED0"/>
    <w:rsid w:val="6E0E0133"/>
    <w:rsid w:val="6E462757"/>
    <w:rsid w:val="6E514CED"/>
    <w:rsid w:val="6E6543DB"/>
    <w:rsid w:val="6E873A42"/>
    <w:rsid w:val="6E895A0C"/>
    <w:rsid w:val="6EB563D5"/>
    <w:rsid w:val="6EB91396"/>
    <w:rsid w:val="6EC425A0"/>
    <w:rsid w:val="6ECC12E1"/>
    <w:rsid w:val="6ED56ED3"/>
    <w:rsid w:val="6ED6057E"/>
    <w:rsid w:val="6ED92677"/>
    <w:rsid w:val="6EFC7F8C"/>
    <w:rsid w:val="6F06455E"/>
    <w:rsid w:val="6F085B50"/>
    <w:rsid w:val="6F0F4163"/>
    <w:rsid w:val="6F225983"/>
    <w:rsid w:val="6F3B56CB"/>
    <w:rsid w:val="6F4134C7"/>
    <w:rsid w:val="6F985B97"/>
    <w:rsid w:val="6FBD2D10"/>
    <w:rsid w:val="6FBE2607"/>
    <w:rsid w:val="6FD93590"/>
    <w:rsid w:val="6FF06983"/>
    <w:rsid w:val="6FFB44AD"/>
    <w:rsid w:val="6FFC5590"/>
    <w:rsid w:val="7018393D"/>
    <w:rsid w:val="701A2DBF"/>
    <w:rsid w:val="702E23C7"/>
    <w:rsid w:val="706A7177"/>
    <w:rsid w:val="706D1DD0"/>
    <w:rsid w:val="708404D0"/>
    <w:rsid w:val="70856B87"/>
    <w:rsid w:val="70C35A0C"/>
    <w:rsid w:val="70D01A23"/>
    <w:rsid w:val="70D527EE"/>
    <w:rsid w:val="70D6480D"/>
    <w:rsid w:val="70E94540"/>
    <w:rsid w:val="70F120D5"/>
    <w:rsid w:val="70F467DE"/>
    <w:rsid w:val="71204CB7"/>
    <w:rsid w:val="71205DF5"/>
    <w:rsid w:val="715B5300"/>
    <w:rsid w:val="716E0F7F"/>
    <w:rsid w:val="719721EE"/>
    <w:rsid w:val="71B40FF2"/>
    <w:rsid w:val="71D27F8A"/>
    <w:rsid w:val="71EC253A"/>
    <w:rsid w:val="71FA7E5F"/>
    <w:rsid w:val="722A477D"/>
    <w:rsid w:val="7238752D"/>
    <w:rsid w:val="725162FB"/>
    <w:rsid w:val="725400DF"/>
    <w:rsid w:val="72553024"/>
    <w:rsid w:val="727802C3"/>
    <w:rsid w:val="728F0EBB"/>
    <w:rsid w:val="72A615BC"/>
    <w:rsid w:val="72B75947"/>
    <w:rsid w:val="72BB1F0C"/>
    <w:rsid w:val="72CF4160"/>
    <w:rsid w:val="72D603E0"/>
    <w:rsid w:val="72DB7E23"/>
    <w:rsid w:val="73117D7E"/>
    <w:rsid w:val="73122968"/>
    <w:rsid w:val="7318735E"/>
    <w:rsid w:val="731F5D5E"/>
    <w:rsid w:val="73316DA0"/>
    <w:rsid w:val="73474AFA"/>
    <w:rsid w:val="734760B3"/>
    <w:rsid w:val="736E6C15"/>
    <w:rsid w:val="737F44AC"/>
    <w:rsid w:val="738F012E"/>
    <w:rsid w:val="739015EB"/>
    <w:rsid w:val="73995769"/>
    <w:rsid w:val="73C51AD5"/>
    <w:rsid w:val="73DB2D1F"/>
    <w:rsid w:val="74024296"/>
    <w:rsid w:val="741E793C"/>
    <w:rsid w:val="743F72AA"/>
    <w:rsid w:val="7448091B"/>
    <w:rsid w:val="745E3944"/>
    <w:rsid w:val="746834CF"/>
    <w:rsid w:val="746A5998"/>
    <w:rsid w:val="74720AF7"/>
    <w:rsid w:val="74861F4B"/>
    <w:rsid w:val="748811B2"/>
    <w:rsid w:val="7491561A"/>
    <w:rsid w:val="749869A9"/>
    <w:rsid w:val="749A3AE2"/>
    <w:rsid w:val="74AC4202"/>
    <w:rsid w:val="74EC0AA3"/>
    <w:rsid w:val="750D2EF3"/>
    <w:rsid w:val="750F0896"/>
    <w:rsid w:val="753C65BA"/>
    <w:rsid w:val="7544443B"/>
    <w:rsid w:val="7545102E"/>
    <w:rsid w:val="75483F2B"/>
    <w:rsid w:val="75736F5F"/>
    <w:rsid w:val="75742F72"/>
    <w:rsid w:val="75C40610"/>
    <w:rsid w:val="7635099D"/>
    <w:rsid w:val="765608C9"/>
    <w:rsid w:val="76617016"/>
    <w:rsid w:val="768D4F0D"/>
    <w:rsid w:val="76951667"/>
    <w:rsid w:val="76C7224A"/>
    <w:rsid w:val="76C770D1"/>
    <w:rsid w:val="770F2826"/>
    <w:rsid w:val="771A07B8"/>
    <w:rsid w:val="774C3647"/>
    <w:rsid w:val="77762421"/>
    <w:rsid w:val="777F4A4A"/>
    <w:rsid w:val="77B56B1F"/>
    <w:rsid w:val="77CB0E43"/>
    <w:rsid w:val="77D45F4A"/>
    <w:rsid w:val="77FA34D6"/>
    <w:rsid w:val="780C300A"/>
    <w:rsid w:val="780F09F4"/>
    <w:rsid w:val="78213868"/>
    <w:rsid w:val="783C5278"/>
    <w:rsid w:val="78422AC1"/>
    <w:rsid w:val="78A74CC3"/>
    <w:rsid w:val="78A90480"/>
    <w:rsid w:val="78CE665B"/>
    <w:rsid w:val="78DB08FF"/>
    <w:rsid w:val="78F148D9"/>
    <w:rsid w:val="78F543CA"/>
    <w:rsid w:val="78F77228"/>
    <w:rsid w:val="790C11FE"/>
    <w:rsid w:val="794C5FB4"/>
    <w:rsid w:val="794E1584"/>
    <w:rsid w:val="79CC46E0"/>
    <w:rsid w:val="79E104AA"/>
    <w:rsid w:val="79F35234"/>
    <w:rsid w:val="79F63A97"/>
    <w:rsid w:val="7A364017"/>
    <w:rsid w:val="7A3C7DD6"/>
    <w:rsid w:val="7A8265E1"/>
    <w:rsid w:val="7A8A7A6E"/>
    <w:rsid w:val="7AB14320"/>
    <w:rsid w:val="7ADE3215"/>
    <w:rsid w:val="7AEE23C9"/>
    <w:rsid w:val="7AEF4E49"/>
    <w:rsid w:val="7B346CFF"/>
    <w:rsid w:val="7B35627F"/>
    <w:rsid w:val="7B686D42"/>
    <w:rsid w:val="7B807F81"/>
    <w:rsid w:val="7B841746"/>
    <w:rsid w:val="7BBC11CF"/>
    <w:rsid w:val="7BCF036B"/>
    <w:rsid w:val="7BD36518"/>
    <w:rsid w:val="7C042B76"/>
    <w:rsid w:val="7C132A4F"/>
    <w:rsid w:val="7C211A3D"/>
    <w:rsid w:val="7C2611A3"/>
    <w:rsid w:val="7C3372D8"/>
    <w:rsid w:val="7C3F3BAE"/>
    <w:rsid w:val="7C6C5AC7"/>
    <w:rsid w:val="7C720017"/>
    <w:rsid w:val="7C7F3FAA"/>
    <w:rsid w:val="7C8B24DE"/>
    <w:rsid w:val="7C9361C9"/>
    <w:rsid w:val="7CA50791"/>
    <w:rsid w:val="7CC13CBD"/>
    <w:rsid w:val="7CC6544B"/>
    <w:rsid w:val="7CD335F0"/>
    <w:rsid w:val="7CEF7382"/>
    <w:rsid w:val="7CF83660"/>
    <w:rsid w:val="7CFD384D"/>
    <w:rsid w:val="7D0239FF"/>
    <w:rsid w:val="7D050869"/>
    <w:rsid w:val="7D1868D9"/>
    <w:rsid w:val="7D34398E"/>
    <w:rsid w:val="7D425704"/>
    <w:rsid w:val="7D472D1A"/>
    <w:rsid w:val="7D5E40CD"/>
    <w:rsid w:val="7D5F0504"/>
    <w:rsid w:val="7D851A94"/>
    <w:rsid w:val="7D8D630F"/>
    <w:rsid w:val="7D8E2D62"/>
    <w:rsid w:val="7D9D7EFC"/>
    <w:rsid w:val="7DCD56F2"/>
    <w:rsid w:val="7DE95B7F"/>
    <w:rsid w:val="7E0B5E7C"/>
    <w:rsid w:val="7E1537E0"/>
    <w:rsid w:val="7E1C6D76"/>
    <w:rsid w:val="7E2D2D47"/>
    <w:rsid w:val="7E824D7D"/>
    <w:rsid w:val="7EAA7A04"/>
    <w:rsid w:val="7EAB6E30"/>
    <w:rsid w:val="7EB735F7"/>
    <w:rsid w:val="7EFC5D86"/>
    <w:rsid w:val="7F001CE7"/>
    <w:rsid w:val="7F0A0AFC"/>
    <w:rsid w:val="7F396C18"/>
    <w:rsid w:val="7F7033DA"/>
    <w:rsid w:val="7FAB3A34"/>
    <w:rsid w:val="7FAE52D2"/>
    <w:rsid w:val="7FB977D3"/>
    <w:rsid w:val="7FC36971"/>
    <w:rsid w:val="7FC7180E"/>
    <w:rsid w:val="7FDE7B2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9"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9"/>
    <w:pPr>
      <w:keepNext/>
      <w:keepLines/>
      <w:spacing w:before="260" w:after="260" w:line="416" w:lineRule="auto"/>
      <w:outlineLvl w:val="1"/>
    </w:pPr>
    <w:rPr>
      <w:rFonts w:ascii="等线 Light" w:hAnsi="等线 Light" w:eastAsia="等线 Light"/>
      <w:b/>
      <w:bCs/>
      <w:kern w:val="0"/>
      <w:sz w:val="32"/>
      <w:szCs w:val="32"/>
    </w:rPr>
  </w:style>
  <w:style w:type="paragraph" w:styleId="4">
    <w:name w:val="heading 3"/>
    <w:basedOn w:val="1"/>
    <w:next w:val="1"/>
    <w:autoRedefine/>
    <w:qFormat/>
    <w:locked/>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3"/>
    <w:autoRedefine/>
    <w:qFormat/>
    <w:locked/>
    <w:uiPriority w:val="9"/>
    <w:pPr>
      <w:keepNext/>
      <w:keepLines/>
      <w:spacing w:before="280" w:after="290" w:line="372" w:lineRule="auto"/>
      <w:outlineLvl w:val="3"/>
    </w:pPr>
    <w:rPr>
      <w:rFonts w:ascii="Arial" w:hAnsi="Arial" w:eastAsia="黑体"/>
      <w:b/>
    </w:rPr>
  </w:style>
  <w:style w:type="paragraph" w:styleId="6">
    <w:name w:val="heading 5"/>
    <w:basedOn w:val="1"/>
    <w:next w:val="1"/>
    <w:link w:val="54"/>
    <w:autoRedefine/>
    <w:qFormat/>
    <w:locked/>
    <w:uiPriority w:val="0"/>
    <w:pPr>
      <w:keepNext/>
      <w:keepLines/>
      <w:numPr>
        <w:ilvl w:val="4"/>
        <w:numId w:val="1"/>
      </w:numPr>
      <w:spacing w:before="280" w:after="290" w:line="376" w:lineRule="auto"/>
      <w:outlineLvl w:val="4"/>
    </w:pPr>
    <w:rPr>
      <w:b/>
      <w:bCs/>
      <w:sz w:val="28"/>
      <w:szCs w:val="28"/>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7">
    <w:name w:val="List 3"/>
    <w:basedOn w:val="1"/>
    <w:next w:val="1"/>
    <w:autoRedefine/>
    <w:qFormat/>
    <w:locked/>
    <w:uiPriority w:val="0"/>
    <w:pPr>
      <w:autoSpaceDE w:val="0"/>
      <w:autoSpaceDN w:val="0"/>
      <w:adjustRightInd w:val="0"/>
      <w:spacing w:line="288" w:lineRule="auto"/>
      <w:ind w:left="1260" w:hanging="420"/>
      <w:jc w:val="left"/>
      <w:textAlignment w:val="baseline"/>
    </w:pPr>
    <w:rPr>
      <w:kern w:val="0"/>
      <w:szCs w:val="20"/>
    </w:rPr>
  </w:style>
  <w:style w:type="paragraph" w:styleId="8">
    <w:name w:val="Normal Indent"/>
    <w:basedOn w:val="1"/>
    <w:next w:val="1"/>
    <w:autoRedefine/>
    <w:qFormat/>
    <w:locked/>
    <w:uiPriority w:val="99"/>
    <w:pPr>
      <w:ind w:firstLine="420" w:firstLineChars="200"/>
    </w:pPr>
    <w:rPr>
      <w:sz w:val="21"/>
    </w:rPr>
  </w:style>
  <w:style w:type="paragraph" w:styleId="9">
    <w:name w:val="caption"/>
    <w:basedOn w:val="1"/>
    <w:next w:val="1"/>
    <w:autoRedefine/>
    <w:qFormat/>
    <w:locked/>
    <w:uiPriority w:val="0"/>
    <w:pPr>
      <w:spacing w:line="240" w:lineRule="auto"/>
      <w:jc w:val="center"/>
    </w:pPr>
    <w:rPr>
      <w:b/>
      <w:szCs w:val="20"/>
    </w:rPr>
  </w:style>
  <w:style w:type="paragraph" w:styleId="10">
    <w:name w:val="annotation text"/>
    <w:basedOn w:val="1"/>
    <w:link w:val="55"/>
    <w:autoRedefine/>
    <w:semiHidden/>
    <w:qFormat/>
    <w:uiPriority w:val="0"/>
    <w:pPr>
      <w:jc w:val="left"/>
    </w:pPr>
    <w:rPr>
      <w:kern w:val="0"/>
      <w:szCs w:val="20"/>
    </w:rPr>
  </w:style>
  <w:style w:type="paragraph" w:styleId="11">
    <w:name w:val="Salutation"/>
    <w:basedOn w:val="1"/>
    <w:next w:val="1"/>
    <w:autoRedefine/>
    <w:qFormat/>
    <w:locked/>
    <w:uiPriority w:val="0"/>
    <w:rPr>
      <w:sz w:val="28"/>
      <w:szCs w:val="20"/>
    </w:rPr>
  </w:style>
  <w:style w:type="paragraph" w:styleId="12">
    <w:name w:val="Body Text"/>
    <w:basedOn w:val="1"/>
    <w:next w:val="13"/>
    <w:link w:val="56"/>
    <w:autoRedefine/>
    <w:qFormat/>
    <w:uiPriority w:val="0"/>
    <w:pPr>
      <w:widowControl/>
      <w:snapToGrid w:val="0"/>
      <w:spacing w:before="60" w:after="160" w:line="259" w:lineRule="auto"/>
      <w:ind w:right="113"/>
    </w:pPr>
    <w:rPr>
      <w:kern w:val="0"/>
      <w:sz w:val="18"/>
      <w:szCs w:val="20"/>
    </w:rPr>
  </w:style>
  <w:style w:type="paragraph" w:customStyle="1" w:styleId="13">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4">
    <w:name w:val="Body Text Indent"/>
    <w:basedOn w:val="1"/>
    <w:next w:val="15"/>
    <w:link w:val="52"/>
    <w:autoRedefine/>
    <w:qFormat/>
    <w:uiPriority w:val="0"/>
    <w:pPr>
      <w:spacing w:after="120"/>
      <w:ind w:left="420" w:leftChars="200"/>
    </w:pPr>
    <w:rPr>
      <w:kern w:val="0"/>
      <w:szCs w:val="20"/>
    </w:rPr>
  </w:style>
  <w:style w:type="paragraph" w:styleId="15">
    <w:name w:val="Body Text Indent 2"/>
    <w:basedOn w:val="1"/>
    <w:next w:val="1"/>
    <w:autoRedefine/>
    <w:qFormat/>
    <w:locked/>
    <w:uiPriority w:val="0"/>
    <w:pPr>
      <w:ind w:firstLine="560" w:firstLineChars="200"/>
    </w:pPr>
    <w:rPr>
      <w:rFonts w:ascii="宋体" w:hAnsi="宋体"/>
      <w:sz w:val="28"/>
      <w:szCs w:val="20"/>
    </w:rPr>
  </w:style>
  <w:style w:type="paragraph" w:styleId="16">
    <w:name w:val="Plain Text"/>
    <w:basedOn w:val="1"/>
    <w:autoRedefine/>
    <w:unhideWhenUsed/>
    <w:qFormat/>
    <w:locked/>
    <w:uiPriority w:val="99"/>
    <w:rPr>
      <w:rFonts w:ascii="宋体" w:hAnsi="Courier New" w:cs="Courier New"/>
      <w:szCs w:val="21"/>
    </w:rPr>
  </w:style>
  <w:style w:type="paragraph" w:styleId="17">
    <w:name w:val="List Bullet 5"/>
    <w:basedOn w:val="1"/>
    <w:autoRedefine/>
    <w:qFormat/>
    <w:locked/>
    <w:uiPriority w:val="0"/>
    <w:pPr>
      <w:numPr>
        <w:ilvl w:val="0"/>
        <w:numId w:val="2"/>
      </w:numPr>
    </w:pPr>
  </w:style>
  <w:style w:type="paragraph" w:styleId="18">
    <w:name w:val="Date"/>
    <w:basedOn w:val="1"/>
    <w:next w:val="1"/>
    <w:link w:val="57"/>
    <w:autoRedefine/>
    <w:qFormat/>
    <w:uiPriority w:val="0"/>
    <w:pPr>
      <w:ind w:left="100" w:leftChars="2500"/>
    </w:pPr>
    <w:rPr>
      <w:kern w:val="0"/>
      <w:szCs w:val="20"/>
    </w:rPr>
  </w:style>
  <w:style w:type="paragraph" w:styleId="19">
    <w:name w:val="Balloon Text"/>
    <w:basedOn w:val="1"/>
    <w:link w:val="58"/>
    <w:autoRedefine/>
    <w:semiHidden/>
    <w:qFormat/>
    <w:uiPriority w:val="0"/>
    <w:rPr>
      <w:kern w:val="0"/>
      <w:sz w:val="18"/>
      <w:szCs w:val="20"/>
    </w:rPr>
  </w:style>
  <w:style w:type="paragraph" w:styleId="20">
    <w:name w:val="footer"/>
    <w:basedOn w:val="1"/>
    <w:link w:val="59"/>
    <w:autoRedefine/>
    <w:qFormat/>
    <w:uiPriority w:val="99"/>
    <w:pPr>
      <w:tabs>
        <w:tab w:val="center" w:pos="4153"/>
        <w:tab w:val="right" w:pos="8306"/>
      </w:tabs>
      <w:snapToGrid w:val="0"/>
      <w:jc w:val="left"/>
    </w:pPr>
    <w:rPr>
      <w:kern w:val="0"/>
      <w:sz w:val="18"/>
      <w:szCs w:val="20"/>
    </w:rPr>
  </w:style>
  <w:style w:type="paragraph" w:styleId="21">
    <w:name w:val="header"/>
    <w:basedOn w:val="1"/>
    <w:link w:val="6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index heading"/>
    <w:basedOn w:val="1"/>
    <w:next w:val="23"/>
    <w:qFormat/>
    <w:locked/>
    <w:uiPriority w:val="0"/>
    <w:rPr>
      <w:color w:val="auto"/>
      <w:kern w:val="2"/>
      <w:szCs w:val="20"/>
    </w:rPr>
  </w:style>
  <w:style w:type="paragraph" w:styleId="23">
    <w:name w:val="index 1"/>
    <w:basedOn w:val="1"/>
    <w:next w:val="1"/>
    <w:autoRedefine/>
    <w:qFormat/>
    <w:locked/>
    <w:uiPriority w:val="0"/>
    <w:pPr>
      <w:jc w:val="center"/>
    </w:pPr>
    <w:rPr>
      <w:rFonts w:eastAsia="黑体"/>
      <w:color w:val="000000"/>
      <w:sz w:val="21"/>
    </w:rPr>
  </w:style>
  <w:style w:type="paragraph" w:styleId="24">
    <w:name w:val="table of figures"/>
    <w:basedOn w:val="1"/>
    <w:next w:val="1"/>
    <w:unhideWhenUsed/>
    <w:qFormat/>
    <w:locked/>
    <w:uiPriority w:val="99"/>
    <w:pPr>
      <w:ind w:left="200" w:leftChars="200" w:hanging="200" w:hangingChars="200"/>
    </w:pPr>
  </w:style>
  <w:style w:type="paragraph" w:styleId="25">
    <w:name w:val="Body Text 2"/>
    <w:basedOn w:val="1"/>
    <w:next w:val="1"/>
    <w:autoRedefine/>
    <w:qFormat/>
    <w:locked/>
    <w:uiPriority w:val="0"/>
    <w:rPr>
      <w:sz w:val="28"/>
    </w:rPr>
  </w:style>
  <w:style w:type="paragraph" w:styleId="26">
    <w:name w:val="Normal (Web)"/>
    <w:basedOn w:val="1"/>
    <w:link w:val="61"/>
    <w:autoRedefine/>
    <w:qFormat/>
    <w:uiPriority w:val="0"/>
    <w:pPr>
      <w:widowControl/>
      <w:spacing w:before="100" w:beforeAutospacing="1" w:after="100" w:afterAutospacing="1"/>
      <w:jc w:val="left"/>
    </w:pPr>
    <w:rPr>
      <w:rFonts w:ascii="宋体" w:hAnsi="宋体"/>
      <w:kern w:val="0"/>
      <w:szCs w:val="20"/>
    </w:rPr>
  </w:style>
  <w:style w:type="paragraph" w:styleId="27">
    <w:name w:val="annotation subject"/>
    <w:basedOn w:val="10"/>
    <w:next w:val="10"/>
    <w:link w:val="62"/>
    <w:autoRedefine/>
    <w:semiHidden/>
    <w:qFormat/>
    <w:uiPriority w:val="0"/>
    <w:rPr>
      <w:b/>
    </w:rPr>
  </w:style>
  <w:style w:type="paragraph" w:styleId="28">
    <w:name w:val="Body Text First Indent"/>
    <w:basedOn w:val="12"/>
    <w:next w:val="1"/>
    <w:autoRedefine/>
    <w:qFormat/>
    <w:locked/>
    <w:uiPriority w:val="0"/>
    <w:pPr>
      <w:ind w:firstLine="420" w:firstLineChars="100"/>
    </w:pPr>
  </w:style>
  <w:style w:type="paragraph" w:styleId="29">
    <w:name w:val="Body Text First Indent 2"/>
    <w:basedOn w:val="14"/>
    <w:next w:val="1"/>
    <w:autoRedefine/>
    <w:qFormat/>
    <w:locked/>
    <w:uiPriority w:val="0"/>
    <w:pPr>
      <w:ind w:firstLine="420"/>
    </w:p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locked/>
    <w:uiPriority w:val="0"/>
    <w:rPr>
      <w:b/>
    </w:rPr>
  </w:style>
  <w:style w:type="character" w:styleId="34">
    <w:name w:val="page number"/>
    <w:autoRedefine/>
    <w:qFormat/>
    <w:locked/>
    <w:uiPriority w:val="0"/>
  </w:style>
  <w:style w:type="character" w:styleId="35">
    <w:name w:val="Hyperlink"/>
    <w:basedOn w:val="32"/>
    <w:autoRedefine/>
    <w:qFormat/>
    <w:locked/>
    <w:uiPriority w:val="0"/>
    <w:rPr>
      <w:color w:val="0000FF"/>
      <w:u w:val="single"/>
    </w:rPr>
  </w:style>
  <w:style w:type="character" w:styleId="36">
    <w:name w:val="annotation reference"/>
    <w:basedOn w:val="32"/>
    <w:autoRedefine/>
    <w:qFormat/>
    <w:uiPriority w:val="0"/>
    <w:rPr>
      <w:sz w:val="21"/>
    </w:rPr>
  </w:style>
  <w:style w:type="paragraph" w:customStyle="1" w:styleId="37">
    <w:name w:val="表头"/>
    <w:basedOn w:val="38"/>
    <w:next w:val="1"/>
    <w:autoRedefine/>
    <w:qFormat/>
    <w:uiPriority w:val="0"/>
    <w:pPr>
      <w:keepNext/>
      <w:spacing w:line="100" w:lineRule="atLeast"/>
    </w:pPr>
    <w:rPr>
      <w:sz w:val="21"/>
    </w:rPr>
  </w:style>
  <w:style w:type="paragraph" w:customStyle="1" w:styleId="38">
    <w:name w:val="图例标题"/>
    <w:basedOn w:val="1"/>
    <w:qFormat/>
    <w:uiPriority w:val="0"/>
    <w:pPr>
      <w:ind w:firstLine="0" w:firstLineChars="0"/>
      <w:jc w:val="center"/>
    </w:pPr>
    <w:rPr>
      <w:rFonts w:hint="eastAsia" w:cs="Times New Roman"/>
      <w:b/>
      <w:szCs w:val="22"/>
    </w:rPr>
  </w:style>
  <w:style w:type="paragraph" w:customStyle="1" w:styleId="39">
    <w:name w:val="表格内容"/>
    <w:basedOn w:val="40"/>
    <w:next w:val="1"/>
    <w:autoRedefine/>
    <w:qFormat/>
    <w:uiPriority w:val="0"/>
    <w:pPr>
      <w:spacing w:line="240" w:lineRule="atLeast"/>
      <w:jc w:val="center"/>
    </w:pPr>
    <w:rPr>
      <w:szCs w:val="20"/>
    </w:rPr>
  </w:style>
  <w:style w:type="paragraph" w:customStyle="1" w:styleId="40">
    <w:name w:val="表格标题"/>
    <w:basedOn w:val="1"/>
    <w:next w:val="1"/>
    <w:autoRedefine/>
    <w:qFormat/>
    <w:uiPriority w:val="0"/>
    <w:pPr>
      <w:widowControl/>
      <w:adjustRightInd w:val="0"/>
      <w:snapToGrid w:val="0"/>
      <w:spacing w:before="50" w:beforeLines="50"/>
      <w:jc w:val="center"/>
      <w:textAlignment w:val="center"/>
    </w:pPr>
    <w:rPr>
      <w:b/>
      <w:bCs/>
      <w:kern w:val="0"/>
      <w:sz w:val="24"/>
      <w:szCs w:val="21"/>
    </w:rPr>
  </w:style>
  <w:style w:type="paragraph" w:customStyle="1" w:styleId="41">
    <w:name w:val="表格文字"/>
    <w:basedOn w:val="12"/>
    <w:next w:val="12"/>
    <w:autoRedefine/>
    <w:qFormat/>
    <w:uiPriority w:val="0"/>
    <w:pPr>
      <w:spacing w:after="0" w:line="360" w:lineRule="exact"/>
      <w:jc w:val="center"/>
    </w:pPr>
    <w:rPr>
      <w:spacing w:val="-4"/>
      <w:sz w:val="24"/>
      <w:szCs w:val="28"/>
    </w:rPr>
  </w:style>
  <w:style w:type="paragraph" w:customStyle="1" w:styleId="42">
    <w:name w:val="正文格式"/>
    <w:basedOn w:val="1"/>
    <w:autoRedefine/>
    <w:qFormat/>
    <w:uiPriority w:val="0"/>
    <w:pPr>
      <w:overflowPunct w:val="0"/>
      <w:ind w:firstLine="560" w:firstLineChars="200"/>
    </w:pPr>
    <w:rPr>
      <w:rFonts w:eastAsia="仿宋_GB2312"/>
      <w:kern w:val="0"/>
      <w:sz w:val="28"/>
      <w:szCs w:val="28"/>
    </w:rPr>
  </w:style>
  <w:style w:type="paragraph" w:customStyle="1" w:styleId="43">
    <w:name w:val="4"/>
    <w:basedOn w:val="1"/>
    <w:next w:val="14"/>
    <w:qFormat/>
    <w:uiPriority w:val="0"/>
    <w:pPr>
      <w:adjustRightInd w:val="0"/>
      <w:snapToGrid w:val="0"/>
      <w:spacing w:line="300" w:lineRule="auto"/>
      <w:ind w:firstLine="564"/>
    </w:pPr>
    <w:rPr>
      <w:rFonts w:ascii="方正仿宋_GB2312" w:hAnsi="Times New Roman" w:eastAsia="方正仿宋_GB2312" w:cs="Times New Roman"/>
      <w:sz w:val="28"/>
      <w:szCs w:val="21"/>
    </w:rPr>
  </w:style>
  <w:style w:type="paragraph" w:customStyle="1" w:styleId="44">
    <w:name w:val="表中文字"/>
    <w:basedOn w:val="1"/>
    <w:autoRedefine/>
    <w:qFormat/>
    <w:uiPriority w:val="0"/>
    <w:pPr>
      <w:adjustRightInd w:val="0"/>
      <w:snapToGrid w:val="0"/>
      <w:jc w:val="center"/>
    </w:pPr>
    <w:rPr>
      <w:bCs/>
      <w:sz w:val="18"/>
    </w:rPr>
  </w:style>
  <w:style w:type="paragraph" w:customStyle="1" w:styleId="45">
    <w:name w:val="A-正文"/>
    <w:basedOn w:val="1"/>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46">
    <w:name w:val="Default"/>
    <w:basedOn w:val="47"/>
    <w:next w:val="7"/>
    <w:autoRedefine/>
    <w:qFormat/>
    <w:uiPriority w:val="0"/>
    <w:pPr>
      <w:autoSpaceDE w:val="0"/>
      <w:autoSpaceDN w:val="0"/>
    </w:pPr>
    <w:rPr>
      <w:rFonts w:ascii="Times New Roman" w:hAnsi="Times New Roman"/>
      <w:color w:val="000000"/>
      <w:szCs w:val="24"/>
    </w:rPr>
  </w:style>
  <w:style w:type="paragraph" w:customStyle="1" w:styleId="47">
    <w:name w:val="纯文本1"/>
    <w:basedOn w:val="1"/>
    <w:next w:val="1"/>
    <w:autoRedefine/>
    <w:qFormat/>
    <w:uiPriority w:val="0"/>
    <w:pPr>
      <w:adjustRightInd w:val="0"/>
    </w:pPr>
    <w:rPr>
      <w:rFonts w:ascii="宋体" w:hAnsi="Courier New"/>
      <w:szCs w:val="20"/>
    </w:rPr>
  </w:style>
  <w:style w:type="paragraph" w:customStyle="1" w:styleId="48">
    <w:name w:val="文本"/>
    <w:next w:val="1"/>
    <w:qFormat/>
    <w:uiPriority w:val="0"/>
    <w:pPr>
      <w:widowControl w:val="0"/>
      <w:spacing w:line="440" w:lineRule="exact"/>
      <w:ind w:firstLine="200" w:firstLineChars="200"/>
    </w:pPr>
    <w:rPr>
      <w:rFonts w:ascii="Times New Roman" w:hAnsi="Times New Roman" w:eastAsia="Times New Roman" w:cs="Times New Roman"/>
      <w:kern w:val="2"/>
      <w:sz w:val="24"/>
      <w:szCs w:val="24"/>
      <w:lang w:val="en-US" w:eastAsia="zh-CN" w:bidi="ar-SA"/>
    </w:rPr>
  </w:style>
  <w:style w:type="paragraph" w:customStyle="1" w:styleId="49">
    <w:name w:val="样式1"/>
    <w:basedOn w:val="22"/>
    <w:next w:val="1"/>
    <w:qFormat/>
    <w:uiPriority w:val="0"/>
    <w:pPr>
      <w:snapToGrid w:val="0"/>
      <w:jc w:val="center"/>
    </w:pPr>
    <w:rPr>
      <w:rFonts w:ascii="宋体" w:eastAsia="宋体"/>
      <w:sz w:val="21"/>
    </w:rPr>
  </w:style>
  <w:style w:type="paragraph" w:customStyle="1" w:styleId="50">
    <w:name w:val="1正文段落"/>
    <w:basedOn w:val="1"/>
    <w:autoRedefine/>
    <w:qFormat/>
    <w:uiPriority w:val="0"/>
    <w:pPr>
      <w:ind w:firstLine="480" w:firstLineChars="200"/>
      <w:jc w:val="left"/>
    </w:pPr>
    <w:rPr>
      <w:snapToGrid w:val="0"/>
      <w:kern w:val="0"/>
    </w:rPr>
  </w:style>
  <w:style w:type="paragraph" w:customStyle="1" w:styleId="51">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52">
    <w:name w:val="正文文本缩进 字符"/>
    <w:link w:val="14"/>
    <w:autoRedefine/>
    <w:semiHidden/>
    <w:qFormat/>
    <w:locked/>
    <w:uiPriority w:val="0"/>
    <w:rPr>
      <w:rFonts w:ascii="Times New Roman" w:hAnsi="Times New Roman" w:eastAsia="宋体"/>
      <w:sz w:val="24"/>
    </w:rPr>
  </w:style>
  <w:style w:type="character" w:customStyle="1" w:styleId="53">
    <w:name w:val="标题 4 字符"/>
    <w:link w:val="5"/>
    <w:autoRedefine/>
    <w:qFormat/>
    <w:uiPriority w:val="0"/>
    <w:rPr>
      <w:rFonts w:ascii="Calibri Light" w:hAnsi="Calibri Light" w:eastAsia="宋体" w:cs="Times New Roman"/>
      <w:b/>
      <w:bCs/>
      <w:kern w:val="2"/>
      <w:sz w:val="28"/>
      <w:szCs w:val="28"/>
    </w:rPr>
  </w:style>
  <w:style w:type="character" w:customStyle="1" w:styleId="54">
    <w:name w:val="标题 5 字符"/>
    <w:link w:val="6"/>
    <w:autoRedefine/>
    <w:qFormat/>
    <w:uiPriority w:val="0"/>
    <w:rPr>
      <w:rFonts w:hint="eastAsia" w:ascii="宋体" w:hAnsi="宋体" w:eastAsia="宋体" w:cs="宋体"/>
      <w:b/>
      <w:bCs/>
      <w:kern w:val="2"/>
      <w:sz w:val="24"/>
      <w:szCs w:val="24"/>
      <w:lang w:val="zh-CN" w:bidi="zh-CN"/>
    </w:rPr>
  </w:style>
  <w:style w:type="character" w:customStyle="1" w:styleId="55">
    <w:name w:val="批注文字 字符"/>
    <w:link w:val="10"/>
    <w:autoRedefine/>
    <w:qFormat/>
    <w:locked/>
    <w:uiPriority w:val="0"/>
    <w:rPr>
      <w:rFonts w:ascii="Times New Roman" w:hAnsi="Times New Roman" w:eastAsia="宋体"/>
      <w:sz w:val="24"/>
    </w:rPr>
  </w:style>
  <w:style w:type="character" w:customStyle="1" w:styleId="56">
    <w:name w:val="正文文本 字符2"/>
    <w:link w:val="12"/>
    <w:autoRedefine/>
    <w:qFormat/>
    <w:locked/>
    <w:uiPriority w:val="0"/>
    <w:rPr>
      <w:sz w:val="18"/>
    </w:rPr>
  </w:style>
  <w:style w:type="character" w:customStyle="1" w:styleId="57">
    <w:name w:val="日期 字符1"/>
    <w:link w:val="18"/>
    <w:autoRedefine/>
    <w:qFormat/>
    <w:locked/>
    <w:uiPriority w:val="0"/>
    <w:rPr>
      <w:rFonts w:ascii="Times New Roman" w:hAnsi="Times New Roman" w:eastAsia="宋体"/>
      <w:sz w:val="24"/>
    </w:rPr>
  </w:style>
  <w:style w:type="character" w:customStyle="1" w:styleId="58">
    <w:name w:val="批注框文本 字符"/>
    <w:link w:val="19"/>
    <w:autoRedefine/>
    <w:semiHidden/>
    <w:qFormat/>
    <w:locked/>
    <w:uiPriority w:val="0"/>
    <w:rPr>
      <w:rFonts w:ascii="Times New Roman" w:hAnsi="Times New Roman" w:eastAsia="宋体"/>
      <w:sz w:val="18"/>
    </w:rPr>
  </w:style>
  <w:style w:type="character" w:customStyle="1" w:styleId="59">
    <w:name w:val="页脚 字符1"/>
    <w:link w:val="20"/>
    <w:autoRedefine/>
    <w:qFormat/>
    <w:locked/>
    <w:uiPriority w:val="99"/>
    <w:rPr>
      <w:sz w:val="18"/>
    </w:rPr>
  </w:style>
  <w:style w:type="character" w:customStyle="1" w:styleId="60">
    <w:name w:val="页眉 字符"/>
    <w:link w:val="21"/>
    <w:autoRedefine/>
    <w:qFormat/>
    <w:locked/>
    <w:uiPriority w:val="0"/>
    <w:rPr>
      <w:sz w:val="18"/>
    </w:rPr>
  </w:style>
  <w:style w:type="character" w:customStyle="1" w:styleId="61">
    <w:name w:val="普通(网站) 字符"/>
    <w:link w:val="26"/>
    <w:autoRedefine/>
    <w:qFormat/>
    <w:locked/>
    <w:uiPriority w:val="0"/>
    <w:rPr>
      <w:rFonts w:ascii="宋体" w:hAnsi="宋体" w:eastAsia="宋体"/>
      <w:sz w:val="24"/>
    </w:rPr>
  </w:style>
  <w:style w:type="character" w:customStyle="1" w:styleId="62">
    <w:name w:val="批注主题 字符"/>
    <w:link w:val="27"/>
    <w:autoRedefine/>
    <w:semiHidden/>
    <w:qFormat/>
    <w:locked/>
    <w:uiPriority w:val="0"/>
    <w:rPr>
      <w:rFonts w:ascii="Times New Roman" w:hAnsi="Times New Roman" w:eastAsia="宋体"/>
      <w:b/>
      <w:kern w:val="2"/>
      <w:sz w:val="24"/>
    </w:rPr>
  </w:style>
  <w:style w:type="character" w:customStyle="1" w:styleId="63">
    <w:name w:val="正文文本 字符"/>
    <w:autoRedefine/>
    <w:qFormat/>
    <w:uiPriority w:val="0"/>
    <w:rPr>
      <w:kern w:val="2"/>
      <w:sz w:val="24"/>
      <w:szCs w:val="24"/>
    </w:rPr>
  </w:style>
  <w:style w:type="character" w:customStyle="1" w:styleId="64">
    <w:name w:val="批注文字 字符1"/>
    <w:autoRedefine/>
    <w:semiHidden/>
    <w:qFormat/>
    <w:uiPriority w:val="0"/>
    <w:rPr>
      <w:rFonts w:ascii="Times New Roman" w:hAnsi="Times New Roman" w:eastAsia="宋体"/>
      <w:sz w:val="24"/>
    </w:rPr>
  </w:style>
  <w:style w:type="character" w:customStyle="1" w:styleId="65">
    <w:name w:val="日期 字符"/>
    <w:autoRedefine/>
    <w:semiHidden/>
    <w:qFormat/>
    <w:uiPriority w:val="0"/>
    <w:rPr>
      <w:rFonts w:ascii="Times New Roman" w:hAnsi="Times New Roman" w:eastAsia="宋体"/>
      <w:sz w:val="24"/>
    </w:rPr>
  </w:style>
  <w:style w:type="character" w:customStyle="1" w:styleId="66">
    <w:name w:val="表格 Char"/>
    <w:link w:val="67"/>
    <w:autoRedefine/>
    <w:qFormat/>
    <w:locked/>
    <w:uiPriority w:val="0"/>
    <w:rPr>
      <w:rFonts w:ascii="Times New Roman" w:hAnsi="Times New Roman" w:eastAsia="宋体"/>
      <w:spacing w:val="-6"/>
      <w:sz w:val="21"/>
    </w:rPr>
  </w:style>
  <w:style w:type="paragraph" w:customStyle="1" w:styleId="67">
    <w:name w:val="表格"/>
    <w:basedOn w:val="41"/>
    <w:next w:val="1"/>
    <w:link w:val="66"/>
    <w:autoRedefine/>
    <w:qFormat/>
    <w:uiPriority w:val="0"/>
    <w:pPr>
      <w:adjustRightInd w:val="0"/>
      <w:spacing w:line="240" w:lineRule="auto"/>
      <w:ind w:right="0"/>
    </w:pPr>
    <w:rPr>
      <w:rFonts w:ascii="Times New Roman" w:hAnsi="Times New Roman"/>
      <w:spacing w:val="-6"/>
      <w:sz w:val="21"/>
      <w:szCs w:val="20"/>
    </w:rPr>
  </w:style>
  <w:style w:type="paragraph" w:customStyle="1" w:styleId="68">
    <w:name w:val="正文小四"/>
    <w:basedOn w:val="69"/>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69">
    <w:name w:val="!正文"/>
    <w:basedOn w:val="70"/>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customStyle="1" w:styleId="70">
    <w:name w:val="注释小字lq"/>
    <w:basedOn w:val="71"/>
    <w:qFormat/>
    <w:uiPriority w:val="1"/>
    <w:pPr>
      <w:spacing w:before="120"/>
    </w:pPr>
    <w:rPr>
      <w:rFonts w:ascii="Times New Roman" w:hAnsi="Times New Roman"/>
      <w:sz w:val="18"/>
      <w:szCs w:val="22"/>
      <w:lang w:val="en-US" w:eastAsia="zh-CN" w:bidi="ar-SA"/>
    </w:rPr>
  </w:style>
  <w:style w:type="paragraph" w:customStyle="1" w:styleId="71">
    <w:name w:val="Char Char Char Char Char Char1 Char"/>
    <w:basedOn w:val="1"/>
    <w:qFormat/>
    <w:uiPriority w:val="39"/>
    <w:rPr>
      <w:rFonts w:ascii="Times New Roman" w:hAnsi="Times New Roman" w:eastAsia="宋体"/>
      <w:b/>
    </w:rPr>
  </w:style>
  <w:style w:type="paragraph" w:customStyle="1" w:styleId="72">
    <w:name w:val="表格样式"/>
    <w:basedOn w:val="1"/>
    <w:autoRedefine/>
    <w:qFormat/>
    <w:uiPriority w:val="0"/>
    <w:pPr>
      <w:shd w:val="clear" w:color="auto" w:fill="FFFFFF"/>
      <w:autoSpaceDE w:val="0"/>
      <w:jc w:val="center"/>
    </w:pPr>
    <w:rPr>
      <w:rFonts w:cs="宋体"/>
      <w:color w:val="FFFFFF"/>
      <w:spacing w:val="-1"/>
      <w:position w:val="-1"/>
      <w:szCs w:val="21"/>
    </w:rPr>
  </w:style>
  <w:style w:type="character" w:customStyle="1" w:styleId="73">
    <w:name w:val="页脚 字符"/>
    <w:autoRedefine/>
    <w:qFormat/>
    <w:uiPriority w:val="99"/>
  </w:style>
  <w:style w:type="character" w:customStyle="1" w:styleId="74">
    <w:name w:val="正文文本 字符1"/>
    <w:autoRedefine/>
    <w:semiHidden/>
    <w:qFormat/>
    <w:uiPriority w:val="0"/>
    <w:rPr>
      <w:rFonts w:ascii="Times New Roman" w:hAnsi="Times New Roman" w:eastAsia="宋体"/>
      <w:sz w:val="24"/>
    </w:rPr>
  </w:style>
  <w:style w:type="paragraph" w:customStyle="1" w:styleId="75">
    <w:name w:val="！正文"/>
    <w:basedOn w:val="1"/>
    <w:autoRedefine/>
    <w:qFormat/>
    <w:uiPriority w:val="0"/>
    <w:pPr>
      <w:ind w:firstLine="480"/>
    </w:pPr>
    <w:rPr>
      <w:rFonts w:cs="宋体"/>
      <w:sz w:val="21"/>
      <w:szCs w:val="20"/>
    </w:rPr>
  </w:style>
  <w:style w:type="paragraph" w:customStyle="1" w:styleId="76">
    <w:name w:val="正文首行缩进1"/>
    <w:basedOn w:val="12"/>
    <w:autoRedefine/>
    <w:qFormat/>
    <w:uiPriority w:val="0"/>
    <w:pPr>
      <w:spacing w:before="100" w:beforeAutospacing="1"/>
      <w:ind w:firstLine="420" w:firstLineChars="100"/>
    </w:pPr>
    <w:rPr>
      <w:rFonts w:ascii="Calibri" w:hAnsi="Calibri"/>
      <w:szCs w:val="21"/>
    </w:rPr>
  </w:style>
  <w:style w:type="paragraph" w:customStyle="1" w:styleId="77">
    <w:name w:val="普通(网站)2"/>
    <w:basedOn w:val="1"/>
    <w:autoRedefine/>
    <w:qFormat/>
    <w:uiPriority w:val="0"/>
    <w:pPr>
      <w:widowControl/>
      <w:spacing w:before="100" w:beforeAutospacing="1" w:after="100" w:afterAutospacing="1"/>
      <w:jc w:val="left"/>
    </w:pPr>
    <w:rPr>
      <w:rFonts w:ascii="宋体" w:hAnsi="宋体"/>
      <w:szCs w:val="20"/>
    </w:rPr>
  </w:style>
  <w:style w:type="paragraph" w:customStyle="1" w:styleId="78">
    <w:name w:val="A标准格式"/>
    <w:basedOn w:val="1"/>
    <w:autoRedefine/>
    <w:qFormat/>
    <w:uiPriority w:val="0"/>
    <w:pPr>
      <w:spacing w:line="440" w:lineRule="exact"/>
      <w:ind w:firstLine="480" w:firstLineChars="200"/>
    </w:pPr>
  </w:style>
  <w:style w:type="paragraph" w:customStyle="1" w:styleId="79">
    <w:name w:val="24磅正文"/>
    <w:basedOn w:val="1"/>
    <w:autoRedefine/>
    <w:qFormat/>
    <w:uiPriority w:val="0"/>
    <w:pPr>
      <w:spacing w:line="480" w:lineRule="exact"/>
      <w:ind w:firstLine="480" w:firstLineChars="200"/>
    </w:pPr>
  </w:style>
  <w:style w:type="paragraph" w:customStyle="1" w:styleId="80">
    <w:name w:val="正文文字"/>
    <w:basedOn w:val="1"/>
    <w:autoRedefine/>
    <w:qFormat/>
    <w:uiPriority w:val="0"/>
    <w:pPr>
      <w:spacing w:line="560" w:lineRule="exact"/>
      <w:ind w:firstLine="200" w:firstLineChars="200"/>
    </w:pPr>
    <w:rPr>
      <w:szCs w:val="20"/>
    </w:rPr>
  </w:style>
  <w:style w:type="paragraph" w:customStyle="1" w:styleId="8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1]正文"/>
    <w:basedOn w:val="1"/>
    <w:autoRedefine/>
    <w:qFormat/>
    <w:uiPriority w:val="0"/>
    <w:pPr>
      <w:autoSpaceDE w:val="0"/>
      <w:autoSpaceDN w:val="0"/>
      <w:ind w:firstLine="200" w:firstLineChars="200"/>
    </w:pPr>
    <w:rPr>
      <w:color w:val="000000"/>
      <w:kern w:val="0"/>
      <w:szCs w:val="22"/>
      <w:lang w:val="zh-CN"/>
    </w:rPr>
  </w:style>
  <w:style w:type="paragraph" w:customStyle="1" w:styleId="83">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84">
    <w:name w:val="表格内容自定"/>
    <w:basedOn w:val="1"/>
    <w:autoRedefine/>
    <w:qFormat/>
    <w:uiPriority w:val="0"/>
    <w:pPr>
      <w:spacing w:line="280" w:lineRule="exact"/>
      <w:jc w:val="center"/>
    </w:pPr>
    <w:rPr>
      <w:kern w:val="0"/>
      <w:sz w:val="18"/>
      <w:szCs w:val="21"/>
    </w:rPr>
  </w:style>
  <w:style w:type="paragraph" w:customStyle="1" w:styleId="85">
    <w:name w:val="*正文"/>
    <w:autoRedefine/>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paragraph" w:customStyle="1" w:styleId="86">
    <w:name w:val="Table Paragraph"/>
    <w:basedOn w:val="1"/>
    <w:autoRedefine/>
    <w:qFormat/>
    <w:uiPriority w:val="0"/>
    <w:pPr>
      <w:jc w:val="center"/>
    </w:pPr>
    <w:rPr>
      <w:rFonts w:ascii="宋体" w:hAnsi="宋体" w:cs="宋体"/>
      <w:sz w:val="21"/>
      <w:szCs w:val="21"/>
    </w:rPr>
  </w:style>
  <w:style w:type="paragraph" w:customStyle="1" w:styleId="87">
    <w:name w:val="无间隔1"/>
    <w:basedOn w:val="1"/>
    <w:autoRedefine/>
    <w:qFormat/>
    <w:uiPriority w:val="0"/>
    <w:pPr>
      <w:widowControl/>
      <w:jc w:val="left"/>
    </w:pPr>
    <w:rPr>
      <w:rFonts w:ascii="Cambria" w:hAnsi="Cambria"/>
      <w:kern w:val="0"/>
      <w:sz w:val="22"/>
      <w:szCs w:val="22"/>
      <w:lang w:eastAsia="en-US" w:bidi="en-US"/>
    </w:rPr>
  </w:style>
  <w:style w:type="paragraph" w:customStyle="1" w:styleId="88">
    <w:name w:val="p0"/>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89">
    <w:name w:val="新格式表"/>
    <w:basedOn w:val="1"/>
    <w:autoRedefine/>
    <w:qFormat/>
    <w:uiPriority w:val="0"/>
    <w:pPr>
      <w:adjustRightInd w:val="0"/>
      <w:snapToGrid w:val="0"/>
      <w:spacing w:line="0" w:lineRule="atLeast"/>
      <w:jc w:val="center"/>
    </w:pPr>
    <w:rPr>
      <w:kern w:val="0"/>
      <w:szCs w:val="21"/>
    </w:rPr>
  </w:style>
  <w:style w:type="paragraph" w:customStyle="1" w:styleId="90">
    <w:name w:val="表格内文字"/>
    <w:basedOn w:val="1"/>
    <w:autoRedefine/>
    <w:qFormat/>
    <w:uiPriority w:val="0"/>
    <w:pPr>
      <w:tabs>
        <w:tab w:val="left" w:pos="0"/>
      </w:tabs>
      <w:adjustRightInd w:val="0"/>
      <w:snapToGrid w:val="0"/>
      <w:jc w:val="center"/>
    </w:pPr>
    <w:rPr>
      <w:kern w:val="0"/>
    </w:rPr>
  </w:style>
  <w:style w:type="paragraph" w:customStyle="1" w:styleId="91">
    <w:name w:val="表内容"/>
    <w:basedOn w:val="79"/>
    <w:next w:val="1"/>
    <w:autoRedefine/>
    <w:qFormat/>
    <w:uiPriority w:val="0"/>
    <w:pPr>
      <w:spacing w:line="360" w:lineRule="exact"/>
      <w:ind w:firstLine="0" w:firstLineChars="0"/>
      <w:jc w:val="center"/>
    </w:pPr>
    <w:rPr>
      <w:szCs w:val="21"/>
    </w:rPr>
  </w:style>
  <w:style w:type="paragraph" w:customStyle="1" w:styleId="92">
    <w:name w:val="正文 + 仿宋_GB2312"/>
    <w:basedOn w:val="1"/>
    <w:autoRedefine/>
    <w:qFormat/>
    <w:uiPriority w:val="99"/>
    <w:pPr>
      <w:ind w:firstLine="480" w:firstLineChars="200"/>
    </w:pPr>
    <w:rPr>
      <w:rFonts w:ascii="仿宋_GB2312" w:hAnsi="Calibri" w:eastAsia="仿宋_GB2312"/>
    </w:rPr>
  </w:style>
  <w:style w:type="paragraph" w:customStyle="1" w:styleId="93">
    <w:name w:val="胡正文"/>
    <w:basedOn w:val="1"/>
    <w:autoRedefine/>
    <w:qFormat/>
    <w:uiPriority w:val="0"/>
    <w:pPr>
      <w:spacing w:line="360" w:lineRule="auto"/>
      <w:ind w:firstLine="200" w:firstLineChars="200"/>
      <w:jc w:val="left"/>
    </w:pPr>
    <w:rPr>
      <w:rFonts w:ascii="宋体" w:hAnsi="宋体"/>
      <w:szCs w:val="28"/>
    </w:rPr>
  </w:style>
  <w:style w:type="paragraph" w:customStyle="1" w:styleId="94">
    <w:name w:val="4表格标题"/>
    <w:basedOn w:val="1"/>
    <w:autoRedefine/>
    <w:qFormat/>
    <w:uiPriority w:val="0"/>
    <w:pPr>
      <w:numPr>
        <w:ilvl w:val="3"/>
        <w:numId w:val="3"/>
      </w:numPr>
      <w:spacing w:line="360" w:lineRule="auto"/>
      <w:jc w:val="center"/>
    </w:pPr>
    <w:rPr>
      <w:rFonts w:ascii="gbsnu54" w:hAnsi="gbsnu54" w:cs="gbsnu54"/>
      <w:b/>
      <w:bCs/>
      <w:color w:val="000000"/>
      <w:kern w:val="0"/>
      <w:szCs w:val="16"/>
    </w:rPr>
  </w:style>
  <w:style w:type="paragraph" w:customStyle="1" w:styleId="95">
    <w:name w:val="无间隔2"/>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BodyText1I2"/>
    <w:basedOn w:val="97"/>
    <w:next w:val="1"/>
    <w:autoRedefine/>
    <w:qFormat/>
    <w:uiPriority w:val="0"/>
    <w:pPr>
      <w:tabs>
        <w:tab w:val="left" w:pos="0"/>
      </w:tabs>
      <w:ind w:left="420" w:leftChars="200" w:firstLine="210" w:firstLineChars="200"/>
    </w:pPr>
    <w:rPr>
      <w:sz w:val="21"/>
    </w:rPr>
  </w:style>
  <w:style w:type="paragraph" w:customStyle="1" w:styleId="97">
    <w:name w:val="BodyTextIndent"/>
    <w:basedOn w:val="1"/>
    <w:next w:val="98"/>
    <w:autoRedefine/>
    <w:qFormat/>
    <w:uiPriority w:val="0"/>
    <w:pPr>
      <w:tabs>
        <w:tab w:val="left" w:pos="0"/>
      </w:tabs>
      <w:spacing w:line="360" w:lineRule="auto"/>
      <w:ind w:firstLine="570"/>
      <w:textAlignment w:val="baseline"/>
    </w:pPr>
    <w:rPr>
      <w:sz w:val="28"/>
      <w:szCs w:val="20"/>
    </w:rPr>
  </w:style>
  <w:style w:type="paragraph" w:customStyle="1" w:styleId="98">
    <w:name w:val="BodyTextIndent2"/>
    <w:basedOn w:val="1"/>
    <w:next w:val="96"/>
    <w:autoRedefine/>
    <w:qFormat/>
    <w:uiPriority w:val="0"/>
    <w:pPr>
      <w:spacing w:line="500" w:lineRule="exact"/>
      <w:ind w:firstLine="480"/>
      <w:textAlignment w:val="baseline"/>
    </w:pPr>
    <w:rPr>
      <w:rFonts w:eastAsia="楷体_GB2312"/>
      <w:sz w:val="28"/>
    </w:rPr>
  </w:style>
  <w:style w:type="character" w:customStyle="1" w:styleId="99">
    <w:name w:val="font31"/>
    <w:basedOn w:val="32"/>
    <w:autoRedefine/>
    <w:qFormat/>
    <w:uiPriority w:val="0"/>
    <w:rPr>
      <w:rFonts w:hint="default" w:ascii="Times New Roman" w:hAnsi="Times New Roman" w:cs="Times New Roman"/>
      <w:color w:val="000000"/>
      <w:sz w:val="24"/>
      <w:szCs w:val="24"/>
      <w:u w:val="none"/>
    </w:rPr>
  </w:style>
  <w:style w:type="character" w:customStyle="1" w:styleId="100">
    <w:name w:val="font21"/>
    <w:basedOn w:val="32"/>
    <w:autoRedefine/>
    <w:qFormat/>
    <w:uiPriority w:val="0"/>
    <w:rPr>
      <w:rFonts w:hint="eastAsia" w:ascii="宋体" w:hAnsi="宋体" w:eastAsia="宋体" w:cs="宋体"/>
      <w:color w:val="000000"/>
      <w:sz w:val="24"/>
      <w:szCs w:val="24"/>
      <w:u w:val="none"/>
    </w:rPr>
  </w:style>
  <w:style w:type="paragraph" w:customStyle="1" w:styleId="101">
    <w:name w:val="A正文"/>
    <w:basedOn w:val="1"/>
    <w:next w:val="12"/>
    <w:autoRedefine/>
    <w:qFormat/>
    <w:uiPriority w:val="0"/>
    <w:pPr>
      <w:spacing w:line="360" w:lineRule="auto"/>
      <w:ind w:firstLine="200" w:firstLineChars="200"/>
    </w:pPr>
    <w:rPr>
      <w:lang w:val="zh-CN"/>
    </w:rPr>
  </w:style>
  <w:style w:type="paragraph" w:customStyle="1" w:styleId="102">
    <w:name w:val="正文 首行缩进"/>
    <w:basedOn w:val="1"/>
    <w:autoRedefine/>
    <w:qFormat/>
    <w:uiPriority w:val="0"/>
    <w:pPr>
      <w:spacing w:line="360" w:lineRule="auto"/>
      <w:ind w:firstLine="200" w:firstLineChars="200"/>
    </w:pPr>
    <w:rPr>
      <w:rFonts w:cs="宋体"/>
      <w:kern w:val="0"/>
      <w:szCs w:val="20"/>
    </w:rPr>
  </w:style>
  <w:style w:type="paragraph" w:customStyle="1" w:styleId="103">
    <w:name w:val="A表内"/>
    <w:basedOn w:val="1"/>
    <w:autoRedefine/>
    <w:qFormat/>
    <w:uiPriority w:val="0"/>
    <w:pPr>
      <w:spacing w:line="0" w:lineRule="atLeast"/>
      <w:jc w:val="center"/>
    </w:pPr>
    <w:rPr>
      <w:rFonts w:cs="宋体"/>
      <w:szCs w:val="20"/>
    </w:rPr>
  </w:style>
  <w:style w:type="character" w:customStyle="1" w:styleId="104">
    <w:name w:val="font61"/>
    <w:basedOn w:val="32"/>
    <w:autoRedefine/>
    <w:qFormat/>
    <w:uiPriority w:val="0"/>
    <w:rPr>
      <w:rFonts w:hint="default" w:ascii="Times New Roman" w:hAnsi="Times New Roman" w:cs="Times New Roman"/>
      <w:color w:val="000000"/>
      <w:sz w:val="21"/>
      <w:szCs w:val="21"/>
      <w:u w:val="none"/>
    </w:rPr>
  </w:style>
  <w:style w:type="character" w:customStyle="1" w:styleId="105">
    <w:name w:val="font41"/>
    <w:basedOn w:val="32"/>
    <w:autoRedefine/>
    <w:qFormat/>
    <w:uiPriority w:val="0"/>
    <w:rPr>
      <w:rFonts w:hint="eastAsia" w:ascii="宋体" w:hAnsi="宋体" w:eastAsia="宋体" w:cs="宋体"/>
      <w:color w:val="000000"/>
      <w:sz w:val="21"/>
      <w:szCs w:val="21"/>
      <w:u w:val="none"/>
    </w:rPr>
  </w:style>
  <w:style w:type="paragraph" w:customStyle="1" w:styleId="106">
    <w:name w:val="王正文"/>
    <w:basedOn w:val="14"/>
    <w:autoRedefine/>
    <w:qFormat/>
    <w:uiPriority w:val="0"/>
    <w:pPr>
      <w:adjustRightInd w:val="0"/>
      <w:snapToGrid w:val="0"/>
      <w:spacing w:line="560" w:lineRule="exact"/>
      <w:ind w:firstLine="200" w:firstLineChars="200"/>
      <w:jc w:val="left"/>
    </w:pPr>
    <w:rPr>
      <w:color w:val="000000"/>
    </w:rPr>
  </w:style>
  <w:style w:type="paragraph" w:customStyle="1" w:styleId="107">
    <w:name w:val="6表内容"/>
    <w:basedOn w:val="1"/>
    <w:autoRedefine/>
    <w:qFormat/>
    <w:uiPriority w:val="0"/>
    <w:pPr>
      <w:jc w:val="center"/>
    </w:pPr>
    <w:rPr>
      <w:rFonts w:cs="宋体"/>
      <w:color w:val="000000"/>
      <w:sz w:val="21"/>
      <w:szCs w:val="20"/>
    </w:rPr>
  </w:style>
  <w:style w:type="paragraph" w:customStyle="1" w:styleId="108">
    <w:name w:val="7表格内容"/>
    <w:basedOn w:val="109"/>
    <w:autoRedefine/>
    <w:qFormat/>
    <w:uiPriority w:val="0"/>
    <w:pPr>
      <w:spacing w:line="240" w:lineRule="auto"/>
      <w:ind w:firstLine="0" w:firstLineChars="0"/>
      <w:jc w:val="center"/>
    </w:pPr>
    <w:rPr>
      <w:szCs w:val="21"/>
    </w:rPr>
  </w:style>
  <w:style w:type="paragraph" w:customStyle="1" w:styleId="109">
    <w:name w:val="5段落"/>
    <w:basedOn w:val="1"/>
    <w:autoRedefine/>
    <w:qFormat/>
    <w:uiPriority w:val="0"/>
    <w:pPr>
      <w:spacing w:line="360" w:lineRule="auto"/>
      <w:ind w:firstLine="420" w:firstLineChars="200"/>
    </w:pPr>
  </w:style>
  <w:style w:type="character" w:customStyle="1" w:styleId="110">
    <w:name w:val="font11"/>
    <w:basedOn w:val="32"/>
    <w:autoRedefine/>
    <w:qFormat/>
    <w:uiPriority w:val="0"/>
    <w:rPr>
      <w:rFonts w:hint="eastAsia" w:ascii="宋体" w:hAnsi="宋体" w:eastAsia="宋体" w:cs="宋体"/>
      <w:color w:val="000000"/>
      <w:sz w:val="39"/>
      <w:szCs w:val="39"/>
      <w:u w:val="none"/>
    </w:rPr>
  </w:style>
  <w:style w:type="character" w:customStyle="1" w:styleId="111">
    <w:name w:val="正文1"/>
    <w:basedOn w:val="32"/>
    <w:autoRedefine/>
    <w:qFormat/>
    <w:uiPriority w:val="0"/>
    <w:rPr>
      <w:rFonts w:hint="eastAsia" w:ascii="宋体" w:eastAsia="宋体"/>
      <w:sz w:val="22"/>
      <w:szCs w:val="22"/>
    </w:rPr>
  </w:style>
  <w:style w:type="paragraph" w:customStyle="1" w:styleId="112">
    <w:name w:val="修订1"/>
    <w:autoRedefine/>
    <w:hidden/>
    <w:unhideWhenUsed/>
    <w:qFormat/>
    <w:uiPriority w:val="99"/>
    <w:rPr>
      <w:rFonts w:ascii="Times New Roman" w:hAnsi="Times New Roman" w:eastAsia="宋体" w:cs="Times New Roman"/>
      <w:kern w:val="2"/>
      <w:sz w:val="24"/>
      <w:szCs w:val="24"/>
      <w:lang w:val="en-US" w:eastAsia="zh-CN" w:bidi="ar-SA"/>
    </w:rPr>
  </w:style>
  <w:style w:type="paragraph" w:customStyle="1" w:styleId="113">
    <w:name w:val="0正文"/>
    <w:autoRedefine/>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styleId="114">
    <w:name w:val="List Paragraph"/>
    <w:basedOn w:val="1"/>
    <w:autoRedefine/>
    <w:unhideWhenUsed/>
    <w:qFormat/>
    <w:uiPriority w:val="99"/>
    <w:pPr>
      <w:ind w:firstLine="420" w:firstLineChars="200"/>
    </w:pPr>
  </w:style>
  <w:style w:type="table" w:customStyle="1" w:styleId="115">
    <w:name w:val="Table Normal"/>
    <w:autoRedefine/>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 w:type="paragraph" w:customStyle="1" w:styleId="116">
    <w:name w:val="Table Text"/>
    <w:basedOn w:val="1"/>
    <w:autoRedefine/>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lang w:eastAsia="en-US"/>
    </w:rPr>
  </w:style>
  <w:style w:type="paragraph" w:customStyle="1" w:styleId="117">
    <w:name w:val="Revision"/>
    <w:autoRedefine/>
    <w:hidden/>
    <w:unhideWhenUsed/>
    <w:qFormat/>
    <w:uiPriority w:val="99"/>
    <w:rPr>
      <w:rFonts w:ascii="Times New Roman" w:hAnsi="Times New Roman" w:eastAsia="宋体" w:cs="Times New Roman"/>
      <w:kern w:val="2"/>
      <w:sz w:val="24"/>
      <w:szCs w:val="24"/>
      <w:lang w:val="en-US" w:eastAsia="zh-CN" w:bidi="ar-SA"/>
    </w:rPr>
  </w:style>
  <w:style w:type="paragraph" w:customStyle="1" w:styleId="118">
    <w:name w:val="样式 (中文) 仿宋_GB2312 四号 首行缩进:  0.98 厘米 行距: 固定值 25 磅"/>
    <w:basedOn w:val="1"/>
    <w:autoRedefine/>
    <w:qFormat/>
    <w:uiPriority w:val="0"/>
    <w:pPr>
      <w:ind w:firstLine="556"/>
    </w:pPr>
    <w:rPr>
      <w:rFonts w:cs="宋体"/>
      <w:szCs w:val="20"/>
    </w:rPr>
  </w:style>
  <w:style w:type="paragraph" w:customStyle="1" w:styleId="119">
    <w:name w:val="TW"/>
    <w:basedOn w:val="1"/>
    <w:autoRedefine/>
    <w:qFormat/>
    <w:uiPriority w:val="0"/>
    <w:pPr>
      <w:ind w:firstLine="480"/>
    </w:pPr>
  </w:style>
  <w:style w:type="paragraph" w:customStyle="1" w:styleId="120">
    <w:name w:val="reader-word-layer reader-word-s5-1"/>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121">
    <w:name w:val="5表头 Char"/>
    <w:basedOn w:val="1"/>
    <w:autoRedefine/>
    <w:qFormat/>
    <w:uiPriority w:val="0"/>
    <w:pPr>
      <w:spacing w:beforeLines="50" w:line="360" w:lineRule="auto"/>
      <w:jc w:val="center"/>
    </w:pPr>
    <w:rPr>
      <w:rFonts w:eastAsia="黑体" w:cs="宋体"/>
      <w:kern w:val="0"/>
      <w:szCs w:val="20"/>
    </w:rPr>
  </w:style>
  <w:style w:type="paragraph" w:customStyle="1" w:styleId="122">
    <w:name w:val="D-表格格式"/>
    <w:qFormat/>
    <w:uiPriority w:val="0"/>
    <w:pPr>
      <w:jc w:val="center"/>
    </w:pPr>
    <w:rPr>
      <w:rFonts w:ascii="Times New Roman" w:hAnsi="Times New Roman" w:eastAsia="宋体" w:cs="Times New Roman"/>
      <w:sz w:val="21"/>
      <w:szCs w:val="24"/>
      <w:lang w:val="en-US" w:eastAsia="zh-CN" w:bidi="ar-SA"/>
    </w:rPr>
  </w:style>
  <w:style w:type="paragraph" w:customStyle="1" w:styleId="123">
    <w:name w:val="正文_23"/>
    <w:qFormat/>
    <w:uiPriority w:val="0"/>
    <w:pPr>
      <w:widowControl w:val="0"/>
      <w:jc w:val="both"/>
    </w:pPr>
    <w:rPr>
      <w:rFonts w:ascii="Calibri" w:hAnsi="Calibri" w:eastAsia="宋体" w:cs="Times New Roman"/>
      <w:kern w:val="2"/>
      <w:sz w:val="21"/>
      <w:lang w:val="en-US" w:eastAsia="zh-CN" w:bidi="ar-SA"/>
    </w:rPr>
  </w:style>
  <w:style w:type="character" w:customStyle="1" w:styleId="124">
    <w:name w:val="font51"/>
    <w:basedOn w:val="32"/>
    <w:qFormat/>
    <w:uiPriority w:val="0"/>
    <w:rPr>
      <w:rFonts w:hint="default" w:ascii="Times New Roman" w:hAnsi="Times New Roman" w:cs="Times New Roman"/>
      <w:b/>
      <w:bCs/>
      <w:color w:val="000000"/>
      <w:sz w:val="21"/>
      <w:szCs w:val="21"/>
      <w:u w:val="none"/>
    </w:rPr>
  </w:style>
  <w:style w:type="paragraph" w:customStyle="1" w:styleId="125">
    <w:name w:val="表格正文"/>
    <w:basedOn w:val="1"/>
    <w:qFormat/>
    <w:uiPriority w:val="0"/>
    <w:pPr>
      <w:widowControl/>
      <w:adjustRightInd w:val="0"/>
      <w:snapToGrid w:val="0"/>
      <w:spacing w:line="360" w:lineRule="exact"/>
      <w:ind w:firstLine="0" w:firstLineChars="0"/>
      <w:jc w:val="center"/>
    </w:pPr>
    <w:rPr>
      <w:rFonts w:ascii="Calibri" w:hAnsi="Calibri"/>
      <w:kern w:val="0"/>
      <w:sz w:val="20"/>
      <w:szCs w:val="20"/>
    </w:rPr>
  </w:style>
  <w:style w:type="table" w:customStyle="1" w:styleId="126">
    <w:name w:val="网格型15"/>
    <w:basedOn w:val="30"/>
    <w:qFormat/>
    <w:uiPriority w:val="99"/>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27">
    <w:name w:val="样式13"/>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1.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"/>
    </extobj>
    <extobj name="ECB019B1-382A-4266-B25C-5B523AA43C14-2">
      <extobjdata type="ECB019B1-382A-4266-B25C-5B523AA43C14" data="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"/>
    </extobj>
    <extobj name="ECB019B1-382A-4266-B25C-5B523AA43C14-3">
      <extobjdata type="ECB019B1-382A-4266-B25C-5B523AA43C14" data="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"/>
    </extobj>
    <extobj name="ECB019B1-382A-4266-B25C-5B523AA43C14-4">
      <extobjdata type="ECB019B1-382A-4266-B25C-5B523AA43C14" data="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95</Pages>
  <Words>56136</Words>
  <Characters>63310</Characters>
  <Lines>286</Lines>
  <Paragraphs>80</Paragraphs>
  <TotalTime>1</TotalTime>
  <ScaleCrop>false</ScaleCrop>
  <LinksUpToDate>false</LinksUpToDate>
  <CharactersWithSpaces>63617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2023-10-26T01:29:00Z</dcterms:created>
  <dc:creator>lhj</dc:creator>
  <cp:lastModifiedBy>周慧</cp:lastModifiedBy>
  <cp:lastPrinted>2023-11-10T05:04:00Z</cp:lastPrinted>
  <dcterms:modified xsi:type="dcterms:W3CDTF">2026-04-29T07:50:56Z</dcterms:modified>
  <dc:title>附件2</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437C5E9AF2704359931811CA190E5DDA_13</vt:lpwstr>
  </property>
  <property fmtid="{D5CDD505-2E9C-101B-9397-08002B2CF9AE}" pid="4" name="KSOTemplateDocerSaveRecord">
    <vt:lpwstr>eyJoZGlkIjoiYzUzY2QyZThkNjk1ZTIwYjczNGU1ZjYxNTJiOTk3YzAiLCJ1c2VySWQiOiIxMjkzOTQxNjI1In0=</vt:lpwstr>
  </property>
</Properties>
</file>