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val="en-US" w:eastAsia="zh-CN"/>
        </w:rPr>
      </w:pPr>
      <w:r>
        <w:rPr>
          <w:rFonts w:ascii="Times New Roman" w:hAnsi="Times New Roman" w:eastAsia="仿宋" w:cs="Times New Roman"/>
          <w:sz w:val="32"/>
          <w:szCs w:val="32"/>
        </w:rPr>
        <w:pict>
          <v:shape id="_x0000_s1026" o:spid="_x0000_s1026" o:spt="136" type="#_x0000_t136" style="position:absolute;left:0pt;margin-left:-24.05pt;margin-top:49.65pt;height:60.55pt;width:458.1pt;z-index:-251645952;mso-width-relative:page;mso-height-relative:page;" fillcolor="#FF2323" filled="t" stroked="t" coordsize="21600,21600">
            <v:path/>
            <v:fill on="t" focussize="0,0"/>
            <v:stroke color="#FF0000"/>
            <v:imagedata o:title=""/>
            <o:lock v:ext="edit"/>
            <v:textpath on="t" fitshape="t" fitpath="t" trim="t" xscale="f" string="泗县新型冠状病毒感染的肺炎疫情防控应急指挥部" style="font-family:宋体;font-size:32pt;v-text-align:center;"/>
            <v:shadow on="t" color="#B2B2B2" opacity="52428f" offset="0.000236220472440945pt,0pt" offset2="-2pt,-2pt"/>
          </v:shape>
        </w:pict>
      </w: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r>
        <w:rPr>
          <w:rFonts w:ascii="Times New Roman" w:hAnsi="Times New Roman" w:cs="Times New Roman"/>
          <w:sz w:val="32"/>
        </w:rPr>
        <mc:AlternateContent>
          <mc:Choice Requires="wps">
            <w:drawing>
              <wp:anchor distT="0" distB="0" distL="114300" distR="114300" simplePos="0" relativeHeight="251685888" behindDoc="0" locked="0" layoutInCell="1" allowOverlap="1">
                <wp:simplePos x="0" y="0"/>
                <wp:positionH relativeFrom="column">
                  <wp:posOffset>-294005</wp:posOffset>
                </wp:positionH>
                <wp:positionV relativeFrom="paragraph">
                  <wp:posOffset>15875</wp:posOffset>
                </wp:positionV>
                <wp:extent cx="5743575" cy="9525"/>
                <wp:effectExtent l="0" t="0" r="0" b="0"/>
                <wp:wrapNone/>
                <wp:docPr id="3" name="直接连接符 3"/>
                <wp:cNvGraphicFramePr/>
                <a:graphic xmlns:a="http://schemas.openxmlformats.org/drawingml/2006/main">
                  <a:graphicData uri="http://schemas.microsoft.com/office/word/2010/wordprocessingShape">
                    <wps:wsp>
                      <wps:cNvCnPr/>
                      <wps:spPr>
                        <a:xfrm flipV="1">
                          <a:off x="0" y="0"/>
                          <a:ext cx="5743575" cy="9525"/>
                        </a:xfrm>
                        <a:prstGeom prst="line">
                          <a:avLst/>
                        </a:prstGeom>
                        <a:noFill/>
                        <a:ln w="38100" cap="flat" cmpd="sng" algn="ctr">
                          <a:solidFill>
                            <a:srgbClr val="FF0000"/>
                          </a:solidFill>
                          <a:prstDash val="solid"/>
                        </a:ln>
                        <a:effectLst/>
                      </wps:spPr>
                      <wps:bodyPr/>
                    </wps:wsp>
                  </a:graphicData>
                </a:graphic>
              </wp:anchor>
            </w:drawing>
          </mc:Choice>
          <mc:Fallback>
            <w:pict>
              <v:line id="_x0000_s1026" o:spid="_x0000_s1026" o:spt="20" style="position:absolute;left:0pt;flip:y;margin-left:-23.15pt;margin-top:1.25pt;height:0.75pt;width:452.25pt;z-index:251685888;mso-width-relative:page;mso-height-relative:page;" filled="f" stroked="t" coordsize="21600,21600" o:gfxdata="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V&#10;IQRj2AAAAAcBAAAPAAAAAAAAAAEAIAAAACIAAABkcnMvZG93bnJldi54bWxQSwECFAAUAAAACACH&#10;TuJAToC+EesBAAC2AwAADgAAAAAAAAABACAAAAAnAQAAZHJzL2Uyb0RvYy54bWxQSwUGAAAAAAYA&#10;BgBZAQAAhAUAAAAA&#10;">
                <v:fill on="f" focussize="0,0"/>
                <v:stroke weight="3pt" color="#FF0000" joinstyle="round"/>
                <v:imagedata o:title=""/>
                <o:lock v:ext="edit" aspectratio="f"/>
              </v:line>
            </w:pict>
          </mc:Fallback>
        </mc:AlternateContent>
      </w:r>
    </w:p>
    <w:p>
      <w:pPr>
        <w:keepNext w:val="0"/>
        <w:keepLines w:val="0"/>
        <w:pageBreakBefore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关于进一步做好返乡人员管理工作的通知</w:t>
      </w:r>
    </w:p>
    <w:p>
      <w:pPr>
        <w:keepNext w:val="0"/>
        <w:keepLines w:val="0"/>
        <w:pageBreakBefore w:val="0"/>
        <w:kinsoku/>
        <w:wordWrap/>
        <w:overflowPunct/>
        <w:topLinePunct w:val="0"/>
        <w:autoSpaceDE/>
        <w:autoSpaceDN/>
        <w:bidi w:val="0"/>
        <w:adjustRightInd/>
        <w:snapToGrid/>
        <w:spacing w:line="540" w:lineRule="exact"/>
        <w:jc w:val="both"/>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autoSpaceDN/>
        <w:bidi w:val="0"/>
        <w:adjustRightInd/>
        <w:snapToGrid/>
        <w:spacing w:line="540" w:lineRule="exact"/>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各乡镇，开发区，泗涂产业园，县直各单位：</w:t>
      </w:r>
    </w:p>
    <w:p>
      <w:pPr>
        <w:keepNext w:val="0"/>
        <w:keepLines w:val="0"/>
        <w:pageBreakBefore w:val="0"/>
        <w:kinsoku/>
        <w:wordWrap/>
        <w:overflowPunct/>
        <w:topLinePunct w:val="0"/>
        <w:autoSpaceDE/>
        <w:autoSpaceDN/>
        <w:bidi w:val="0"/>
        <w:adjustRightInd/>
        <w:snapToGrid/>
        <w:spacing w:line="540" w:lineRule="exact"/>
        <w:ind w:firstLine="64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为进一步加强我县返乡人员管理工作，严格落实“外防输入、内防反弹”，切实做好我县疫情防控工作，现将相关工作要求如下：</w:t>
      </w:r>
    </w:p>
    <w:p>
      <w:pPr>
        <w:keepNext w:val="0"/>
        <w:keepLines w:val="0"/>
        <w:pageBreakBefore w:val="0"/>
        <w:kinsoku/>
        <w:wordWrap/>
        <w:overflowPunct/>
        <w:topLinePunct w:val="0"/>
        <w:autoSpaceDE/>
        <w:autoSpaceDN/>
        <w:bidi w:val="0"/>
        <w:adjustRightInd/>
        <w:snapToGrid/>
        <w:spacing w:line="540" w:lineRule="exact"/>
        <w:ind w:firstLine="64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一、进一步加强返乡人员信息排查</w:t>
      </w:r>
    </w:p>
    <w:p>
      <w:pPr>
        <w:keepNext w:val="0"/>
        <w:keepLines w:val="0"/>
        <w:pageBreakBefore w:val="0"/>
        <w:kinsoku/>
        <w:wordWrap/>
        <w:overflowPunct/>
        <w:topLinePunct w:val="0"/>
        <w:autoSpaceDE/>
        <w:autoSpaceDN/>
        <w:bidi w:val="0"/>
        <w:adjustRightInd/>
        <w:snapToGrid/>
        <w:spacing w:line="540" w:lineRule="exact"/>
        <w:ind w:firstLine="64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乡镇（开发区）要严格落实属地责任，切实加强组织领导，安排镇村干部逐户逐人排查本辖区返乡人员信息，问清返乡人员个人行程，做好信息登记上报，根据返乡前所在地风险等级和其本人健康情况实施核酸检测和隔离管控。发现</w:t>
      </w:r>
      <w:r>
        <w:rPr>
          <w:rFonts w:hint="eastAsia" w:ascii="仿宋_GB2312" w:hAnsi="仿宋_GB2312" w:eastAsia="仿宋_GB2312" w:cs="仿宋_GB2312"/>
          <w:sz w:val="32"/>
          <w:szCs w:val="32"/>
        </w:rPr>
        <w:t>发热、干咳、咽痛、嗅（味）觉减退、腹泻等症状</w:t>
      </w:r>
      <w:r>
        <w:rPr>
          <w:rFonts w:hint="eastAsia" w:ascii="仿宋_GB2312" w:hAnsi="仿宋_GB2312" w:eastAsia="仿宋_GB2312" w:cs="仿宋_GB2312"/>
          <w:sz w:val="32"/>
          <w:szCs w:val="32"/>
          <w:lang w:val="en-US" w:eastAsia="zh-CN"/>
        </w:rPr>
        <w:t>者，要立即安排至我县发热门诊治疗。</w:t>
      </w:r>
    </w:p>
    <w:p>
      <w:pPr>
        <w:keepNext w:val="0"/>
        <w:keepLines w:val="0"/>
        <w:pageBreakBefore w:val="0"/>
        <w:kinsoku/>
        <w:wordWrap/>
        <w:overflowPunct/>
        <w:topLinePunct w:val="0"/>
        <w:autoSpaceDE/>
        <w:autoSpaceDN/>
        <w:bidi w:val="0"/>
        <w:adjustRightInd/>
        <w:snapToGrid/>
        <w:spacing w:line="540" w:lineRule="exact"/>
        <w:ind w:firstLine="64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二、进一步加强返乡人员核酸检测</w:t>
      </w:r>
    </w:p>
    <w:p>
      <w:pPr>
        <w:keepNext w:val="0"/>
        <w:keepLines w:val="0"/>
        <w:pageBreakBefore w:val="0"/>
        <w:widowControl/>
        <w:kinsoku/>
        <w:wordWrap/>
        <w:overflowPunct/>
        <w:topLinePunct w:val="0"/>
        <w:autoSpaceDE/>
        <w:autoSpaceDN/>
        <w:bidi w:val="0"/>
        <w:adjustRightInd/>
        <w:snapToGrid/>
        <w:spacing w:line="540" w:lineRule="exact"/>
        <w:ind w:firstLine="64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村（社区）要安排所有返乡人员到所在乡镇卫生院进行核酸检测。各乡镇卫生院要进一步加强对采样人员的技术培训，组建专业的核酸检测采样队伍。采样后及时将检测样本送至检测机构检测，检测机构在12小时内将检测结果反馈至乡镇卫生院，由乡镇卫生院报乡镇疫情防控指挥部</w:t>
      </w:r>
      <w:r>
        <w:rPr>
          <w:rFonts w:hint="eastAsia" w:ascii="仿宋_GB2312" w:hAnsi="宋体" w:eastAsia="仿宋_GB2312" w:cs="宋体"/>
          <w:color w:val="000000"/>
          <w:kern w:val="0"/>
          <w:sz w:val="32"/>
          <w:szCs w:val="32"/>
        </w:rPr>
        <w:t>。</w:t>
      </w:r>
    </w:p>
    <w:p>
      <w:pPr>
        <w:keepNext w:val="0"/>
        <w:keepLines w:val="0"/>
        <w:pageBreakBefore w:val="0"/>
        <w:kinsoku/>
        <w:wordWrap/>
        <w:overflowPunct/>
        <w:topLinePunct w:val="0"/>
        <w:autoSpaceDE/>
        <w:autoSpaceDN/>
        <w:bidi w:val="0"/>
        <w:adjustRightInd/>
        <w:snapToGrid/>
        <w:spacing w:line="540" w:lineRule="exact"/>
        <w:ind w:firstLine="64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三、进一步加强返乡人员隔离管控</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val="en-US" w:eastAsia="zh-CN"/>
        </w:rPr>
        <w:t>乡镇（开发区）要严格</w:t>
      </w:r>
      <w:r>
        <w:rPr>
          <w:rFonts w:hint="eastAsia" w:ascii="仿宋_GB2312" w:hAnsi="仿宋_GB2312" w:eastAsia="仿宋_GB2312" w:cs="仿宋_GB2312"/>
          <w:sz w:val="32"/>
          <w:szCs w:val="32"/>
        </w:rPr>
        <w:t>落实乡镇干部、村干部、公安干警、村乡医务工作者和网格员的“五包一”责任制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即一名乡</w:t>
      </w:r>
      <w:r>
        <w:rPr>
          <w:rFonts w:hint="eastAsia" w:ascii="仿宋_GB2312" w:hAnsi="仿宋_GB2312" w:eastAsia="仿宋_GB2312" w:cs="仿宋_GB2312"/>
          <w:sz w:val="32"/>
          <w:szCs w:val="32"/>
          <w:lang w:val="en-US" w:eastAsia="zh-CN"/>
        </w:rPr>
        <w:t>镇</w:t>
      </w:r>
      <w:r>
        <w:rPr>
          <w:rFonts w:hint="eastAsia" w:ascii="仿宋_GB2312" w:hAnsi="仿宋_GB2312" w:eastAsia="仿宋_GB2312" w:cs="仿宋_GB2312"/>
          <w:sz w:val="32"/>
          <w:szCs w:val="32"/>
        </w:rPr>
        <w:t>包村干部牵头负总责，一名村干部负责摸排基本情况，一名医生负责指导消毒</w:t>
      </w:r>
      <w:r>
        <w:rPr>
          <w:rFonts w:hint="eastAsia" w:ascii="仿宋_GB2312" w:hAnsi="仿宋_GB2312" w:eastAsia="仿宋_GB2312" w:cs="仿宋_GB2312"/>
          <w:sz w:val="32"/>
          <w:szCs w:val="32"/>
          <w:lang w:val="en-US" w:eastAsia="zh-CN"/>
        </w:rPr>
        <w:t>和防控</w:t>
      </w:r>
      <w:r>
        <w:rPr>
          <w:rFonts w:hint="eastAsia" w:ascii="仿宋_GB2312" w:hAnsi="仿宋_GB2312" w:eastAsia="仿宋_GB2312" w:cs="仿宋_GB2312"/>
          <w:sz w:val="32"/>
          <w:szCs w:val="32"/>
        </w:rPr>
        <w:t>，一名干警进行法制教育和管控，一名</w:t>
      </w:r>
      <w:r>
        <w:rPr>
          <w:rFonts w:hint="eastAsia" w:ascii="仿宋_GB2312" w:hAnsi="仿宋_GB2312" w:eastAsia="仿宋_GB2312" w:cs="仿宋_GB2312"/>
          <w:sz w:val="32"/>
          <w:szCs w:val="32"/>
          <w:lang w:val="en-US" w:eastAsia="zh-CN"/>
        </w:rPr>
        <w:t>网格员</w:t>
      </w:r>
      <w:r>
        <w:rPr>
          <w:rFonts w:hint="eastAsia" w:ascii="仿宋_GB2312" w:hAnsi="仿宋_GB2312" w:eastAsia="仿宋_GB2312" w:cs="仿宋_GB2312"/>
          <w:sz w:val="32"/>
          <w:szCs w:val="32"/>
        </w:rPr>
        <w:t>进行</w:t>
      </w:r>
      <w:r>
        <w:rPr>
          <w:rFonts w:hint="eastAsia" w:ascii="仿宋_GB2312" w:hAnsi="仿宋_GB2312" w:eastAsia="仿宋_GB2312" w:cs="仿宋_GB2312"/>
          <w:sz w:val="32"/>
          <w:szCs w:val="32"/>
          <w:lang w:val="en-US" w:eastAsia="zh-CN"/>
        </w:rPr>
        <w:t>跟踪随访</w:t>
      </w:r>
      <w:r>
        <w:rPr>
          <w:rFonts w:hint="eastAsia" w:ascii="仿宋_GB2312" w:hAnsi="仿宋_GB2312" w:eastAsia="仿宋_GB2312" w:cs="仿宋_GB2312"/>
          <w:sz w:val="32"/>
          <w:szCs w:val="32"/>
        </w:rPr>
        <w:t>、检查体温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确保所有返乡人员均有人包保负责。对</w:t>
      </w:r>
      <w:r>
        <w:rPr>
          <w:rFonts w:hint="eastAsia" w:ascii="仿宋_GB2312" w:hAnsi="仿宋_GB2312" w:eastAsia="仿宋_GB2312" w:cs="仿宋_GB2312"/>
          <w:sz w:val="32"/>
          <w:szCs w:val="32"/>
        </w:rPr>
        <w:t>境外返乡人员（已经在外地集中隔离满14天，且入境不满28天的）实施7天集中隔离（2次核酸检测）+7天严格的居家健康监测（1次核酸检测），</w:t>
      </w:r>
      <w:r>
        <w:rPr>
          <w:rFonts w:hint="eastAsia" w:ascii="仿宋_GB2312" w:hAnsi="仿宋_GB2312" w:eastAsia="仿宋_GB2312" w:cs="仿宋_GB2312"/>
          <w:sz w:val="32"/>
          <w:szCs w:val="32"/>
          <w:lang w:val="en-US" w:eastAsia="zh-CN"/>
        </w:rPr>
        <w:t>严格落实</w:t>
      </w:r>
      <w:r>
        <w:rPr>
          <w:rFonts w:hint="eastAsia" w:ascii="仿宋_GB2312" w:hAnsi="仿宋_GB2312" w:eastAsia="仿宋_GB2312" w:cs="仿宋_GB2312"/>
          <w:sz w:val="32"/>
          <w:szCs w:val="32"/>
        </w:rPr>
        <w:t>人员闭环管理，</w:t>
      </w:r>
      <w:r>
        <w:rPr>
          <w:rFonts w:hint="eastAsia" w:ascii="仿宋_GB2312" w:hAnsi="仿宋_GB2312" w:eastAsia="仿宋_GB2312" w:cs="仿宋_GB2312"/>
          <w:sz w:val="32"/>
          <w:szCs w:val="32"/>
          <w:lang w:val="en-US" w:eastAsia="zh-CN"/>
        </w:rPr>
        <w:t>由所在</w:t>
      </w:r>
      <w:r>
        <w:rPr>
          <w:rFonts w:hint="eastAsia" w:ascii="仿宋_GB2312" w:hAnsi="仿宋_GB2312" w:eastAsia="仿宋_GB2312" w:cs="仿宋_GB2312"/>
          <w:sz w:val="32"/>
          <w:szCs w:val="32"/>
        </w:rPr>
        <w:t>集中隔离点、乡镇卫生院按照有关规定落实核酸检测措施；对于入境已经满28天后返乡的，根据其返乡前所在地按高、中、低风险地区返乡人员管理。</w:t>
      </w:r>
      <w:r>
        <w:rPr>
          <w:rFonts w:hint="eastAsia" w:ascii="仿宋_GB2312" w:hAnsi="仿宋_GB2312" w:eastAsia="仿宋_GB2312" w:cs="仿宋_GB2312"/>
          <w:sz w:val="32"/>
          <w:szCs w:val="32"/>
          <w:lang w:val="en-US" w:eastAsia="zh-CN"/>
        </w:rPr>
        <w:t>所有返乡人员返泗后要立即开展1次核酸检测。对中、</w:t>
      </w:r>
      <w:r>
        <w:rPr>
          <w:rFonts w:hint="eastAsia" w:ascii="仿宋_GB2312" w:hAnsi="仿宋_GB2312" w:eastAsia="仿宋_GB2312" w:cs="仿宋_GB2312"/>
          <w:sz w:val="32"/>
          <w:szCs w:val="32"/>
        </w:rPr>
        <w:t>高风险地区返乡人员实施14天集中隔离+7天居家健康监测，</w:t>
      </w:r>
      <w:r>
        <w:rPr>
          <w:rFonts w:hint="eastAsia" w:ascii="仿宋_GB2312" w:hAnsi="仿宋_GB2312" w:eastAsia="仿宋_GB2312" w:cs="仿宋_GB2312"/>
          <w:sz w:val="32"/>
          <w:szCs w:val="32"/>
          <w:lang w:val="en-US" w:eastAsia="zh-CN"/>
        </w:rPr>
        <w:t>并</w:t>
      </w:r>
      <w:r>
        <w:rPr>
          <w:rFonts w:hint="eastAsia" w:ascii="仿宋_GB2312" w:hAnsi="仿宋_GB2312" w:eastAsia="仿宋_GB2312" w:cs="仿宋_GB2312"/>
          <w:sz w:val="32"/>
          <w:szCs w:val="32"/>
        </w:rPr>
        <w:t>由</w:t>
      </w:r>
      <w:r>
        <w:rPr>
          <w:rFonts w:hint="eastAsia" w:ascii="仿宋_GB2312" w:hAnsi="仿宋_GB2312" w:eastAsia="仿宋_GB2312" w:cs="仿宋_GB2312"/>
          <w:sz w:val="32"/>
          <w:szCs w:val="32"/>
          <w:lang w:val="en-US" w:eastAsia="zh-CN"/>
        </w:rPr>
        <w:t>中医院</w:t>
      </w:r>
      <w:r>
        <w:rPr>
          <w:rFonts w:hint="eastAsia" w:ascii="仿宋_GB2312" w:hAnsi="仿宋_GB2312" w:eastAsia="仿宋_GB2312" w:cs="仿宋_GB2312"/>
          <w:sz w:val="32"/>
          <w:szCs w:val="32"/>
        </w:rPr>
        <w:t>按照有关规定落实核酸检测措施</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低风险地区返乡人员实施14天居家健康监测，</w:t>
      </w:r>
      <w:r>
        <w:rPr>
          <w:rFonts w:hint="eastAsia" w:ascii="仿宋_GB2312" w:hAnsi="仿宋_GB2312" w:eastAsia="仿宋_GB2312" w:cs="仿宋_GB2312"/>
          <w:sz w:val="32"/>
          <w:szCs w:val="32"/>
          <w:lang w:val="en-US" w:eastAsia="zh-CN"/>
        </w:rPr>
        <w:t>由辖区核酸检测点</w:t>
      </w:r>
      <w:r>
        <w:rPr>
          <w:rFonts w:hint="eastAsia" w:ascii="仿宋_GB2312" w:hAnsi="仿宋_GB2312" w:eastAsia="仿宋_GB2312" w:cs="仿宋_GB2312"/>
          <w:sz w:val="32"/>
          <w:szCs w:val="32"/>
        </w:rPr>
        <w:t>进行</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次核酸检测（</w:t>
      </w:r>
      <w:r>
        <w:rPr>
          <w:rFonts w:hint="eastAsia" w:ascii="仿宋_GB2312" w:hAnsi="仿宋_GB2312" w:eastAsia="仿宋_GB2312" w:cs="仿宋_GB2312"/>
          <w:sz w:val="32"/>
          <w:szCs w:val="32"/>
          <w:lang w:val="en-US" w:eastAsia="zh-CN"/>
        </w:rPr>
        <w:t>每7天1次</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所有居家健康检测人员由包保网格员负责建立健康台账，出现症状第一时间上报。</w:t>
      </w:r>
    </w:p>
    <w:p>
      <w:pPr>
        <w:keepNext w:val="0"/>
        <w:keepLines w:val="0"/>
        <w:pageBreakBefore w:val="0"/>
        <w:widowControl/>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i w:val="0"/>
          <w:caps w:val="0"/>
          <w:color w:val="auto"/>
          <w:spacing w:val="0"/>
          <w:sz w:val="32"/>
          <w:szCs w:val="32"/>
          <w:lang w:val="en-US" w:eastAsia="zh-CN"/>
        </w:rPr>
      </w:pPr>
      <w:r>
        <w:rPr>
          <w:rFonts w:hint="eastAsia" w:ascii="黑体" w:hAnsi="黑体" w:eastAsia="黑体" w:cs="黑体"/>
          <w:i w:val="0"/>
          <w:caps w:val="0"/>
          <w:color w:val="auto"/>
          <w:spacing w:val="0"/>
          <w:sz w:val="32"/>
          <w:szCs w:val="32"/>
          <w:lang w:val="en-US" w:eastAsia="zh-CN"/>
        </w:rPr>
        <w:t>四、进一步加强返乡人员防疫意识</w:t>
      </w:r>
    </w:p>
    <w:p>
      <w:pPr>
        <w:keepNext w:val="0"/>
        <w:keepLines w:val="0"/>
        <w:pageBreakBefore w:val="0"/>
        <w:widowControl/>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各乡镇（开发区）要充分</w:t>
      </w:r>
      <w:r>
        <w:rPr>
          <w:rFonts w:hint="eastAsia" w:ascii="仿宋_GB2312" w:hAnsi="仿宋_GB2312" w:eastAsia="仿宋_GB2312" w:cs="仿宋_GB2312"/>
          <w:color w:val="000000"/>
          <w:kern w:val="0"/>
          <w:sz w:val="32"/>
          <w:szCs w:val="32"/>
        </w:rPr>
        <w:t>利用</w:t>
      </w:r>
      <w:r>
        <w:rPr>
          <w:rFonts w:hint="eastAsia" w:ascii="仿宋_GB2312" w:hAnsi="仿宋_GB2312" w:eastAsia="仿宋_GB2312" w:cs="仿宋_GB2312"/>
          <w:color w:val="000000"/>
          <w:kern w:val="0"/>
          <w:sz w:val="32"/>
          <w:szCs w:val="32"/>
          <w:lang w:val="en-US" w:eastAsia="zh-CN"/>
        </w:rPr>
        <w:t>广播、农村大喇叭、流动宣传车、</w:t>
      </w:r>
      <w:r>
        <w:rPr>
          <w:rFonts w:hint="eastAsia" w:ascii="仿宋_GB2312" w:hAnsi="仿宋_GB2312" w:eastAsia="仿宋_GB2312" w:cs="仿宋_GB2312"/>
          <w:color w:val="auto"/>
          <w:spacing w:val="0"/>
          <w:w w:val="100"/>
          <w:position w:val="0"/>
          <w:sz w:val="32"/>
          <w:szCs w:val="32"/>
        </w:rPr>
        <w:t>微信群、宣传画</w:t>
      </w:r>
      <w:r>
        <w:rPr>
          <w:rFonts w:hint="eastAsia" w:ascii="仿宋_GB2312" w:hAnsi="仿宋_GB2312" w:eastAsia="仿宋_GB2312" w:cs="仿宋_GB2312"/>
          <w:color w:val="auto"/>
          <w:spacing w:val="0"/>
          <w:w w:val="100"/>
          <w:position w:val="0"/>
          <w:sz w:val="32"/>
          <w:szCs w:val="32"/>
          <w:lang w:eastAsia="zh-CN"/>
        </w:rPr>
        <w:t>、</w:t>
      </w:r>
      <w:r>
        <w:rPr>
          <w:rFonts w:hint="eastAsia" w:ascii="仿宋_GB2312" w:hAnsi="仿宋_GB2312" w:eastAsia="仿宋_GB2312" w:cs="仿宋_GB2312"/>
          <w:color w:val="auto"/>
          <w:spacing w:val="0"/>
          <w:w w:val="100"/>
          <w:position w:val="0"/>
          <w:sz w:val="32"/>
          <w:szCs w:val="32"/>
          <w:lang w:val="en-US" w:eastAsia="zh-CN"/>
        </w:rPr>
        <w:t>宣传单</w:t>
      </w:r>
      <w:r>
        <w:rPr>
          <w:rFonts w:hint="eastAsia" w:ascii="仿宋_GB2312" w:hAnsi="仿宋_GB2312" w:eastAsia="仿宋_GB2312" w:cs="仿宋_GB2312"/>
          <w:color w:val="auto"/>
          <w:spacing w:val="0"/>
          <w:w w:val="100"/>
          <w:position w:val="0"/>
          <w:sz w:val="32"/>
          <w:szCs w:val="32"/>
        </w:rPr>
        <w:t>等多种形式加强疫情防控宣传，</w:t>
      </w:r>
      <w:r>
        <w:rPr>
          <w:rFonts w:hint="eastAsia" w:ascii="仿宋_GB2312" w:hAnsi="仿宋_GB2312" w:eastAsia="仿宋_GB2312" w:cs="仿宋_GB2312"/>
          <w:color w:val="000000"/>
          <w:kern w:val="0"/>
          <w:sz w:val="32"/>
          <w:szCs w:val="32"/>
        </w:rPr>
        <w:t>增强</w:t>
      </w:r>
      <w:r>
        <w:rPr>
          <w:rFonts w:hint="eastAsia" w:ascii="仿宋_GB2312" w:hAnsi="仿宋_GB2312" w:eastAsia="仿宋_GB2312" w:cs="仿宋_GB2312"/>
          <w:color w:val="000000"/>
          <w:kern w:val="0"/>
          <w:sz w:val="32"/>
          <w:szCs w:val="32"/>
          <w:lang w:val="en-US" w:eastAsia="zh-CN"/>
        </w:rPr>
        <w:t>返乡人员</w:t>
      </w:r>
      <w:r>
        <w:rPr>
          <w:rFonts w:hint="eastAsia" w:ascii="仿宋_GB2312" w:hAnsi="仿宋_GB2312" w:eastAsia="仿宋_GB2312" w:cs="仿宋_GB2312"/>
          <w:color w:val="000000"/>
          <w:kern w:val="0"/>
          <w:sz w:val="32"/>
          <w:szCs w:val="32"/>
        </w:rPr>
        <w:t>勤洗手、保持室内通风、封闭场所戴口罩等卫生习惯，增强出现发热、干咳、咽痛、嗅（味）觉减退、腹泻等症状后</w:t>
      </w:r>
      <w:r>
        <w:rPr>
          <w:rFonts w:hint="eastAsia" w:ascii="仿宋_GB2312" w:hAnsi="仿宋_GB2312" w:eastAsia="仿宋_GB2312" w:cs="仿宋_GB2312"/>
          <w:color w:val="000000"/>
          <w:kern w:val="0"/>
          <w:sz w:val="32"/>
          <w:szCs w:val="32"/>
          <w:lang w:val="en-US" w:eastAsia="zh-CN"/>
        </w:rPr>
        <w:t>到发热门诊</w:t>
      </w:r>
      <w:r>
        <w:rPr>
          <w:rFonts w:hint="eastAsia" w:ascii="仿宋_GB2312" w:hAnsi="仿宋_GB2312" w:eastAsia="仿宋_GB2312" w:cs="仿宋_GB2312"/>
          <w:color w:val="000000"/>
          <w:kern w:val="0"/>
          <w:sz w:val="32"/>
          <w:szCs w:val="32"/>
        </w:rPr>
        <w:t>就诊和第一时间报告意识。</w:t>
      </w:r>
    </w:p>
    <w:p>
      <w:pPr>
        <w:keepNext w:val="0"/>
        <w:keepLines w:val="0"/>
        <w:pageBreakBefore w:val="0"/>
        <w:widowControl/>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000000"/>
          <w:kern w:val="0"/>
          <w:sz w:val="32"/>
          <w:szCs w:val="32"/>
        </w:rPr>
      </w:pPr>
      <w:bookmarkStart w:id="0" w:name="_GoBack"/>
      <w:r>
        <w:rPr>
          <w:rFonts w:hint="eastAsia" w:ascii="仿宋_GB2312" w:hAnsi="仿宋_GB2312" w:eastAsia="仿宋_GB2312" w:cs="仿宋_GB2312"/>
          <w:sz w:val="32"/>
          <w:szCs w:val="32"/>
        </w:rPr>
        <w:drawing>
          <wp:anchor distT="0" distB="0" distL="114300" distR="114300" simplePos="0" relativeHeight="251704320" behindDoc="1" locked="0" layoutInCell="1" allowOverlap="1">
            <wp:simplePos x="0" y="0"/>
            <wp:positionH relativeFrom="column">
              <wp:posOffset>3097530</wp:posOffset>
            </wp:positionH>
            <wp:positionV relativeFrom="paragraph">
              <wp:posOffset>304165</wp:posOffset>
            </wp:positionV>
            <wp:extent cx="1859280" cy="1788795"/>
            <wp:effectExtent l="0" t="0" r="7620" b="1905"/>
            <wp:wrapNone/>
            <wp:docPr id="11" name="图片 11" descr="指挥部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指挥部章"/>
                    <pic:cNvPicPr>
                      <a:picLocks noChangeAspect="1"/>
                    </pic:cNvPicPr>
                  </pic:nvPicPr>
                  <pic:blipFill>
                    <a:blip r:embed="rId5"/>
                    <a:stretch>
                      <a:fillRect/>
                    </a:stretch>
                  </pic:blipFill>
                  <pic:spPr>
                    <a:xfrm>
                      <a:off x="0" y="0"/>
                      <a:ext cx="1859280" cy="1788795"/>
                    </a:xfrm>
                    <a:prstGeom prst="rect">
                      <a:avLst/>
                    </a:prstGeom>
                  </pic:spPr>
                </pic:pic>
              </a:graphicData>
            </a:graphic>
          </wp:anchor>
        </w:drawing>
      </w:r>
      <w:bookmarkEnd w:id="0"/>
    </w:p>
    <w:p>
      <w:pPr>
        <w:keepNext w:val="0"/>
        <w:keepLines w:val="0"/>
        <w:pageBreakBefore w:val="0"/>
        <w:widowControl/>
        <w:kinsoku/>
        <w:wordWrap/>
        <w:overflowPunct/>
        <w:topLinePunct w:val="0"/>
        <w:autoSpaceDE/>
        <w:autoSpaceDN/>
        <w:bidi w:val="0"/>
        <w:adjustRightInd/>
        <w:snapToGrid/>
        <w:spacing w:line="540" w:lineRule="exact"/>
        <w:ind w:firstLine="640" w:firstLineChars="200"/>
        <w:jc w:val="right"/>
        <w:textAlignment w:val="auto"/>
        <w:rPr>
          <w:rFonts w:hint="eastAsia" w:ascii="仿宋_GB2312" w:hAnsi="仿宋_GB2312" w:eastAsia="仿宋_GB2312" w:cs="仿宋_GB2312"/>
          <w:color w:val="000000"/>
          <w:kern w:val="0"/>
          <w:sz w:val="32"/>
          <w:szCs w:val="32"/>
          <w:lang w:val="en-US" w:eastAsia="zh-CN"/>
        </w:rPr>
      </w:pPr>
    </w:p>
    <w:p>
      <w:pPr>
        <w:keepNext w:val="0"/>
        <w:keepLines w:val="0"/>
        <w:pageBreakBefore w:val="0"/>
        <w:widowControl/>
        <w:kinsoku/>
        <w:wordWrap/>
        <w:overflowPunct/>
        <w:topLinePunct w:val="0"/>
        <w:autoSpaceDE/>
        <w:autoSpaceDN/>
        <w:bidi w:val="0"/>
        <w:adjustRightInd/>
        <w:snapToGrid/>
        <w:spacing w:line="540" w:lineRule="exact"/>
        <w:ind w:firstLine="640" w:firstLineChars="200"/>
        <w:jc w:val="right"/>
        <w:textAlignment w:val="auto"/>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泗县新型冠状病毒感染的肺炎</w:t>
      </w:r>
    </w:p>
    <w:p>
      <w:pPr>
        <w:keepNext w:val="0"/>
        <w:keepLines w:val="0"/>
        <w:pageBreakBefore w:val="0"/>
        <w:widowControl/>
        <w:kinsoku/>
        <w:wordWrap/>
        <w:overflowPunct/>
        <w:topLinePunct w:val="0"/>
        <w:autoSpaceDE/>
        <w:autoSpaceDN/>
        <w:bidi w:val="0"/>
        <w:adjustRightInd/>
        <w:snapToGrid/>
        <w:spacing w:line="540" w:lineRule="exact"/>
        <w:ind w:firstLine="640" w:firstLineChars="200"/>
        <w:jc w:val="center"/>
        <w:textAlignment w:val="auto"/>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 xml:space="preserve">                     疫情防控应急指挥部</w:t>
      </w:r>
    </w:p>
    <w:p>
      <w:pPr>
        <w:keepNext w:val="0"/>
        <w:keepLines w:val="0"/>
        <w:pageBreakBefore w:val="0"/>
        <w:widowControl/>
        <w:kinsoku/>
        <w:wordWrap/>
        <w:overflowPunct/>
        <w:topLinePunct w:val="0"/>
        <w:autoSpaceDE/>
        <w:autoSpaceDN/>
        <w:bidi w:val="0"/>
        <w:adjustRightInd/>
        <w:snapToGrid/>
        <w:spacing w:line="540" w:lineRule="exact"/>
        <w:ind w:firstLine="640" w:firstLineChars="200"/>
        <w:jc w:val="center"/>
        <w:textAlignment w:val="auto"/>
        <w:rPr>
          <w:rFonts w:hint="default"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 xml:space="preserve">                     2021年1月26日</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posOffset>2418080</wp:posOffset>
              </wp:positionH>
              <wp:positionV relativeFrom="paragraph">
                <wp:posOffset>-31750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190.4pt;margin-top:-2.5pt;height:144pt;width:144pt;mso-position-horizontal-relative:margin;mso-wrap-style:none;z-index:251658240;mso-width-relative:page;mso-height-relative:page;" filled="f" stroked="f" coordsize="21600,21600" o:gfxdata="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AVDYs1wAAAAoBAAAPAAAAAAAAAAEAIAAAACIAAABkcnMvZG93bnJldi54bWxQ&#10;SwECFAAUAAAACACHTuJAa4X5+zECAABhBAAADgAAAAAAAAABACAAAAAmAQAAZHJzL2Uyb0RvYy54&#10;bWxQSwUGAAAAAAYABgBZAQAAyQUAAAAA&#10;">
              <v:fill on="f" focussize="0,0"/>
              <v:stroke on="f" weight="0.5pt"/>
              <v:imagedata o:title=""/>
              <o:lock v:ext="edit" aspectratio="f"/>
              <v:textbox inset="0mm,0mm,0mm,0mm" style="mso-fit-shape-to-text:t;">
                <w:txbxContent>
                  <w:p>
                    <w:pPr>
                      <w:pStyle w:val="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4F900F7"/>
    <w:rsid w:val="1F3A7446"/>
    <w:rsid w:val="24F900F7"/>
    <w:rsid w:val="2F725A3F"/>
    <w:rsid w:val="37E14AF8"/>
    <w:rsid w:val="3E214975"/>
    <w:rsid w:val="42FA117B"/>
    <w:rsid w:val="56916C87"/>
    <w:rsid w:val="6AA44B3B"/>
    <w:rsid w:val="7C8C15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2021-01-25T02:37:00Z</dcterms:created>
  <dc:creator>lenovo</dc:creator>
  <cp:lastModifiedBy>NTKO</cp:lastModifiedBy>
  <dcterms:modified xsi:type="dcterms:W3CDTF">2021-01-27T07:53:05Z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