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5885815" cy="7894955"/>
            <wp:effectExtent l="0" t="0" r="635" b="10795"/>
            <wp:docPr id="4" name="图片 4" descr="9d02c5d4a720987f4f90a5bd3ce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d02c5d4a720987f4f90a5bd3ce21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789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440" w:left="1644" w:header="851" w:footer="737" w:gutter="0"/>
          <w:pgNumType w:fmt="numberInDash"/>
          <w:cols w:space="720" w:num="1"/>
          <w:docGrid w:type="lines" w:linePitch="435" w:charSpace="0"/>
        </w:sectPr>
      </w:pPr>
    </w:p>
    <w:p>
      <w:pPr>
        <w:spacing w:beforeLines="50" w:afterLines="50" w:line="600" w:lineRule="exact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泗县应急管理局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黑体" w:eastAsia="方正小标宋简体"/>
          <w:sz w:val="44"/>
          <w:szCs w:val="44"/>
        </w:rPr>
        <w:t>随机抽查事项清单</w:t>
      </w:r>
      <w:bookmarkStart w:id="0" w:name="_GoBack"/>
      <w:bookmarkEnd w:id="0"/>
    </w:p>
    <w:tbl>
      <w:tblPr>
        <w:tblStyle w:val="14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9"/>
        <w:gridCol w:w="1539"/>
        <w:gridCol w:w="21"/>
        <w:gridCol w:w="1665"/>
        <w:gridCol w:w="36"/>
        <w:gridCol w:w="1511"/>
        <w:gridCol w:w="48"/>
        <w:gridCol w:w="1074"/>
        <w:gridCol w:w="60"/>
        <w:gridCol w:w="992"/>
        <w:gridCol w:w="73"/>
        <w:gridCol w:w="1203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93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序号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抽查项目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检查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对象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事项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类别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检查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方式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检查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主体</w:t>
            </w:r>
          </w:p>
        </w:tc>
        <w:tc>
          <w:tcPr>
            <w:tcW w:w="552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gridSpan w:val="2"/>
            <w:vMerge w:val="continue"/>
          </w:tcPr>
          <w:p>
            <w:pPr>
              <w:ind w:firstLine="640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抽查类别</w:t>
            </w:r>
          </w:p>
        </w:tc>
        <w:tc>
          <w:tcPr>
            <w:tcW w:w="1701" w:type="dxa"/>
            <w:gridSpan w:val="2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抽查事项</w:t>
            </w:r>
          </w:p>
        </w:tc>
        <w:tc>
          <w:tcPr>
            <w:tcW w:w="1559" w:type="dxa"/>
            <w:gridSpan w:val="2"/>
            <w:vMerge w:val="continue"/>
          </w:tcPr>
          <w:p>
            <w:pPr>
              <w:ind w:firstLine="640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ind w:firstLine="640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992" w:type="dxa"/>
            <w:vMerge w:val="continue"/>
          </w:tcPr>
          <w:p>
            <w:pPr>
              <w:ind w:firstLine="640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ind w:firstLine="640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5528" w:type="dxa"/>
            <w:vMerge w:val="continue"/>
          </w:tcPr>
          <w:p>
            <w:pPr>
              <w:ind w:firstLine="640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984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工贸企业执法检查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粉尘涉爆企业执法检查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粉尘涉爆企业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1.《安全生产法》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2.《关于印发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&lt;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工贸行业重大生产安全隐患判定标准（2017版）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&gt;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的通知》（安监总管四〔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2017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〕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129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有限空间作业安全执法检查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涉及有限空间作业安全的工贸企业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1.《安全生产法》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2.《工贸企业有限空间作业安全管理与监督暂行规定》（原国家安全监管总局令第59号）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3.《关于印发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&lt;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工贸行业重大生产安全隐患判定标准（2017版）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&gt;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的通知》（安监总管四〔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2017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〕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129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84" w:type="dxa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危险化学品监督检查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对危险化学品生产企业的监督检查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危险化学品生产企业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《中华人民共和国安全生产法》第十七条至第二十二条、第二十四至三十九条、第四十二条、第四十四条至四十六条、第四十八条、第四十九条、第五十四条、第七十九条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《危险化学品安全管理条例》（国务院令第591号）第四条、第五条、第二十条至第十五条、第十七条至第二十二条、第二十四条至第二十七条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3.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《危险化学品生产企业安全生产许可证实施办法》（原国家安全监管总局令第41号）第三条、第八条至第二十二条等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对危险化学品经营企业的监督检查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危险化学品经营企业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《中华人民共和国安全生产法》第十七条至第二十二条、第二十四至三十九条、第四十二条、第四十四条至四十六条、第四十八条、第四十九条、第五十四条、第七十九条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《危险化学品安全管理条例》（国务院令第591号）第四条、第五条、第三十三条至第三十七条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《危险化学品经营许可证管理办法》（原国家安全监管总局令第55号）第三条、第六条至第八条等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对危险化学品使用企业的监督检查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危险化学品使用企业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《中华人民共和国安全生产法》第十七条至第二十二条、第二十四至三十九条、第四十二条、第四十四条至四十六条、第四十八条、第四十九条、第五十四条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《危险化学品安全管理条例》（国务院令第591号）第四条、第五条、第二十八条至第三十二条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《危险化学品安全使用许可证实施办法》（原国家安全监管总局令第57号）第三条、第六条至第十六条等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984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烟花爆竹监督检查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对烟花爆竹批发企业的监督检查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烟花爆竹批发企业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《中华人民共和国安全生产法》第十七条至第二十二条、第二十四至三十九条、第四十二条、第四十四条至四十六条、第四十八条、第四十九条、第五十四条、第七十九条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《烟花爆竹安全管理条例》（国务院令第455号）第三条、第十六条至第二十一条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3.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《烟花爆竹经营许可实施办法》（原国家安全监管总局令第65号）第三条、第四条、第六条至第十五条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4.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《烟花爆竹生产经营安全规定》（原国家安全监管总局令第93号）第三条、第五条至第七条、第十条至第十七条、第十九条、第二十条、第二十二条至第二十七条等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对从事烟花爆竹零售的经营者的监督检查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从事烟花爆竹零售的经营者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《中华人民共和国安全生产法》第十七条至第二十二条、第二十四至三十九条、第四十二条、第四十四条至四十六条、第四十八条、第四十九条、第五十四条、第七十九条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《烟花爆竹安全管理条例》（国务院令第455号）第三条、第十六条至第二十一条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3.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《烟花爆竹经营许可实施办法》（原国家安全监管总局令第65号）第三条、第四条、第十六条至第二十一条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4.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《烟花爆竹生产经营安全规定》（原国家安全监管总局令第93号）第三条、第五条、第十一条至第十三条、第二十八条等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84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非药品类易制毒化学品监督检查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对第一类非药品类易制毒化学品生产、经营企业的监督检查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第一类非药品类易制毒化学品生产企业和经营企业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《易制毒化学品管理条例》（国务院令第445号）第二条、第四条、第五条、第七条至第十三条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《非药品类易制毒化学品生产、经营许可办法》（原国家安全监管总局令第5号）第三条、第五条至第十六条等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对第二类非药品类易制毒化学品生产、经营企业的监督检查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第二类非药品类易制毒化学品生产企业和经营企业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《易制毒化学品管理条例》（国务院令第445号）第二条、第四条、第五条、第七条至第十三条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《非药品类易制毒化学品生产、经营许可办法》（原国家安全监管总局令第5号）第三条、第十七条至第二十四条等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对第三类非药品类易制毒化学品生产企业的监督检查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第三类非药品类易制毒化学品生产企业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《易制毒化学品管理条例》（国务院令第445号）第二条、第四条、第五条、第七条至第十三条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《非药品类易制毒化学品生产、经营许可办法》（原国家安全监管总局令第5号）第三条、第十七条至第二十四条等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对第三类非药品类易制毒化学品经营企业的监督检查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第三类非药品类易制毒化学品经营企业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现场检查、书面检查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《易制毒化学品管理条例》（国务院令第445号）第二条、第四条、第五条、第七条至第十三条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《非药品类易制毒化学品生产、经营许可办法》（原国家安全监管总局令第5号）第三条、第十七条至第二十四条等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84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安全生产技术服务机构监督检查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安全评价机构监督检查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安全评价机构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《安全生产法》第六十九条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《安全评价检测检验机构管理办法》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（应急管理部令第1号）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84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安全生产检测检验机构监督检查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安全生产检测检验机构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重点检查事项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现场检查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县级应急管理部门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1.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《安全生产法》第六十九条</w:t>
            </w:r>
          </w:p>
          <w:p>
            <w:pPr>
              <w:widowControl/>
              <w:spacing w:line="280" w:lineRule="exact"/>
              <w:ind w:firstLine="0" w:firstLineChars="0"/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2.</w:t>
            </w:r>
            <w:r>
              <w:rPr>
                <w:rFonts w:cs="方正仿宋_GBK" w:asciiTheme="minorEastAsia" w:hAnsiTheme="minorEastAsia" w:eastAsiaTheme="minorEastAsia"/>
                <w:color w:val="000000"/>
                <w:kern w:val="0"/>
                <w:sz w:val="24"/>
              </w:rPr>
              <w:t>《安全评价检测检验机构管理办法》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kern w:val="0"/>
                <w:sz w:val="24"/>
              </w:rPr>
              <w:t>（应急管理部令第1号）</w:t>
            </w:r>
          </w:p>
        </w:tc>
      </w:tr>
    </w:tbl>
    <w:p>
      <w:pPr>
        <w:spacing w:line="600" w:lineRule="exact"/>
        <w:ind w:left="0" w:leftChars="0" w:firstLine="0" w:firstLineChars="0"/>
        <w:rPr>
          <w:rFonts w:ascii="仿宋_GB2312" w:eastAsia="仿宋_GB231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Cs w:val="32"/>
        </w:rPr>
      </w:pPr>
    </w:p>
    <w:p>
      <w:pPr>
        <w:wordWrap w:val="0"/>
        <w:spacing w:line="520" w:lineRule="exact"/>
        <w:ind w:left="0" w:leftChars="0" w:right="-58" w:rightChars="-18" w:firstLine="0" w:firstLineChars="0"/>
        <w:jc w:val="both"/>
        <w:rPr>
          <w:rFonts w:ascii="仿宋_GB2312" w:hAnsi="华文仿宋" w:eastAsia="仿宋_GB2312"/>
          <w:sz w:val="28"/>
          <w:szCs w:val="28"/>
        </w:rPr>
      </w:pPr>
    </w:p>
    <w:sectPr>
      <w:headerReference r:id="rId9" w:type="default"/>
      <w:footerReference r:id="rId10" w:type="default"/>
      <w:pgSz w:w="16838" w:h="11906" w:orient="landscape"/>
      <w:pgMar w:top="1800" w:right="1440" w:bottom="1800" w:left="1440" w:header="851" w:footer="737" w:gutter="0"/>
      <w:pgNumType w:fmt="numberInDash"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 w:firstLineChars="0"/>
    </w:pPr>
  </w:p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 w:firstLineChars="0"/>
    </w:pPr>
  </w:p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5768571"/>
      <w:docPartObj>
        <w:docPartGallery w:val="autotext"/>
      </w:docPartObj>
    </w:sdtPr>
    <w:sdtContent>
      <w:p>
        <w:pPr>
          <w:pStyle w:val="9"/>
          <w:ind w:firstLine="360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49"/>
    <w:rsid w:val="00002A99"/>
    <w:rsid w:val="000664E5"/>
    <w:rsid w:val="00075B5E"/>
    <w:rsid w:val="00091515"/>
    <w:rsid w:val="000A16A1"/>
    <w:rsid w:val="000B0FDB"/>
    <w:rsid w:val="000D274F"/>
    <w:rsid w:val="000E443B"/>
    <w:rsid w:val="000F79B5"/>
    <w:rsid w:val="000F7C53"/>
    <w:rsid w:val="00123C9B"/>
    <w:rsid w:val="001274E8"/>
    <w:rsid w:val="0014288A"/>
    <w:rsid w:val="00144197"/>
    <w:rsid w:val="00144347"/>
    <w:rsid w:val="00177BAA"/>
    <w:rsid w:val="00190306"/>
    <w:rsid w:val="00195DF2"/>
    <w:rsid w:val="001C3146"/>
    <w:rsid w:val="001E2AEB"/>
    <w:rsid w:val="001E49C4"/>
    <w:rsid w:val="001F0B4A"/>
    <w:rsid w:val="001F0FE3"/>
    <w:rsid w:val="001F5237"/>
    <w:rsid w:val="001F6C9A"/>
    <w:rsid w:val="00204A01"/>
    <w:rsid w:val="00210E3A"/>
    <w:rsid w:val="00234A40"/>
    <w:rsid w:val="0024159A"/>
    <w:rsid w:val="0027710C"/>
    <w:rsid w:val="002A1611"/>
    <w:rsid w:val="002A6932"/>
    <w:rsid w:val="002B229B"/>
    <w:rsid w:val="002B7449"/>
    <w:rsid w:val="002C4E41"/>
    <w:rsid w:val="002F2CFB"/>
    <w:rsid w:val="002F2E9D"/>
    <w:rsid w:val="002F5F07"/>
    <w:rsid w:val="002F691E"/>
    <w:rsid w:val="0031056A"/>
    <w:rsid w:val="0034164D"/>
    <w:rsid w:val="00347E2C"/>
    <w:rsid w:val="003620E0"/>
    <w:rsid w:val="003800BA"/>
    <w:rsid w:val="003F1757"/>
    <w:rsid w:val="00403DF0"/>
    <w:rsid w:val="004060B4"/>
    <w:rsid w:val="00432322"/>
    <w:rsid w:val="00432682"/>
    <w:rsid w:val="00441C0B"/>
    <w:rsid w:val="004451B8"/>
    <w:rsid w:val="00463F09"/>
    <w:rsid w:val="00467539"/>
    <w:rsid w:val="004921DC"/>
    <w:rsid w:val="004A2D22"/>
    <w:rsid w:val="004C14A7"/>
    <w:rsid w:val="004D1F75"/>
    <w:rsid w:val="004D33C5"/>
    <w:rsid w:val="004D4420"/>
    <w:rsid w:val="004D70E2"/>
    <w:rsid w:val="004E6DAE"/>
    <w:rsid w:val="004F314C"/>
    <w:rsid w:val="004F7ADA"/>
    <w:rsid w:val="00500EC3"/>
    <w:rsid w:val="00501BC8"/>
    <w:rsid w:val="00543109"/>
    <w:rsid w:val="00561C79"/>
    <w:rsid w:val="005653E5"/>
    <w:rsid w:val="005838F3"/>
    <w:rsid w:val="00584A25"/>
    <w:rsid w:val="005B1A34"/>
    <w:rsid w:val="005B6298"/>
    <w:rsid w:val="005C03E1"/>
    <w:rsid w:val="005D66E9"/>
    <w:rsid w:val="005E492E"/>
    <w:rsid w:val="005F043D"/>
    <w:rsid w:val="006149F3"/>
    <w:rsid w:val="00636938"/>
    <w:rsid w:val="00637412"/>
    <w:rsid w:val="006461BE"/>
    <w:rsid w:val="00662CA6"/>
    <w:rsid w:val="00664EF1"/>
    <w:rsid w:val="0068400A"/>
    <w:rsid w:val="00690998"/>
    <w:rsid w:val="006A2D54"/>
    <w:rsid w:val="006B4EAA"/>
    <w:rsid w:val="006C4982"/>
    <w:rsid w:val="006C59A5"/>
    <w:rsid w:val="006D5BD4"/>
    <w:rsid w:val="006E559D"/>
    <w:rsid w:val="0071163E"/>
    <w:rsid w:val="0072074A"/>
    <w:rsid w:val="0072254F"/>
    <w:rsid w:val="007532E1"/>
    <w:rsid w:val="0076721C"/>
    <w:rsid w:val="00772E48"/>
    <w:rsid w:val="007914D3"/>
    <w:rsid w:val="007A2C41"/>
    <w:rsid w:val="007A4785"/>
    <w:rsid w:val="007D0155"/>
    <w:rsid w:val="007D01C2"/>
    <w:rsid w:val="007E5910"/>
    <w:rsid w:val="007E7EA1"/>
    <w:rsid w:val="0082033A"/>
    <w:rsid w:val="00823AE7"/>
    <w:rsid w:val="00831CAB"/>
    <w:rsid w:val="00844D99"/>
    <w:rsid w:val="00861101"/>
    <w:rsid w:val="0086352B"/>
    <w:rsid w:val="008648C5"/>
    <w:rsid w:val="00872AC1"/>
    <w:rsid w:val="00877BCA"/>
    <w:rsid w:val="00883EC6"/>
    <w:rsid w:val="00891DA6"/>
    <w:rsid w:val="0089766A"/>
    <w:rsid w:val="008A27AB"/>
    <w:rsid w:val="008A55F3"/>
    <w:rsid w:val="008A6FAC"/>
    <w:rsid w:val="008D1B30"/>
    <w:rsid w:val="008D63B0"/>
    <w:rsid w:val="00901AA7"/>
    <w:rsid w:val="00903FBC"/>
    <w:rsid w:val="00905537"/>
    <w:rsid w:val="00912B81"/>
    <w:rsid w:val="009217E5"/>
    <w:rsid w:val="00932014"/>
    <w:rsid w:val="00934FB7"/>
    <w:rsid w:val="00946CAE"/>
    <w:rsid w:val="009502C5"/>
    <w:rsid w:val="00964302"/>
    <w:rsid w:val="00970CC2"/>
    <w:rsid w:val="009722C8"/>
    <w:rsid w:val="00996DFE"/>
    <w:rsid w:val="009C5030"/>
    <w:rsid w:val="009C66F9"/>
    <w:rsid w:val="009F5D29"/>
    <w:rsid w:val="00A03E44"/>
    <w:rsid w:val="00A06CAA"/>
    <w:rsid w:val="00A26177"/>
    <w:rsid w:val="00A3506E"/>
    <w:rsid w:val="00A36F37"/>
    <w:rsid w:val="00A422A5"/>
    <w:rsid w:val="00A56A07"/>
    <w:rsid w:val="00A56F30"/>
    <w:rsid w:val="00A753B7"/>
    <w:rsid w:val="00A80050"/>
    <w:rsid w:val="00AA061F"/>
    <w:rsid w:val="00AC140C"/>
    <w:rsid w:val="00AC1911"/>
    <w:rsid w:val="00AC1F6E"/>
    <w:rsid w:val="00AE5D16"/>
    <w:rsid w:val="00AF23A4"/>
    <w:rsid w:val="00AF5688"/>
    <w:rsid w:val="00B119E3"/>
    <w:rsid w:val="00B1537A"/>
    <w:rsid w:val="00B62850"/>
    <w:rsid w:val="00B6454D"/>
    <w:rsid w:val="00B8009A"/>
    <w:rsid w:val="00B81AE8"/>
    <w:rsid w:val="00BA6F12"/>
    <w:rsid w:val="00BB0EDF"/>
    <w:rsid w:val="00BB3A04"/>
    <w:rsid w:val="00BB5F64"/>
    <w:rsid w:val="00BB7B7A"/>
    <w:rsid w:val="00BC2EFC"/>
    <w:rsid w:val="00BC3C78"/>
    <w:rsid w:val="00BD67FF"/>
    <w:rsid w:val="00BD6EB5"/>
    <w:rsid w:val="00BF553B"/>
    <w:rsid w:val="00BF73C1"/>
    <w:rsid w:val="00C04BB8"/>
    <w:rsid w:val="00C12A91"/>
    <w:rsid w:val="00C12EAA"/>
    <w:rsid w:val="00C2342A"/>
    <w:rsid w:val="00C3046D"/>
    <w:rsid w:val="00C36E36"/>
    <w:rsid w:val="00C717BB"/>
    <w:rsid w:val="00C72B54"/>
    <w:rsid w:val="00C822FD"/>
    <w:rsid w:val="00C848A7"/>
    <w:rsid w:val="00C85BFA"/>
    <w:rsid w:val="00CA3B23"/>
    <w:rsid w:val="00CA53F4"/>
    <w:rsid w:val="00CB0A28"/>
    <w:rsid w:val="00CC1BEE"/>
    <w:rsid w:val="00CE09DD"/>
    <w:rsid w:val="00D00C4D"/>
    <w:rsid w:val="00D05227"/>
    <w:rsid w:val="00D12E7E"/>
    <w:rsid w:val="00D365D3"/>
    <w:rsid w:val="00D56E12"/>
    <w:rsid w:val="00D97BFA"/>
    <w:rsid w:val="00DA2F05"/>
    <w:rsid w:val="00DB2AA7"/>
    <w:rsid w:val="00DD4E0E"/>
    <w:rsid w:val="00DE06EA"/>
    <w:rsid w:val="00DE3CC2"/>
    <w:rsid w:val="00E04C02"/>
    <w:rsid w:val="00E1768F"/>
    <w:rsid w:val="00E32DFE"/>
    <w:rsid w:val="00E36124"/>
    <w:rsid w:val="00E37CBF"/>
    <w:rsid w:val="00E42837"/>
    <w:rsid w:val="00E52983"/>
    <w:rsid w:val="00E65720"/>
    <w:rsid w:val="00E7106D"/>
    <w:rsid w:val="00E7109D"/>
    <w:rsid w:val="00E929F7"/>
    <w:rsid w:val="00E94151"/>
    <w:rsid w:val="00EB3CF1"/>
    <w:rsid w:val="00EB6D72"/>
    <w:rsid w:val="00EC235E"/>
    <w:rsid w:val="00ED2020"/>
    <w:rsid w:val="00EF4193"/>
    <w:rsid w:val="00F1216F"/>
    <w:rsid w:val="00F25E1B"/>
    <w:rsid w:val="00F3672B"/>
    <w:rsid w:val="00F631A0"/>
    <w:rsid w:val="00F64CDD"/>
    <w:rsid w:val="00F66CEB"/>
    <w:rsid w:val="00F67C51"/>
    <w:rsid w:val="00F85BA4"/>
    <w:rsid w:val="00F9656D"/>
    <w:rsid w:val="00FA6E7B"/>
    <w:rsid w:val="00FA7BF1"/>
    <w:rsid w:val="00FC662F"/>
    <w:rsid w:val="00FE11FF"/>
    <w:rsid w:val="00FE1F36"/>
    <w:rsid w:val="00FE2E06"/>
    <w:rsid w:val="00FF403B"/>
    <w:rsid w:val="0D58396E"/>
    <w:rsid w:val="0FBF6DBF"/>
    <w:rsid w:val="1436065A"/>
    <w:rsid w:val="14E26300"/>
    <w:rsid w:val="2D2806DA"/>
    <w:rsid w:val="3F5F71E0"/>
    <w:rsid w:val="457708B4"/>
    <w:rsid w:val="4D590844"/>
    <w:rsid w:val="7A2D7DAC"/>
    <w:rsid w:val="7EA35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spacing w:beforeLines="50" w:afterLines="50" w:line="320" w:lineRule="exact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napToGrid w:val="0"/>
      <w:spacing w:beforeLines="50" w:line="100" w:lineRule="atLeast"/>
      <w:ind w:left="228" w:leftChars="228" w:right="246" w:rightChars="246" w:firstLine="0" w:firstLineChars="0"/>
      <w:jc w:val="center"/>
      <w:outlineLvl w:val="2"/>
    </w:pPr>
    <w:rPr>
      <w:rFonts w:ascii="黑体" w:hAnsi="宋体" w:eastAsia="黑体" w:cs="宋体"/>
      <w:kern w:val="0"/>
      <w:sz w:val="30"/>
      <w:szCs w:val="3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 w:cs="Times New Roman"/>
      <w:color w:val="000000"/>
      <w:sz w:val="31"/>
      <w:szCs w:val="31"/>
      <w:u w:val="none" w:color="000000"/>
    </w:rPr>
  </w:style>
  <w:style w:type="paragraph" w:styleId="5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 Indent"/>
    <w:basedOn w:val="1"/>
    <w:link w:val="24"/>
    <w:qFormat/>
    <w:uiPriority w:val="0"/>
    <w:pPr>
      <w:spacing w:after="120" w:line="240" w:lineRule="auto"/>
      <w:ind w:left="420" w:leftChars="200" w:firstLine="0" w:firstLineChars="0"/>
    </w:pPr>
    <w:rPr>
      <w:rFonts w:ascii="Times New Roman" w:eastAsia="宋体"/>
      <w:snapToGrid w:val="0"/>
      <w:sz w:val="21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cs="Times New Roman"/>
      <w:b/>
    </w:rPr>
  </w:style>
  <w:style w:type="character" w:styleId="17">
    <w:name w:val="Emphasis"/>
    <w:qFormat/>
    <w:uiPriority w:val="0"/>
  </w:style>
  <w:style w:type="character" w:styleId="18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1">
    <w:name w:val="标题 3 Char"/>
    <w:basedOn w:val="15"/>
    <w:link w:val="4"/>
    <w:qFormat/>
    <w:uiPriority w:val="0"/>
    <w:rPr>
      <w:rFonts w:ascii="黑体" w:hAnsi="宋体" w:eastAsia="黑体" w:cs="宋体"/>
      <w:kern w:val="0"/>
      <w:sz w:val="30"/>
      <w:szCs w:val="30"/>
    </w:rPr>
  </w:style>
  <w:style w:type="paragraph" w:customStyle="1" w:styleId="22">
    <w:name w:val="Char Char Char Char Char Char"/>
    <w:basedOn w:val="5"/>
    <w:qFormat/>
    <w:uiPriority w:val="0"/>
    <w:pPr>
      <w:shd w:val="clear" w:color="auto" w:fill="000080"/>
      <w:spacing w:line="240" w:lineRule="auto"/>
      <w:ind w:firstLine="0" w:firstLineChars="0"/>
    </w:pPr>
    <w:rPr>
      <w:rFonts w:ascii="Tahoma" w:hAnsi="Tahoma" w:cs="Tahoma"/>
      <w:sz w:val="24"/>
      <w:szCs w:val="24"/>
    </w:rPr>
  </w:style>
  <w:style w:type="character" w:customStyle="1" w:styleId="23">
    <w:name w:val="文档结构图 Char"/>
    <w:basedOn w:val="15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4">
    <w:name w:val="正文文本缩进 Char"/>
    <w:basedOn w:val="15"/>
    <w:link w:val="6"/>
    <w:qFormat/>
    <w:uiPriority w:val="0"/>
    <w:rPr>
      <w:rFonts w:ascii="Times New Roman" w:hAnsi="Times New Roman" w:eastAsia="宋体" w:cs="Times New Roman"/>
      <w:snapToGrid w:val="0"/>
      <w:szCs w:val="24"/>
    </w:rPr>
  </w:style>
  <w:style w:type="character" w:customStyle="1" w:styleId="25">
    <w:name w:val="批注框文本 Char"/>
    <w:basedOn w:val="15"/>
    <w:link w:val="8"/>
    <w:semiHidden/>
    <w:qFormat/>
    <w:uiPriority w:val="99"/>
    <w:rPr>
      <w:rFonts w:ascii="方正仿宋_GBK" w:hAnsi="Times New Roman" w:eastAsia="方正仿宋_GBK" w:cs="Times New Roman"/>
      <w:sz w:val="18"/>
      <w:szCs w:val="18"/>
    </w:rPr>
  </w:style>
  <w:style w:type="character" w:customStyle="1" w:styleId="26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7">
    <w:name w:val="List Paragraph"/>
    <w:basedOn w:val="1"/>
    <w:qFormat/>
    <w:uiPriority w:val="34"/>
    <w:pPr>
      <w:ind w:firstLine="420"/>
    </w:pPr>
  </w:style>
  <w:style w:type="paragraph" w:customStyle="1" w:styleId="28">
    <w:name w:val="TOC 标题1"/>
    <w:basedOn w:val="3"/>
    <w:next w:val="1"/>
    <w:unhideWhenUsed/>
    <w:qFormat/>
    <w:uiPriority w:val="39"/>
    <w:pPr>
      <w:widowControl/>
      <w:spacing w:before="480" w:line="276" w:lineRule="auto"/>
      <w:ind w:firstLine="0" w:firstLineChars="0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character" w:customStyle="1" w:styleId="29">
    <w:name w:val="标题 1 Char"/>
    <w:basedOn w:val="15"/>
    <w:link w:val="3"/>
    <w:qFormat/>
    <w:uiPriority w:val="9"/>
    <w:rPr>
      <w:rFonts w:ascii="方正仿宋_GBK" w:hAnsi="Times New Roman" w:eastAsia="黑体" w:cs="Times New Roman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0AB1E9-66A8-47D2-ABA7-C3DB293605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ahgs</Company>
  <Pages>111</Pages>
  <Words>8974</Words>
  <Characters>51155</Characters>
  <Lines>426</Lines>
  <Paragraphs>120</Paragraphs>
  <TotalTime>9</TotalTime>
  <ScaleCrop>false</ScaleCrop>
  <LinksUpToDate>false</LinksUpToDate>
  <CharactersWithSpaces>60009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2020-01-13T03:30:00Z</dcterms:created>
  <dc:creator>lenovo</dc:creator>
  <cp:lastModifiedBy>安徽宿州泗县钱勇</cp:lastModifiedBy>
  <cp:lastPrinted>2020-06-18T08:41:00Z</cp:lastPrinted>
  <dcterms:modified xsi:type="dcterms:W3CDTF">2021-02-01T02:14:20Z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